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586" w:lineRule="exact" w:before="130"/>
        <w:ind w:left="856" w:right="0" w:firstLine="0"/>
        <w:jc w:val="left"/>
        <w:rPr>
          <w:rFonts w:ascii="Times New Roman" w:hAnsi="Times New Roman" w:cs="Times New Roman" w:eastAsia="Times New Roman" w:hint="default"/>
          <w:sz w:val="52"/>
          <w:szCs w:val="52"/>
        </w:rPr>
      </w:pPr>
      <w:r>
        <w:rPr/>
        <w:pict>
          <v:group style="position:absolute;margin-left:24.65pt;margin-top:269.550049pt;width:570.7pt;height:572.4pt;mso-position-horizontal-relative:page;mso-position-vertical-relative:page;z-index:-1051792" coordorigin="493,5391" coordsize="11414,11448">
            <v:shape style="position:absolute;left:868;top:5391;width:11038;height:11447" type="#_x0000_t75" stroked="false">
              <v:imagedata r:id="rId5" o:title=""/>
            </v:shape>
            <v:group style="position:absolute;left:493;top:15533;width:3853;height:904" coordorigin="493,15533" coordsize="3853,904">
              <v:shape style="position:absolute;left:493;top:15533;width:3853;height:904" coordorigin="493,15533" coordsize="3853,904" path="m493,16437l4346,16437,4346,15533,493,15533,493,16437xe" filled="true" fillcolor="#ffffff" stroked="false">
                <v:path arrowok="t"/>
                <v:fill type="solid"/>
              </v:shape>
              <v:shape style="position:absolute;left:10556;top:16068;width:1350;height:770" type="#_x0000_t75" stroked="false">
                <v:imagedata r:id="rId6" o:title=""/>
              </v:shape>
            </v:group>
            <w10:wrap type="none"/>
          </v:group>
        </w:pict>
      </w:r>
      <w:r>
        <w:rPr/>
        <w:pict>
          <v:shape style="position:absolute;margin-left:457.100006pt;margin-top:3.803452pt;width:95.199997pt;height:76.25pt;mso-position-horizontal-relative:page;mso-position-vertical-relative:paragraph;z-index:1048" type="#_x0000_t75" stroked="false">
            <v:imagedata r:id="rId7" o:title=""/>
          </v:shape>
        </w:pict>
      </w:r>
      <w:r>
        <w:rPr>
          <w:rFonts w:ascii="Times New Roman"/>
          <w:color w:val="8495AF"/>
          <w:sz w:val="52"/>
        </w:rPr>
        <w:t>2015 Annual</w:t>
      </w:r>
      <w:r>
        <w:rPr>
          <w:rFonts w:ascii="Times New Roman"/>
          <w:color w:val="8495AF"/>
          <w:spacing w:val="-33"/>
          <w:sz w:val="52"/>
        </w:rPr>
        <w:t> </w:t>
      </w:r>
      <w:r>
        <w:rPr>
          <w:rFonts w:ascii="Times New Roman"/>
          <w:color w:val="8495AF"/>
          <w:sz w:val="52"/>
        </w:rPr>
        <w:t>Report</w:t>
      </w:r>
      <w:r>
        <w:rPr>
          <w:rFonts w:ascii="Times New Roman"/>
          <w:sz w:val="52"/>
        </w:rPr>
      </w:r>
    </w:p>
    <w:p>
      <w:pPr>
        <w:spacing w:line="542" w:lineRule="exact" w:before="0"/>
        <w:ind w:left="856" w:right="0" w:firstLine="0"/>
        <w:jc w:val="left"/>
        <w:rPr>
          <w:rFonts w:ascii="宋体" w:hAnsi="宋体" w:cs="宋体" w:eastAsia="宋体" w:hint="default"/>
          <w:sz w:val="40"/>
          <w:szCs w:val="40"/>
        </w:rPr>
      </w:pPr>
      <w:r>
        <w:rPr>
          <w:rFonts w:ascii="Times New Roman" w:hAnsi="Times New Roman" w:cs="Times New Roman" w:eastAsia="Times New Roman" w:hint="default"/>
          <w:color w:val="8495AF"/>
          <w:sz w:val="40"/>
          <w:szCs w:val="40"/>
        </w:rPr>
        <w:t>2015</w:t>
      </w:r>
      <w:r>
        <w:rPr>
          <w:rFonts w:ascii="Times New Roman" w:hAnsi="Times New Roman" w:cs="Times New Roman" w:eastAsia="Times New Roman" w:hint="default"/>
          <w:color w:val="8495AF"/>
          <w:spacing w:val="-4"/>
          <w:sz w:val="40"/>
          <w:szCs w:val="40"/>
        </w:rPr>
        <w:t> </w:t>
      </w:r>
      <w:r>
        <w:rPr>
          <w:rFonts w:ascii="宋体" w:hAnsi="宋体" w:cs="宋体" w:eastAsia="宋体" w:hint="default"/>
          <w:color w:val="8495AF"/>
          <w:sz w:val="40"/>
          <w:szCs w:val="40"/>
        </w:rPr>
        <w:t>年年度报告</w:t>
      </w:r>
      <w:r>
        <w:rPr>
          <w:rFonts w:ascii="宋体" w:hAnsi="宋体" w:cs="宋体" w:eastAsia="宋体" w:hint="default"/>
          <w:sz w:val="40"/>
          <w:szCs w:val="40"/>
        </w:rPr>
      </w:r>
    </w:p>
    <w:p>
      <w:pPr>
        <w:pStyle w:val="Heading3"/>
        <w:spacing w:line="240" w:lineRule="auto" w:before="309"/>
        <w:ind w:right="0"/>
        <w:jc w:val="left"/>
      </w:pPr>
      <w:r>
        <w:rPr>
          <w:color w:val="7E7E7E"/>
        </w:rPr>
        <w:t>深圳市爱施德股份有限公司</w:t>
      </w:r>
      <w:r>
        <w:rPr/>
      </w:r>
    </w:p>
    <w:p>
      <w:pPr>
        <w:spacing w:before="73"/>
        <w:ind w:left="863" w:right="0" w:firstLine="0"/>
        <w:jc w:val="left"/>
        <w:rPr>
          <w:rFonts w:ascii="Times New Roman" w:hAnsi="Times New Roman" w:cs="Times New Roman" w:eastAsia="Times New Roman" w:hint="default"/>
          <w:sz w:val="24"/>
          <w:szCs w:val="24"/>
        </w:rPr>
      </w:pPr>
      <w:r>
        <w:rPr>
          <w:rFonts w:ascii="Times New Roman"/>
          <w:color w:val="7E7E7E"/>
          <w:sz w:val="24"/>
        </w:rPr>
        <w:t>Shenzhen Aisidi CO.,</w:t>
      </w:r>
      <w:r>
        <w:rPr>
          <w:rFonts w:ascii="Times New Roman"/>
          <w:color w:val="7E7E7E"/>
          <w:spacing w:val="-14"/>
          <w:sz w:val="24"/>
        </w:rPr>
        <w:t> </w:t>
      </w:r>
      <w:r>
        <w:rPr>
          <w:rFonts w:ascii="Times New Roman"/>
          <w:color w:val="7E7E7E"/>
          <w:spacing w:val="-8"/>
          <w:sz w:val="24"/>
        </w:rPr>
        <w:t>LTD</w:t>
      </w:r>
      <w:r>
        <w:rPr>
          <w:rFonts w:ascii="Times New Roman"/>
          <w:spacing w:val="-8"/>
          <w:sz w:val="24"/>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p>
      <w:pPr>
        <w:spacing w:line="237" w:lineRule="auto" w:before="46"/>
        <w:ind w:left="257" w:right="8958" w:firstLine="0"/>
        <w:jc w:val="left"/>
        <w:rPr>
          <w:rFonts w:ascii="宋体" w:hAnsi="宋体" w:cs="宋体" w:eastAsia="宋体" w:hint="default"/>
          <w:sz w:val="18"/>
          <w:szCs w:val="18"/>
        </w:rPr>
      </w:pPr>
      <w:r>
        <w:rPr>
          <w:rFonts w:ascii="宋体" w:hAnsi="宋体" w:cs="宋体" w:eastAsia="宋体" w:hint="default"/>
          <w:color w:val="585858"/>
          <w:sz w:val="18"/>
          <w:szCs w:val="18"/>
        </w:rPr>
        <w:t>证券代码：</w:t>
      </w:r>
      <w:r>
        <w:rPr>
          <w:rFonts w:ascii="Times New Roman" w:hAnsi="Times New Roman" w:cs="Times New Roman" w:eastAsia="Times New Roman" w:hint="default"/>
          <w:color w:val="585858"/>
          <w:sz w:val="18"/>
          <w:szCs w:val="18"/>
        </w:rPr>
        <w:t>002416 </w:t>
      </w:r>
      <w:r>
        <w:rPr>
          <w:rFonts w:ascii="宋体" w:hAnsi="宋体" w:cs="宋体" w:eastAsia="宋体" w:hint="default"/>
          <w:color w:val="585858"/>
          <w:sz w:val="18"/>
          <w:szCs w:val="18"/>
        </w:rPr>
        <w:t>证券简称：爱施德 披露日期：</w:t>
      </w:r>
      <w:r>
        <w:rPr>
          <w:rFonts w:ascii="Times New Roman" w:hAnsi="Times New Roman" w:cs="Times New Roman" w:eastAsia="Times New Roman" w:hint="default"/>
          <w:color w:val="585858"/>
          <w:sz w:val="18"/>
          <w:szCs w:val="18"/>
        </w:rPr>
        <w:t>2016</w:t>
      </w:r>
      <w:r>
        <w:rPr>
          <w:rFonts w:ascii="Times New Roman" w:hAnsi="Times New Roman" w:cs="Times New Roman" w:eastAsia="Times New Roman" w:hint="default"/>
          <w:color w:val="585858"/>
          <w:spacing w:val="-1"/>
          <w:sz w:val="18"/>
          <w:szCs w:val="18"/>
        </w:rPr>
        <w:t> </w:t>
      </w:r>
      <w:r>
        <w:rPr>
          <w:rFonts w:ascii="宋体" w:hAnsi="宋体" w:cs="宋体" w:eastAsia="宋体" w:hint="default"/>
          <w:color w:val="585858"/>
          <w:sz w:val="18"/>
          <w:szCs w:val="18"/>
        </w:rPr>
        <w:t>年</w:t>
      </w:r>
      <w:r>
        <w:rPr>
          <w:rFonts w:ascii="宋体" w:hAnsi="宋体" w:cs="宋体" w:eastAsia="宋体" w:hint="default"/>
          <w:color w:val="585858"/>
          <w:spacing w:val="-46"/>
          <w:sz w:val="18"/>
          <w:szCs w:val="18"/>
        </w:rPr>
        <w:t> </w:t>
      </w:r>
      <w:r>
        <w:rPr>
          <w:rFonts w:ascii="Times New Roman" w:hAnsi="Times New Roman" w:cs="Times New Roman" w:eastAsia="Times New Roman" w:hint="default"/>
          <w:color w:val="585858"/>
          <w:sz w:val="18"/>
          <w:szCs w:val="18"/>
        </w:rPr>
        <w:t>4 </w:t>
      </w:r>
      <w:r>
        <w:rPr>
          <w:rFonts w:ascii="宋体" w:hAnsi="宋体" w:cs="宋体" w:eastAsia="宋体" w:hint="default"/>
          <w:color w:val="585858"/>
          <w:sz w:val="18"/>
          <w:szCs w:val="18"/>
        </w:rPr>
        <w:t>月</w:t>
      </w:r>
      <w:r>
        <w:rPr>
          <w:rFonts w:ascii="宋体" w:hAnsi="宋体" w:cs="宋体" w:eastAsia="宋体" w:hint="default"/>
          <w:color w:val="585858"/>
          <w:spacing w:val="-46"/>
          <w:sz w:val="18"/>
          <w:szCs w:val="18"/>
        </w:rPr>
        <w:t> </w:t>
      </w:r>
      <w:r>
        <w:rPr>
          <w:rFonts w:ascii="Times New Roman" w:hAnsi="Times New Roman" w:cs="Times New Roman" w:eastAsia="Times New Roman" w:hint="default"/>
          <w:color w:val="585858"/>
          <w:sz w:val="18"/>
          <w:szCs w:val="18"/>
        </w:rPr>
        <w:t>19</w:t>
      </w:r>
      <w:r>
        <w:rPr>
          <w:rFonts w:ascii="Times New Roman" w:hAnsi="Times New Roman" w:cs="Times New Roman" w:eastAsia="Times New Roman" w:hint="default"/>
          <w:color w:val="585858"/>
          <w:spacing w:val="-1"/>
          <w:sz w:val="18"/>
          <w:szCs w:val="18"/>
        </w:rPr>
        <w:t> </w:t>
      </w:r>
      <w:r>
        <w:rPr>
          <w:rFonts w:ascii="宋体" w:hAnsi="宋体" w:cs="宋体" w:eastAsia="宋体" w:hint="default"/>
          <w:color w:val="585858"/>
          <w:sz w:val="18"/>
          <w:szCs w:val="18"/>
        </w:rPr>
        <w:t>日</w:t>
      </w:r>
      <w:r>
        <w:rPr>
          <w:rFonts w:ascii="宋体" w:hAnsi="宋体" w:cs="宋体" w:eastAsia="宋体" w:hint="default"/>
          <w:sz w:val="18"/>
          <w:szCs w:val="18"/>
        </w:rPr>
      </w:r>
    </w:p>
    <w:p>
      <w:pPr>
        <w:spacing w:after="0" w:line="237" w:lineRule="auto"/>
        <w:jc w:val="left"/>
        <w:rPr>
          <w:rFonts w:ascii="宋体" w:hAnsi="宋体" w:cs="宋体" w:eastAsia="宋体" w:hint="default"/>
          <w:sz w:val="18"/>
          <w:szCs w:val="18"/>
        </w:rPr>
        <w:sectPr>
          <w:type w:val="continuous"/>
          <w:pgSz w:w="11910" w:h="16840"/>
          <w:pgMar w:top="1360" w:bottom="0" w:left="3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Heading1"/>
        <w:spacing w:line="409" w:lineRule="exact"/>
        <w:ind w:left="4748" w:right="0"/>
        <w:jc w:val="left"/>
        <w:rPr>
          <w:b w:val="0"/>
          <w:bCs w:val="0"/>
        </w:rPr>
      </w:pPr>
      <w:bookmarkStart w:name="_TOC_250000" w:id="1"/>
      <w:bookmarkStart w:name="第一节 重要提示、目录和释义" w:id="2"/>
      <w:r>
        <w:rPr>
          <w:b w:val="0"/>
          <w:bCs w:val="0"/>
        </w:rPr>
      </w:r>
      <w:r>
        <w:rPr>
          <w:color w:val="2D74B5"/>
        </w:rPr>
        <w:t>第一节  重要提示、目录和释义</w:t>
      </w:r>
      <w:bookmarkEnd w:id="1"/>
      <w:r>
        <w:rPr>
          <w:b w:val="0"/>
          <w:bCs w:val="0"/>
        </w:rPr>
      </w:r>
    </w:p>
    <w:p>
      <w:pPr>
        <w:pStyle w:val="Heading4"/>
        <w:spacing w:line="300" w:lineRule="auto" w:before="235"/>
        <w:ind w:right="1457"/>
        <w:jc w:val="both"/>
      </w:pPr>
      <w:r>
        <w:rPr>
          <w:w w:val="95"/>
        </w:rPr>
        <w:t>本公司董事会、监事会及董事、监事、高级管理人员保证年</w:t>
      </w:r>
      <w:r>
        <w:rPr>
          <w:w w:val="99"/>
        </w:rPr>
        <w:t> </w:t>
      </w:r>
      <w:r>
        <w:rPr>
          <w:w w:val="95"/>
        </w:rPr>
        <w:t>度报告内容的真实、准确、完整，不存在虚假记载、误导性陈述</w:t>
      </w:r>
      <w:r>
        <w:rPr>
          <w:spacing w:val="87"/>
          <w:w w:val="95"/>
        </w:rPr>
        <w:t> </w:t>
      </w:r>
      <w:r>
        <w:rPr/>
        <w:t>或重大遗漏，并承担个别和连带的法律责任。</w:t>
      </w:r>
    </w:p>
    <w:p>
      <w:pPr>
        <w:spacing w:line="292" w:lineRule="auto" w:before="54"/>
        <w:ind w:left="3308" w:right="1457" w:firstLine="440"/>
        <w:jc w:val="both"/>
        <w:rPr>
          <w:rFonts w:ascii="宋体" w:hAnsi="宋体" w:cs="宋体" w:eastAsia="宋体" w:hint="default"/>
          <w:sz w:val="22"/>
          <w:szCs w:val="22"/>
        </w:rPr>
      </w:pPr>
      <w:r>
        <w:rPr>
          <w:rFonts w:ascii="宋体" w:hAnsi="宋体" w:cs="宋体" w:eastAsia="宋体" w:hint="default"/>
          <w:w w:val="95"/>
          <w:sz w:val="22"/>
          <w:szCs w:val="22"/>
        </w:rPr>
        <w:t>公司负责人黄文辉、主管会计工作负责人米泽东及会计机构</w:t>
      </w:r>
      <w:r>
        <w:rPr>
          <w:rFonts w:ascii="宋体" w:hAnsi="宋体" w:cs="宋体" w:eastAsia="宋体" w:hint="default"/>
          <w:w w:val="99"/>
          <w:sz w:val="22"/>
          <w:szCs w:val="22"/>
        </w:rPr>
        <w:t> </w:t>
      </w:r>
      <w:r>
        <w:rPr>
          <w:rFonts w:ascii="宋体" w:hAnsi="宋体" w:cs="宋体" w:eastAsia="宋体" w:hint="default"/>
          <w:sz w:val="22"/>
          <w:szCs w:val="22"/>
        </w:rPr>
        <w:t>负责人</w:t>
      </w:r>
      <w:r>
        <w:rPr>
          <w:rFonts w:ascii="Arial" w:hAnsi="Arial" w:cs="Arial" w:eastAsia="Arial" w:hint="default"/>
          <w:sz w:val="22"/>
          <w:szCs w:val="22"/>
        </w:rPr>
        <w:t>(</w:t>
      </w:r>
      <w:r>
        <w:rPr>
          <w:rFonts w:ascii="宋体" w:hAnsi="宋体" w:cs="宋体" w:eastAsia="宋体" w:hint="default"/>
          <w:sz w:val="22"/>
          <w:szCs w:val="22"/>
        </w:rPr>
        <w:t>会计主管人员</w:t>
      </w:r>
      <w:r>
        <w:rPr>
          <w:rFonts w:ascii="Arial" w:hAnsi="Arial" w:cs="Arial" w:eastAsia="Arial" w:hint="default"/>
          <w:sz w:val="22"/>
          <w:szCs w:val="22"/>
        </w:rPr>
        <w:t>)</w:t>
      </w:r>
      <w:r>
        <w:rPr>
          <w:rFonts w:ascii="宋体" w:hAnsi="宋体" w:cs="宋体" w:eastAsia="宋体" w:hint="default"/>
          <w:sz w:val="22"/>
          <w:szCs w:val="22"/>
        </w:rPr>
        <w:t>姜秀梅声明：保证年度报告中财务报告的</w:t>
      </w:r>
      <w:r>
        <w:rPr>
          <w:rFonts w:ascii="宋体" w:hAnsi="宋体" w:cs="宋体" w:eastAsia="宋体" w:hint="default"/>
          <w:spacing w:val="-106"/>
          <w:sz w:val="22"/>
          <w:szCs w:val="22"/>
        </w:rPr>
        <w:t> </w:t>
      </w:r>
      <w:r>
        <w:rPr>
          <w:rFonts w:ascii="宋体" w:hAnsi="宋体" w:cs="宋体" w:eastAsia="宋体" w:hint="default"/>
          <w:sz w:val="22"/>
          <w:szCs w:val="22"/>
        </w:rPr>
        <w:t>真实、准确、完整。</w:t>
      </w:r>
    </w:p>
    <w:p>
      <w:pPr>
        <w:spacing w:line="331" w:lineRule="auto" w:before="62"/>
        <w:ind w:left="3748" w:right="0" w:firstLine="0"/>
        <w:jc w:val="left"/>
        <w:rPr>
          <w:rFonts w:ascii="宋体" w:hAnsi="宋体" w:cs="宋体" w:eastAsia="宋体" w:hint="default"/>
          <w:sz w:val="22"/>
          <w:szCs w:val="22"/>
        </w:rPr>
      </w:pPr>
      <w:r>
        <w:rPr>
          <w:rFonts w:ascii="宋体" w:hAnsi="宋体" w:cs="宋体" w:eastAsia="宋体" w:hint="default"/>
          <w:sz w:val="22"/>
          <w:szCs w:val="22"/>
        </w:rPr>
        <w:t>所有董事均已出席了审议本报告的董事会会议。</w:t>
      </w:r>
      <w:r>
        <w:rPr>
          <w:rFonts w:ascii="宋体" w:hAnsi="宋体" w:cs="宋体" w:eastAsia="宋体" w:hint="default"/>
          <w:w w:val="99"/>
          <w:sz w:val="22"/>
          <w:szCs w:val="22"/>
        </w:rPr>
        <w:t> </w:t>
      </w:r>
      <w:r>
        <w:rPr>
          <w:rFonts w:ascii="宋体" w:hAnsi="宋体" w:cs="宋体" w:eastAsia="宋体" w:hint="default"/>
          <w:spacing w:val="-5"/>
          <w:sz w:val="22"/>
          <w:szCs w:val="22"/>
        </w:rPr>
        <w:t>公司计划不派发现金红利，不送红股，不以公积金转增股本。</w:t>
      </w:r>
    </w:p>
    <w:p>
      <w:pPr>
        <w:spacing w:line="240" w:lineRule="auto" w:before="10"/>
        <w:rPr>
          <w:rFonts w:ascii="宋体" w:hAnsi="宋体" w:cs="宋体" w:eastAsia="宋体" w:hint="default"/>
          <w:sz w:val="19"/>
          <w:szCs w:val="19"/>
        </w:rPr>
      </w:pPr>
    </w:p>
    <w:p>
      <w:pPr>
        <w:spacing w:before="0"/>
        <w:ind w:left="2826" w:right="976" w:firstLine="0"/>
        <w:jc w:val="center"/>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color w:val="2D74B5"/>
          <w:sz w:val="28"/>
          <w:szCs w:val="28"/>
        </w:rPr>
        <w:t>免责声明</w:t>
      </w:r>
      <w:r>
        <w:rPr>
          <w:rFonts w:ascii="Microsoft JhengHei" w:hAnsi="Microsoft JhengHei" w:cs="Microsoft JhengHei" w:eastAsia="Microsoft JhengHei" w:hint="default"/>
          <w:sz w:val="28"/>
          <w:szCs w:val="28"/>
        </w:rPr>
      </w:r>
    </w:p>
    <w:p>
      <w:pPr>
        <w:pStyle w:val="Heading4"/>
        <w:spacing w:line="300" w:lineRule="auto" w:before="183"/>
        <w:ind w:right="0" w:firstLine="441"/>
        <w:jc w:val="left"/>
      </w:pPr>
      <w:r>
        <w:rPr/>
        <w:t>本报告包含若干对本公司财务状况、经营业绩及业务发展的</w:t>
      </w:r>
      <w:r>
        <w:rPr>
          <w:w w:val="99"/>
        </w:rPr>
        <w:t> </w:t>
      </w:r>
      <w:r>
        <w:rPr>
          <w:spacing w:val="-25"/>
          <w:w w:val="99"/>
        </w:rPr>
        <w:t>展望性陈述。报告中使用诸如“将”、“可能”、“努力”、“计划”、</w:t>
      </w:r>
      <w:r>
        <w:rPr>
          <w:spacing w:val="-83"/>
          <w:w w:val="99"/>
        </w:rPr>
        <w:t> </w:t>
      </w:r>
      <w:r>
        <w:rPr>
          <w:spacing w:val="-83"/>
          <w:w w:val="99"/>
        </w:rPr>
      </w:r>
      <w:r>
        <w:rPr>
          <w:spacing w:val="-8"/>
          <w:w w:val="99"/>
        </w:rPr>
        <w:t>“预计”、“目标”及类似字眼以表达展望性陈述。这些陈述乃基</w:t>
      </w:r>
      <w:r>
        <w:rPr>
          <w:spacing w:val="-99"/>
          <w:w w:val="99"/>
        </w:rPr>
        <w:t> </w:t>
      </w:r>
      <w:r>
        <w:rPr>
          <w:spacing w:val="-99"/>
          <w:w w:val="99"/>
        </w:rPr>
      </w:r>
      <w:r>
        <w:rPr/>
        <w:t>于现行计划、估计及预测而作出，</w:t>
      </w:r>
    </w:p>
    <w:p>
      <w:pPr>
        <w:spacing w:line="300" w:lineRule="auto" w:before="54"/>
        <w:ind w:left="3308" w:right="1458" w:firstLine="441"/>
        <w:jc w:val="both"/>
        <w:rPr>
          <w:rFonts w:ascii="宋体" w:hAnsi="宋体" w:cs="宋体" w:eastAsia="宋体" w:hint="default"/>
          <w:sz w:val="22"/>
          <w:szCs w:val="22"/>
        </w:rPr>
      </w:pPr>
      <w:r>
        <w:rPr>
          <w:rFonts w:ascii="宋体" w:hAnsi="宋体" w:cs="宋体" w:eastAsia="宋体" w:hint="default"/>
          <w:w w:val="95"/>
          <w:sz w:val="22"/>
          <w:szCs w:val="22"/>
        </w:rPr>
        <w:t>虽然本公司相信这些展望性陈述中所反映的期望是合理的，</w:t>
      </w:r>
      <w:r>
        <w:rPr>
          <w:rFonts w:ascii="宋体" w:hAnsi="宋体" w:cs="宋体" w:eastAsia="宋体" w:hint="default"/>
          <w:w w:val="99"/>
          <w:sz w:val="22"/>
          <w:szCs w:val="22"/>
        </w:rPr>
        <w:t> </w:t>
      </w:r>
      <w:r>
        <w:rPr>
          <w:rFonts w:ascii="宋体" w:hAnsi="宋体" w:cs="宋体" w:eastAsia="宋体" w:hint="default"/>
          <w:w w:val="95"/>
          <w:sz w:val="22"/>
          <w:szCs w:val="22"/>
        </w:rPr>
        <w:t>但本公司不能保证这些期望被实现或将会证实为正确，故不应对</w:t>
      </w:r>
      <w:r>
        <w:rPr>
          <w:rFonts w:ascii="宋体" w:hAnsi="宋体" w:cs="宋体" w:eastAsia="宋体" w:hint="default"/>
          <w:spacing w:val="87"/>
          <w:w w:val="95"/>
          <w:sz w:val="22"/>
          <w:szCs w:val="22"/>
        </w:rPr>
        <w:t> </w:t>
      </w:r>
      <w:r>
        <w:rPr>
          <w:rFonts w:ascii="宋体" w:hAnsi="宋体" w:cs="宋体" w:eastAsia="宋体" w:hint="default"/>
          <w:w w:val="95"/>
          <w:sz w:val="22"/>
          <w:szCs w:val="22"/>
        </w:rPr>
        <w:t>其过分依赖。务请注意，该等展望性陈述与日后事件或本公司日</w:t>
      </w:r>
      <w:r>
        <w:rPr>
          <w:rFonts w:ascii="宋体" w:hAnsi="宋体" w:cs="宋体" w:eastAsia="宋体" w:hint="default"/>
          <w:spacing w:val="87"/>
          <w:w w:val="95"/>
          <w:sz w:val="22"/>
          <w:szCs w:val="22"/>
        </w:rPr>
        <w:t> </w:t>
      </w:r>
      <w:r>
        <w:rPr>
          <w:rFonts w:ascii="宋体" w:hAnsi="宋体" w:cs="宋体" w:eastAsia="宋体" w:hint="default"/>
          <w:w w:val="95"/>
          <w:sz w:val="22"/>
          <w:szCs w:val="22"/>
        </w:rPr>
        <w:t>后财务、业务或其他表现有关，并受若干可能会导致实际结果出</w:t>
      </w:r>
      <w:r>
        <w:rPr>
          <w:rFonts w:ascii="宋体" w:hAnsi="宋体" w:cs="宋体" w:eastAsia="宋体" w:hint="default"/>
          <w:spacing w:val="87"/>
          <w:w w:val="95"/>
          <w:sz w:val="22"/>
          <w:szCs w:val="22"/>
        </w:rPr>
        <w:t> </w:t>
      </w:r>
      <w:r>
        <w:rPr>
          <w:rFonts w:ascii="宋体" w:hAnsi="宋体" w:cs="宋体" w:eastAsia="宋体" w:hint="default"/>
          <w:sz w:val="22"/>
          <w:szCs w:val="22"/>
        </w:rPr>
        <w:t>现重大差异的不明确因素的影响。</w:t>
      </w:r>
    </w:p>
    <w:p>
      <w:pPr>
        <w:spacing w:after="0" w:line="300" w:lineRule="auto"/>
        <w:jc w:val="both"/>
        <w:rPr>
          <w:rFonts w:ascii="宋体" w:hAnsi="宋体" w:cs="宋体" w:eastAsia="宋体" w:hint="default"/>
          <w:sz w:val="22"/>
          <w:szCs w:val="22"/>
        </w:rPr>
        <w:sectPr>
          <w:headerReference w:type="default" r:id="rId8"/>
          <w:footerReference w:type="default" r:id="rId9"/>
          <w:pgSz w:w="11910" w:h="16840"/>
          <w:pgMar w:header="877" w:footer="1187" w:top="1100" w:bottom="1380" w:left="980" w:right="0"/>
          <w:pgNumType w:start="2"/>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tabs>
          <w:tab w:pos="641" w:val="left" w:leader="none"/>
        </w:tabs>
        <w:spacing w:line="430" w:lineRule="exact" w:before="0"/>
        <w:ind w:left="0" w:right="976" w:firstLine="0"/>
        <w:jc w:val="center"/>
        <w:rPr>
          <w:rFonts w:ascii="Microsoft JhengHei" w:hAnsi="Microsoft JhengHei" w:cs="Microsoft JhengHei" w:eastAsia="Microsoft JhengHei" w:hint="default"/>
          <w:sz w:val="32"/>
          <w:szCs w:val="32"/>
        </w:rPr>
      </w:pPr>
      <w:bookmarkStart w:name="目  录" w:id="3"/>
      <w:bookmarkEnd w:id="3"/>
      <w:r>
        <w:rPr/>
      </w:r>
      <w:bookmarkStart w:name="_bookmark0" w:id="4"/>
      <w:bookmarkEnd w:id="4"/>
      <w:r>
        <w:rPr/>
      </w:r>
      <w:r>
        <w:rPr>
          <w:rFonts w:ascii="Microsoft JhengHei" w:hAnsi="Microsoft JhengHei" w:cs="Microsoft JhengHei" w:eastAsia="Microsoft JhengHei" w:hint="default"/>
          <w:b/>
          <w:bCs/>
          <w:color w:val="2D74B5"/>
          <w:sz w:val="32"/>
          <w:szCs w:val="32"/>
        </w:rPr>
        <w:t>目</w:t>
        <w:tab/>
        <w:t>录</w:t>
      </w:r>
      <w:r>
        <w:rPr>
          <w:rFonts w:ascii="Microsoft JhengHei" w:hAnsi="Microsoft JhengHei" w:cs="Microsoft JhengHei" w:eastAsia="Microsoft JhengHei" w:hint="default"/>
          <w:sz w:val="32"/>
          <w:szCs w:val="32"/>
        </w:rPr>
      </w:r>
    </w:p>
    <w:p>
      <w:pPr>
        <w:spacing w:after="0" w:line="430" w:lineRule="exact"/>
        <w:jc w:val="center"/>
        <w:rPr>
          <w:rFonts w:ascii="Microsoft JhengHei" w:hAnsi="Microsoft JhengHei" w:cs="Microsoft JhengHei" w:eastAsia="Microsoft JhengHei" w:hint="default"/>
          <w:sz w:val="32"/>
          <w:szCs w:val="32"/>
        </w:rPr>
        <w:sectPr>
          <w:pgSz w:w="11910" w:h="16840"/>
          <w:pgMar w:header="877" w:footer="1187" w:top="1100" w:bottom="1645" w:left="980" w:right="0"/>
        </w:sectPr>
      </w:pPr>
    </w:p>
    <w:sdt>
      <w:sdtPr>
        <w:docPartObj>
          <w:docPartGallery w:val="Table of Contents"/>
          <w:docPartUnique/>
        </w:docPartObj>
      </w:sdtPr>
      <w:sdtEndPr/>
      <w:sdtContent>
        <w:p>
          <w:pPr>
            <w:pStyle w:val="TOC2"/>
            <w:tabs>
              <w:tab w:pos="9782" w:val="right" w:leader="dot"/>
            </w:tabs>
            <w:spacing w:line="240" w:lineRule="auto" w:before="171"/>
            <w:ind w:left="1715" w:right="0"/>
            <w:jc w:val="left"/>
            <w:rPr>
              <w:rFonts w:ascii="Times New Roman" w:hAnsi="Times New Roman" w:cs="Times New Roman" w:eastAsia="Times New Roman" w:hint="default"/>
            </w:rPr>
          </w:pPr>
          <w:hyperlink w:history="true" w:anchor="_TOC_250000">
            <w:r>
              <w:rPr>
                <w:color w:val="2D74B5"/>
              </w:rPr>
              <w:t>第一节</w:t>
            </w:r>
            <w:r>
              <w:rPr>
                <w:color w:val="2D74B5"/>
                <w:spacing w:val="-2"/>
              </w:rPr>
              <w:t> </w:t>
            </w:r>
            <w:r>
              <w:rPr>
                <w:color w:val="2D74B5"/>
              </w:rPr>
              <w:t>重要提示、目录和释义</w:t>
            </w:r>
            <w:r>
              <w:rPr>
                <w:rFonts w:ascii="Times New Roman" w:hAnsi="Times New Roman" w:cs="Times New Roman" w:eastAsia="Times New Roman" w:hint="default"/>
                <w:color w:val="2D74B5"/>
              </w:rPr>
              <w:tab/>
              <w:t>2</w:t>
            </w:r>
            <w:r>
              <w:rPr>
                <w:rFonts w:ascii="Times New Roman" w:hAnsi="Times New Roman" w:cs="Times New Roman" w:eastAsia="Times New Roman" w:hint="default"/>
              </w:rPr>
            </w:r>
          </w:hyperlink>
        </w:p>
        <w:p>
          <w:pPr>
            <w:pStyle w:val="TOC3"/>
            <w:tabs>
              <w:tab w:pos="9782" w:val="right" w:leader="dot"/>
            </w:tabs>
            <w:spacing w:line="240" w:lineRule="auto"/>
            <w:ind w:right="0"/>
            <w:jc w:val="left"/>
            <w:rPr>
              <w:rFonts w:ascii="Times New Roman" w:hAnsi="Times New Roman" w:cs="Times New Roman" w:eastAsia="Times New Roman" w:hint="default"/>
              <w:b w:val="0"/>
              <w:bCs w:val="0"/>
              <w:i w:val="0"/>
              <w:sz w:val="18"/>
              <w:szCs w:val="18"/>
            </w:rPr>
          </w:pPr>
          <w:hyperlink w:history="true" w:anchor="_bookmark0">
            <w:r>
              <w:rPr>
                <w:i w:val="0"/>
                <w:color w:val="2D74B5"/>
                <w:sz w:val="18"/>
                <w:szCs w:val="18"/>
              </w:rPr>
              <w:t>目    录</w:t>
            </w:r>
            <w:r>
              <w:rPr>
                <w:rFonts w:ascii="Times New Roman" w:hAnsi="Times New Roman" w:cs="Times New Roman" w:eastAsia="Times New Roman" w:hint="default"/>
                <w:b w:val="0"/>
                <w:bCs w:val="0"/>
                <w:i w:val="0"/>
                <w:color w:val="2D74B5"/>
                <w:sz w:val="18"/>
                <w:szCs w:val="18"/>
              </w:rPr>
              <w:tab/>
              <w:t>3</w:t>
            </w:r>
            <w:r>
              <w:rPr>
                <w:rFonts w:ascii="Times New Roman" w:hAnsi="Times New Roman" w:cs="Times New Roman" w:eastAsia="Times New Roman" w:hint="default"/>
                <w:b w:val="0"/>
                <w:bCs w:val="0"/>
                <w:i w:val="0"/>
                <w:sz w:val="18"/>
                <w:szCs w:val="18"/>
              </w:rPr>
            </w:r>
          </w:hyperlink>
        </w:p>
        <w:p>
          <w:pPr>
            <w:pStyle w:val="TOC2"/>
            <w:tabs>
              <w:tab w:pos="9782" w:val="right" w:leader="dot"/>
            </w:tabs>
            <w:spacing w:line="240" w:lineRule="auto" w:before="96"/>
            <w:ind w:right="0"/>
            <w:jc w:val="left"/>
            <w:rPr>
              <w:rFonts w:ascii="Times New Roman" w:hAnsi="Times New Roman" w:cs="Times New Roman" w:eastAsia="Times New Roman" w:hint="default"/>
            </w:rPr>
          </w:pPr>
          <w:hyperlink w:history="true" w:anchor="_bookmark1">
            <w:r>
              <w:rPr>
                <w:color w:val="2D74B5"/>
              </w:rPr>
              <w:t>致股东</w:t>
            </w:r>
            <w:r>
              <w:rPr>
                <w:rFonts w:ascii="Times New Roman" w:hAnsi="Times New Roman" w:cs="Times New Roman" w:eastAsia="Times New Roman" w:hint="default"/>
                <w:color w:val="2D74B5"/>
              </w:rPr>
              <w:tab/>
              <w:t>6</w:t>
            </w:r>
            <w:r>
              <w:rPr>
                <w:rFonts w:ascii="Times New Roman" w:hAnsi="Times New Roman" w:cs="Times New Roman" w:eastAsia="Times New Roman" w:hint="default"/>
              </w:rPr>
            </w:r>
          </w:hyperlink>
        </w:p>
        <w:p>
          <w:pPr>
            <w:pStyle w:val="TOC2"/>
            <w:tabs>
              <w:tab w:pos="9782" w:val="right" w:leader="dot"/>
            </w:tabs>
            <w:spacing w:line="240" w:lineRule="auto"/>
            <w:ind w:right="0"/>
            <w:jc w:val="left"/>
            <w:rPr>
              <w:rFonts w:ascii="Times New Roman" w:hAnsi="Times New Roman" w:cs="Times New Roman" w:eastAsia="Times New Roman" w:hint="default"/>
            </w:rPr>
          </w:pPr>
          <w:hyperlink w:history="true" w:anchor="_bookmark2">
            <w:r>
              <w:rPr>
                <w:color w:val="2D74B5"/>
              </w:rPr>
              <w:t>释</w:t>
            </w:r>
            <w:r>
              <w:rPr>
                <w:color w:val="2D74B5"/>
                <w:spacing w:val="-2"/>
              </w:rPr>
              <w:t> </w:t>
            </w:r>
            <w:r>
              <w:rPr>
                <w:color w:val="2D74B5"/>
              </w:rPr>
              <w:t>义</w:t>
            </w:r>
            <w:r>
              <w:rPr>
                <w:rFonts w:ascii="Times New Roman" w:hAnsi="Times New Roman" w:cs="Times New Roman" w:eastAsia="Times New Roman" w:hint="default"/>
                <w:color w:val="2D74B5"/>
              </w:rPr>
              <w:tab/>
              <w:t>8</w:t>
            </w:r>
            <w:r>
              <w:rPr>
                <w:rFonts w:ascii="Times New Roman" w:hAnsi="Times New Roman" w:cs="Times New Roman" w:eastAsia="Times New Roman" w:hint="default"/>
              </w:rPr>
            </w:r>
          </w:hyperlink>
        </w:p>
        <w:p>
          <w:pPr>
            <w:pStyle w:val="TOC2"/>
            <w:tabs>
              <w:tab w:pos="9782" w:val="right" w:leader="dot"/>
            </w:tabs>
            <w:spacing w:line="240" w:lineRule="auto"/>
            <w:ind w:right="0"/>
            <w:jc w:val="left"/>
            <w:rPr>
              <w:rFonts w:ascii="Times New Roman" w:hAnsi="Times New Roman" w:cs="Times New Roman" w:eastAsia="Times New Roman" w:hint="default"/>
            </w:rPr>
          </w:pPr>
          <w:hyperlink w:history="true" w:anchor="_bookmark3">
            <w:r>
              <w:rPr>
                <w:color w:val="2D74B5"/>
              </w:rPr>
              <w:t>重大风险提示</w:t>
            </w:r>
            <w:r>
              <w:rPr>
                <w:rFonts w:ascii="Times New Roman" w:hAnsi="Times New Roman" w:cs="Times New Roman" w:eastAsia="Times New Roman" w:hint="default"/>
                <w:color w:val="2D74B5"/>
              </w:rPr>
              <w:tab/>
              <w:t>9</w:t>
            </w:r>
            <w:r>
              <w:rPr>
                <w:rFonts w:ascii="Times New Roman" w:hAnsi="Times New Roman" w:cs="Times New Roman" w:eastAsia="Times New Roman" w:hint="default"/>
              </w:rPr>
            </w:r>
          </w:hyperlink>
        </w:p>
        <w:p>
          <w:pPr>
            <w:pStyle w:val="TOC2"/>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4">
            <w:r>
              <w:rPr>
                <w:color w:val="2D74B5"/>
              </w:rPr>
              <w:t>第二节</w:t>
            </w:r>
            <w:r>
              <w:rPr>
                <w:color w:val="2D74B5"/>
                <w:spacing w:val="-2"/>
              </w:rPr>
              <w:t> </w:t>
            </w:r>
            <w:r>
              <w:rPr>
                <w:color w:val="2D74B5"/>
              </w:rPr>
              <w:t>公司简介和主要财务指标</w:t>
            </w:r>
            <w:r>
              <w:rPr>
                <w:rFonts w:ascii="Times New Roman" w:hAnsi="Times New Roman" w:cs="Times New Roman" w:eastAsia="Times New Roman" w:hint="default"/>
                <w:color w:val="2D74B5"/>
              </w:rPr>
              <w:tab/>
              <w:t>10</w:t>
            </w:r>
            <w:r>
              <w:rPr>
                <w:rFonts w:ascii="Times New Roman" w:hAnsi="Times New Roman" w:cs="Times New Roman" w:eastAsia="Times New Roman" w:hint="default"/>
              </w:rPr>
            </w:r>
          </w:hyperlink>
        </w:p>
        <w:p>
          <w:pPr>
            <w:pStyle w:val="TOC4"/>
            <w:tabs>
              <w:tab w:pos="9782" w:val="right" w:leader="dot"/>
            </w:tabs>
            <w:spacing w:line="240" w:lineRule="auto"/>
            <w:ind w:right="0"/>
            <w:jc w:val="left"/>
            <w:rPr>
              <w:rFonts w:ascii="Times New Roman" w:hAnsi="Times New Roman" w:cs="Times New Roman" w:eastAsia="Times New Roman" w:hint="default"/>
            </w:rPr>
          </w:pPr>
          <w:hyperlink w:history="true" w:anchor="_bookmark5">
            <w:r>
              <w:rPr>
                <w:rFonts w:ascii="Arial" w:hAnsi="Arial" w:cs="Arial" w:eastAsia="Arial" w:hint="default"/>
              </w:rPr>
              <w:t>2.1</w:t>
            </w:r>
            <w:r>
              <w:rPr>
                <w:rFonts w:ascii="Arial" w:hAnsi="Arial" w:cs="Arial" w:eastAsia="Arial" w:hint="default"/>
                <w:spacing w:val="39"/>
              </w:rPr>
              <w:t> </w:t>
            </w:r>
            <w:r>
              <w:rPr/>
              <w:t>公司信息</w:t>
            </w:r>
            <w:r>
              <w:rPr>
                <w:rFonts w:ascii="Times New Roman" w:hAnsi="Times New Roman" w:cs="Times New Roman" w:eastAsia="Times New Roman" w:hint="default"/>
              </w:rPr>
              <w:tab/>
              <w:t>10</w:t>
            </w:r>
          </w:hyperlink>
        </w:p>
        <w:p>
          <w:pPr>
            <w:pStyle w:val="TOC4"/>
            <w:tabs>
              <w:tab w:pos="9782" w:val="right" w:leader="dot"/>
            </w:tabs>
            <w:spacing w:line="240" w:lineRule="auto"/>
            <w:ind w:left="1993" w:right="0"/>
            <w:jc w:val="left"/>
            <w:rPr>
              <w:rFonts w:ascii="Times New Roman" w:hAnsi="Times New Roman" w:cs="Times New Roman" w:eastAsia="Times New Roman" w:hint="default"/>
            </w:rPr>
          </w:pPr>
          <w:hyperlink w:history="true" w:anchor="_bookmark6">
            <w:r>
              <w:rPr>
                <w:rFonts w:ascii="Arial" w:hAnsi="Arial" w:cs="Arial" w:eastAsia="Arial" w:hint="default"/>
              </w:rPr>
              <w:t>2.2</w:t>
            </w:r>
            <w:r>
              <w:rPr>
                <w:rFonts w:ascii="Arial" w:hAnsi="Arial" w:cs="Arial" w:eastAsia="Arial" w:hint="default"/>
                <w:spacing w:val="39"/>
              </w:rPr>
              <w:t> </w:t>
            </w:r>
            <w:r>
              <w:rPr/>
              <w:t>联系人和联系方式</w:t>
            </w:r>
            <w:r>
              <w:rPr>
                <w:rFonts w:ascii="Times New Roman" w:hAnsi="Times New Roman" w:cs="Times New Roman" w:eastAsia="Times New Roman" w:hint="default"/>
              </w:rPr>
              <w:tab/>
              <w:t>10</w:t>
            </w:r>
          </w:hyperlink>
        </w:p>
        <w:p>
          <w:pPr>
            <w:pStyle w:val="TOC4"/>
            <w:tabs>
              <w:tab w:pos="9782" w:val="right" w:leader="dot"/>
            </w:tabs>
            <w:spacing w:line="240" w:lineRule="auto" w:before="103"/>
            <w:ind w:left="1993" w:right="0"/>
            <w:jc w:val="left"/>
            <w:rPr>
              <w:rFonts w:ascii="Times New Roman" w:hAnsi="Times New Roman" w:cs="Times New Roman" w:eastAsia="Times New Roman" w:hint="default"/>
            </w:rPr>
          </w:pPr>
          <w:hyperlink w:history="true" w:anchor="_bookmark7">
            <w:r>
              <w:rPr>
                <w:rFonts w:ascii="Arial" w:hAnsi="Arial" w:cs="Arial" w:eastAsia="Arial" w:hint="default"/>
              </w:rPr>
              <w:t>2.3</w:t>
            </w:r>
            <w:r>
              <w:rPr>
                <w:rFonts w:ascii="Arial" w:hAnsi="Arial" w:cs="Arial" w:eastAsia="Arial" w:hint="default"/>
                <w:spacing w:val="39"/>
              </w:rPr>
              <w:t> </w:t>
            </w:r>
            <w:r>
              <w:rPr/>
              <w:t>信息披露及备置地点</w:t>
            </w:r>
            <w:r>
              <w:rPr>
                <w:rFonts w:ascii="Times New Roman" w:hAnsi="Times New Roman" w:cs="Times New Roman" w:eastAsia="Times New Roman" w:hint="default"/>
              </w:rPr>
              <w:tab/>
              <w:t>10</w:t>
            </w:r>
          </w:hyperlink>
        </w:p>
        <w:p>
          <w:pPr>
            <w:pStyle w:val="TOC4"/>
            <w:tabs>
              <w:tab w:pos="9782" w:val="right" w:leader="dot"/>
            </w:tabs>
            <w:spacing w:line="240" w:lineRule="auto"/>
            <w:ind w:right="0"/>
            <w:jc w:val="left"/>
            <w:rPr>
              <w:rFonts w:ascii="Times New Roman" w:hAnsi="Times New Roman" w:cs="Times New Roman" w:eastAsia="Times New Roman" w:hint="default"/>
            </w:rPr>
          </w:pPr>
          <w:hyperlink w:history="true" w:anchor="_bookmark8">
            <w:r>
              <w:rPr>
                <w:rFonts w:ascii="Arial" w:hAnsi="Arial" w:cs="Arial" w:eastAsia="Arial" w:hint="default"/>
              </w:rPr>
              <w:t>2.4</w:t>
            </w:r>
            <w:r>
              <w:rPr>
                <w:rFonts w:ascii="Arial" w:hAnsi="Arial" w:cs="Arial" w:eastAsia="Arial" w:hint="default"/>
                <w:spacing w:val="39"/>
              </w:rPr>
              <w:t> </w:t>
            </w:r>
            <w:r>
              <w:rPr/>
              <w:t>注册变更情况</w:t>
            </w:r>
            <w:r>
              <w:rPr>
                <w:rFonts w:ascii="Times New Roman" w:hAnsi="Times New Roman" w:cs="Times New Roman" w:eastAsia="Times New Roman" w:hint="default"/>
              </w:rPr>
              <w:tab/>
              <w:t>10</w:t>
            </w:r>
          </w:hyperlink>
        </w:p>
        <w:p>
          <w:pPr>
            <w:pStyle w:val="TOC4"/>
            <w:tabs>
              <w:tab w:pos="9775" w:val="right" w:leader="dot"/>
            </w:tabs>
            <w:spacing w:line="240" w:lineRule="auto"/>
            <w:ind w:left="1993" w:right="0"/>
            <w:jc w:val="left"/>
            <w:rPr>
              <w:rFonts w:ascii="Times New Roman" w:hAnsi="Times New Roman" w:cs="Times New Roman" w:eastAsia="Times New Roman" w:hint="default"/>
            </w:rPr>
          </w:pPr>
          <w:hyperlink w:history="true" w:anchor="_bookmark9">
            <w:r>
              <w:rPr>
                <w:rFonts w:ascii="Arial" w:hAnsi="Arial" w:cs="Arial" w:eastAsia="Arial" w:hint="default"/>
              </w:rPr>
              <w:t>2.5</w:t>
            </w:r>
            <w:r>
              <w:rPr>
                <w:rFonts w:ascii="Arial" w:hAnsi="Arial" w:cs="Arial" w:eastAsia="Arial" w:hint="default"/>
                <w:spacing w:val="39"/>
              </w:rPr>
              <w:t> </w:t>
            </w:r>
            <w:r>
              <w:rPr/>
              <w:t>其他有关资料</w:t>
            </w:r>
            <w:r>
              <w:rPr>
                <w:rFonts w:ascii="Times New Roman" w:hAnsi="Times New Roman" w:cs="Times New Roman" w:eastAsia="Times New Roman" w:hint="default"/>
              </w:rPr>
              <w:tab/>
            </w:r>
            <w:r>
              <w:rPr>
                <w:rFonts w:ascii="Times New Roman" w:hAnsi="Times New Roman" w:cs="Times New Roman" w:eastAsia="Times New Roman" w:hint="default"/>
                <w:spacing w:val="-8"/>
              </w:rPr>
              <w:t>11</w:t>
            </w:r>
            <w:r>
              <w:rPr>
                <w:rFonts w:ascii="Times New Roman" w:hAnsi="Times New Roman" w:cs="Times New Roman" w:eastAsia="Times New Roman" w:hint="default"/>
              </w:rPr>
            </w:r>
          </w:hyperlink>
        </w:p>
        <w:p>
          <w:pPr>
            <w:pStyle w:val="TOC4"/>
            <w:tabs>
              <w:tab w:pos="9775" w:val="right" w:leader="dot"/>
            </w:tabs>
            <w:spacing w:line="240" w:lineRule="auto" w:before="103"/>
            <w:ind w:right="0"/>
            <w:jc w:val="left"/>
            <w:rPr>
              <w:rFonts w:ascii="Times New Roman" w:hAnsi="Times New Roman" w:cs="Times New Roman" w:eastAsia="Times New Roman" w:hint="default"/>
            </w:rPr>
          </w:pPr>
          <w:hyperlink w:history="true" w:anchor="_bookmark10">
            <w:r>
              <w:rPr>
                <w:rFonts w:ascii="Arial" w:hAnsi="Arial" w:cs="Arial" w:eastAsia="Arial" w:hint="default"/>
              </w:rPr>
              <w:t>2.6</w:t>
            </w:r>
            <w:r>
              <w:rPr>
                <w:rFonts w:ascii="Arial" w:hAnsi="Arial" w:cs="Arial" w:eastAsia="Arial" w:hint="default"/>
                <w:spacing w:val="39"/>
              </w:rPr>
              <w:t> </w:t>
            </w:r>
            <w:r>
              <w:rPr/>
              <w:t>主要会计数据和财务指标</w:t>
            </w:r>
            <w:r>
              <w:rPr>
                <w:rFonts w:ascii="Times New Roman" w:hAnsi="Times New Roman" w:cs="Times New Roman" w:eastAsia="Times New Roman" w:hint="default"/>
              </w:rPr>
              <w:tab/>
            </w:r>
            <w:r>
              <w:rPr>
                <w:rFonts w:ascii="Times New Roman" w:hAnsi="Times New Roman" w:cs="Times New Roman" w:eastAsia="Times New Roman" w:hint="default"/>
                <w:spacing w:val="-8"/>
              </w:rPr>
              <w:t>11</w:t>
            </w:r>
            <w:r>
              <w:rPr>
                <w:rFonts w:ascii="Times New Roman" w:hAnsi="Times New Roman" w:cs="Times New Roman" w:eastAsia="Times New Roman" w:hint="default"/>
              </w:rPr>
            </w:r>
          </w:hyperlink>
        </w:p>
        <w:p>
          <w:pPr>
            <w:pStyle w:val="TOC4"/>
            <w:tabs>
              <w:tab w:pos="9782" w:val="right" w:leader="dot"/>
            </w:tabs>
            <w:spacing w:line="240" w:lineRule="auto"/>
            <w:ind w:left="1993" w:right="0"/>
            <w:jc w:val="left"/>
            <w:rPr>
              <w:rFonts w:ascii="Times New Roman" w:hAnsi="Times New Roman" w:cs="Times New Roman" w:eastAsia="Times New Roman" w:hint="default"/>
            </w:rPr>
          </w:pPr>
          <w:hyperlink w:history="true" w:anchor="_bookmark11">
            <w:r>
              <w:rPr>
                <w:rFonts w:ascii="Arial" w:hAnsi="Arial" w:cs="Arial" w:eastAsia="Arial" w:hint="default"/>
              </w:rPr>
              <w:t>2.7</w:t>
            </w:r>
            <w:r>
              <w:rPr>
                <w:rFonts w:ascii="Arial" w:hAnsi="Arial" w:cs="Arial" w:eastAsia="Arial" w:hint="default"/>
                <w:spacing w:val="39"/>
              </w:rPr>
              <w:t> </w:t>
            </w:r>
            <w:r>
              <w:rPr/>
              <w:t>境内外会计准则下会计数据差异</w:t>
            </w:r>
            <w:r>
              <w:rPr>
                <w:rFonts w:ascii="Times New Roman" w:hAnsi="Times New Roman" w:cs="Times New Roman" w:eastAsia="Times New Roman" w:hint="default"/>
              </w:rPr>
              <w:tab/>
              <w:t>12</w:t>
            </w:r>
          </w:hyperlink>
        </w:p>
        <w:p>
          <w:pPr>
            <w:pStyle w:val="TOC4"/>
            <w:tabs>
              <w:tab w:pos="9782" w:val="right" w:leader="dot"/>
            </w:tabs>
            <w:spacing w:line="240" w:lineRule="auto"/>
            <w:ind w:right="0"/>
            <w:jc w:val="left"/>
            <w:rPr>
              <w:rFonts w:ascii="Times New Roman" w:hAnsi="Times New Roman" w:cs="Times New Roman" w:eastAsia="Times New Roman" w:hint="default"/>
            </w:rPr>
          </w:pPr>
          <w:hyperlink w:history="true" w:anchor="_bookmark12">
            <w:r>
              <w:rPr>
                <w:rFonts w:ascii="Arial" w:hAnsi="Arial" w:cs="Arial" w:eastAsia="Arial" w:hint="default"/>
              </w:rPr>
              <w:t>2.8</w:t>
            </w:r>
            <w:r>
              <w:rPr>
                <w:rFonts w:ascii="Arial" w:hAnsi="Arial" w:cs="Arial" w:eastAsia="Arial" w:hint="default"/>
                <w:spacing w:val="39"/>
              </w:rPr>
              <w:t> </w:t>
            </w:r>
            <w:r>
              <w:rPr/>
              <w:t>分季度主要财务指标</w:t>
            </w:r>
            <w:r>
              <w:rPr>
                <w:rFonts w:ascii="Times New Roman" w:hAnsi="Times New Roman" w:cs="Times New Roman" w:eastAsia="Times New Roman" w:hint="default"/>
              </w:rPr>
              <w:tab/>
              <w:t>12</w:t>
            </w:r>
          </w:hyperlink>
        </w:p>
        <w:p>
          <w:pPr>
            <w:pStyle w:val="TOC4"/>
            <w:tabs>
              <w:tab w:pos="9782" w:val="right" w:leader="dot"/>
            </w:tabs>
            <w:spacing w:line="240" w:lineRule="auto" w:before="103"/>
            <w:ind w:left="1993" w:right="0"/>
            <w:jc w:val="left"/>
            <w:rPr>
              <w:rFonts w:ascii="Times New Roman" w:hAnsi="Times New Roman" w:cs="Times New Roman" w:eastAsia="Times New Roman" w:hint="default"/>
            </w:rPr>
          </w:pPr>
          <w:hyperlink w:history="true" w:anchor="_bookmark13">
            <w:r>
              <w:rPr>
                <w:rFonts w:ascii="Arial" w:hAnsi="Arial" w:cs="Arial" w:eastAsia="Arial" w:hint="default"/>
              </w:rPr>
              <w:t>2.9</w:t>
            </w:r>
            <w:r>
              <w:rPr>
                <w:rFonts w:ascii="Arial" w:hAnsi="Arial" w:cs="Arial" w:eastAsia="Arial" w:hint="default"/>
                <w:spacing w:val="39"/>
              </w:rPr>
              <w:t> </w:t>
            </w:r>
            <w:r>
              <w:rPr/>
              <w:t>非经常性损益项目及金额</w:t>
            </w:r>
            <w:r>
              <w:rPr>
                <w:rFonts w:ascii="Times New Roman" w:hAnsi="Times New Roman" w:cs="Times New Roman" w:eastAsia="Times New Roman" w:hint="default"/>
              </w:rPr>
              <w:tab/>
              <w:t>12</w:t>
            </w:r>
          </w:hyperlink>
        </w:p>
        <w:p>
          <w:pPr>
            <w:pStyle w:val="TOC2"/>
            <w:tabs>
              <w:tab w:pos="9782" w:val="right" w:leader="dot"/>
            </w:tabs>
            <w:spacing w:line="240" w:lineRule="auto"/>
            <w:ind w:right="0"/>
            <w:jc w:val="left"/>
            <w:rPr>
              <w:rFonts w:ascii="Times New Roman" w:hAnsi="Times New Roman" w:cs="Times New Roman" w:eastAsia="Times New Roman" w:hint="default"/>
            </w:rPr>
          </w:pPr>
          <w:hyperlink w:history="true" w:anchor="_bookmark14">
            <w:r>
              <w:rPr>
                <w:color w:val="2D74B5"/>
              </w:rPr>
              <w:t>第三节</w:t>
            </w:r>
            <w:r>
              <w:rPr>
                <w:color w:val="2D74B5"/>
                <w:spacing w:val="-2"/>
              </w:rPr>
              <w:t> </w:t>
            </w:r>
            <w:r>
              <w:rPr>
                <w:color w:val="2D74B5"/>
              </w:rPr>
              <w:t>公司业务概要</w:t>
            </w:r>
            <w:r>
              <w:rPr>
                <w:rFonts w:ascii="Times New Roman" w:hAnsi="Times New Roman" w:cs="Times New Roman" w:eastAsia="Times New Roman" w:hint="default"/>
                <w:color w:val="2D74B5"/>
              </w:rPr>
              <w:tab/>
              <w:t>14</w:t>
            </w:r>
            <w:r>
              <w:rPr>
                <w:rFonts w:ascii="Times New Roman" w:hAnsi="Times New Roman" w:cs="Times New Roman" w:eastAsia="Times New Roman" w:hint="default"/>
              </w:rPr>
            </w:r>
          </w:hyperlink>
        </w:p>
        <w:p>
          <w:pPr>
            <w:pStyle w:val="TOC4"/>
            <w:tabs>
              <w:tab w:pos="9782" w:val="right" w:leader="dot"/>
            </w:tabs>
            <w:spacing w:line="240" w:lineRule="auto"/>
            <w:ind w:left="1993" w:right="0"/>
            <w:jc w:val="left"/>
            <w:rPr>
              <w:rFonts w:ascii="Times New Roman" w:hAnsi="Times New Roman" w:cs="Times New Roman" w:eastAsia="Times New Roman" w:hint="default"/>
            </w:rPr>
          </w:pPr>
          <w:hyperlink w:history="true" w:anchor="_bookmark15">
            <w:r>
              <w:rPr>
                <w:rFonts w:ascii="Arial" w:hAnsi="Arial" w:cs="Arial" w:eastAsia="Arial" w:hint="default"/>
              </w:rPr>
              <w:t>3.1</w:t>
            </w:r>
            <w:r>
              <w:rPr>
                <w:rFonts w:ascii="Arial" w:hAnsi="Arial" w:cs="Arial" w:eastAsia="Arial" w:hint="default"/>
                <w:spacing w:val="39"/>
              </w:rPr>
              <w:t> </w:t>
            </w:r>
            <w:r>
              <w:rPr/>
              <w:t>报告期内公司从事的主要业务</w:t>
            </w:r>
            <w:r>
              <w:rPr>
                <w:rFonts w:ascii="Times New Roman" w:hAnsi="Times New Roman" w:cs="Times New Roman" w:eastAsia="Times New Roman" w:hint="default"/>
              </w:rPr>
              <w:tab/>
              <w:t>14</w:t>
            </w:r>
          </w:hyperlink>
        </w:p>
        <w:p>
          <w:pPr>
            <w:pStyle w:val="TOC4"/>
            <w:tabs>
              <w:tab w:pos="9782" w:val="right" w:leader="dot"/>
            </w:tabs>
            <w:spacing w:line="240" w:lineRule="auto" w:before="104"/>
            <w:ind w:right="0"/>
            <w:jc w:val="left"/>
            <w:rPr>
              <w:rFonts w:ascii="Times New Roman" w:hAnsi="Times New Roman" w:cs="Times New Roman" w:eastAsia="Times New Roman" w:hint="default"/>
            </w:rPr>
          </w:pPr>
          <w:hyperlink w:history="true" w:anchor="_bookmark16">
            <w:r>
              <w:rPr>
                <w:rFonts w:ascii="Arial" w:hAnsi="Arial" w:cs="Arial" w:eastAsia="Arial" w:hint="default"/>
              </w:rPr>
              <w:t>3.2</w:t>
            </w:r>
            <w:r>
              <w:rPr>
                <w:rFonts w:ascii="Arial" w:hAnsi="Arial" w:cs="Arial" w:eastAsia="Arial" w:hint="default"/>
                <w:spacing w:val="39"/>
              </w:rPr>
              <w:t> </w:t>
            </w:r>
            <w:r>
              <w:rPr/>
              <w:t>主要资产重大变化情况</w:t>
            </w:r>
            <w:r>
              <w:rPr>
                <w:rFonts w:ascii="Times New Roman" w:hAnsi="Times New Roman" w:cs="Times New Roman" w:eastAsia="Times New Roman" w:hint="default"/>
              </w:rPr>
              <w:tab/>
              <w:t>17</w:t>
            </w:r>
          </w:hyperlink>
        </w:p>
        <w:p>
          <w:pPr>
            <w:pStyle w:val="TOC4"/>
            <w:tabs>
              <w:tab w:pos="9782" w:val="right" w:leader="dot"/>
            </w:tabs>
            <w:spacing w:line="240" w:lineRule="auto"/>
            <w:ind w:right="0"/>
            <w:jc w:val="left"/>
            <w:rPr>
              <w:rFonts w:ascii="Times New Roman" w:hAnsi="Times New Roman" w:cs="Times New Roman" w:eastAsia="Times New Roman" w:hint="default"/>
            </w:rPr>
          </w:pPr>
          <w:hyperlink w:history="true" w:anchor="_bookmark17">
            <w:r>
              <w:rPr>
                <w:rFonts w:ascii="Arial" w:hAnsi="Arial" w:cs="Arial" w:eastAsia="Arial" w:hint="default"/>
              </w:rPr>
              <w:t>3.3</w:t>
            </w:r>
            <w:r>
              <w:rPr>
                <w:rFonts w:ascii="Arial" w:hAnsi="Arial" w:cs="Arial" w:eastAsia="Arial" w:hint="default"/>
                <w:spacing w:val="39"/>
              </w:rPr>
              <w:t> </w:t>
            </w:r>
            <w:r>
              <w:rPr/>
              <w:t>核心竞争力分析</w:t>
            </w:r>
            <w:r>
              <w:rPr>
                <w:rFonts w:ascii="Times New Roman" w:hAnsi="Times New Roman" w:cs="Times New Roman" w:eastAsia="Times New Roman" w:hint="default"/>
              </w:rPr>
              <w:tab/>
              <w:t>18</w:t>
            </w:r>
          </w:hyperlink>
        </w:p>
        <w:p>
          <w:pPr>
            <w:pStyle w:val="TOC2"/>
            <w:tabs>
              <w:tab w:pos="9782" w:val="right" w:leader="dot"/>
            </w:tabs>
            <w:spacing w:line="240" w:lineRule="auto"/>
            <w:ind w:right="0"/>
            <w:jc w:val="left"/>
            <w:rPr>
              <w:rFonts w:ascii="Times New Roman" w:hAnsi="Times New Roman" w:cs="Times New Roman" w:eastAsia="Times New Roman" w:hint="default"/>
            </w:rPr>
          </w:pPr>
          <w:hyperlink w:history="true" w:anchor="_bookmark18">
            <w:r>
              <w:rPr>
                <w:color w:val="2D74B5"/>
              </w:rPr>
              <w:t>第四节</w:t>
            </w:r>
            <w:r>
              <w:rPr>
                <w:color w:val="2D74B5"/>
                <w:spacing w:val="-2"/>
              </w:rPr>
              <w:t> </w:t>
            </w:r>
            <w:r>
              <w:rPr>
                <w:color w:val="2D74B5"/>
              </w:rPr>
              <w:t>管理层讨论与分析</w:t>
            </w:r>
            <w:r>
              <w:rPr>
                <w:rFonts w:ascii="Times New Roman" w:hAnsi="Times New Roman" w:cs="Times New Roman" w:eastAsia="Times New Roman" w:hint="default"/>
                <w:color w:val="2D74B5"/>
              </w:rPr>
              <w:tab/>
              <w:t>20</w:t>
            </w:r>
            <w:r>
              <w:rPr>
                <w:rFonts w:ascii="Times New Roman" w:hAnsi="Times New Roman" w:cs="Times New Roman" w:eastAsia="Times New Roman" w:hint="default"/>
              </w:rPr>
            </w:r>
          </w:hyperlink>
        </w:p>
        <w:p>
          <w:pPr>
            <w:pStyle w:val="TOC4"/>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19">
            <w:r>
              <w:rPr>
                <w:rFonts w:ascii="Arial" w:hAnsi="Arial" w:cs="Arial" w:eastAsia="Arial" w:hint="default"/>
              </w:rPr>
              <w:t>4.1</w:t>
            </w:r>
            <w:r>
              <w:rPr>
                <w:rFonts w:ascii="Arial" w:hAnsi="Arial" w:cs="Arial" w:eastAsia="Arial" w:hint="default"/>
                <w:spacing w:val="39"/>
              </w:rPr>
              <w:t> </w:t>
            </w:r>
            <w:r>
              <w:rPr/>
              <w:t>概述</w:t>
            </w:r>
            <w:r>
              <w:rPr>
                <w:rFonts w:ascii="Times New Roman" w:hAnsi="Times New Roman" w:cs="Times New Roman" w:eastAsia="Times New Roman" w:hint="default"/>
              </w:rPr>
              <w:tab/>
              <w:t>20</w:t>
            </w:r>
          </w:hyperlink>
        </w:p>
        <w:p>
          <w:pPr>
            <w:pStyle w:val="TOC4"/>
            <w:tabs>
              <w:tab w:pos="9782" w:val="right" w:leader="dot"/>
            </w:tabs>
            <w:spacing w:line="240" w:lineRule="auto"/>
            <w:ind w:left="1993" w:right="0"/>
            <w:jc w:val="left"/>
            <w:rPr>
              <w:rFonts w:ascii="Times New Roman" w:hAnsi="Times New Roman" w:cs="Times New Roman" w:eastAsia="Times New Roman" w:hint="default"/>
            </w:rPr>
          </w:pPr>
          <w:hyperlink w:history="true" w:anchor="_bookmark20">
            <w:r>
              <w:rPr>
                <w:rFonts w:ascii="Arial" w:hAnsi="Arial" w:cs="Arial" w:eastAsia="Arial" w:hint="default"/>
              </w:rPr>
              <w:t>4.2</w:t>
            </w:r>
            <w:r>
              <w:rPr>
                <w:rFonts w:ascii="Arial" w:hAnsi="Arial" w:cs="Arial" w:eastAsia="Arial" w:hint="default"/>
                <w:spacing w:val="38"/>
              </w:rPr>
              <w:t> </w:t>
            </w:r>
            <w:r>
              <w:rPr/>
              <w:t>主营业务分析</w:t>
            </w:r>
            <w:r>
              <w:rPr>
                <w:rFonts w:ascii="Times New Roman" w:hAnsi="Times New Roman" w:cs="Times New Roman" w:eastAsia="Times New Roman" w:hint="default"/>
              </w:rPr>
              <w:tab/>
              <w:t>20</w:t>
            </w:r>
          </w:hyperlink>
        </w:p>
        <w:p>
          <w:pPr>
            <w:pStyle w:val="TOC4"/>
            <w:tabs>
              <w:tab w:pos="9782" w:val="right" w:leader="dot"/>
            </w:tabs>
            <w:spacing w:line="240" w:lineRule="auto"/>
            <w:ind w:left="1993" w:right="0"/>
            <w:jc w:val="left"/>
            <w:rPr>
              <w:rFonts w:ascii="Times New Roman" w:hAnsi="Times New Roman" w:cs="Times New Roman" w:eastAsia="Times New Roman" w:hint="default"/>
            </w:rPr>
          </w:pPr>
          <w:hyperlink w:history="true" w:anchor="_bookmark21">
            <w:r>
              <w:rPr>
                <w:rFonts w:ascii="Arial" w:hAnsi="Arial" w:cs="Arial" w:eastAsia="Arial" w:hint="default"/>
              </w:rPr>
              <w:t>4.3</w:t>
            </w:r>
            <w:r>
              <w:rPr>
                <w:rFonts w:ascii="Arial" w:hAnsi="Arial" w:cs="Arial" w:eastAsia="Arial" w:hint="default"/>
                <w:spacing w:val="39"/>
              </w:rPr>
              <w:t> </w:t>
            </w:r>
            <w:r>
              <w:rPr/>
              <w:t>非主营业务分析</w:t>
            </w:r>
            <w:r>
              <w:rPr>
                <w:rFonts w:ascii="Times New Roman" w:hAnsi="Times New Roman" w:cs="Times New Roman" w:eastAsia="Times New Roman" w:hint="default"/>
              </w:rPr>
              <w:tab/>
              <w:t>25</w:t>
            </w:r>
          </w:hyperlink>
        </w:p>
        <w:p>
          <w:pPr>
            <w:pStyle w:val="TOC4"/>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22">
            <w:r>
              <w:rPr>
                <w:rFonts w:ascii="Arial" w:hAnsi="Arial" w:cs="Arial" w:eastAsia="Arial" w:hint="default"/>
              </w:rPr>
              <w:t>4.4</w:t>
            </w:r>
            <w:r>
              <w:rPr>
                <w:rFonts w:ascii="Arial" w:hAnsi="Arial" w:cs="Arial" w:eastAsia="Arial" w:hint="default"/>
                <w:spacing w:val="39"/>
              </w:rPr>
              <w:t> </w:t>
            </w:r>
            <w:r>
              <w:rPr/>
              <w:t>资产及负债状况分析</w:t>
            </w:r>
            <w:r>
              <w:rPr>
                <w:rFonts w:ascii="Times New Roman" w:hAnsi="Times New Roman" w:cs="Times New Roman" w:eastAsia="Times New Roman" w:hint="default"/>
              </w:rPr>
              <w:tab/>
              <w:t>25</w:t>
            </w:r>
          </w:hyperlink>
        </w:p>
        <w:p>
          <w:pPr>
            <w:pStyle w:val="TOC4"/>
            <w:tabs>
              <w:tab w:pos="9782" w:val="right" w:leader="dot"/>
            </w:tabs>
            <w:spacing w:line="240" w:lineRule="auto"/>
            <w:ind w:right="0"/>
            <w:jc w:val="left"/>
            <w:rPr>
              <w:rFonts w:ascii="Times New Roman" w:hAnsi="Times New Roman" w:cs="Times New Roman" w:eastAsia="Times New Roman" w:hint="default"/>
            </w:rPr>
          </w:pPr>
          <w:hyperlink w:history="true" w:anchor="_bookmark23">
            <w:r>
              <w:rPr>
                <w:rFonts w:ascii="Arial" w:hAnsi="Arial" w:cs="Arial" w:eastAsia="Arial" w:hint="default"/>
              </w:rPr>
              <w:t>4.5</w:t>
            </w:r>
            <w:r>
              <w:rPr>
                <w:rFonts w:ascii="Arial" w:hAnsi="Arial" w:cs="Arial" w:eastAsia="Arial" w:hint="default"/>
                <w:spacing w:val="39"/>
              </w:rPr>
              <w:t> </w:t>
            </w:r>
            <w:r>
              <w:rPr/>
              <w:t>投资状况分析</w:t>
            </w:r>
            <w:r>
              <w:rPr>
                <w:rFonts w:ascii="Times New Roman" w:hAnsi="Times New Roman" w:cs="Times New Roman" w:eastAsia="Times New Roman" w:hint="default"/>
              </w:rPr>
              <w:tab/>
              <w:t>26</w:t>
            </w:r>
          </w:hyperlink>
        </w:p>
        <w:p>
          <w:pPr>
            <w:pStyle w:val="TOC4"/>
            <w:tabs>
              <w:tab w:pos="9782" w:val="right" w:leader="dot"/>
            </w:tabs>
            <w:spacing w:line="240" w:lineRule="auto"/>
            <w:ind w:right="0"/>
            <w:jc w:val="left"/>
            <w:rPr>
              <w:rFonts w:ascii="Times New Roman" w:hAnsi="Times New Roman" w:cs="Times New Roman" w:eastAsia="Times New Roman" w:hint="default"/>
            </w:rPr>
          </w:pPr>
          <w:hyperlink w:history="true" w:anchor="_bookmark24">
            <w:r>
              <w:rPr>
                <w:rFonts w:ascii="Arial" w:hAnsi="Arial" w:cs="Arial" w:eastAsia="Arial" w:hint="default"/>
              </w:rPr>
              <w:t>4.6</w:t>
            </w:r>
            <w:r>
              <w:rPr>
                <w:rFonts w:ascii="Arial" w:hAnsi="Arial" w:cs="Arial" w:eastAsia="Arial" w:hint="default"/>
                <w:spacing w:val="39"/>
              </w:rPr>
              <w:t> </w:t>
            </w:r>
            <w:r>
              <w:rPr/>
              <w:t>重大资产和股权出售</w:t>
            </w:r>
            <w:r>
              <w:rPr>
                <w:rFonts w:ascii="Times New Roman" w:hAnsi="Times New Roman" w:cs="Times New Roman" w:eastAsia="Times New Roman" w:hint="default"/>
              </w:rPr>
              <w:tab/>
              <w:t>33</w:t>
            </w:r>
          </w:hyperlink>
        </w:p>
        <w:p>
          <w:pPr>
            <w:pStyle w:val="TOC4"/>
            <w:tabs>
              <w:tab w:pos="9782" w:val="right" w:leader="dot"/>
            </w:tabs>
            <w:spacing w:line="240" w:lineRule="auto" w:before="103"/>
            <w:ind w:left="1993" w:right="0"/>
            <w:jc w:val="left"/>
            <w:rPr>
              <w:rFonts w:ascii="Times New Roman" w:hAnsi="Times New Roman" w:cs="Times New Roman" w:eastAsia="Times New Roman" w:hint="default"/>
            </w:rPr>
          </w:pPr>
          <w:hyperlink w:history="true" w:anchor="_bookmark25">
            <w:r>
              <w:rPr>
                <w:rFonts w:ascii="Arial" w:hAnsi="Arial" w:cs="Arial" w:eastAsia="Arial" w:hint="default"/>
              </w:rPr>
              <w:t>4.7</w:t>
            </w:r>
            <w:r>
              <w:rPr>
                <w:rFonts w:ascii="Arial" w:hAnsi="Arial" w:cs="Arial" w:eastAsia="Arial" w:hint="default"/>
                <w:spacing w:val="39"/>
              </w:rPr>
              <w:t> </w:t>
            </w:r>
            <w:r>
              <w:rPr/>
              <w:t>主要控股参股公司分析</w:t>
            </w:r>
            <w:r>
              <w:rPr>
                <w:rFonts w:ascii="Times New Roman" w:hAnsi="Times New Roman" w:cs="Times New Roman" w:eastAsia="Times New Roman" w:hint="default"/>
              </w:rPr>
              <w:tab/>
              <w:t>33</w:t>
            </w:r>
          </w:hyperlink>
        </w:p>
        <w:p>
          <w:pPr>
            <w:pStyle w:val="TOC4"/>
            <w:tabs>
              <w:tab w:pos="9782" w:val="right" w:leader="dot"/>
            </w:tabs>
            <w:spacing w:line="240" w:lineRule="auto"/>
            <w:ind w:right="0"/>
            <w:jc w:val="left"/>
            <w:rPr>
              <w:rFonts w:ascii="Times New Roman" w:hAnsi="Times New Roman" w:cs="Times New Roman" w:eastAsia="Times New Roman" w:hint="default"/>
            </w:rPr>
          </w:pPr>
          <w:hyperlink w:history="true" w:anchor="_bookmark26">
            <w:r>
              <w:rPr>
                <w:rFonts w:ascii="Arial" w:hAnsi="Arial" w:cs="Arial" w:eastAsia="Arial" w:hint="default"/>
              </w:rPr>
              <w:t>4.8</w:t>
            </w:r>
            <w:r>
              <w:rPr>
                <w:rFonts w:ascii="Arial" w:hAnsi="Arial" w:cs="Arial" w:eastAsia="Arial" w:hint="default"/>
                <w:spacing w:val="39"/>
              </w:rPr>
              <w:t> </w:t>
            </w:r>
            <w:r>
              <w:rPr/>
              <w:t>公司控制的结构化主体情况</w:t>
            </w:r>
            <w:r>
              <w:rPr>
                <w:rFonts w:ascii="Times New Roman" w:hAnsi="Times New Roman" w:cs="Times New Roman" w:eastAsia="Times New Roman" w:hint="default"/>
              </w:rPr>
              <w:tab/>
              <w:t>35</w:t>
            </w:r>
          </w:hyperlink>
        </w:p>
        <w:p>
          <w:pPr>
            <w:pStyle w:val="TOC4"/>
            <w:tabs>
              <w:tab w:pos="9782" w:val="right" w:leader="dot"/>
            </w:tabs>
            <w:spacing w:line="240" w:lineRule="auto"/>
            <w:ind w:right="0"/>
            <w:jc w:val="left"/>
            <w:rPr>
              <w:rFonts w:ascii="Times New Roman" w:hAnsi="Times New Roman" w:cs="Times New Roman" w:eastAsia="Times New Roman" w:hint="default"/>
            </w:rPr>
          </w:pPr>
          <w:hyperlink w:history="true" w:anchor="_bookmark27">
            <w:r>
              <w:rPr>
                <w:rFonts w:ascii="Arial" w:hAnsi="Arial" w:cs="Arial" w:eastAsia="Arial" w:hint="default"/>
              </w:rPr>
              <w:t>4.9</w:t>
            </w:r>
            <w:r>
              <w:rPr>
                <w:rFonts w:ascii="Arial" w:hAnsi="Arial" w:cs="Arial" w:eastAsia="Arial" w:hint="default"/>
                <w:spacing w:val="39"/>
              </w:rPr>
              <w:t> </w:t>
            </w:r>
            <w:r>
              <w:rPr/>
              <w:t>公司未来发展的展望</w:t>
            </w:r>
            <w:r>
              <w:rPr>
                <w:rFonts w:ascii="Times New Roman" w:hAnsi="Times New Roman" w:cs="Times New Roman" w:eastAsia="Times New Roman" w:hint="default"/>
              </w:rPr>
              <w:tab/>
              <w:t>35</w:t>
            </w:r>
          </w:hyperlink>
        </w:p>
        <w:p>
          <w:pPr>
            <w:pStyle w:val="TOC4"/>
            <w:tabs>
              <w:tab w:pos="9782" w:val="right" w:leader="dot"/>
            </w:tabs>
            <w:spacing w:line="240" w:lineRule="auto" w:before="103"/>
            <w:ind w:left="1993" w:right="0"/>
            <w:jc w:val="left"/>
            <w:rPr>
              <w:rFonts w:ascii="Times New Roman" w:hAnsi="Times New Roman" w:cs="Times New Roman" w:eastAsia="Times New Roman" w:hint="default"/>
            </w:rPr>
          </w:pPr>
          <w:hyperlink w:history="true" w:anchor="_bookmark28">
            <w:r>
              <w:rPr>
                <w:rFonts w:ascii="Arial" w:hAnsi="Arial" w:cs="Arial" w:eastAsia="Arial" w:hint="default"/>
              </w:rPr>
              <w:t>4.10</w:t>
            </w:r>
            <w:r>
              <w:rPr>
                <w:rFonts w:ascii="Arial" w:hAnsi="Arial" w:cs="Arial" w:eastAsia="Arial" w:hint="default"/>
                <w:spacing w:val="38"/>
              </w:rPr>
              <w:t> </w:t>
            </w:r>
            <w:r>
              <w:rPr/>
              <w:t>接待调研、沟通、采访等活动</w:t>
            </w:r>
            <w:r>
              <w:rPr>
                <w:rFonts w:ascii="Times New Roman" w:hAnsi="Times New Roman" w:cs="Times New Roman" w:eastAsia="Times New Roman" w:hint="default"/>
              </w:rPr>
              <w:tab/>
              <w:t>39</w:t>
            </w:r>
          </w:hyperlink>
        </w:p>
        <w:p>
          <w:pPr>
            <w:pStyle w:val="TOC2"/>
            <w:tabs>
              <w:tab w:pos="9782" w:val="right" w:leader="dot"/>
            </w:tabs>
            <w:spacing w:line="240" w:lineRule="auto"/>
            <w:ind w:right="0"/>
            <w:jc w:val="left"/>
            <w:rPr>
              <w:rFonts w:ascii="Times New Roman" w:hAnsi="Times New Roman" w:cs="Times New Roman" w:eastAsia="Times New Roman" w:hint="default"/>
            </w:rPr>
          </w:pPr>
          <w:hyperlink w:history="true" w:anchor="_bookmark29">
            <w:r>
              <w:rPr>
                <w:color w:val="2D74B5"/>
              </w:rPr>
              <w:t>第五节</w:t>
            </w:r>
            <w:r>
              <w:rPr>
                <w:color w:val="2D74B5"/>
                <w:spacing w:val="-2"/>
              </w:rPr>
              <w:t> </w:t>
            </w:r>
            <w:r>
              <w:rPr>
                <w:color w:val="2D74B5"/>
              </w:rPr>
              <w:t>重要事项</w:t>
            </w:r>
            <w:r>
              <w:rPr>
                <w:rFonts w:ascii="Times New Roman" w:hAnsi="Times New Roman" w:cs="Times New Roman" w:eastAsia="Times New Roman" w:hint="default"/>
                <w:color w:val="2D74B5"/>
              </w:rPr>
              <w:tab/>
              <w:t>40</w:t>
            </w:r>
            <w:r>
              <w:rPr>
                <w:rFonts w:ascii="Times New Roman" w:hAnsi="Times New Roman" w:cs="Times New Roman" w:eastAsia="Times New Roman" w:hint="default"/>
              </w:rPr>
            </w:r>
          </w:hyperlink>
        </w:p>
        <w:p>
          <w:pPr>
            <w:pStyle w:val="TOC4"/>
            <w:tabs>
              <w:tab w:pos="9782" w:val="right" w:leader="dot"/>
            </w:tabs>
            <w:spacing w:line="240" w:lineRule="auto"/>
            <w:ind w:right="0"/>
            <w:jc w:val="left"/>
            <w:rPr>
              <w:rFonts w:ascii="Times New Roman" w:hAnsi="Times New Roman" w:cs="Times New Roman" w:eastAsia="Times New Roman" w:hint="default"/>
            </w:rPr>
          </w:pPr>
          <w:hyperlink w:history="true" w:anchor="_bookmark30">
            <w:r>
              <w:rPr>
                <w:rFonts w:ascii="Arial" w:hAnsi="Arial" w:cs="Arial" w:eastAsia="Arial" w:hint="default"/>
              </w:rPr>
              <w:t>5.1</w:t>
            </w:r>
            <w:r>
              <w:rPr>
                <w:rFonts w:ascii="Arial" w:hAnsi="Arial" w:cs="Arial" w:eastAsia="Arial" w:hint="default"/>
                <w:spacing w:val="39"/>
              </w:rPr>
              <w:t> </w:t>
            </w:r>
            <w:r>
              <w:rPr/>
              <w:t>公司普通股利润分配及资本公积金转增股本情况</w:t>
            </w:r>
            <w:r>
              <w:rPr>
                <w:rFonts w:ascii="Times New Roman" w:hAnsi="Times New Roman" w:cs="Times New Roman" w:eastAsia="Times New Roman" w:hint="default"/>
              </w:rPr>
              <w:tab/>
              <w:t>40</w:t>
            </w:r>
          </w:hyperlink>
        </w:p>
        <w:p>
          <w:pPr>
            <w:pStyle w:val="TOC4"/>
            <w:tabs>
              <w:tab w:pos="9782" w:val="right" w:leader="dot"/>
            </w:tabs>
            <w:spacing w:line="240" w:lineRule="auto" w:before="103"/>
            <w:ind w:left="1993" w:right="0"/>
            <w:jc w:val="left"/>
            <w:rPr>
              <w:rFonts w:ascii="Times New Roman" w:hAnsi="Times New Roman" w:cs="Times New Roman" w:eastAsia="Times New Roman" w:hint="default"/>
            </w:rPr>
          </w:pPr>
          <w:hyperlink w:history="true" w:anchor="_bookmark31">
            <w:r>
              <w:rPr>
                <w:rFonts w:ascii="Arial" w:hAnsi="Arial" w:cs="Arial" w:eastAsia="Arial" w:hint="default"/>
              </w:rPr>
              <w:t>5.2</w:t>
            </w:r>
            <w:r>
              <w:rPr>
                <w:rFonts w:ascii="Arial" w:hAnsi="Arial" w:cs="Arial" w:eastAsia="Arial" w:hint="default"/>
                <w:spacing w:val="39"/>
              </w:rPr>
              <w:t> </w:t>
            </w:r>
            <w:r>
              <w:rPr/>
              <w:t>本报告期利润分配及资本公积金转增股本预案</w:t>
            </w:r>
            <w:r>
              <w:rPr>
                <w:rFonts w:ascii="Times New Roman" w:hAnsi="Times New Roman" w:cs="Times New Roman" w:eastAsia="Times New Roman" w:hint="default"/>
              </w:rPr>
              <w:tab/>
              <w:t>42</w:t>
            </w:r>
          </w:hyperlink>
        </w:p>
        <w:p>
          <w:pPr>
            <w:pStyle w:val="TOC4"/>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32">
            <w:r>
              <w:rPr>
                <w:rFonts w:ascii="Arial" w:hAnsi="Arial" w:cs="Arial" w:eastAsia="Arial" w:hint="default"/>
              </w:rPr>
              <w:t>5.3</w:t>
            </w:r>
            <w:r>
              <w:rPr>
                <w:rFonts w:ascii="Arial" w:hAnsi="Arial" w:cs="Arial" w:eastAsia="Arial" w:hint="default"/>
                <w:spacing w:val="39"/>
              </w:rPr>
              <w:t> </w:t>
            </w:r>
            <w:r>
              <w:rPr/>
              <w:t>承诺事项履行情况</w:t>
            </w:r>
            <w:r>
              <w:rPr>
                <w:rFonts w:ascii="Times New Roman" w:hAnsi="Times New Roman" w:cs="Times New Roman" w:eastAsia="Times New Roman" w:hint="default"/>
              </w:rPr>
              <w:tab/>
              <w:t>42</w:t>
            </w:r>
          </w:hyperlink>
        </w:p>
        <w:p>
          <w:pPr>
            <w:pStyle w:val="TOC4"/>
            <w:tabs>
              <w:tab w:pos="9782" w:val="right" w:leader="dot"/>
            </w:tabs>
            <w:spacing w:line="240" w:lineRule="auto"/>
            <w:ind w:right="0"/>
            <w:jc w:val="left"/>
            <w:rPr>
              <w:rFonts w:ascii="Times New Roman" w:hAnsi="Times New Roman" w:cs="Times New Roman" w:eastAsia="Times New Roman" w:hint="default"/>
            </w:rPr>
          </w:pPr>
          <w:hyperlink w:history="true" w:anchor="_bookmark33">
            <w:r>
              <w:rPr>
                <w:rFonts w:ascii="Arial" w:hAnsi="Arial" w:cs="Arial" w:eastAsia="Arial" w:hint="default"/>
              </w:rPr>
              <w:t>5.4</w:t>
            </w:r>
            <w:r>
              <w:rPr>
                <w:rFonts w:ascii="Arial" w:hAnsi="Arial" w:cs="Arial" w:eastAsia="Arial" w:hint="default"/>
                <w:spacing w:val="39"/>
              </w:rPr>
              <w:t> </w:t>
            </w:r>
            <w:r>
              <w:rPr/>
              <w:t>控股股东及其关联方对上市公司的非经营性占用资金情况</w:t>
            </w:r>
            <w:r>
              <w:rPr>
                <w:rFonts w:ascii="Times New Roman" w:hAnsi="Times New Roman" w:cs="Times New Roman" w:eastAsia="Times New Roman" w:hint="default"/>
              </w:rPr>
              <w:tab/>
              <w:t>44</w:t>
            </w:r>
          </w:hyperlink>
        </w:p>
        <w:p>
          <w:pPr>
            <w:pStyle w:val="TOC4"/>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34">
            <w:r>
              <w:rPr>
                <w:rFonts w:ascii="Arial" w:hAnsi="Arial" w:cs="Arial" w:eastAsia="Arial" w:hint="default"/>
              </w:rPr>
              <w:t>5.5</w:t>
            </w:r>
            <w:r>
              <w:rPr>
                <w:rFonts w:ascii="Arial" w:hAnsi="Arial" w:cs="Arial" w:eastAsia="Arial" w:hint="default"/>
                <w:spacing w:val="39"/>
              </w:rPr>
              <w:t> </w:t>
            </w:r>
            <w:r>
              <w:rPr/>
              <w:t>董事会、监事会、独立董事（如有）对会计师事务所本报告期“非标准审计报告”的说明</w:t>
            </w:r>
            <w:r>
              <w:rPr>
                <w:rFonts w:ascii="Times New Roman" w:hAnsi="Times New Roman" w:cs="Times New Roman" w:eastAsia="Times New Roman" w:hint="default"/>
              </w:rPr>
              <w:tab/>
              <w:t>44</w:t>
            </w:r>
          </w:hyperlink>
        </w:p>
        <w:p>
          <w:pPr>
            <w:pStyle w:val="TOC4"/>
            <w:tabs>
              <w:tab w:pos="9782" w:val="right" w:leader="dot"/>
            </w:tabs>
            <w:spacing w:line="240" w:lineRule="auto"/>
            <w:ind w:right="0"/>
            <w:jc w:val="left"/>
            <w:rPr>
              <w:rFonts w:ascii="Times New Roman" w:hAnsi="Times New Roman" w:cs="Times New Roman" w:eastAsia="Times New Roman" w:hint="default"/>
            </w:rPr>
          </w:pPr>
          <w:hyperlink w:history="true" w:anchor="_bookmark35">
            <w:r>
              <w:rPr>
                <w:rFonts w:ascii="Arial" w:hAnsi="Arial" w:cs="Arial" w:eastAsia="Arial" w:hint="default"/>
              </w:rPr>
              <w:t>5.6</w:t>
            </w:r>
            <w:r>
              <w:rPr>
                <w:rFonts w:ascii="Arial" w:hAnsi="Arial" w:cs="Arial" w:eastAsia="Arial" w:hint="default"/>
                <w:spacing w:val="39"/>
              </w:rPr>
              <w:t> </w:t>
            </w:r>
            <w:r>
              <w:rPr/>
              <w:t>与上年度财务报告相比，会计政策、会计估计和核算方法发生变化的情况说明</w:t>
            </w:r>
            <w:r>
              <w:rPr>
                <w:rFonts w:ascii="Times New Roman" w:hAnsi="Times New Roman" w:cs="Times New Roman" w:eastAsia="Times New Roman" w:hint="default"/>
              </w:rPr>
              <w:tab/>
              <w:t>44</w:t>
            </w:r>
          </w:hyperlink>
        </w:p>
        <w:p>
          <w:pPr>
            <w:pStyle w:val="TOC4"/>
            <w:tabs>
              <w:tab w:pos="9782" w:val="right" w:leader="dot"/>
            </w:tabs>
            <w:spacing w:line="240" w:lineRule="auto" w:before="327"/>
            <w:ind w:right="0"/>
            <w:jc w:val="left"/>
            <w:rPr>
              <w:rFonts w:ascii="Times New Roman" w:hAnsi="Times New Roman" w:cs="Times New Roman" w:eastAsia="Times New Roman" w:hint="default"/>
            </w:rPr>
          </w:pPr>
          <w:hyperlink w:history="true" w:anchor="_bookmark36">
            <w:r>
              <w:rPr>
                <w:rFonts w:ascii="Arial" w:hAnsi="Arial" w:cs="Arial" w:eastAsia="Arial" w:hint="default"/>
              </w:rPr>
              <w:t>5.7</w:t>
            </w:r>
            <w:r>
              <w:rPr>
                <w:rFonts w:ascii="Arial" w:hAnsi="Arial" w:cs="Arial" w:eastAsia="Arial" w:hint="default"/>
                <w:spacing w:val="39"/>
              </w:rPr>
              <w:t> </w:t>
            </w:r>
            <w:r>
              <w:rPr/>
              <w:t>报告期内发生重大会计差错更正需追溯重述的情况说明</w:t>
            </w:r>
            <w:r>
              <w:rPr>
                <w:rFonts w:ascii="Times New Roman" w:hAnsi="Times New Roman" w:cs="Times New Roman" w:eastAsia="Times New Roman" w:hint="default"/>
              </w:rPr>
              <w:tab/>
              <w:t>44</w:t>
            </w:r>
          </w:hyperlink>
        </w:p>
        <w:p>
          <w:pPr>
            <w:pStyle w:val="TOC4"/>
            <w:tabs>
              <w:tab w:pos="9782" w:val="right" w:leader="dot"/>
            </w:tabs>
            <w:spacing w:line="240" w:lineRule="auto"/>
            <w:ind w:right="0"/>
            <w:jc w:val="left"/>
            <w:rPr>
              <w:rFonts w:ascii="Times New Roman" w:hAnsi="Times New Roman" w:cs="Times New Roman" w:eastAsia="Times New Roman" w:hint="default"/>
            </w:rPr>
          </w:pPr>
          <w:hyperlink w:history="true" w:anchor="_bookmark37">
            <w:r>
              <w:rPr>
                <w:rFonts w:ascii="Arial" w:hAnsi="Arial" w:cs="Arial" w:eastAsia="Arial" w:hint="default"/>
              </w:rPr>
              <w:t>5.8</w:t>
            </w:r>
            <w:r>
              <w:rPr>
                <w:rFonts w:ascii="Arial" w:hAnsi="Arial" w:cs="Arial" w:eastAsia="Arial" w:hint="default"/>
                <w:spacing w:val="39"/>
              </w:rPr>
              <w:t> </w:t>
            </w:r>
            <w:r>
              <w:rPr/>
              <w:t>与上年度财务报告相比，合并报表范围发生变化的情况说明</w:t>
            </w:r>
            <w:r>
              <w:rPr>
                <w:rFonts w:ascii="Times New Roman" w:hAnsi="Times New Roman" w:cs="Times New Roman" w:eastAsia="Times New Roman" w:hint="default"/>
              </w:rPr>
              <w:tab/>
              <w:t>44</w:t>
            </w:r>
          </w:hyperlink>
        </w:p>
        <w:p>
          <w:pPr>
            <w:pStyle w:val="TOC4"/>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38">
            <w:r>
              <w:rPr>
                <w:rFonts w:ascii="Arial" w:hAnsi="Arial" w:cs="Arial" w:eastAsia="Arial" w:hint="default"/>
              </w:rPr>
              <w:t>5.9</w:t>
            </w:r>
            <w:r>
              <w:rPr>
                <w:rFonts w:ascii="Arial" w:hAnsi="Arial" w:cs="Arial" w:eastAsia="Arial" w:hint="default"/>
                <w:spacing w:val="39"/>
              </w:rPr>
              <w:t> </w:t>
            </w:r>
            <w:r>
              <w:rPr/>
              <w:t>聘任、解聘会计师事务所情况</w:t>
            </w:r>
            <w:r>
              <w:rPr>
                <w:rFonts w:ascii="Times New Roman" w:hAnsi="Times New Roman" w:cs="Times New Roman" w:eastAsia="Times New Roman" w:hint="default"/>
              </w:rPr>
              <w:tab/>
              <w:t>45</w:t>
            </w:r>
          </w:hyperlink>
        </w:p>
        <w:p>
          <w:pPr>
            <w:pStyle w:val="TOC4"/>
            <w:tabs>
              <w:tab w:pos="9782" w:val="right" w:leader="dot"/>
            </w:tabs>
            <w:spacing w:line="240" w:lineRule="auto"/>
            <w:ind w:left="1993" w:right="0"/>
            <w:jc w:val="left"/>
            <w:rPr>
              <w:rFonts w:ascii="Times New Roman" w:hAnsi="Times New Roman" w:cs="Times New Roman" w:eastAsia="Times New Roman" w:hint="default"/>
            </w:rPr>
          </w:pPr>
          <w:hyperlink w:history="true" w:anchor="_bookmark39">
            <w:r>
              <w:rPr>
                <w:rFonts w:ascii="Arial" w:hAnsi="Arial" w:cs="Arial" w:eastAsia="Arial" w:hint="default"/>
              </w:rPr>
              <w:t>5.10</w:t>
            </w:r>
            <w:r>
              <w:rPr>
                <w:rFonts w:ascii="Arial" w:hAnsi="Arial" w:cs="Arial" w:eastAsia="Arial" w:hint="default"/>
                <w:spacing w:val="38"/>
              </w:rPr>
              <w:t> </w:t>
            </w:r>
            <w:r>
              <w:rPr/>
              <w:t>年度报告披露后面临暂停上市和终止上市情况</w:t>
            </w:r>
            <w:r>
              <w:rPr>
                <w:rFonts w:ascii="Times New Roman" w:hAnsi="Times New Roman" w:cs="Times New Roman" w:eastAsia="Times New Roman" w:hint="default"/>
              </w:rPr>
              <w:tab/>
              <w:t>45</w:t>
            </w:r>
          </w:hyperlink>
        </w:p>
        <w:p>
          <w:pPr>
            <w:pStyle w:val="TOC4"/>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40">
            <w:r>
              <w:rPr>
                <w:rFonts w:ascii="Arial" w:hAnsi="Arial" w:cs="Arial" w:eastAsia="Arial" w:hint="default"/>
              </w:rPr>
              <w:t>5.11</w:t>
            </w:r>
            <w:r>
              <w:rPr>
                <w:rFonts w:ascii="Arial" w:hAnsi="Arial" w:cs="Arial" w:eastAsia="Arial" w:hint="default"/>
                <w:spacing w:val="38"/>
              </w:rPr>
              <w:t> </w:t>
            </w:r>
            <w:r>
              <w:rPr/>
              <w:t>破产重整相关事项</w:t>
            </w:r>
            <w:r>
              <w:rPr>
                <w:rFonts w:ascii="Times New Roman" w:hAnsi="Times New Roman" w:cs="Times New Roman" w:eastAsia="Times New Roman" w:hint="default"/>
              </w:rPr>
              <w:tab/>
              <w:t>45</w:t>
            </w:r>
          </w:hyperlink>
        </w:p>
        <w:p>
          <w:pPr>
            <w:pStyle w:val="TOC4"/>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41">
            <w:r>
              <w:rPr>
                <w:rFonts w:ascii="Arial" w:hAnsi="Arial" w:cs="Arial" w:eastAsia="Arial" w:hint="default"/>
              </w:rPr>
              <w:t>5.12</w:t>
            </w:r>
            <w:r>
              <w:rPr>
                <w:rFonts w:ascii="Arial" w:hAnsi="Arial" w:cs="Arial" w:eastAsia="Arial" w:hint="default"/>
                <w:spacing w:val="38"/>
              </w:rPr>
              <w:t> </w:t>
            </w:r>
            <w:r>
              <w:rPr/>
              <w:t>重大诉讼、仲裁事项</w:t>
            </w:r>
            <w:r>
              <w:rPr>
                <w:rFonts w:ascii="Times New Roman" w:hAnsi="Times New Roman" w:cs="Times New Roman" w:eastAsia="Times New Roman" w:hint="default"/>
              </w:rPr>
              <w:tab/>
              <w:t>45</w:t>
            </w:r>
          </w:hyperlink>
        </w:p>
        <w:p>
          <w:pPr>
            <w:pStyle w:val="TOC4"/>
            <w:tabs>
              <w:tab w:pos="9782" w:val="right" w:leader="dot"/>
            </w:tabs>
            <w:spacing w:line="240" w:lineRule="auto"/>
            <w:ind w:right="0"/>
            <w:jc w:val="left"/>
            <w:rPr>
              <w:rFonts w:ascii="Times New Roman" w:hAnsi="Times New Roman" w:cs="Times New Roman" w:eastAsia="Times New Roman" w:hint="default"/>
            </w:rPr>
          </w:pPr>
          <w:hyperlink w:history="true" w:anchor="_bookmark42">
            <w:r>
              <w:rPr>
                <w:rFonts w:ascii="Arial" w:hAnsi="Arial" w:cs="Arial" w:eastAsia="Arial" w:hint="default"/>
              </w:rPr>
              <w:t>5.13</w:t>
            </w:r>
            <w:r>
              <w:rPr>
                <w:rFonts w:ascii="Arial" w:hAnsi="Arial" w:cs="Arial" w:eastAsia="Arial" w:hint="default"/>
                <w:spacing w:val="38"/>
              </w:rPr>
              <w:t> </w:t>
            </w:r>
            <w:r>
              <w:rPr/>
              <w:t>处罚及整改情况</w:t>
            </w:r>
            <w:r>
              <w:rPr>
                <w:rFonts w:ascii="Times New Roman" w:hAnsi="Times New Roman" w:cs="Times New Roman" w:eastAsia="Times New Roman" w:hint="default"/>
              </w:rPr>
              <w:tab/>
              <w:t>45</w:t>
            </w:r>
          </w:hyperlink>
        </w:p>
        <w:p>
          <w:pPr>
            <w:pStyle w:val="TOC4"/>
            <w:tabs>
              <w:tab w:pos="9782" w:val="right" w:leader="dot"/>
            </w:tabs>
            <w:spacing w:line="240" w:lineRule="auto"/>
            <w:ind w:right="0"/>
            <w:jc w:val="left"/>
            <w:rPr>
              <w:rFonts w:ascii="Times New Roman" w:hAnsi="Times New Roman" w:cs="Times New Roman" w:eastAsia="Times New Roman" w:hint="default"/>
            </w:rPr>
          </w:pPr>
          <w:hyperlink w:history="true" w:anchor="_bookmark43">
            <w:r>
              <w:rPr>
                <w:rFonts w:ascii="Arial" w:hAnsi="Arial" w:cs="Arial" w:eastAsia="Arial" w:hint="default"/>
              </w:rPr>
              <w:t>5.14</w:t>
            </w:r>
            <w:r>
              <w:rPr>
                <w:rFonts w:ascii="Arial" w:hAnsi="Arial" w:cs="Arial" w:eastAsia="Arial" w:hint="default"/>
                <w:spacing w:val="38"/>
              </w:rPr>
              <w:t> </w:t>
            </w:r>
            <w:r>
              <w:rPr/>
              <w:t>公司及其控股股东、实际控制人的诚信状况</w:t>
            </w:r>
            <w:r>
              <w:rPr>
                <w:rFonts w:ascii="Times New Roman" w:hAnsi="Times New Roman" w:cs="Times New Roman" w:eastAsia="Times New Roman" w:hint="default"/>
              </w:rPr>
              <w:tab/>
              <w:t>46</w:t>
            </w:r>
          </w:hyperlink>
        </w:p>
        <w:p>
          <w:pPr>
            <w:pStyle w:val="TOC4"/>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44">
            <w:r>
              <w:rPr>
                <w:rFonts w:ascii="Arial" w:hAnsi="Arial" w:cs="Arial" w:eastAsia="Arial" w:hint="default"/>
              </w:rPr>
              <w:t>5.15</w:t>
            </w:r>
            <w:r>
              <w:rPr>
                <w:rFonts w:ascii="Arial" w:hAnsi="Arial" w:cs="Arial" w:eastAsia="Arial" w:hint="default"/>
                <w:spacing w:val="38"/>
              </w:rPr>
              <w:t> </w:t>
            </w:r>
            <w:r>
              <w:rPr/>
              <w:t>公司股权激励计划、员工持股计划或其他员工激励措施的实施情况</w:t>
            </w:r>
            <w:r>
              <w:rPr>
                <w:rFonts w:ascii="Times New Roman" w:hAnsi="Times New Roman" w:cs="Times New Roman" w:eastAsia="Times New Roman" w:hint="default"/>
              </w:rPr>
              <w:tab/>
              <w:t>46</w:t>
            </w:r>
          </w:hyperlink>
        </w:p>
        <w:p>
          <w:pPr>
            <w:pStyle w:val="TOC4"/>
            <w:tabs>
              <w:tab w:pos="9782" w:val="right" w:leader="dot"/>
            </w:tabs>
            <w:spacing w:line="240" w:lineRule="auto"/>
            <w:ind w:right="0"/>
            <w:jc w:val="left"/>
            <w:rPr>
              <w:rFonts w:ascii="Times New Roman" w:hAnsi="Times New Roman" w:cs="Times New Roman" w:eastAsia="Times New Roman" w:hint="default"/>
            </w:rPr>
          </w:pPr>
          <w:hyperlink w:history="true" w:anchor="_bookmark45">
            <w:r>
              <w:rPr>
                <w:rFonts w:ascii="Arial" w:hAnsi="Arial" w:cs="Arial" w:eastAsia="Arial" w:hint="default"/>
              </w:rPr>
              <w:t>5.16</w:t>
            </w:r>
            <w:r>
              <w:rPr>
                <w:rFonts w:ascii="Arial" w:hAnsi="Arial" w:cs="Arial" w:eastAsia="Arial" w:hint="default"/>
                <w:spacing w:val="38"/>
              </w:rPr>
              <w:t> </w:t>
            </w:r>
            <w:r>
              <w:rPr/>
              <w:t>重大关联交易</w:t>
            </w:r>
            <w:r>
              <w:rPr>
                <w:rFonts w:ascii="Times New Roman" w:hAnsi="Times New Roman" w:cs="Times New Roman" w:eastAsia="Times New Roman" w:hint="default"/>
              </w:rPr>
              <w:tab/>
              <w:t>47</w:t>
            </w:r>
          </w:hyperlink>
        </w:p>
        <w:p>
          <w:pPr>
            <w:pStyle w:val="TOC4"/>
            <w:tabs>
              <w:tab w:pos="9782" w:val="right" w:leader="dot"/>
            </w:tabs>
            <w:spacing w:line="240" w:lineRule="auto"/>
            <w:ind w:right="0"/>
            <w:jc w:val="left"/>
            <w:rPr>
              <w:rFonts w:ascii="Times New Roman" w:hAnsi="Times New Roman" w:cs="Times New Roman" w:eastAsia="Times New Roman" w:hint="default"/>
            </w:rPr>
          </w:pPr>
          <w:hyperlink w:history="true" w:anchor="_bookmark46">
            <w:r>
              <w:rPr>
                <w:rFonts w:ascii="Arial" w:hAnsi="Arial" w:cs="Arial" w:eastAsia="Arial" w:hint="default"/>
              </w:rPr>
              <w:t>5.17</w:t>
            </w:r>
            <w:r>
              <w:rPr>
                <w:rFonts w:ascii="Arial" w:hAnsi="Arial" w:cs="Arial" w:eastAsia="Arial" w:hint="default"/>
                <w:spacing w:val="38"/>
              </w:rPr>
              <w:t> </w:t>
            </w:r>
            <w:r>
              <w:rPr/>
              <w:t>重大合同及其履行情况</w:t>
            </w:r>
            <w:r>
              <w:rPr>
                <w:rFonts w:ascii="Times New Roman" w:hAnsi="Times New Roman" w:cs="Times New Roman" w:eastAsia="Times New Roman" w:hint="default"/>
              </w:rPr>
              <w:tab/>
              <w:t>48</w:t>
            </w:r>
          </w:hyperlink>
        </w:p>
        <w:p>
          <w:pPr>
            <w:pStyle w:val="TOC4"/>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47">
            <w:r>
              <w:rPr>
                <w:rFonts w:ascii="Arial" w:hAnsi="Arial" w:cs="Arial" w:eastAsia="Arial" w:hint="default"/>
              </w:rPr>
              <w:t>5.18</w:t>
            </w:r>
            <w:r>
              <w:rPr>
                <w:rFonts w:ascii="Arial" w:hAnsi="Arial" w:cs="Arial" w:eastAsia="Arial" w:hint="default"/>
                <w:spacing w:val="38"/>
              </w:rPr>
              <w:t> </w:t>
            </w:r>
            <w:r>
              <w:rPr/>
              <w:t>其他重大事项的说明</w:t>
            </w:r>
            <w:r>
              <w:rPr>
                <w:rFonts w:ascii="Times New Roman" w:hAnsi="Times New Roman" w:cs="Times New Roman" w:eastAsia="Times New Roman" w:hint="default"/>
              </w:rPr>
              <w:tab/>
              <w:t>53</w:t>
            </w:r>
          </w:hyperlink>
        </w:p>
        <w:p>
          <w:pPr>
            <w:pStyle w:val="TOC4"/>
            <w:tabs>
              <w:tab w:pos="9782" w:val="right" w:leader="dot"/>
            </w:tabs>
            <w:spacing w:line="240" w:lineRule="auto"/>
            <w:ind w:right="0"/>
            <w:jc w:val="left"/>
            <w:rPr>
              <w:rFonts w:ascii="Times New Roman" w:hAnsi="Times New Roman" w:cs="Times New Roman" w:eastAsia="Times New Roman" w:hint="default"/>
            </w:rPr>
          </w:pPr>
          <w:hyperlink w:history="true" w:anchor="_bookmark48">
            <w:r>
              <w:rPr>
                <w:rFonts w:ascii="Arial" w:hAnsi="Arial" w:cs="Arial" w:eastAsia="Arial" w:hint="default"/>
              </w:rPr>
              <w:t>5.19</w:t>
            </w:r>
            <w:r>
              <w:rPr>
                <w:rFonts w:ascii="Arial" w:hAnsi="Arial" w:cs="Arial" w:eastAsia="Arial" w:hint="default"/>
                <w:spacing w:val="38"/>
              </w:rPr>
              <w:t> </w:t>
            </w:r>
            <w:r>
              <w:rPr/>
              <w:t>公司子公司重大事项</w:t>
            </w:r>
            <w:r>
              <w:rPr>
                <w:rFonts w:ascii="Times New Roman" w:hAnsi="Times New Roman" w:cs="Times New Roman" w:eastAsia="Times New Roman" w:hint="default"/>
              </w:rPr>
              <w:tab/>
              <w:t>54</w:t>
            </w:r>
          </w:hyperlink>
        </w:p>
        <w:p>
          <w:pPr>
            <w:pStyle w:val="TOC4"/>
            <w:tabs>
              <w:tab w:pos="9782" w:val="right" w:leader="dot"/>
            </w:tabs>
            <w:spacing w:line="240" w:lineRule="auto"/>
            <w:ind w:right="0"/>
            <w:jc w:val="left"/>
            <w:rPr>
              <w:rFonts w:ascii="Times New Roman" w:hAnsi="Times New Roman" w:cs="Times New Roman" w:eastAsia="Times New Roman" w:hint="default"/>
            </w:rPr>
          </w:pPr>
          <w:hyperlink w:history="true" w:anchor="_bookmark49">
            <w:r>
              <w:rPr>
                <w:rFonts w:ascii="Arial" w:hAnsi="Arial" w:cs="Arial" w:eastAsia="Arial" w:hint="default"/>
              </w:rPr>
              <w:t>5.20</w:t>
            </w:r>
            <w:r>
              <w:rPr>
                <w:rFonts w:ascii="Arial" w:hAnsi="Arial" w:cs="Arial" w:eastAsia="Arial" w:hint="default"/>
                <w:spacing w:val="38"/>
              </w:rPr>
              <w:t> </w:t>
            </w:r>
            <w:r>
              <w:rPr/>
              <w:t>社会责任情况</w:t>
            </w:r>
            <w:r>
              <w:rPr>
                <w:rFonts w:ascii="Times New Roman" w:hAnsi="Times New Roman" w:cs="Times New Roman" w:eastAsia="Times New Roman" w:hint="default"/>
              </w:rPr>
              <w:tab/>
              <w:t>54</w:t>
            </w:r>
          </w:hyperlink>
        </w:p>
        <w:p>
          <w:pPr>
            <w:pStyle w:val="TOC4"/>
            <w:tabs>
              <w:tab w:pos="9782" w:val="right" w:leader="dot"/>
            </w:tabs>
            <w:spacing w:line="240" w:lineRule="auto" w:before="103"/>
            <w:ind w:left="1993" w:right="0"/>
            <w:jc w:val="left"/>
            <w:rPr>
              <w:rFonts w:ascii="Times New Roman" w:hAnsi="Times New Roman" w:cs="Times New Roman" w:eastAsia="Times New Roman" w:hint="default"/>
            </w:rPr>
          </w:pPr>
          <w:hyperlink w:history="true" w:anchor="_bookmark50">
            <w:r>
              <w:rPr>
                <w:rFonts w:ascii="Arial" w:hAnsi="Arial" w:cs="Arial" w:eastAsia="Arial" w:hint="default"/>
              </w:rPr>
              <w:t>5.21</w:t>
            </w:r>
            <w:r>
              <w:rPr>
                <w:rFonts w:ascii="Arial" w:hAnsi="Arial" w:cs="Arial" w:eastAsia="Arial" w:hint="default"/>
                <w:spacing w:val="38"/>
              </w:rPr>
              <w:t> </w:t>
            </w:r>
            <w:r>
              <w:rPr/>
              <w:t>公司债券相关情况</w:t>
            </w:r>
            <w:r>
              <w:rPr>
                <w:rFonts w:ascii="Times New Roman" w:hAnsi="Times New Roman" w:cs="Times New Roman" w:eastAsia="Times New Roman" w:hint="default"/>
              </w:rPr>
              <w:tab/>
              <w:t>54</w:t>
            </w:r>
          </w:hyperlink>
        </w:p>
        <w:p>
          <w:pPr>
            <w:pStyle w:val="TOC2"/>
            <w:tabs>
              <w:tab w:pos="9782" w:val="right" w:leader="dot"/>
            </w:tabs>
            <w:spacing w:line="240" w:lineRule="auto"/>
            <w:ind w:right="0"/>
            <w:jc w:val="left"/>
            <w:rPr>
              <w:rFonts w:ascii="Times New Roman" w:hAnsi="Times New Roman" w:cs="Times New Roman" w:eastAsia="Times New Roman" w:hint="default"/>
            </w:rPr>
          </w:pPr>
          <w:hyperlink w:history="true" w:anchor="_bookmark51">
            <w:r>
              <w:rPr>
                <w:color w:val="2D74B5"/>
              </w:rPr>
              <w:t>第六节</w:t>
            </w:r>
            <w:r>
              <w:rPr>
                <w:color w:val="2D74B5"/>
                <w:spacing w:val="-2"/>
              </w:rPr>
              <w:t> </w:t>
            </w:r>
            <w:r>
              <w:rPr>
                <w:color w:val="2D74B5"/>
              </w:rPr>
              <w:t>股份变动及股东情况</w:t>
            </w:r>
            <w:r>
              <w:rPr>
                <w:rFonts w:ascii="Times New Roman" w:hAnsi="Times New Roman" w:cs="Times New Roman" w:eastAsia="Times New Roman" w:hint="default"/>
                <w:color w:val="2D74B5"/>
              </w:rPr>
              <w:tab/>
              <w:t>59</w:t>
            </w:r>
            <w:r>
              <w:rPr>
                <w:rFonts w:ascii="Times New Roman" w:hAnsi="Times New Roman" w:cs="Times New Roman" w:eastAsia="Times New Roman" w:hint="default"/>
              </w:rPr>
            </w:r>
          </w:hyperlink>
        </w:p>
        <w:p>
          <w:pPr>
            <w:pStyle w:val="TOC4"/>
            <w:tabs>
              <w:tab w:pos="9782" w:val="right" w:leader="dot"/>
            </w:tabs>
            <w:spacing w:line="240" w:lineRule="auto"/>
            <w:ind w:right="0"/>
            <w:jc w:val="left"/>
            <w:rPr>
              <w:rFonts w:ascii="Times New Roman" w:hAnsi="Times New Roman" w:cs="Times New Roman" w:eastAsia="Times New Roman" w:hint="default"/>
            </w:rPr>
          </w:pPr>
          <w:hyperlink w:history="true" w:anchor="_bookmark52">
            <w:r>
              <w:rPr>
                <w:rFonts w:ascii="Arial" w:hAnsi="Arial" w:cs="Arial" w:eastAsia="Arial" w:hint="default"/>
              </w:rPr>
              <w:t>6.1</w:t>
            </w:r>
            <w:r>
              <w:rPr>
                <w:rFonts w:ascii="Arial" w:hAnsi="Arial" w:cs="Arial" w:eastAsia="Arial" w:hint="default"/>
                <w:spacing w:val="39"/>
              </w:rPr>
              <w:t> </w:t>
            </w:r>
            <w:r>
              <w:rPr/>
              <w:t>股份变动情况</w:t>
            </w:r>
            <w:r>
              <w:rPr>
                <w:rFonts w:ascii="Times New Roman" w:hAnsi="Times New Roman" w:cs="Times New Roman" w:eastAsia="Times New Roman" w:hint="default"/>
              </w:rPr>
              <w:tab/>
              <w:t>59</w:t>
            </w:r>
          </w:hyperlink>
        </w:p>
        <w:p>
          <w:pPr>
            <w:pStyle w:val="TOC4"/>
            <w:tabs>
              <w:tab w:pos="9782" w:val="right" w:leader="dot"/>
            </w:tabs>
            <w:spacing w:line="240" w:lineRule="auto" w:before="103"/>
            <w:ind w:left="1993" w:right="0"/>
            <w:jc w:val="left"/>
            <w:rPr>
              <w:rFonts w:ascii="Times New Roman" w:hAnsi="Times New Roman" w:cs="Times New Roman" w:eastAsia="Times New Roman" w:hint="default"/>
            </w:rPr>
          </w:pPr>
          <w:hyperlink w:history="true" w:anchor="_bookmark53">
            <w:r>
              <w:rPr>
                <w:rFonts w:ascii="Arial" w:hAnsi="Arial" w:cs="Arial" w:eastAsia="Arial" w:hint="default"/>
              </w:rPr>
              <w:t>6.2</w:t>
            </w:r>
            <w:r>
              <w:rPr>
                <w:rFonts w:ascii="Arial" w:hAnsi="Arial" w:cs="Arial" w:eastAsia="Arial" w:hint="default"/>
                <w:spacing w:val="39"/>
              </w:rPr>
              <w:t> </w:t>
            </w:r>
            <w:r>
              <w:rPr/>
              <w:t>证券发行与上市情况</w:t>
            </w:r>
            <w:r>
              <w:rPr>
                <w:rFonts w:ascii="Times New Roman" w:hAnsi="Times New Roman" w:cs="Times New Roman" w:eastAsia="Times New Roman" w:hint="default"/>
              </w:rPr>
              <w:tab/>
              <w:t>60</w:t>
            </w:r>
          </w:hyperlink>
        </w:p>
        <w:p>
          <w:pPr>
            <w:pStyle w:val="TOC4"/>
            <w:tabs>
              <w:tab w:pos="9782" w:val="right" w:leader="dot"/>
            </w:tabs>
            <w:spacing w:line="240" w:lineRule="auto"/>
            <w:ind w:left="1993" w:right="0"/>
            <w:jc w:val="left"/>
            <w:rPr>
              <w:rFonts w:ascii="Times New Roman" w:hAnsi="Times New Roman" w:cs="Times New Roman" w:eastAsia="Times New Roman" w:hint="default"/>
            </w:rPr>
          </w:pPr>
          <w:hyperlink w:history="true" w:anchor="_bookmark54">
            <w:r>
              <w:rPr>
                <w:rFonts w:ascii="Arial" w:hAnsi="Arial" w:cs="Arial" w:eastAsia="Arial" w:hint="default"/>
              </w:rPr>
              <w:t>6.3</w:t>
            </w:r>
            <w:r>
              <w:rPr>
                <w:rFonts w:ascii="Arial" w:hAnsi="Arial" w:cs="Arial" w:eastAsia="Arial" w:hint="default"/>
                <w:spacing w:val="39"/>
              </w:rPr>
              <w:t> </w:t>
            </w:r>
            <w:r>
              <w:rPr/>
              <w:t>股东和实际控制人情况</w:t>
            </w:r>
            <w:r>
              <w:rPr>
                <w:rFonts w:ascii="Times New Roman" w:hAnsi="Times New Roman" w:cs="Times New Roman" w:eastAsia="Times New Roman" w:hint="default"/>
              </w:rPr>
              <w:tab/>
              <w:t>62</w:t>
            </w:r>
          </w:hyperlink>
        </w:p>
        <w:p>
          <w:pPr>
            <w:pStyle w:val="TOC2"/>
            <w:tabs>
              <w:tab w:pos="9782" w:val="right" w:leader="dot"/>
            </w:tabs>
            <w:spacing w:line="240" w:lineRule="auto"/>
            <w:ind w:right="0"/>
            <w:jc w:val="left"/>
            <w:rPr>
              <w:rFonts w:ascii="Times New Roman" w:hAnsi="Times New Roman" w:cs="Times New Roman" w:eastAsia="Times New Roman" w:hint="default"/>
            </w:rPr>
          </w:pPr>
          <w:hyperlink w:history="true" w:anchor="_bookmark55">
            <w:r>
              <w:rPr>
                <w:color w:val="2D74B5"/>
              </w:rPr>
              <w:t>第七节</w:t>
            </w:r>
            <w:r>
              <w:rPr>
                <w:color w:val="2D74B5"/>
                <w:spacing w:val="-2"/>
              </w:rPr>
              <w:t> </w:t>
            </w:r>
            <w:r>
              <w:rPr>
                <w:color w:val="2D74B5"/>
              </w:rPr>
              <w:t>优先股相关情况</w:t>
            </w:r>
            <w:r>
              <w:rPr>
                <w:rFonts w:ascii="Times New Roman" w:hAnsi="Times New Roman" w:cs="Times New Roman" w:eastAsia="Times New Roman" w:hint="default"/>
                <w:color w:val="2D74B5"/>
              </w:rPr>
              <w:tab/>
              <w:t>66</w:t>
            </w:r>
            <w:r>
              <w:rPr>
                <w:rFonts w:ascii="Times New Roman" w:hAnsi="Times New Roman" w:cs="Times New Roman" w:eastAsia="Times New Roman" w:hint="default"/>
              </w:rPr>
            </w:r>
          </w:hyperlink>
        </w:p>
        <w:p>
          <w:pPr>
            <w:pStyle w:val="TOC2"/>
            <w:tabs>
              <w:tab w:pos="9782" w:val="right" w:leader="dot"/>
            </w:tabs>
            <w:spacing w:line="240" w:lineRule="auto" w:before="104"/>
            <w:ind w:right="0"/>
            <w:jc w:val="left"/>
            <w:rPr>
              <w:rFonts w:ascii="Times New Roman" w:hAnsi="Times New Roman" w:cs="Times New Roman" w:eastAsia="Times New Roman" w:hint="default"/>
            </w:rPr>
          </w:pPr>
          <w:hyperlink w:history="true" w:anchor="_bookmark56">
            <w:r>
              <w:rPr>
                <w:color w:val="2D74B5"/>
              </w:rPr>
              <w:t>第八节</w:t>
            </w:r>
            <w:r>
              <w:rPr>
                <w:color w:val="2D74B5"/>
                <w:spacing w:val="-2"/>
              </w:rPr>
              <w:t> </w:t>
            </w:r>
            <w:r>
              <w:rPr>
                <w:color w:val="2D74B5"/>
              </w:rPr>
              <w:t>董事、监事、高级管理人员和员工情况</w:t>
            </w:r>
            <w:r>
              <w:rPr>
                <w:rFonts w:ascii="Times New Roman" w:hAnsi="Times New Roman" w:cs="Times New Roman" w:eastAsia="Times New Roman" w:hint="default"/>
                <w:color w:val="2D74B5"/>
              </w:rPr>
              <w:tab/>
              <w:t>67</w:t>
            </w:r>
            <w:r>
              <w:rPr>
                <w:rFonts w:ascii="Times New Roman" w:hAnsi="Times New Roman" w:cs="Times New Roman" w:eastAsia="Times New Roman" w:hint="default"/>
              </w:rPr>
            </w:r>
          </w:hyperlink>
        </w:p>
        <w:p>
          <w:pPr>
            <w:pStyle w:val="TOC4"/>
            <w:tabs>
              <w:tab w:pos="9782" w:val="right" w:leader="dot"/>
            </w:tabs>
            <w:spacing w:line="240" w:lineRule="auto"/>
            <w:ind w:left="1993" w:right="0"/>
            <w:jc w:val="left"/>
            <w:rPr>
              <w:rFonts w:ascii="Times New Roman" w:hAnsi="Times New Roman" w:cs="Times New Roman" w:eastAsia="Times New Roman" w:hint="default"/>
            </w:rPr>
          </w:pPr>
          <w:hyperlink w:history="true" w:anchor="_bookmark57">
            <w:r>
              <w:rPr>
                <w:rFonts w:ascii="Arial" w:hAnsi="Arial" w:cs="Arial" w:eastAsia="Arial" w:hint="default"/>
              </w:rPr>
              <w:t>8.1</w:t>
            </w:r>
            <w:r>
              <w:rPr>
                <w:rFonts w:ascii="Arial" w:hAnsi="Arial" w:cs="Arial" w:eastAsia="Arial" w:hint="default"/>
                <w:spacing w:val="39"/>
              </w:rPr>
              <w:t> </w:t>
            </w:r>
            <w:r>
              <w:rPr/>
              <w:t>董事、监事和高级管理人员持股变动</w:t>
            </w:r>
            <w:r>
              <w:rPr>
                <w:rFonts w:ascii="Times New Roman" w:hAnsi="Times New Roman" w:cs="Times New Roman" w:eastAsia="Times New Roman" w:hint="default"/>
              </w:rPr>
              <w:tab/>
              <w:t>67</w:t>
            </w:r>
          </w:hyperlink>
        </w:p>
        <w:p>
          <w:pPr>
            <w:pStyle w:val="TOC4"/>
            <w:tabs>
              <w:tab w:pos="9782" w:val="right" w:leader="dot"/>
            </w:tabs>
            <w:spacing w:line="240" w:lineRule="auto"/>
            <w:ind w:right="0"/>
            <w:jc w:val="left"/>
            <w:rPr>
              <w:rFonts w:ascii="Times New Roman" w:hAnsi="Times New Roman" w:cs="Times New Roman" w:eastAsia="Times New Roman" w:hint="default"/>
            </w:rPr>
          </w:pPr>
          <w:hyperlink w:history="true" w:anchor="_bookmark58">
            <w:r>
              <w:rPr>
                <w:rFonts w:ascii="Arial" w:hAnsi="Arial" w:cs="Arial" w:eastAsia="Arial" w:hint="default"/>
              </w:rPr>
              <w:t>8.2</w:t>
            </w:r>
            <w:r>
              <w:rPr>
                <w:rFonts w:ascii="Arial" w:hAnsi="Arial" w:cs="Arial" w:eastAsia="Arial" w:hint="default"/>
                <w:spacing w:val="39"/>
              </w:rPr>
              <w:t> </w:t>
            </w:r>
            <w:r>
              <w:rPr/>
              <w:t>公司董事、监事、高级管理人员变动情况</w:t>
            </w:r>
            <w:r>
              <w:rPr>
                <w:rFonts w:ascii="Times New Roman" w:hAnsi="Times New Roman" w:cs="Times New Roman" w:eastAsia="Times New Roman" w:hint="default"/>
              </w:rPr>
              <w:tab/>
              <w:t>69</w:t>
            </w:r>
          </w:hyperlink>
        </w:p>
        <w:p>
          <w:pPr>
            <w:pStyle w:val="TOC4"/>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59">
            <w:r>
              <w:rPr>
                <w:rFonts w:ascii="Arial" w:hAnsi="Arial" w:cs="Arial" w:eastAsia="Arial" w:hint="default"/>
              </w:rPr>
              <w:t>8.3</w:t>
            </w:r>
            <w:r>
              <w:rPr>
                <w:rFonts w:ascii="Arial" w:hAnsi="Arial" w:cs="Arial" w:eastAsia="Arial" w:hint="default"/>
                <w:spacing w:val="39"/>
              </w:rPr>
              <w:t> </w:t>
            </w:r>
            <w:r>
              <w:rPr/>
              <w:t>任职情况</w:t>
            </w:r>
            <w:r>
              <w:rPr>
                <w:rFonts w:ascii="Times New Roman" w:hAnsi="Times New Roman" w:cs="Times New Roman" w:eastAsia="Times New Roman" w:hint="default"/>
              </w:rPr>
              <w:tab/>
              <w:t>69</w:t>
            </w:r>
          </w:hyperlink>
        </w:p>
        <w:p>
          <w:pPr>
            <w:pStyle w:val="TOC4"/>
            <w:tabs>
              <w:tab w:pos="9782" w:val="right" w:leader="dot"/>
            </w:tabs>
            <w:spacing w:line="240" w:lineRule="auto"/>
            <w:ind w:right="0"/>
            <w:jc w:val="left"/>
            <w:rPr>
              <w:rFonts w:ascii="Times New Roman" w:hAnsi="Times New Roman" w:cs="Times New Roman" w:eastAsia="Times New Roman" w:hint="default"/>
            </w:rPr>
          </w:pPr>
          <w:hyperlink w:history="true" w:anchor="_bookmark60">
            <w:r>
              <w:rPr>
                <w:rFonts w:ascii="Arial" w:hAnsi="Arial" w:cs="Arial" w:eastAsia="Arial" w:hint="default"/>
              </w:rPr>
              <w:t>8.4</w:t>
            </w:r>
            <w:r>
              <w:rPr>
                <w:rFonts w:ascii="Arial" w:hAnsi="Arial" w:cs="Arial" w:eastAsia="Arial" w:hint="default"/>
                <w:spacing w:val="39"/>
              </w:rPr>
              <w:t> </w:t>
            </w:r>
            <w:r>
              <w:rPr/>
              <w:t>董事、监事、高级管理人员报酬情况</w:t>
            </w:r>
            <w:r>
              <w:rPr>
                <w:rFonts w:ascii="Times New Roman" w:hAnsi="Times New Roman" w:cs="Times New Roman" w:eastAsia="Times New Roman" w:hint="default"/>
              </w:rPr>
              <w:tab/>
              <w:t>73</w:t>
            </w:r>
          </w:hyperlink>
        </w:p>
        <w:p>
          <w:pPr>
            <w:pStyle w:val="TOC4"/>
            <w:tabs>
              <w:tab w:pos="9782" w:val="right" w:leader="dot"/>
            </w:tabs>
            <w:spacing w:line="240" w:lineRule="auto"/>
            <w:ind w:right="0"/>
            <w:jc w:val="left"/>
            <w:rPr>
              <w:rFonts w:ascii="Times New Roman" w:hAnsi="Times New Roman" w:cs="Times New Roman" w:eastAsia="Times New Roman" w:hint="default"/>
            </w:rPr>
          </w:pPr>
          <w:hyperlink w:history="true" w:anchor="_bookmark61">
            <w:r>
              <w:rPr>
                <w:rFonts w:ascii="Arial" w:hAnsi="Arial" w:cs="Arial" w:eastAsia="Arial" w:hint="default"/>
              </w:rPr>
              <w:t>8.5</w:t>
            </w:r>
            <w:r>
              <w:rPr>
                <w:rFonts w:ascii="Arial" w:hAnsi="Arial" w:cs="Arial" w:eastAsia="Arial" w:hint="default"/>
                <w:spacing w:val="39"/>
              </w:rPr>
              <w:t> </w:t>
            </w:r>
            <w:r>
              <w:rPr/>
              <w:t>公司员工情况</w:t>
            </w:r>
            <w:r>
              <w:rPr>
                <w:rFonts w:ascii="Times New Roman" w:hAnsi="Times New Roman" w:cs="Times New Roman" w:eastAsia="Times New Roman" w:hint="default"/>
              </w:rPr>
              <w:tab/>
              <w:t>75</w:t>
            </w:r>
          </w:hyperlink>
        </w:p>
        <w:p>
          <w:pPr>
            <w:pStyle w:val="TOC2"/>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62">
            <w:r>
              <w:rPr>
                <w:color w:val="2D74B5"/>
              </w:rPr>
              <w:t>第九节</w:t>
            </w:r>
            <w:r>
              <w:rPr>
                <w:color w:val="2D74B5"/>
                <w:spacing w:val="-2"/>
              </w:rPr>
              <w:t> </w:t>
            </w:r>
            <w:r>
              <w:rPr>
                <w:color w:val="2D74B5"/>
              </w:rPr>
              <w:t>公司治理</w:t>
            </w:r>
            <w:r>
              <w:rPr>
                <w:rFonts w:ascii="Times New Roman" w:hAnsi="Times New Roman" w:cs="Times New Roman" w:eastAsia="Times New Roman" w:hint="default"/>
                <w:color w:val="2D74B5"/>
              </w:rPr>
              <w:tab/>
              <w:t>78</w:t>
            </w:r>
            <w:r>
              <w:rPr>
                <w:rFonts w:ascii="Times New Roman" w:hAnsi="Times New Roman" w:cs="Times New Roman" w:eastAsia="Times New Roman" w:hint="default"/>
              </w:rPr>
            </w:r>
          </w:hyperlink>
        </w:p>
        <w:p>
          <w:pPr>
            <w:pStyle w:val="TOC4"/>
            <w:tabs>
              <w:tab w:pos="9782" w:val="right" w:leader="dot"/>
            </w:tabs>
            <w:spacing w:line="240" w:lineRule="auto"/>
            <w:ind w:left="1993" w:right="0"/>
            <w:jc w:val="left"/>
            <w:rPr>
              <w:rFonts w:ascii="Times New Roman" w:hAnsi="Times New Roman" w:cs="Times New Roman" w:eastAsia="Times New Roman" w:hint="default"/>
            </w:rPr>
          </w:pPr>
          <w:hyperlink w:history="true" w:anchor="_bookmark63">
            <w:r>
              <w:rPr>
                <w:rFonts w:ascii="Arial" w:hAnsi="Arial" w:cs="Arial" w:eastAsia="Arial" w:hint="default"/>
              </w:rPr>
              <w:t>9.1</w:t>
            </w:r>
            <w:r>
              <w:rPr>
                <w:rFonts w:ascii="Arial" w:hAnsi="Arial" w:cs="Arial" w:eastAsia="Arial" w:hint="default"/>
                <w:spacing w:val="39"/>
              </w:rPr>
              <w:t> </w:t>
            </w:r>
            <w:r>
              <w:rPr/>
              <w:t>公司治理的基本状况</w:t>
            </w:r>
            <w:r>
              <w:rPr>
                <w:rFonts w:ascii="Times New Roman" w:hAnsi="Times New Roman" w:cs="Times New Roman" w:eastAsia="Times New Roman" w:hint="default"/>
              </w:rPr>
              <w:tab/>
              <w:t>78</w:t>
            </w:r>
          </w:hyperlink>
        </w:p>
        <w:p>
          <w:pPr>
            <w:pStyle w:val="TOC4"/>
            <w:tabs>
              <w:tab w:pos="9782" w:val="right" w:leader="dot"/>
            </w:tabs>
            <w:spacing w:line="240" w:lineRule="auto"/>
            <w:ind w:right="0"/>
            <w:jc w:val="left"/>
            <w:rPr>
              <w:rFonts w:ascii="Times New Roman" w:hAnsi="Times New Roman" w:cs="Times New Roman" w:eastAsia="Times New Roman" w:hint="default"/>
            </w:rPr>
          </w:pPr>
          <w:hyperlink w:history="true" w:anchor="_bookmark64">
            <w:r>
              <w:rPr>
                <w:rFonts w:ascii="Arial" w:hAnsi="Arial" w:cs="Arial" w:eastAsia="Arial" w:hint="default"/>
              </w:rPr>
              <w:t>9.2</w:t>
            </w:r>
            <w:r>
              <w:rPr>
                <w:rFonts w:ascii="Arial" w:hAnsi="Arial" w:cs="Arial" w:eastAsia="Arial" w:hint="default"/>
                <w:spacing w:val="39"/>
              </w:rPr>
              <w:t> </w:t>
            </w:r>
            <w:r>
              <w:rPr/>
              <w:t>公司相对于控股股东在业务、人员、资产、机构、财务等方面的独立情况</w:t>
            </w:r>
            <w:r>
              <w:rPr>
                <w:rFonts w:ascii="Times New Roman" w:hAnsi="Times New Roman" w:cs="Times New Roman" w:eastAsia="Times New Roman" w:hint="default"/>
              </w:rPr>
              <w:tab/>
              <w:t>80</w:t>
            </w:r>
          </w:hyperlink>
        </w:p>
        <w:p>
          <w:pPr>
            <w:pStyle w:val="TOC4"/>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65">
            <w:r>
              <w:rPr>
                <w:rFonts w:ascii="Arial" w:hAnsi="Arial" w:cs="Arial" w:eastAsia="Arial" w:hint="default"/>
              </w:rPr>
              <w:t>9.3</w:t>
            </w:r>
            <w:r>
              <w:rPr>
                <w:rFonts w:ascii="Arial" w:hAnsi="Arial" w:cs="Arial" w:eastAsia="Arial" w:hint="default"/>
                <w:spacing w:val="39"/>
              </w:rPr>
              <w:t> </w:t>
            </w:r>
            <w:r>
              <w:rPr/>
              <w:t>同业竞争情况</w:t>
            </w:r>
            <w:r>
              <w:rPr>
                <w:rFonts w:ascii="Times New Roman" w:hAnsi="Times New Roman" w:cs="Times New Roman" w:eastAsia="Times New Roman" w:hint="default"/>
              </w:rPr>
              <w:tab/>
              <w:t>81</w:t>
            </w:r>
          </w:hyperlink>
        </w:p>
        <w:p>
          <w:pPr>
            <w:pStyle w:val="TOC4"/>
            <w:tabs>
              <w:tab w:pos="9782" w:val="right" w:leader="dot"/>
            </w:tabs>
            <w:spacing w:line="240" w:lineRule="auto"/>
            <w:ind w:left="1993" w:right="0"/>
            <w:jc w:val="left"/>
            <w:rPr>
              <w:rFonts w:ascii="Times New Roman" w:hAnsi="Times New Roman" w:cs="Times New Roman" w:eastAsia="Times New Roman" w:hint="default"/>
            </w:rPr>
          </w:pPr>
          <w:hyperlink w:history="true" w:anchor="_bookmark66">
            <w:r>
              <w:rPr>
                <w:rFonts w:ascii="Arial" w:hAnsi="Arial" w:cs="Arial" w:eastAsia="Arial" w:hint="default"/>
              </w:rPr>
              <w:t>9.4</w:t>
            </w:r>
            <w:r>
              <w:rPr>
                <w:rFonts w:ascii="Arial" w:hAnsi="Arial" w:cs="Arial" w:eastAsia="Arial" w:hint="default"/>
                <w:spacing w:val="39"/>
              </w:rPr>
              <w:t> </w:t>
            </w:r>
            <w:r>
              <w:rPr/>
              <w:t>报告期内召开的年度股东大会和临时股东大会的有关情况</w:t>
            </w:r>
            <w:r>
              <w:rPr>
                <w:rFonts w:ascii="Times New Roman" w:hAnsi="Times New Roman" w:cs="Times New Roman" w:eastAsia="Times New Roman" w:hint="default"/>
              </w:rPr>
              <w:tab/>
              <w:t>81</w:t>
            </w:r>
          </w:hyperlink>
        </w:p>
        <w:p>
          <w:pPr>
            <w:pStyle w:val="TOC4"/>
            <w:tabs>
              <w:tab w:pos="9782" w:val="right" w:leader="dot"/>
            </w:tabs>
            <w:spacing w:line="240" w:lineRule="auto"/>
            <w:ind w:right="0"/>
            <w:jc w:val="left"/>
            <w:rPr>
              <w:rFonts w:ascii="Times New Roman" w:hAnsi="Times New Roman" w:cs="Times New Roman" w:eastAsia="Times New Roman" w:hint="default"/>
            </w:rPr>
          </w:pPr>
          <w:hyperlink w:history="true" w:anchor="_bookmark67">
            <w:r>
              <w:rPr>
                <w:rFonts w:ascii="Arial" w:hAnsi="Arial" w:cs="Arial" w:eastAsia="Arial" w:hint="default"/>
              </w:rPr>
              <w:t>9.5</w:t>
            </w:r>
            <w:r>
              <w:rPr>
                <w:rFonts w:ascii="Arial" w:hAnsi="Arial" w:cs="Arial" w:eastAsia="Arial" w:hint="default"/>
                <w:spacing w:val="39"/>
              </w:rPr>
              <w:t> </w:t>
            </w:r>
            <w:r>
              <w:rPr/>
              <w:t>报告期内独立董事履行职责的情况</w:t>
            </w:r>
            <w:r>
              <w:rPr>
                <w:rFonts w:ascii="Times New Roman" w:hAnsi="Times New Roman" w:cs="Times New Roman" w:eastAsia="Times New Roman" w:hint="default"/>
              </w:rPr>
              <w:tab/>
              <w:t>82</w:t>
            </w:r>
          </w:hyperlink>
        </w:p>
        <w:p>
          <w:pPr>
            <w:pStyle w:val="TOC4"/>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68">
            <w:r>
              <w:rPr>
                <w:rFonts w:ascii="Arial" w:hAnsi="Arial" w:cs="Arial" w:eastAsia="Arial" w:hint="default"/>
              </w:rPr>
              <w:t>9.6</w:t>
            </w:r>
            <w:r>
              <w:rPr>
                <w:rFonts w:ascii="Arial" w:hAnsi="Arial" w:cs="Arial" w:eastAsia="Arial" w:hint="default"/>
                <w:spacing w:val="39"/>
              </w:rPr>
              <w:t> </w:t>
            </w:r>
            <w:r>
              <w:rPr/>
              <w:t>董事会下设专门委员会在报告期内履行职责情况</w:t>
            </w:r>
            <w:r>
              <w:rPr>
                <w:rFonts w:ascii="Times New Roman" w:hAnsi="Times New Roman" w:cs="Times New Roman" w:eastAsia="Times New Roman" w:hint="default"/>
              </w:rPr>
              <w:tab/>
              <w:t>83</w:t>
            </w:r>
          </w:hyperlink>
        </w:p>
        <w:p>
          <w:pPr>
            <w:pStyle w:val="TOC4"/>
            <w:tabs>
              <w:tab w:pos="9782" w:val="right" w:leader="dot"/>
            </w:tabs>
            <w:spacing w:line="240" w:lineRule="auto"/>
            <w:ind w:left="1993" w:right="0"/>
            <w:jc w:val="left"/>
            <w:rPr>
              <w:rFonts w:ascii="Times New Roman" w:hAnsi="Times New Roman" w:cs="Times New Roman" w:eastAsia="Times New Roman" w:hint="default"/>
            </w:rPr>
          </w:pPr>
          <w:hyperlink w:history="true" w:anchor="_bookmark69">
            <w:r>
              <w:rPr>
                <w:rFonts w:ascii="Arial" w:hAnsi="Arial" w:cs="Arial" w:eastAsia="Arial" w:hint="default"/>
              </w:rPr>
              <w:t>9.7</w:t>
            </w:r>
            <w:r>
              <w:rPr>
                <w:rFonts w:ascii="Arial" w:hAnsi="Arial" w:cs="Arial" w:eastAsia="Arial" w:hint="default"/>
                <w:spacing w:val="39"/>
              </w:rPr>
              <w:t> </w:t>
            </w:r>
            <w:r>
              <w:rPr/>
              <w:t>监事会工作情况</w:t>
            </w:r>
            <w:r>
              <w:rPr>
                <w:rFonts w:ascii="Times New Roman" w:hAnsi="Times New Roman" w:cs="Times New Roman" w:eastAsia="Times New Roman" w:hint="default"/>
              </w:rPr>
              <w:tab/>
              <w:t>83</w:t>
            </w:r>
          </w:hyperlink>
        </w:p>
        <w:p>
          <w:pPr>
            <w:pStyle w:val="TOC4"/>
            <w:tabs>
              <w:tab w:pos="9782" w:val="right" w:leader="dot"/>
            </w:tabs>
            <w:spacing w:line="240" w:lineRule="auto"/>
            <w:ind w:right="0"/>
            <w:jc w:val="left"/>
            <w:rPr>
              <w:rFonts w:ascii="Times New Roman" w:hAnsi="Times New Roman" w:cs="Times New Roman" w:eastAsia="Times New Roman" w:hint="default"/>
            </w:rPr>
          </w:pPr>
          <w:hyperlink w:history="true" w:anchor="_bookmark70">
            <w:r>
              <w:rPr>
                <w:rFonts w:ascii="Arial" w:hAnsi="Arial" w:cs="Arial" w:eastAsia="Arial" w:hint="default"/>
              </w:rPr>
              <w:t>9.8</w:t>
            </w:r>
            <w:r>
              <w:rPr>
                <w:rFonts w:ascii="Arial" w:hAnsi="Arial" w:cs="Arial" w:eastAsia="Arial" w:hint="default"/>
                <w:spacing w:val="39"/>
              </w:rPr>
              <w:t> </w:t>
            </w:r>
            <w:r>
              <w:rPr/>
              <w:t>高级管理人员的考评及激励情况</w:t>
            </w:r>
            <w:r>
              <w:rPr>
                <w:rFonts w:ascii="Times New Roman" w:hAnsi="Times New Roman" w:cs="Times New Roman" w:eastAsia="Times New Roman" w:hint="default"/>
              </w:rPr>
              <w:tab/>
              <w:t>83</w:t>
            </w:r>
          </w:hyperlink>
        </w:p>
        <w:p>
          <w:pPr>
            <w:pStyle w:val="TOC4"/>
            <w:tabs>
              <w:tab w:pos="9782" w:val="right" w:leader="dot"/>
            </w:tabs>
            <w:spacing w:line="240" w:lineRule="auto" w:before="103"/>
            <w:ind w:left="1993" w:right="0"/>
            <w:jc w:val="left"/>
            <w:rPr>
              <w:rFonts w:ascii="Times New Roman" w:hAnsi="Times New Roman" w:cs="Times New Roman" w:eastAsia="Times New Roman" w:hint="default"/>
            </w:rPr>
          </w:pPr>
          <w:hyperlink w:history="true" w:anchor="_bookmark71">
            <w:r>
              <w:rPr>
                <w:rFonts w:ascii="Arial" w:hAnsi="Arial" w:cs="Arial" w:eastAsia="Arial" w:hint="default"/>
              </w:rPr>
              <w:t>9.9</w:t>
            </w:r>
            <w:r>
              <w:rPr>
                <w:rFonts w:ascii="Arial" w:hAnsi="Arial" w:cs="Arial" w:eastAsia="Arial" w:hint="default"/>
                <w:spacing w:val="39"/>
              </w:rPr>
              <w:t> </w:t>
            </w:r>
            <w:r>
              <w:rPr/>
              <w:t>内部控制评价报告</w:t>
            </w:r>
            <w:r>
              <w:rPr>
                <w:rFonts w:ascii="Times New Roman" w:hAnsi="Times New Roman" w:cs="Times New Roman" w:eastAsia="Times New Roman" w:hint="default"/>
              </w:rPr>
              <w:tab/>
              <w:t>84</w:t>
            </w:r>
          </w:hyperlink>
        </w:p>
        <w:p>
          <w:pPr>
            <w:pStyle w:val="TOC4"/>
            <w:tabs>
              <w:tab w:pos="9782" w:val="right" w:leader="dot"/>
            </w:tabs>
            <w:spacing w:line="240" w:lineRule="auto" w:before="103"/>
            <w:ind w:left="1993" w:right="0"/>
            <w:jc w:val="left"/>
            <w:rPr>
              <w:rFonts w:ascii="Times New Roman" w:hAnsi="Times New Roman" w:cs="Times New Roman" w:eastAsia="Times New Roman" w:hint="default"/>
            </w:rPr>
          </w:pPr>
          <w:hyperlink w:history="true" w:anchor="_bookmark72">
            <w:r>
              <w:rPr>
                <w:rFonts w:ascii="Arial" w:hAnsi="Arial" w:cs="Arial" w:eastAsia="Arial" w:hint="default"/>
              </w:rPr>
              <w:t>9.10</w:t>
            </w:r>
            <w:r>
              <w:rPr>
                <w:rFonts w:ascii="Arial" w:hAnsi="Arial" w:cs="Arial" w:eastAsia="Arial" w:hint="default"/>
                <w:spacing w:val="38"/>
              </w:rPr>
              <w:t> </w:t>
            </w:r>
            <w:r>
              <w:rPr/>
              <w:t>内部控制审计报告或鉴证报告</w:t>
            </w:r>
            <w:r>
              <w:rPr>
                <w:rFonts w:ascii="Times New Roman" w:hAnsi="Times New Roman" w:cs="Times New Roman" w:eastAsia="Times New Roman" w:hint="default"/>
              </w:rPr>
              <w:tab/>
              <w:t>85</w:t>
            </w:r>
          </w:hyperlink>
        </w:p>
        <w:p>
          <w:pPr>
            <w:pStyle w:val="TOC2"/>
            <w:tabs>
              <w:tab w:pos="9782" w:val="right" w:leader="dot"/>
            </w:tabs>
            <w:spacing w:line="240" w:lineRule="auto"/>
            <w:ind w:right="0"/>
            <w:jc w:val="left"/>
            <w:rPr>
              <w:rFonts w:ascii="Times New Roman" w:hAnsi="Times New Roman" w:cs="Times New Roman" w:eastAsia="Times New Roman" w:hint="default"/>
            </w:rPr>
          </w:pPr>
          <w:hyperlink w:history="true" w:anchor="_bookmark73">
            <w:r>
              <w:rPr>
                <w:color w:val="2D74B5"/>
              </w:rPr>
              <w:t>第十节</w:t>
            </w:r>
            <w:r>
              <w:rPr>
                <w:color w:val="2D74B5"/>
                <w:spacing w:val="-2"/>
              </w:rPr>
              <w:t> </w:t>
            </w:r>
            <w:r>
              <w:rPr>
                <w:color w:val="2D74B5"/>
              </w:rPr>
              <w:t>财务报告</w:t>
            </w:r>
            <w:r>
              <w:rPr>
                <w:rFonts w:ascii="Times New Roman" w:hAnsi="Times New Roman" w:cs="Times New Roman" w:eastAsia="Times New Roman" w:hint="default"/>
                <w:color w:val="2D74B5"/>
              </w:rPr>
              <w:tab/>
              <w:t>86</w:t>
            </w:r>
            <w:r>
              <w:rPr>
                <w:rFonts w:ascii="Times New Roman" w:hAnsi="Times New Roman" w:cs="Times New Roman" w:eastAsia="Times New Roman" w:hint="default"/>
              </w:rPr>
            </w:r>
          </w:hyperlink>
        </w:p>
        <w:p>
          <w:pPr>
            <w:pStyle w:val="TOC4"/>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74">
            <w:r>
              <w:rPr/>
              <w:t>一、审计报告</w:t>
            </w:r>
            <w:r>
              <w:rPr>
                <w:rFonts w:ascii="Times New Roman" w:hAnsi="Times New Roman" w:cs="Times New Roman" w:eastAsia="Times New Roman" w:hint="default"/>
              </w:rPr>
              <w:tab/>
              <w:t>86</w:t>
            </w:r>
          </w:hyperlink>
        </w:p>
        <w:p>
          <w:pPr>
            <w:pStyle w:val="TOC4"/>
            <w:tabs>
              <w:tab w:pos="9782" w:val="right" w:leader="dot"/>
            </w:tabs>
            <w:spacing w:line="240" w:lineRule="auto" w:before="327"/>
            <w:ind w:right="0"/>
            <w:jc w:val="left"/>
            <w:rPr>
              <w:rFonts w:ascii="Times New Roman" w:hAnsi="Times New Roman" w:cs="Times New Roman" w:eastAsia="Times New Roman" w:hint="default"/>
            </w:rPr>
          </w:pPr>
          <w:hyperlink w:history="true" w:anchor="_bookmark75">
            <w:r>
              <w:rPr/>
              <w:t>二、财务报表</w:t>
            </w:r>
            <w:r>
              <w:rPr>
                <w:rFonts w:ascii="Times New Roman" w:hAnsi="Times New Roman" w:cs="Times New Roman" w:eastAsia="Times New Roman" w:hint="default"/>
              </w:rPr>
              <w:tab/>
              <w:t>88</w:t>
            </w:r>
          </w:hyperlink>
        </w:p>
        <w:p>
          <w:pPr>
            <w:pStyle w:val="TOC4"/>
            <w:tabs>
              <w:tab w:pos="9782" w:val="right" w:leader="dot"/>
            </w:tabs>
            <w:spacing w:line="240" w:lineRule="auto"/>
            <w:ind w:right="0"/>
            <w:jc w:val="left"/>
            <w:rPr>
              <w:rFonts w:ascii="Times New Roman" w:hAnsi="Times New Roman" w:cs="Times New Roman" w:eastAsia="Times New Roman" w:hint="default"/>
            </w:rPr>
          </w:pPr>
          <w:hyperlink w:history="true" w:anchor="_bookmark76">
            <w:r>
              <w:rPr/>
              <w:t>三、公司基本情况</w:t>
            </w:r>
            <w:r>
              <w:rPr>
                <w:rFonts w:ascii="Times New Roman" w:hAnsi="Times New Roman" w:cs="Times New Roman" w:eastAsia="Times New Roman" w:hint="default"/>
              </w:rPr>
              <w:tab/>
              <w:t>106</w:t>
            </w:r>
          </w:hyperlink>
        </w:p>
        <w:p>
          <w:pPr>
            <w:pStyle w:val="TOC4"/>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77">
            <w:r>
              <w:rPr/>
              <w:t>四、财务报表的编制基础</w:t>
            </w:r>
            <w:r>
              <w:rPr>
                <w:rFonts w:ascii="Times New Roman" w:hAnsi="Times New Roman" w:cs="Times New Roman" w:eastAsia="Times New Roman" w:hint="default"/>
              </w:rPr>
              <w:tab/>
              <w:t>109</w:t>
            </w:r>
          </w:hyperlink>
        </w:p>
        <w:p>
          <w:pPr>
            <w:pStyle w:val="TOC4"/>
            <w:tabs>
              <w:tab w:pos="9782" w:val="right" w:leader="dot"/>
            </w:tabs>
            <w:spacing w:line="240" w:lineRule="auto"/>
            <w:ind w:left="1993" w:right="0"/>
            <w:jc w:val="left"/>
            <w:rPr>
              <w:rFonts w:ascii="Times New Roman" w:hAnsi="Times New Roman" w:cs="Times New Roman" w:eastAsia="Times New Roman" w:hint="default"/>
            </w:rPr>
          </w:pPr>
          <w:hyperlink w:history="true" w:anchor="_bookmark78">
            <w:r>
              <w:rPr/>
              <w:t>五、</w:t>
            </w:r>
            <w:r>
              <w:rPr>
                <w:spacing w:val="-2"/>
              </w:rPr>
              <w:t> </w:t>
            </w:r>
            <w:r>
              <w:rPr/>
              <w:t>重要会计政策和会计估计</w:t>
            </w:r>
            <w:r>
              <w:rPr>
                <w:rFonts w:ascii="Times New Roman" w:hAnsi="Times New Roman" w:cs="Times New Roman" w:eastAsia="Times New Roman" w:hint="default"/>
              </w:rPr>
              <w:tab/>
            </w:r>
            <w:r>
              <w:rPr>
                <w:rFonts w:ascii="Times New Roman" w:hAnsi="Times New Roman" w:cs="Times New Roman" w:eastAsia="Times New Roman" w:hint="default"/>
                <w:spacing w:val="-3"/>
              </w:rPr>
              <w:t>110</w:t>
            </w:r>
          </w:hyperlink>
        </w:p>
        <w:p>
          <w:pPr>
            <w:pStyle w:val="TOC4"/>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79">
            <w:r>
              <w:rPr/>
              <w:t>六、税项</w:t>
            </w:r>
            <w:r>
              <w:rPr>
                <w:rFonts w:ascii="Times New Roman" w:hAnsi="Times New Roman" w:cs="Times New Roman" w:eastAsia="Times New Roman" w:hint="default"/>
              </w:rPr>
              <w:tab/>
              <w:t>137</w:t>
            </w:r>
          </w:hyperlink>
        </w:p>
        <w:p>
          <w:pPr>
            <w:pStyle w:val="TOC4"/>
            <w:tabs>
              <w:tab w:pos="9782" w:val="right" w:leader="dot"/>
            </w:tabs>
            <w:spacing w:line="240" w:lineRule="auto" w:before="103"/>
            <w:ind w:left="1993" w:right="0"/>
            <w:jc w:val="left"/>
            <w:rPr>
              <w:rFonts w:ascii="Times New Roman" w:hAnsi="Times New Roman" w:cs="Times New Roman" w:eastAsia="Times New Roman" w:hint="default"/>
            </w:rPr>
          </w:pPr>
          <w:hyperlink w:history="true" w:anchor="_bookmark80">
            <w:r>
              <w:rPr/>
              <w:t>七、合并财务报表项目注释</w:t>
            </w:r>
            <w:r>
              <w:rPr>
                <w:rFonts w:ascii="Times New Roman" w:hAnsi="Times New Roman" w:cs="Times New Roman" w:eastAsia="Times New Roman" w:hint="default"/>
              </w:rPr>
              <w:tab/>
              <w:t>139</w:t>
            </w:r>
          </w:hyperlink>
        </w:p>
        <w:p>
          <w:pPr>
            <w:pStyle w:val="TOC4"/>
            <w:tabs>
              <w:tab w:pos="9782" w:val="right" w:leader="dot"/>
            </w:tabs>
            <w:spacing w:line="240" w:lineRule="auto"/>
            <w:ind w:right="0"/>
            <w:jc w:val="left"/>
            <w:rPr>
              <w:rFonts w:ascii="Times New Roman" w:hAnsi="Times New Roman" w:cs="Times New Roman" w:eastAsia="Times New Roman" w:hint="default"/>
            </w:rPr>
          </w:pPr>
          <w:hyperlink w:history="true" w:anchor="_bookmark81">
            <w:r>
              <w:rPr/>
              <w:t>八、合并范围的变更</w:t>
            </w:r>
            <w:r>
              <w:rPr>
                <w:rFonts w:ascii="Times New Roman" w:hAnsi="Times New Roman" w:cs="Times New Roman" w:eastAsia="Times New Roman" w:hint="default"/>
              </w:rPr>
              <w:tab/>
              <w:t>170</w:t>
            </w:r>
          </w:hyperlink>
        </w:p>
        <w:p>
          <w:pPr>
            <w:pStyle w:val="TOC4"/>
            <w:tabs>
              <w:tab w:pos="9782" w:val="right" w:leader="dot"/>
            </w:tabs>
            <w:spacing w:line="240" w:lineRule="auto"/>
            <w:ind w:left="1993" w:right="0"/>
            <w:jc w:val="left"/>
            <w:rPr>
              <w:rFonts w:ascii="Times New Roman" w:hAnsi="Times New Roman" w:cs="Times New Roman" w:eastAsia="Times New Roman" w:hint="default"/>
            </w:rPr>
          </w:pPr>
          <w:hyperlink w:history="true" w:anchor="_bookmark82">
            <w:r>
              <w:rPr/>
              <w:t>九、在其他主体中的权益</w:t>
            </w:r>
            <w:r>
              <w:rPr>
                <w:rFonts w:ascii="Times New Roman" w:hAnsi="Times New Roman" w:cs="Times New Roman" w:eastAsia="Times New Roman" w:hint="default"/>
              </w:rPr>
              <w:tab/>
              <w:t>170</w:t>
            </w:r>
          </w:hyperlink>
        </w:p>
        <w:p>
          <w:pPr>
            <w:pStyle w:val="TOC4"/>
            <w:tabs>
              <w:tab w:pos="9782" w:val="right" w:leader="dot"/>
            </w:tabs>
            <w:spacing w:line="240" w:lineRule="auto" w:before="103"/>
            <w:ind w:left="1993" w:right="0"/>
            <w:jc w:val="left"/>
            <w:rPr>
              <w:rFonts w:ascii="Times New Roman" w:hAnsi="Times New Roman" w:cs="Times New Roman" w:eastAsia="Times New Roman" w:hint="default"/>
            </w:rPr>
          </w:pPr>
          <w:hyperlink w:history="true" w:anchor="_bookmark83">
            <w:r>
              <w:rPr/>
              <w:t>十、公允价值的披露</w:t>
            </w:r>
            <w:r>
              <w:rPr>
                <w:rFonts w:ascii="Times New Roman" w:hAnsi="Times New Roman" w:cs="Times New Roman" w:eastAsia="Times New Roman" w:hint="default"/>
              </w:rPr>
              <w:tab/>
              <w:t>174</w:t>
            </w:r>
          </w:hyperlink>
        </w:p>
        <w:p>
          <w:pPr>
            <w:pStyle w:val="TOC4"/>
            <w:tabs>
              <w:tab w:pos="9782" w:val="right" w:leader="dot"/>
            </w:tabs>
            <w:spacing w:line="240" w:lineRule="auto"/>
            <w:ind w:left="1993" w:right="0"/>
            <w:jc w:val="left"/>
            <w:rPr>
              <w:rFonts w:ascii="Times New Roman" w:hAnsi="Times New Roman" w:cs="Times New Roman" w:eastAsia="Times New Roman" w:hint="default"/>
            </w:rPr>
          </w:pPr>
          <w:hyperlink w:history="true" w:anchor="_bookmark84">
            <w:r>
              <w:rPr/>
              <w:t>十一、关联方及关联交易</w:t>
            </w:r>
            <w:r>
              <w:rPr>
                <w:rFonts w:ascii="Times New Roman" w:hAnsi="Times New Roman" w:cs="Times New Roman" w:eastAsia="Times New Roman" w:hint="default"/>
              </w:rPr>
              <w:tab/>
              <w:t>174</w:t>
            </w:r>
          </w:hyperlink>
        </w:p>
        <w:p>
          <w:pPr>
            <w:pStyle w:val="TOC4"/>
            <w:tabs>
              <w:tab w:pos="9782" w:val="right" w:leader="dot"/>
            </w:tabs>
            <w:spacing w:line="240" w:lineRule="auto"/>
            <w:ind w:right="0"/>
            <w:jc w:val="left"/>
            <w:rPr>
              <w:rFonts w:ascii="Times New Roman" w:hAnsi="Times New Roman" w:cs="Times New Roman" w:eastAsia="Times New Roman" w:hint="default"/>
            </w:rPr>
          </w:pPr>
          <w:hyperlink w:history="true" w:anchor="_bookmark85">
            <w:r>
              <w:rPr/>
              <w:t>十二、股份支付</w:t>
            </w:r>
            <w:r>
              <w:rPr>
                <w:rFonts w:ascii="Times New Roman" w:hAnsi="Times New Roman" w:cs="Times New Roman" w:eastAsia="Times New Roman" w:hint="default"/>
              </w:rPr>
              <w:tab/>
              <w:t>179</w:t>
            </w:r>
          </w:hyperlink>
        </w:p>
        <w:p>
          <w:pPr>
            <w:pStyle w:val="TOC4"/>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86">
            <w:r>
              <w:rPr/>
              <w:t>十三、承诺及或有事项</w:t>
            </w:r>
            <w:r>
              <w:rPr>
                <w:rFonts w:ascii="Times New Roman" w:hAnsi="Times New Roman" w:cs="Times New Roman" w:eastAsia="Times New Roman" w:hint="default"/>
              </w:rPr>
              <w:tab/>
              <w:t>180</w:t>
            </w:r>
          </w:hyperlink>
        </w:p>
        <w:p>
          <w:pPr>
            <w:pStyle w:val="TOC4"/>
            <w:tabs>
              <w:tab w:pos="9782" w:val="right" w:leader="dot"/>
            </w:tabs>
            <w:spacing w:line="240" w:lineRule="auto"/>
            <w:ind w:left="1993" w:right="0"/>
            <w:jc w:val="left"/>
            <w:rPr>
              <w:rFonts w:ascii="Times New Roman" w:hAnsi="Times New Roman" w:cs="Times New Roman" w:eastAsia="Times New Roman" w:hint="default"/>
            </w:rPr>
          </w:pPr>
          <w:hyperlink w:history="true" w:anchor="_bookmark87">
            <w:r>
              <w:rPr/>
              <w:t>十四、资产负债表日后事项</w:t>
            </w:r>
            <w:r>
              <w:rPr>
                <w:rFonts w:ascii="Times New Roman" w:hAnsi="Times New Roman" w:cs="Times New Roman" w:eastAsia="Times New Roman" w:hint="default"/>
              </w:rPr>
              <w:tab/>
              <w:t>182</w:t>
            </w:r>
          </w:hyperlink>
        </w:p>
        <w:p>
          <w:pPr>
            <w:pStyle w:val="TOC4"/>
            <w:tabs>
              <w:tab w:pos="9782" w:val="right" w:leader="dot"/>
            </w:tabs>
            <w:spacing w:line="240" w:lineRule="auto"/>
            <w:ind w:left="1993" w:right="0"/>
            <w:jc w:val="left"/>
            <w:rPr>
              <w:rFonts w:ascii="Times New Roman" w:hAnsi="Times New Roman" w:cs="Times New Roman" w:eastAsia="Times New Roman" w:hint="default"/>
            </w:rPr>
          </w:pPr>
          <w:hyperlink w:history="true" w:anchor="_bookmark88">
            <w:r>
              <w:rPr/>
              <w:t>十五、其他重要事项</w:t>
            </w:r>
            <w:r>
              <w:rPr>
                <w:rFonts w:ascii="Times New Roman" w:hAnsi="Times New Roman" w:cs="Times New Roman" w:eastAsia="Times New Roman" w:hint="default"/>
              </w:rPr>
              <w:tab/>
              <w:t>184</w:t>
            </w:r>
          </w:hyperlink>
        </w:p>
        <w:p>
          <w:pPr>
            <w:pStyle w:val="TOC4"/>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89">
            <w:r>
              <w:rPr/>
              <w:t>十六、母公司财务报表主要项目注释</w:t>
            </w:r>
            <w:r>
              <w:rPr>
                <w:rFonts w:ascii="Times New Roman" w:hAnsi="Times New Roman" w:cs="Times New Roman" w:eastAsia="Times New Roman" w:hint="default"/>
              </w:rPr>
              <w:tab/>
              <w:t>186</w:t>
            </w:r>
          </w:hyperlink>
        </w:p>
        <w:p>
          <w:pPr>
            <w:pStyle w:val="TOC4"/>
            <w:tabs>
              <w:tab w:pos="9782" w:val="right" w:leader="dot"/>
            </w:tabs>
            <w:spacing w:line="240" w:lineRule="auto"/>
            <w:ind w:right="0"/>
            <w:jc w:val="left"/>
            <w:rPr>
              <w:rFonts w:ascii="Times New Roman" w:hAnsi="Times New Roman" w:cs="Times New Roman" w:eastAsia="Times New Roman" w:hint="default"/>
            </w:rPr>
          </w:pPr>
          <w:hyperlink w:history="true" w:anchor="_bookmark90">
            <w:r>
              <w:rPr/>
              <w:t>十七、补充资料</w:t>
            </w:r>
            <w:r>
              <w:rPr>
                <w:rFonts w:ascii="Times New Roman" w:hAnsi="Times New Roman" w:cs="Times New Roman" w:eastAsia="Times New Roman" w:hint="default"/>
              </w:rPr>
              <w:tab/>
              <w:t>191</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91">
            <w:r>
              <w:rPr>
                <w:color w:val="2D74B5"/>
              </w:rPr>
              <w:t>第十一节</w:t>
            </w:r>
            <w:r>
              <w:rPr>
                <w:color w:val="2D74B5"/>
                <w:spacing w:val="-2"/>
              </w:rPr>
              <w:t> </w:t>
            </w:r>
            <w:r>
              <w:rPr>
                <w:color w:val="2D74B5"/>
              </w:rPr>
              <w:t>备查文件目录</w:t>
            </w:r>
            <w:r>
              <w:rPr>
                <w:rFonts w:ascii="Times New Roman" w:hAnsi="Times New Roman" w:cs="Times New Roman" w:eastAsia="Times New Roman" w:hint="default"/>
                <w:color w:val="2D74B5"/>
              </w:rPr>
              <w:tab/>
              <w:t>192</w:t>
            </w:r>
            <w:r>
              <w:rPr>
                <w:rFonts w:ascii="Times New Roman" w:hAnsi="Times New Roman" w:cs="Times New Roman" w:eastAsia="Times New Roman" w:hint="default"/>
              </w:rPr>
            </w:r>
          </w:hyperlink>
        </w:p>
      </w:sdtContent>
    </w:sdt>
    <w:p>
      <w:pPr>
        <w:spacing w:after="0" w:line="240" w:lineRule="auto"/>
        <w:jc w:val="left"/>
        <w:rPr>
          <w:rFonts w:ascii="Times New Roman" w:hAnsi="Times New Roman" w:cs="Times New Roman" w:eastAsia="Times New Roman" w:hint="default"/>
        </w:rPr>
        <w:sectPr>
          <w:type w:val="continuous"/>
          <w:pgSz w:w="11910" w:h="16840"/>
          <w:pgMar w:top="1426" w:bottom="1645" w:left="980" w:right="0"/>
        </w:sectPr>
      </w:pPr>
    </w:p>
    <w:p>
      <w:pPr>
        <w:spacing w:after="0" w:line="240" w:lineRule="auto"/>
        <w:jc w:val="left"/>
        <w:rPr>
          <w:rFonts w:ascii="Times New Roman" w:hAnsi="Times New Roman" w:cs="Times New Roman" w:eastAsia="Times New Roman" w:hint="default"/>
        </w:rPr>
        <w:sectPr>
          <w:type w:val="continuous"/>
          <w:pgSz w:w="11910" w:h="16840"/>
          <w:pgMar w:top="1100" w:bottom="1380" w:left="980" w:right="0"/>
        </w:sectPr>
      </w:pPr>
    </w:p>
    <w:p>
      <w:pPr>
        <w:spacing w:line="6367" w:lineRule="exact"/>
        <w:ind w:left="103" w:right="-19"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6"/>
          <w:sz w:val="20"/>
          <w:szCs w:val="20"/>
        </w:rPr>
        <w:pict>
          <v:group style="width:558.85pt;height:318.4pt;mso-position-horizontal-relative:char;mso-position-vertical-relative:line" coordorigin="0,0" coordsize="11177,6368">
            <v:group style="position:absolute;left:401;top:1080;width:9700;height:2" coordorigin="401,1080" coordsize="9700,2">
              <v:shape style="position:absolute;left:401;top:1080;width:9700;height:2" coordorigin="401,1080" coordsize="9700,0" path="m401,1080l10101,1080e" filled="false" stroked="true" strokeweight=".72pt" strokecolor="#000000">
                <v:path arrowok="t"/>
              </v:shape>
              <v:shape style="position:absolute;left:0;top:0;width:11177;height:6367" type="#_x0000_t75" stroked="false">
                <v:imagedata r:id="rId12" o:title=""/>
              </v:shape>
            </v:group>
          </v:group>
        </w:pict>
      </w:r>
      <w:r>
        <w:rPr>
          <w:rFonts w:ascii="Times New Roman" w:hAnsi="Times New Roman" w:cs="Times New Roman" w:eastAsia="Times New Roman" w:hint="default"/>
          <w:position w:val="-126"/>
          <w:sz w:val="20"/>
          <w:szCs w:val="20"/>
        </w:rPr>
      </w:r>
    </w:p>
    <w:p>
      <w:pPr>
        <w:spacing w:line="240" w:lineRule="auto" w:before="8"/>
        <w:rPr>
          <w:rFonts w:ascii="Times New Roman" w:hAnsi="Times New Roman" w:cs="Times New Roman" w:eastAsia="Times New Roman" w:hint="default"/>
          <w:sz w:val="27"/>
          <w:szCs w:val="27"/>
        </w:rPr>
      </w:pPr>
    </w:p>
    <w:p>
      <w:pPr>
        <w:pStyle w:val="BodyText"/>
        <w:spacing w:line="384" w:lineRule="auto"/>
        <w:ind w:left="533" w:right="912" w:firstLine="420"/>
        <w:jc w:val="left"/>
      </w:pPr>
      <w:r>
        <w:rPr/>
        <w:pict>
          <v:shape style="position:absolute;margin-left:35.154007pt;margin-top:-333.576324pt;width:558.85pt;height:318.4pt;mso-position-horizontal-relative:page;mso-position-vertical-relative:paragraph;z-index:-105172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4"/>
                      <w:szCs w:val="24"/>
                    </w:rPr>
                  </w:pPr>
                </w:p>
                <w:p>
                  <w:pPr>
                    <w:tabs>
                      <w:tab w:pos="8406" w:val="left" w:leader="none"/>
                    </w:tabs>
                    <w:spacing w:before="0"/>
                    <w:ind w:left="664" w:right="0" w:firstLine="0"/>
                    <w:jc w:val="left"/>
                    <w:rPr>
                      <w:rFonts w:ascii="宋体" w:hAnsi="宋体" w:cs="宋体" w:eastAsia="宋体" w:hint="default"/>
                      <w:sz w:val="18"/>
                      <w:szCs w:val="18"/>
                    </w:rPr>
                  </w:pPr>
                  <w:r>
                    <w:rPr>
                      <w:rFonts w:ascii="宋体" w:hAnsi="宋体" w:cs="宋体" w:eastAsia="宋体" w:hint="default"/>
                      <w:sz w:val="18"/>
                      <w:szCs w:val="18"/>
                    </w:rPr>
                    <w:t>深圳市爱施德股份有限公司</w:t>
                    <w:tab/>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18"/>
                    <w:ind w:left="0" w:right="673" w:firstLine="0"/>
                    <w:jc w:val="center"/>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color w:val="2D74B5"/>
                      <w:sz w:val="28"/>
                      <w:szCs w:val="28"/>
                    </w:rPr>
                    <w:t>致股东</w:t>
                  </w:r>
                  <w:r>
                    <w:rPr>
                      <w:rFonts w:ascii="Microsoft JhengHei" w:hAnsi="Microsoft JhengHei" w:cs="Microsoft JhengHei" w:eastAsia="Microsoft JhengHei" w:hint="default"/>
                      <w:sz w:val="28"/>
                      <w:szCs w:val="28"/>
                    </w:rPr>
                  </w:r>
                </w:p>
              </w:txbxContent>
            </v:textbox>
            <w10:wrap type="none"/>
          </v:shape>
        </w:pict>
      </w:r>
      <w:bookmarkStart w:name="/" w:id="5"/>
      <w:bookmarkEnd w:id="5"/>
      <w:r>
        <w:rPr/>
      </w:r>
      <w:bookmarkStart w:name="致股东" w:id="6"/>
      <w:bookmarkEnd w:id="6"/>
      <w:r>
        <w:rPr/>
      </w:r>
      <w:bookmarkStart w:name="_bookmark1" w:id="7"/>
      <w:bookmarkEnd w:id="7"/>
      <w:r>
        <w:rPr/>
      </w:r>
      <w:r>
        <w:rPr>
          <w:spacing w:val="-1"/>
        </w:rPr>
        <w:t>又到年报公开日，借此机会爱施德对一直支持和关爱我们的股东们致以诚挚的谢意，是你们的不离不</w:t>
      </w:r>
      <w:r>
        <w:rPr/>
        <w:t> 弃一直鞭策着我们无畏探索，奋勇前行。</w:t>
      </w:r>
    </w:p>
    <w:p>
      <w:pPr>
        <w:pStyle w:val="BodyText"/>
        <w:spacing w:line="240" w:lineRule="auto" w:before="38"/>
        <w:ind w:left="953" w:right="912"/>
        <w:jc w:val="left"/>
      </w:pPr>
      <w:r>
        <w:rPr/>
        <w:t>如果说 </w:t>
      </w:r>
      <w:r>
        <w:rPr>
          <w:rFonts w:ascii="Arial" w:hAnsi="Arial" w:cs="Arial" w:eastAsia="Arial" w:hint="default"/>
        </w:rPr>
        <w:t>2014 </w:t>
      </w:r>
      <w:r>
        <w:rPr/>
        <w:t>是爱施德雄鹰低徊的一年，那么 </w:t>
      </w:r>
      <w:r>
        <w:rPr>
          <w:rFonts w:ascii="Arial" w:hAnsi="Arial" w:cs="Arial" w:eastAsia="Arial" w:hint="default"/>
        </w:rPr>
        <w:t>2015</w:t>
      </w:r>
      <w:r>
        <w:rPr>
          <w:rFonts w:ascii="Arial" w:hAnsi="Arial" w:cs="Arial" w:eastAsia="Arial" w:hint="default"/>
          <w:spacing w:val="-24"/>
        </w:rPr>
        <w:t> </w:t>
      </w:r>
      <w:r>
        <w:rPr/>
        <w:t>年就是我们耕耘希望的一年。经过一年的努力，</w:t>
      </w:r>
    </w:p>
    <w:p>
      <w:pPr>
        <w:pStyle w:val="BodyText"/>
        <w:spacing w:line="364" w:lineRule="auto" w:before="150"/>
        <w:ind w:left="533" w:right="1114"/>
        <w:jc w:val="left"/>
      </w:pPr>
      <w:r>
        <w:rPr/>
        <w:t>爱施德的各项业务都取得了突破和进展，成倍的利润增长也肯定了我们的努力。经过 </w:t>
      </w:r>
      <w:r>
        <w:rPr>
          <w:rFonts w:ascii="Arial" w:hAnsi="Arial" w:cs="Arial" w:eastAsia="Arial" w:hint="default"/>
        </w:rPr>
        <w:t>2015</w:t>
      </w:r>
      <w:r>
        <w:rPr>
          <w:rFonts w:ascii="Arial" w:hAnsi="Arial" w:cs="Arial" w:eastAsia="Arial" w:hint="default"/>
          <w:spacing w:val="-22"/>
        </w:rPr>
        <w:t> </w:t>
      </w:r>
      <w:r>
        <w:rPr/>
        <w:t>年爱施德对未 来的战略目标更加明晰，方向更为明确，信心也更为坚定。</w:t>
      </w:r>
    </w:p>
    <w:p>
      <w:pPr>
        <w:pStyle w:val="BodyText"/>
        <w:spacing w:line="379" w:lineRule="auto" w:before="55"/>
        <w:ind w:left="534" w:right="912" w:firstLine="420"/>
        <w:jc w:val="left"/>
      </w:pPr>
      <w:r>
        <w:rPr/>
        <w:t>去年时我们曾说过在任何一个细分领域，谁能够率先把握互联网，并且可以把它所在的这个产业里的 生产关系重新理顺，迅速发现痛点、解决痛点，谁就会笑到这场战役的最后。在 </w:t>
      </w:r>
      <w:r>
        <w:rPr>
          <w:rFonts w:ascii="Arial" w:hAnsi="Arial" w:cs="Arial" w:eastAsia="Arial" w:hint="default"/>
        </w:rPr>
        <w:t>2015</w:t>
      </w:r>
      <w:r>
        <w:rPr>
          <w:rFonts w:ascii="Arial" w:hAnsi="Arial" w:cs="Arial" w:eastAsia="Arial" w:hint="default"/>
          <w:spacing w:val="-23"/>
        </w:rPr>
        <w:t> </w:t>
      </w:r>
      <w:r>
        <w:rPr/>
        <w:t>年，我们通过精细 化运营，公司的手机分销业务在发展规模和经营效率上仍然保持行业龙头地位。经过公司整合外部资源，</w:t>
      </w:r>
      <w:r>
        <w:rPr>
          <w:spacing w:val="-35"/>
        </w:rPr>
        <w:t> </w:t>
      </w:r>
      <w:r>
        <w:rPr>
          <w:spacing w:val="-35"/>
        </w:rPr>
      </w:r>
      <w:r>
        <w:rPr/>
        <w:t>强化内部效率，实现了利润的大幅增长；同时基于主营业务之上的移动转售业务用户规模稳居行业前列，</w:t>
      </w:r>
      <w:r>
        <w:rPr>
          <w:spacing w:val="-35"/>
        </w:rPr>
        <w:t> </w:t>
      </w:r>
      <w:r>
        <w:rPr>
          <w:spacing w:val="-35"/>
        </w:rPr>
      </w:r>
      <w:r>
        <w:rPr>
          <w:spacing w:val="-15"/>
          <w:w w:val="99"/>
        </w:rPr>
        <w:t>未来将开启新的发展序幕；“</w:t>
      </w:r>
      <w:r>
        <w:rPr>
          <w:rFonts w:ascii="Arial" w:hAnsi="Arial" w:cs="Arial" w:eastAsia="Arial" w:hint="default"/>
          <w:spacing w:val="-15"/>
          <w:w w:val="99"/>
        </w:rPr>
        <w:t>1</w:t>
      </w:r>
      <w:r>
        <w:rPr>
          <w:rFonts w:ascii="Arial" w:hAnsi="Arial" w:cs="Arial" w:eastAsia="Arial" w:hint="default"/>
          <w:spacing w:val="-6"/>
          <w:w w:val="99"/>
        </w:rPr>
        <w:t> </w:t>
      </w:r>
      <w:r>
        <w:rPr>
          <w:spacing w:val="-7"/>
        </w:rPr>
        <w:t>号机平台”电商业务上线运营短短</w:t>
      </w:r>
      <w:r>
        <w:rPr>
          <w:spacing w:val="-52"/>
        </w:rPr>
        <w:t> </w:t>
      </w:r>
      <w:r>
        <w:rPr>
          <w:rFonts w:ascii="Arial" w:hAnsi="Arial" w:cs="Arial" w:eastAsia="Arial" w:hint="default"/>
          <w:w w:val="99"/>
        </w:rPr>
        <w:t>6</w:t>
      </w:r>
      <w:r>
        <w:rPr>
          <w:rFonts w:ascii="Arial" w:hAnsi="Arial" w:cs="Arial" w:eastAsia="Arial" w:hint="default"/>
          <w:spacing w:val="-5"/>
          <w:w w:val="99"/>
        </w:rPr>
        <w:t> </w:t>
      </w:r>
      <w:r>
        <w:rPr>
          <w:spacing w:val="-11"/>
          <w:w w:val="101"/>
        </w:rPr>
        <w:t>个月的时间，平台用户及交易规模（</w:t>
      </w:r>
      <w:r>
        <w:rPr>
          <w:rFonts w:ascii="Arial" w:hAnsi="Arial" w:cs="Arial" w:eastAsia="Arial" w:hint="default"/>
          <w:spacing w:val="-11"/>
          <w:w w:val="101"/>
        </w:rPr>
        <w:t>GMV</w:t>
      </w:r>
      <w:r>
        <w:rPr>
          <w:spacing w:val="-11"/>
          <w:w w:val="101"/>
        </w:rPr>
        <w:t>）</w:t>
      </w:r>
      <w:r>
        <w:rPr/>
        <w:t> 取得了超预期的高速增长，公司新兴业务都实现了初步的战略价值；公司在金融领域的产业布局和供应链</w:t>
      </w:r>
      <w:r>
        <w:rPr/>
        <w:t> </w:t>
      </w:r>
      <w:r>
        <w:rPr>
          <w:spacing w:val="-1"/>
        </w:rPr>
        <w:t>金融服务项目生机勃勃，百亿流水开始真正“发电”，爱施德从手机分销业务领域的一艘孤独巨舰，升级</w:t>
      </w:r>
      <w:r>
        <w:rPr>
          <w:spacing w:val="-94"/>
        </w:rPr>
        <w:t> </w:t>
      </w:r>
      <w:r>
        <w:rPr>
          <w:spacing w:val="-94"/>
        </w:rPr>
      </w:r>
      <w:r>
        <w:rPr>
          <w:spacing w:val="-3"/>
        </w:rPr>
        <w:t>为一支“航母编队”，盈利能力、抗风险能力、抗行业周期能力和综合整合能力都得到了大幅度的提升。</w:t>
      </w:r>
    </w:p>
    <w:p>
      <w:pPr>
        <w:pStyle w:val="BodyText"/>
        <w:spacing w:line="384" w:lineRule="auto" w:before="43"/>
        <w:ind w:left="534" w:right="912" w:firstLine="420"/>
        <w:jc w:val="left"/>
      </w:pPr>
      <w:r>
        <w:rPr>
          <w:spacing w:val="-1"/>
        </w:rPr>
        <w:t>随着行业的成熟和互联网在产业运用上的多元化，传统分销的业态也开始升级换代，“供应链重构”</w:t>
      </w:r>
      <w:r>
        <w:rPr/>
        <w:t> 成为渠道商新旧模式切换中的关键节点。 “各人自扫门前雪”的时代已经远去，唯有打通、整合上下游</w:t>
      </w:r>
      <w:r>
        <w:rPr>
          <w:spacing w:val="-29"/>
        </w:rPr>
        <w:t> </w:t>
      </w:r>
      <w:r>
        <w:rPr>
          <w:spacing w:val="-29"/>
        </w:rPr>
      </w:r>
      <w:r>
        <w:rPr>
          <w:spacing w:val="-5"/>
        </w:rPr>
        <w:t>产业链，才能凝聚更强的战斗力。在向管理要效率、向流程要效率之后，我们开始升级为向产业链要效率。</w:t>
      </w:r>
      <w:r>
        <w:rPr>
          <w:spacing w:val="-102"/>
        </w:rPr>
        <w:t> </w:t>
      </w:r>
      <w:r>
        <w:rPr>
          <w:spacing w:val="-102"/>
        </w:rPr>
      </w:r>
      <w:r>
        <w:rPr>
          <w:spacing w:val="-1"/>
        </w:rPr>
        <w:t>这不再是一场“零和博弈”，我们将依托互联网所带来的便利，以及公司产业链定位所带来的天然信息和</w:t>
      </w:r>
      <w:r>
        <w:rPr>
          <w:spacing w:val="-94"/>
        </w:rPr>
        <w:t> </w:t>
      </w:r>
      <w:r>
        <w:rPr>
          <w:spacing w:val="-94"/>
        </w:rPr>
      </w:r>
      <w:r>
        <w:rPr/>
        <w:t>数据的优势，架设起一条从厂商到用户的产品、信息、数据、金融四位一体的智能渠道，对合作伙伴进行</w:t>
      </w:r>
      <w:r>
        <w:rPr/>
        <w:t> “构建能力、提升效率”的赋能，从行业的一环升级为带动行业良性运转的中轴。从此，厂商生产什么，</w:t>
      </w:r>
    </w:p>
    <w:p>
      <w:pPr>
        <w:pStyle w:val="BodyText"/>
        <w:spacing w:line="240" w:lineRule="auto" w:before="39"/>
        <w:ind w:left="534" w:right="0"/>
        <w:jc w:val="left"/>
      </w:pPr>
      <w:r>
        <w:rPr/>
        <w:t>不再是基于经验和天才大脑的豪赌，也不再需要通过广撒网的模式以产品的多样化来应对市场的不确定性。</w:t>
      </w:r>
    </w:p>
    <w:p>
      <w:pPr>
        <w:spacing w:after="0" w:line="240" w:lineRule="auto"/>
        <w:jc w:val="left"/>
        <w:sectPr>
          <w:headerReference w:type="default" r:id="rId10"/>
          <w:footerReference w:type="default" r:id="rId11"/>
          <w:pgSz w:w="11910" w:h="16840"/>
          <w:pgMar w:header="0" w:footer="1187" w:top="0" w:bottom="1380" w:left="600" w:right="0"/>
          <w:pgNumType w:start="6"/>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44"/>
        <w:ind w:left="388" w:right="0" w:firstLine="0"/>
        <w:jc w:val="left"/>
        <w:rPr>
          <w:rFonts w:ascii="宋体" w:hAnsi="宋体" w:cs="宋体" w:eastAsia="宋体" w:hint="default"/>
          <w:sz w:val="18"/>
          <w:szCs w:val="18"/>
        </w:rPr>
      </w:pPr>
      <w:r>
        <w:rPr/>
        <w:pict>
          <v:shape style="position:absolute;margin-left:437.820007pt;margin-top:-32.608273pt;width:156.550pt;height:317.1pt;mso-position-horizontal-relative:page;mso-position-vertical-relative:paragraph;z-index:-105169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7"/>
                      <w:szCs w:val="17"/>
                    </w:rPr>
                  </w:pPr>
                </w:p>
                <w:p>
                  <w:pPr>
                    <w:spacing w:before="0"/>
                    <w:ind w:left="3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r>
        <w:rPr/>
        <w:pict>
          <v:group style="position:absolute;margin-left:54.84pt;margin-top:-32.608273pt;width:539.550pt;height:317.1pt;mso-position-horizontal-relative:page;mso-position-vertical-relative:paragraph;z-index:-1051672" coordorigin="1097,-652" coordsize="10791,6342">
            <v:group style="position:absolute;left:1104;top:335;width:9700;height:2" coordorigin="1104,335" coordsize="9700,2">
              <v:shape style="position:absolute;left:1104;top:335;width:9700;height:2" coordorigin="1104,335" coordsize="9700,0" path="m1104,335l10804,335e" filled="false" stroked="true" strokeweight=".72pt" strokecolor="#000000">
                <v:path arrowok="t"/>
              </v:shape>
              <v:shape style="position:absolute;left:8756;top:-652;width:3131;height:6342" type="#_x0000_t75" stroked="false">
                <v:imagedata r:id="rId15" o:title=""/>
              </v:shape>
            </v:group>
            <w10:wrap type="none"/>
          </v:group>
        </w:pict>
      </w:r>
      <w:r>
        <w:rPr>
          <w:rFonts w:ascii="宋体" w:hAnsi="宋体" w:cs="宋体" w:eastAsia="宋体" w:hint="default"/>
          <w:sz w:val="18"/>
          <w:szCs w:val="18"/>
        </w:rPr>
        <w:t>深圳市爱施德股份有限公司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BodyText"/>
        <w:spacing w:line="376" w:lineRule="auto" w:before="18"/>
        <w:ind w:right="0"/>
        <w:jc w:val="left"/>
      </w:pPr>
      <w:r>
        <w:rPr/>
        <w:t>信息的快速流通，将市场大数据送到上游生产商决策者的案头，生产基本实现“准市场反向定制”模式。</w:t>
      </w:r>
      <w:r>
        <w:rPr>
          <w:spacing w:val="-35"/>
        </w:rPr>
        <w:t> </w:t>
      </w:r>
      <w:r>
        <w:rPr>
          <w:spacing w:val="-35"/>
        </w:rPr>
      </w:r>
      <w:r>
        <w:rPr/>
        <w:t>由此，生产厂商的整体成本随着风险的降低将明显下降，最终消费者也可以因此而受益——以更低廉的价</w:t>
      </w:r>
      <w:r>
        <w:rPr/>
        <w:t> 格，购买到更符合心意的产品。对于中小零售商而言，进入爱施德的产业链体系后，不必再忍受资金垫付 带来的焦虑，也不必担心电商平台对线下实体店的冲击。中小零售商将成为爱施德延伸到</w:t>
      </w:r>
      <w:r>
        <w:rPr>
          <w:spacing w:val="-64"/>
        </w:rPr>
        <w:t> </w:t>
      </w:r>
      <w:r>
        <w:rPr>
          <w:rFonts w:ascii="Arial" w:hAnsi="Arial" w:cs="Arial" w:eastAsia="Arial" w:hint="default"/>
        </w:rPr>
        <w:t>T4-T6</w:t>
      </w:r>
      <w:r>
        <w:rPr>
          <w:rFonts w:ascii="Arial" w:hAnsi="Arial" w:cs="Arial" w:eastAsia="Arial" w:hint="default"/>
          <w:spacing w:val="-17"/>
        </w:rPr>
        <w:t> </w:t>
      </w:r>
      <w:r>
        <w:rPr/>
        <w:t>城市的触 角，通过大数据的分析，货到店必然有客到店。爱施德构建的产业链智能通道，能够让产业上游到末端消 </w:t>
      </w:r>
      <w:r>
        <w:rPr>
          <w:spacing w:val="-1"/>
        </w:rPr>
        <w:t>费者都从中受益。在</w:t>
      </w:r>
      <w:r>
        <w:rPr>
          <w:spacing w:val="-49"/>
        </w:rPr>
        <w:t> </w:t>
      </w:r>
      <w:r>
        <w:rPr>
          <w:rFonts w:ascii="Arial" w:hAnsi="Arial" w:cs="Arial" w:eastAsia="Arial" w:hint="default"/>
          <w:spacing w:val="-1"/>
          <w:w w:val="93"/>
        </w:rPr>
        <w:t>To</w:t>
      </w:r>
      <w:r>
        <w:rPr>
          <w:rFonts w:ascii="Arial" w:hAnsi="Arial" w:cs="Arial" w:eastAsia="Arial" w:hint="default"/>
          <w:w w:val="93"/>
        </w:rPr>
        <w:t> </w:t>
      </w:r>
      <w:r>
        <w:rPr>
          <w:rFonts w:ascii="Arial" w:hAnsi="Arial" w:cs="Arial" w:eastAsia="Arial" w:hint="default"/>
          <w:w w:val="86"/>
        </w:rPr>
        <w:t>B</w:t>
      </w:r>
      <w:r>
        <w:rPr>
          <w:rFonts w:ascii="Arial" w:hAnsi="Arial" w:cs="Arial" w:eastAsia="Arial" w:hint="default"/>
          <w:spacing w:val="4"/>
          <w:w w:val="86"/>
        </w:rPr>
        <w:t> </w:t>
      </w:r>
      <w:r>
        <w:rPr>
          <w:spacing w:val="-6"/>
        </w:rPr>
        <w:t>的领域，现在还是“群雄逐鹿，江山未定”，打造产业垂直电商</w:t>
      </w:r>
      <w:r>
        <w:rPr>
          <w:spacing w:val="-49"/>
        </w:rPr>
        <w:t> </w:t>
      </w:r>
      <w:r>
        <w:rPr>
          <w:rFonts w:ascii="Arial" w:hAnsi="Arial" w:cs="Arial" w:eastAsia="Arial" w:hint="default"/>
          <w:w w:val="90"/>
        </w:rPr>
        <w:t>B2B</w:t>
      </w:r>
      <w:r>
        <w:rPr>
          <w:rFonts w:ascii="Arial" w:hAnsi="Arial" w:cs="Arial" w:eastAsia="Arial" w:hint="default"/>
          <w:spacing w:val="2"/>
          <w:w w:val="90"/>
        </w:rPr>
        <w:t> </w:t>
      </w:r>
      <w:r>
        <w:rPr/>
        <w:t>交易服务平</w:t>
      </w:r>
      <w:r>
        <w:rPr>
          <w:spacing w:val="-99"/>
        </w:rPr>
        <w:t> </w:t>
      </w:r>
      <w:r>
        <w:rPr/>
        <w:t>台尚是一片蓝海，也是未来渠道商发展的必然方向。</w:t>
      </w:r>
    </w:p>
    <w:p>
      <w:pPr>
        <w:pStyle w:val="BodyText"/>
        <w:spacing w:line="381" w:lineRule="auto" w:before="46"/>
        <w:ind w:left="154" w:right="1131" w:firstLine="360"/>
        <w:jc w:val="right"/>
      </w:pPr>
      <w:r>
        <w:rPr/>
        <w:t>智能硬件技术的突飞猛进，为基于智能硬件之上的通信服务和软件内容发展呈现出更多的可能性。专 </w:t>
      </w:r>
      <w:r>
        <w:rPr>
          <w:spacing w:val="-1"/>
        </w:rPr>
        <w:t>注于智能硬件分销行业多年的爱施德在深耕分销业务提升上下游渠道效率的同时，已经基本完成了相关布</w:t>
      </w:r>
      <w:r>
        <w:rPr>
          <w:spacing w:val="-88"/>
        </w:rPr>
        <w:t> </w:t>
      </w:r>
      <w:r>
        <w:rPr>
          <w:spacing w:val="-88"/>
        </w:rPr>
      </w:r>
      <w:r>
        <w:rPr>
          <w:spacing w:val="-1"/>
        </w:rPr>
        <w:t>局。无论是虚拟运营商、游戏发开、金融服务还是平台服务，都是硬件销售之后提升用户使用体验，增加</w:t>
      </w:r>
      <w:r>
        <w:rPr>
          <w:spacing w:val="-92"/>
        </w:rPr>
        <w:t> </w:t>
      </w:r>
      <w:r>
        <w:rPr>
          <w:spacing w:val="-92"/>
        </w:rPr>
      </w:r>
      <w:r>
        <w:rPr>
          <w:spacing w:val="-5"/>
        </w:rPr>
        <w:t>用户粘性的有效手段。“软硬兼施”的产业生态模式，为爱施德带来了更广阔的产业发展空间和长尾效应。</w:t>
      </w:r>
      <w:r>
        <w:rPr/>
        <w:t> </w:t>
      </w:r>
      <w:r>
        <w:rPr>
          <w:spacing w:val="-6"/>
        </w:rPr>
        <w:t>毛泽东主席曾说：“正确的路线确定之后，干部就是决定的因素。”在这个人力资本主权的时代，这句</w:t>
      </w:r>
      <w:r>
        <w:rPr/>
        <w:t> </w:t>
      </w:r>
      <w:r>
        <w:rPr>
          <w:spacing w:val="-1"/>
        </w:rPr>
        <w:t>话无疑有着更重的分量。自古就有“得人才者得天下”一说，战场如此、商场也不例外。传统的公司“战</w:t>
      </w:r>
      <w:r>
        <w:rPr>
          <w:spacing w:val="-96"/>
        </w:rPr>
        <w:t> </w:t>
      </w:r>
      <w:r>
        <w:rPr>
          <w:spacing w:val="-96"/>
        </w:rPr>
      </w:r>
      <w:r>
        <w:rPr/>
        <w:t>略</w:t>
      </w:r>
      <w:r>
        <w:rPr>
          <w:rFonts w:ascii="Arial" w:hAnsi="Arial" w:cs="Arial" w:eastAsia="Arial" w:hint="default"/>
        </w:rPr>
        <w:t>-</w:t>
      </w:r>
      <w:r>
        <w:rPr/>
        <w:t>组织</w:t>
      </w:r>
      <w:r>
        <w:rPr>
          <w:rFonts w:ascii="Arial" w:hAnsi="Arial" w:cs="Arial" w:eastAsia="Arial" w:hint="default"/>
        </w:rPr>
        <w:t>-</w:t>
      </w:r>
      <w:r>
        <w:rPr/>
        <w:t>人力资源”模式，与当下飞速多变的时代已经不再合适。追求创新、点状突破、天马行空、高效</w:t>
      </w:r>
      <w:r>
        <w:rPr>
          <w:spacing w:val="-80"/>
        </w:rPr>
        <w:t> </w:t>
      </w:r>
      <w:r>
        <w:rPr>
          <w:spacing w:val="-80"/>
        </w:rPr>
      </w:r>
      <w:r>
        <w:rPr>
          <w:spacing w:val="-1"/>
        </w:rPr>
        <w:t>执行的新型团队正在崛起。一流的公司都已经从原本僵化的管理模式中逐渐挣脱出来，一个个项目团队开</w:t>
      </w:r>
    </w:p>
    <w:p>
      <w:pPr>
        <w:pStyle w:val="BodyText"/>
        <w:spacing w:line="384" w:lineRule="auto" w:before="41"/>
        <w:ind w:left="574" w:right="0" w:hanging="420"/>
        <w:jc w:val="left"/>
      </w:pPr>
      <w:r>
        <w:rPr>
          <w:spacing w:val="-12"/>
        </w:rPr>
        <w:t>始了“野蛮生长”。</w:t>
      </w:r>
      <w:r>
        <w:rPr>
          <w:spacing w:val="-102"/>
        </w:rPr>
        <w:t> </w:t>
      </w:r>
      <w:r>
        <w:rPr>
          <w:spacing w:val="-102"/>
        </w:rPr>
      </w:r>
      <w:r>
        <w:rPr>
          <w:spacing w:val="-1"/>
        </w:rPr>
        <w:t>我们深刻的认识到，面对“墨俣城式”发展的时代，原本的管理模式已经疲态尽显。要充分发挥人才</w:t>
      </w:r>
    </w:p>
    <w:p>
      <w:pPr>
        <w:pStyle w:val="BodyText"/>
        <w:spacing w:line="384" w:lineRule="auto" w:before="38"/>
        <w:ind w:left="154" w:right="1131"/>
        <w:jc w:val="both"/>
      </w:pPr>
      <w:r>
        <w:rPr>
          <w:spacing w:val="-1"/>
        </w:rPr>
        <w:t>的潜能、留住公司的骨干、吸引优质人才，则必须顺应时代，推行“合伙人制”。充分放权、交叉持股、</w:t>
      </w:r>
      <w:r>
        <w:rPr>
          <w:spacing w:val="-89"/>
        </w:rPr>
        <w:t> </w:t>
      </w:r>
      <w:r>
        <w:rPr>
          <w:spacing w:val="-89"/>
        </w:rPr>
      </w:r>
      <w:r>
        <w:rPr>
          <w:spacing w:val="-1"/>
        </w:rPr>
        <w:t>面向市场、适者生存、能者得利的新模式，将在爱施德得到确立。我们不再要求人才来适应组织，而是主</w:t>
      </w:r>
      <w:r>
        <w:rPr>
          <w:spacing w:val="-83"/>
        </w:rPr>
        <w:t> </w:t>
      </w:r>
      <w:r>
        <w:rPr>
          <w:spacing w:val="-83"/>
        </w:rPr>
      </w:r>
      <w:r>
        <w:rPr>
          <w:spacing w:val="-1"/>
        </w:rPr>
        <w:t>动更新组织理念、调整组织架构来使组织服务于人才，从而让公司焕发出勃勃生机。公司的业务版图在法</w:t>
      </w:r>
      <w:r>
        <w:rPr>
          <w:spacing w:val="-83"/>
        </w:rPr>
        <w:t> </w:t>
      </w:r>
      <w:r>
        <w:rPr>
          <w:spacing w:val="-83"/>
        </w:rPr>
      </w:r>
      <w:r>
        <w:rPr>
          <w:spacing w:val="-1"/>
        </w:rPr>
        <w:t>律范围内不再人为设定边界，因人设事，在让人才得到最大发挥、最佳回报的同时，公司的未来也将更加</w:t>
      </w:r>
      <w:r>
        <w:rPr>
          <w:spacing w:val="-86"/>
        </w:rPr>
        <w:t> </w:t>
      </w:r>
      <w:r>
        <w:rPr>
          <w:spacing w:val="-86"/>
        </w:rPr>
      </w:r>
      <w:r>
        <w:rPr/>
        <w:t>充满想象力和可能性。</w:t>
      </w:r>
    </w:p>
    <w:p>
      <w:pPr>
        <w:pStyle w:val="BodyText"/>
        <w:spacing w:line="376" w:lineRule="auto" w:before="39"/>
        <w:ind w:left="154" w:right="1130" w:firstLine="420"/>
        <w:jc w:val="both"/>
      </w:pPr>
      <w:r>
        <w:rPr>
          <w:spacing w:val="-1"/>
        </w:rPr>
        <w:t>“人猿相揖别，仅几个石头磨过”，人类经过蒙昧的万古长夜，终于在信息时代进入了前所未有的发</w:t>
      </w:r>
      <w:r>
        <w:rPr/>
        <w:t> </w:t>
      </w:r>
      <w:r>
        <w:rPr>
          <w:spacing w:val="-1"/>
        </w:rPr>
        <w:t>展加速度模式。万物变易，只有创新和变化才是唯一的永恒。物竞天择，适者生存，面对充满未知和希望</w:t>
      </w:r>
      <w:r>
        <w:rPr>
          <w:spacing w:val="-82"/>
        </w:rPr>
        <w:t> </w:t>
      </w:r>
      <w:r>
        <w:rPr>
          <w:spacing w:val="-82"/>
        </w:rPr>
      </w:r>
      <w:r>
        <w:rPr>
          <w:spacing w:val="-3"/>
        </w:rPr>
        <w:t>的未来，</w:t>
      </w:r>
      <w:r>
        <w:rPr>
          <w:rFonts w:ascii="Arial" w:hAnsi="Arial" w:cs="Arial" w:eastAsia="Arial" w:hint="default"/>
          <w:spacing w:val="-3"/>
        </w:rPr>
        <w:t>To</w:t>
      </w:r>
      <w:r>
        <w:rPr>
          <w:rFonts w:ascii="Arial" w:hAnsi="Arial" w:cs="Arial" w:eastAsia="Arial" w:hint="default"/>
          <w:spacing w:val="-41"/>
        </w:rPr>
        <w:t> </w:t>
      </w:r>
      <w:r>
        <w:rPr>
          <w:rFonts w:ascii="Arial" w:hAnsi="Arial" w:cs="Arial" w:eastAsia="Arial" w:hint="default"/>
        </w:rPr>
        <w:t>B</w:t>
      </w:r>
      <w:r>
        <w:rPr>
          <w:rFonts w:ascii="Arial" w:hAnsi="Arial" w:cs="Arial" w:eastAsia="Arial" w:hint="default"/>
          <w:spacing w:val="-41"/>
        </w:rPr>
        <w:t> </w:t>
      </w:r>
      <w:r>
        <w:rPr/>
        <w:t>行业的发展是一场长跑，它不是靠鸡血和荷尔蒙来驱动，而在通往主峰的路上，最后往往是 沉默者爆发，潜行者胜出。</w:t>
      </w:r>
    </w:p>
    <w:p>
      <w:pPr>
        <w:pStyle w:val="BodyText"/>
        <w:spacing w:line="364" w:lineRule="auto" w:before="44"/>
        <w:ind w:left="154" w:right="1131" w:firstLine="420"/>
        <w:jc w:val="both"/>
      </w:pPr>
      <w:r>
        <w:rPr/>
        <w:t>“风口上的猪”已经过时，在</w:t>
      </w:r>
      <w:r>
        <w:rPr>
          <w:spacing w:val="-66"/>
        </w:rPr>
        <w:t> </w:t>
      </w:r>
      <w:r>
        <w:rPr>
          <w:rFonts w:ascii="Arial" w:hAnsi="Arial" w:cs="Arial" w:eastAsia="Arial" w:hint="default"/>
        </w:rPr>
        <w:t>To</w:t>
      </w:r>
      <w:r>
        <w:rPr>
          <w:rFonts w:ascii="Arial" w:hAnsi="Arial" w:cs="Arial" w:eastAsia="Arial" w:hint="default"/>
          <w:spacing w:val="19"/>
        </w:rPr>
        <w:t> </w:t>
      </w:r>
      <w:r>
        <w:rPr>
          <w:rFonts w:ascii="Arial" w:hAnsi="Arial" w:cs="Arial" w:eastAsia="Arial" w:hint="default"/>
        </w:rPr>
        <w:t>B</w:t>
      </w:r>
      <w:r>
        <w:rPr>
          <w:rFonts w:ascii="Arial" w:hAnsi="Arial" w:cs="Arial" w:eastAsia="Arial" w:hint="default"/>
          <w:spacing w:val="-20"/>
        </w:rPr>
        <w:t> </w:t>
      </w:r>
      <w:r>
        <w:rPr/>
        <w:t>的领域将会出现</w:t>
      </w:r>
      <w:r>
        <w:rPr>
          <w:spacing w:val="-66"/>
        </w:rPr>
        <w:t> </w:t>
      </w:r>
      <w:r>
        <w:rPr>
          <w:rFonts w:ascii="Arial" w:hAnsi="Arial" w:cs="Arial" w:eastAsia="Arial" w:hint="default"/>
        </w:rPr>
        <w:t>BAT</w:t>
      </w:r>
      <w:r>
        <w:rPr>
          <w:rFonts w:ascii="Arial" w:hAnsi="Arial" w:cs="Arial" w:eastAsia="Arial" w:hint="default"/>
          <w:spacing w:val="-19"/>
        </w:rPr>
        <w:t> </w:t>
      </w:r>
      <w:r>
        <w:rPr/>
        <w:t>级的明星，而爱施德正在巨舰扬帆向着未来 产业的蓝海乘风破浪、勇往直前。</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ind w:left="0" w:right="1130"/>
        <w:jc w:val="right"/>
      </w:pPr>
      <w:r>
        <w:rPr/>
        <w:t>深圳市爱施德股份有限公司</w:t>
      </w:r>
    </w:p>
    <w:p>
      <w:pPr>
        <w:pStyle w:val="BodyText"/>
        <w:spacing w:line="240" w:lineRule="auto" w:before="165"/>
        <w:ind w:left="0" w:right="1865"/>
        <w:jc w:val="right"/>
      </w:pPr>
      <w:r>
        <w:rPr/>
        <w:t>董事会</w:t>
      </w:r>
    </w:p>
    <w:p>
      <w:pPr>
        <w:spacing w:after="0" w:line="240" w:lineRule="auto"/>
        <w:jc w:val="right"/>
        <w:sectPr>
          <w:headerReference w:type="default" r:id="rId13"/>
          <w:footerReference w:type="default" r:id="rId14"/>
          <w:pgSz w:w="11910" w:h="16840"/>
          <w:pgMar w:header="0" w:footer="1187" w:top="20" w:bottom="1380" w:left="980" w:right="0"/>
          <w:pgNumType w:start="7"/>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line="388" w:lineRule="exact" w:before="0"/>
        <w:ind w:left="0" w:right="976" w:firstLine="0"/>
        <w:jc w:val="center"/>
        <w:rPr>
          <w:rFonts w:ascii="Microsoft JhengHei" w:hAnsi="Microsoft JhengHei" w:cs="Microsoft JhengHei" w:eastAsia="Microsoft JhengHei" w:hint="default"/>
          <w:sz w:val="28"/>
          <w:szCs w:val="28"/>
        </w:rPr>
      </w:pPr>
      <w:bookmarkStart w:name="释 义" w:id="8"/>
      <w:bookmarkEnd w:id="8"/>
      <w:r>
        <w:rPr/>
      </w:r>
      <w:bookmarkStart w:name="_bookmark2" w:id="9"/>
      <w:bookmarkEnd w:id="9"/>
      <w:r>
        <w:rPr/>
      </w:r>
      <w:r>
        <w:rPr>
          <w:rFonts w:ascii="Microsoft JhengHei" w:hAnsi="Microsoft JhengHei" w:cs="Microsoft JhengHei" w:eastAsia="Microsoft JhengHei" w:hint="default"/>
          <w:b/>
          <w:bCs/>
          <w:color w:val="2D74B5"/>
          <w:sz w:val="28"/>
          <w:szCs w:val="28"/>
        </w:rPr>
        <w:t>释  义</w:t>
      </w:r>
      <w:r>
        <w:rPr>
          <w:rFonts w:ascii="Microsoft JhengHei" w:hAnsi="Microsoft JhengHei" w:cs="Microsoft JhengHei" w:eastAsia="Microsoft JhengHei" w:hint="default"/>
          <w:sz w:val="28"/>
          <w:szCs w:val="28"/>
        </w:rPr>
      </w:r>
    </w:p>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11"/>
          <w:szCs w:val="11"/>
        </w:rPr>
      </w:pPr>
    </w:p>
    <w:tbl>
      <w:tblPr>
        <w:tblW w:w="0" w:type="auto"/>
        <w:jc w:val="left"/>
        <w:tblInd w:w="144" w:type="dxa"/>
        <w:tblLayout w:type="fixed"/>
        <w:tblCellMar>
          <w:top w:w="0" w:type="dxa"/>
          <w:left w:w="0" w:type="dxa"/>
          <w:bottom w:w="0" w:type="dxa"/>
          <w:right w:w="0" w:type="dxa"/>
        </w:tblCellMar>
        <w:tblLook w:val="01E0"/>
      </w:tblPr>
      <w:tblGrid>
        <w:gridCol w:w="2206"/>
        <w:gridCol w:w="756"/>
        <w:gridCol w:w="6608"/>
      </w:tblGrid>
      <w:tr>
        <w:trPr>
          <w:trHeight w:val="411" w:hRule="exact"/>
        </w:trPr>
        <w:tc>
          <w:tcPr>
            <w:tcW w:w="2206" w:type="dxa"/>
            <w:tcBorders>
              <w:top w:val="single" w:sz="8" w:space="0" w:color="5B9BD4"/>
              <w:left w:val="nil" w:sz="6" w:space="0" w:color="auto"/>
              <w:bottom w:val="single" w:sz="8" w:space="0" w:color="5B9BD4"/>
              <w:right w:val="nil" w:sz="6" w:space="0" w:color="auto"/>
            </w:tcBorders>
            <w:shd w:val="clear" w:color="auto" w:fill="DBE4F0"/>
          </w:tcPr>
          <w:p>
            <w:pPr>
              <w:pStyle w:val="TableParagraph"/>
              <w:spacing w:line="303" w:lineRule="exact"/>
              <w:ind w:right="8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color w:val="538DD3"/>
                <w:sz w:val="18"/>
                <w:szCs w:val="18"/>
              </w:rPr>
              <w:t>释义项</w:t>
            </w:r>
            <w:r>
              <w:rPr>
                <w:rFonts w:ascii="Microsoft JhengHei" w:hAnsi="Microsoft JhengHei" w:cs="Microsoft JhengHei" w:eastAsia="Microsoft JhengHei" w:hint="default"/>
                <w:sz w:val="18"/>
                <w:szCs w:val="18"/>
              </w:rPr>
            </w:r>
          </w:p>
        </w:tc>
        <w:tc>
          <w:tcPr>
            <w:tcW w:w="756" w:type="dxa"/>
            <w:tcBorders>
              <w:top w:val="single" w:sz="8" w:space="0" w:color="5B9BD4"/>
              <w:left w:val="nil" w:sz="6" w:space="0" w:color="auto"/>
              <w:bottom w:val="single" w:sz="8" w:space="0" w:color="5B9BD4"/>
              <w:right w:val="nil" w:sz="6" w:space="0" w:color="auto"/>
            </w:tcBorders>
            <w:shd w:val="clear" w:color="auto" w:fill="DBE4F0"/>
          </w:tcPr>
          <w:p>
            <w:pPr>
              <w:pStyle w:val="TableParagraph"/>
              <w:spacing w:line="303" w:lineRule="exact"/>
              <w:ind w:left="24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color w:val="538DD3"/>
                <w:sz w:val="18"/>
                <w:szCs w:val="18"/>
              </w:rPr>
              <w:t>指</w:t>
            </w:r>
            <w:r>
              <w:rPr>
                <w:rFonts w:ascii="Microsoft JhengHei" w:hAnsi="Microsoft JhengHei" w:cs="Microsoft JhengHei" w:eastAsia="Microsoft JhengHei" w:hint="default"/>
                <w:sz w:val="18"/>
                <w:szCs w:val="18"/>
              </w:rPr>
            </w:r>
          </w:p>
        </w:tc>
        <w:tc>
          <w:tcPr>
            <w:tcW w:w="6608" w:type="dxa"/>
            <w:tcBorders>
              <w:top w:val="single" w:sz="8" w:space="0" w:color="5B9BD4"/>
              <w:left w:val="nil" w:sz="6" w:space="0" w:color="auto"/>
              <w:bottom w:val="single" w:sz="8" w:space="0" w:color="5B9BD4"/>
              <w:right w:val="nil" w:sz="6" w:space="0" w:color="auto"/>
            </w:tcBorders>
            <w:shd w:val="clear" w:color="auto" w:fill="DBE4F0"/>
          </w:tcPr>
          <w:p>
            <w:pPr>
              <w:pStyle w:val="TableParagraph"/>
              <w:spacing w:line="303" w:lineRule="exact"/>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color w:val="538DD3"/>
                <w:sz w:val="18"/>
                <w:szCs w:val="18"/>
              </w:rPr>
              <w:t>释义内容</w:t>
            </w:r>
            <w:r>
              <w:rPr>
                <w:rFonts w:ascii="Microsoft JhengHei" w:hAnsi="Microsoft JhengHei" w:cs="Microsoft JhengHei" w:eastAsia="Microsoft JhengHei" w:hint="default"/>
                <w:sz w:val="18"/>
                <w:szCs w:val="18"/>
              </w:rPr>
            </w:r>
          </w:p>
        </w:tc>
      </w:tr>
      <w:tr>
        <w:trPr>
          <w:trHeight w:val="413" w:hRule="exact"/>
        </w:trPr>
        <w:tc>
          <w:tcPr>
            <w:tcW w:w="2206" w:type="dxa"/>
            <w:tcBorders>
              <w:top w:val="single" w:sz="8" w:space="0" w:color="5B9BD4"/>
              <w:left w:val="nil" w:sz="6" w:space="0" w:color="auto"/>
              <w:bottom w:val="single" w:sz="8" w:space="0" w:color="5B9BD4"/>
              <w:right w:val="nil" w:sz="6" w:space="0" w:color="auto"/>
            </w:tcBorders>
            <w:shd w:val="clear" w:color="auto" w:fill="DBE4F0"/>
          </w:tcPr>
          <w:p>
            <w:pPr>
              <w:pStyle w:val="TableParagraph"/>
              <w:spacing w:line="240" w:lineRule="auto" w:before="47"/>
              <w:ind w:right="82"/>
              <w:jc w:val="center"/>
              <w:rPr>
                <w:rFonts w:ascii="宋体" w:hAnsi="宋体" w:cs="宋体" w:eastAsia="宋体" w:hint="default"/>
                <w:sz w:val="18"/>
                <w:szCs w:val="18"/>
              </w:rPr>
            </w:pPr>
            <w:r>
              <w:rPr>
                <w:rFonts w:ascii="宋体" w:hAnsi="宋体" w:cs="宋体" w:eastAsia="宋体" w:hint="default"/>
                <w:sz w:val="18"/>
                <w:szCs w:val="18"/>
              </w:rPr>
              <w:t>公司、本公司或爱施德</w:t>
            </w:r>
          </w:p>
        </w:tc>
        <w:tc>
          <w:tcPr>
            <w:tcW w:w="756" w:type="dxa"/>
            <w:tcBorders>
              <w:top w:val="single" w:sz="8" w:space="0" w:color="5B9BD4"/>
              <w:left w:val="nil" w:sz="6" w:space="0" w:color="auto"/>
              <w:bottom w:val="single" w:sz="8" w:space="0" w:color="5B9BD4"/>
              <w:right w:val="nil" w:sz="6" w:space="0" w:color="auto"/>
            </w:tcBorders>
            <w:shd w:val="clear" w:color="auto" w:fill="DBE4F0"/>
          </w:tcPr>
          <w:p>
            <w:pPr>
              <w:pStyle w:val="TableParagraph"/>
              <w:spacing w:line="240" w:lineRule="auto" w:before="47"/>
              <w:ind w:left="24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8" w:type="dxa"/>
            <w:tcBorders>
              <w:top w:val="single" w:sz="8" w:space="0" w:color="5B9BD4"/>
              <w:left w:val="nil" w:sz="6" w:space="0" w:color="auto"/>
              <w:bottom w:val="single" w:sz="8" w:space="0" w:color="5B9BD4"/>
              <w:right w:val="nil" w:sz="6" w:space="0" w:color="auto"/>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深圳市爱施德股份有限公司</w:t>
            </w:r>
          </w:p>
        </w:tc>
      </w:tr>
      <w:tr>
        <w:trPr>
          <w:trHeight w:val="412" w:hRule="exact"/>
        </w:trPr>
        <w:tc>
          <w:tcPr>
            <w:tcW w:w="2206" w:type="dxa"/>
            <w:tcBorders>
              <w:top w:val="single" w:sz="8" w:space="0" w:color="5B9BD4"/>
              <w:left w:val="nil" w:sz="6" w:space="0" w:color="auto"/>
              <w:bottom w:val="single" w:sz="8" w:space="0" w:color="5B9BD4"/>
              <w:right w:val="nil" w:sz="6" w:space="0" w:color="auto"/>
            </w:tcBorders>
            <w:shd w:val="clear" w:color="auto" w:fill="DBE4F0"/>
          </w:tcPr>
          <w:p>
            <w:pPr>
              <w:pStyle w:val="TableParagraph"/>
              <w:spacing w:line="240" w:lineRule="auto" w:before="46"/>
              <w:ind w:right="82"/>
              <w:jc w:val="center"/>
              <w:rPr>
                <w:rFonts w:ascii="宋体" w:hAnsi="宋体" w:cs="宋体" w:eastAsia="宋体" w:hint="default"/>
                <w:sz w:val="18"/>
                <w:szCs w:val="18"/>
              </w:rPr>
            </w:pPr>
            <w:r>
              <w:rPr>
                <w:rFonts w:ascii="宋体" w:hAnsi="宋体" w:cs="宋体" w:eastAsia="宋体" w:hint="default"/>
                <w:sz w:val="18"/>
                <w:szCs w:val="18"/>
              </w:rPr>
              <w:t>中国证监会</w:t>
            </w:r>
          </w:p>
        </w:tc>
        <w:tc>
          <w:tcPr>
            <w:tcW w:w="756" w:type="dxa"/>
            <w:tcBorders>
              <w:top w:val="single" w:sz="8" w:space="0" w:color="5B9BD4"/>
              <w:left w:val="nil" w:sz="6" w:space="0" w:color="auto"/>
              <w:bottom w:val="single" w:sz="8" w:space="0" w:color="5B9BD4"/>
              <w:right w:val="nil" w:sz="6" w:space="0" w:color="auto"/>
            </w:tcBorders>
            <w:shd w:val="clear" w:color="auto" w:fill="DBE4F0"/>
          </w:tcPr>
          <w:p>
            <w:pPr>
              <w:pStyle w:val="TableParagraph"/>
              <w:spacing w:line="240" w:lineRule="auto" w:before="46"/>
              <w:ind w:left="24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8" w:type="dxa"/>
            <w:tcBorders>
              <w:top w:val="single" w:sz="8" w:space="0" w:color="5B9BD4"/>
              <w:left w:val="nil" w:sz="6" w:space="0" w:color="auto"/>
              <w:bottom w:val="single" w:sz="8" w:space="0" w:color="5B9BD4"/>
              <w:right w:val="nil" w:sz="6" w:space="0" w:color="auto"/>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12" w:hRule="exact"/>
        </w:trPr>
        <w:tc>
          <w:tcPr>
            <w:tcW w:w="2206" w:type="dxa"/>
            <w:tcBorders>
              <w:top w:val="single" w:sz="8" w:space="0" w:color="5B9BD4"/>
              <w:left w:val="nil" w:sz="6" w:space="0" w:color="auto"/>
              <w:bottom w:val="single" w:sz="8" w:space="0" w:color="5B9BD4"/>
              <w:right w:val="nil" w:sz="6" w:space="0" w:color="auto"/>
            </w:tcBorders>
            <w:shd w:val="clear" w:color="auto" w:fill="DBE4F0"/>
          </w:tcPr>
          <w:p>
            <w:pPr>
              <w:pStyle w:val="TableParagraph"/>
              <w:spacing w:line="240" w:lineRule="auto" w:before="47"/>
              <w:ind w:right="82"/>
              <w:jc w:val="center"/>
              <w:rPr>
                <w:rFonts w:ascii="宋体" w:hAnsi="宋体" w:cs="宋体" w:eastAsia="宋体" w:hint="default"/>
                <w:sz w:val="18"/>
                <w:szCs w:val="18"/>
              </w:rPr>
            </w:pPr>
            <w:r>
              <w:rPr>
                <w:rFonts w:ascii="宋体" w:hAnsi="宋体" w:cs="宋体" w:eastAsia="宋体" w:hint="default"/>
                <w:sz w:val="18"/>
                <w:szCs w:val="18"/>
              </w:rPr>
              <w:t>深圳证监局</w:t>
            </w:r>
          </w:p>
        </w:tc>
        <w:tc>
          <w:tcPr>
            <w:tcW w:w="756" w:type="dxa"/>
            <w:tcBorders>
              <w:top w:val="single" w:sz="8" w:space="0" w:color="5B9BD4"/>
              <w:left w:val="nil" w:sz="6" w:space="0" w:color="auto"/>
              <w:bottom w:val="single" w:sz="8" w:space="0" w:color="5B9BD4"/>
              <w:right w:val="nil" w:sz="6" w:space="0" w:color="auto"/>
            </w:tcBorders>
            <w:shd w:val="clear" w:color="auto" w:fill="DBE4F0"/>
          </w:tcPr>
          <w:p>
            <w:pPr>
              <w:pStyle w:val="TableParagraph"/>
              <w:spacing w:line="240" w:lineRule="auto" w:before="47"/>
              <w:ind w:left="24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8" w:type="dxa"/>
            <w:tcBorders>
              <w:top w:val="single" w:sz="8" w:space="0" w:color="5B9BD4"/>
              <w:left w:val="nil" w:sz="6" w:space="0" w:color="auto"/>
              <w:bottom w:val="single" w:sz="8" w:space="0" w:color="5B9BD4"/>
              <w:right w:val="nil" w:sz="6" w:space="0" w:color="auto"/>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中国证券监督管理委员会深圳证监局</w:t>
            </w:r>
          </w:p>
        </w:tc>
      </w:tr>
      <w:tr>
        <w:trPr>
          <w:trHeight w:val="413" w:hRule="exact"/>
        </w:trPr>
        <w:tc>
          <w:tcPr>
            <w:tcW w:w="2206" w:type="dxa"/>
            <w:tcBorders>
              <w:top w:val="single" w:sz="8" w:space="0" w:color="5B9BD4"/>
              <w:left w:val="nil" w:sz="6" w:space="0" w:color="auto"/>
              <w:bottom w:val="single" w:sz="8" w:space="0" w:color="5B9BD4"/>
              <w:right w:val="nil" w:sz="6" w:space="0" w:color="auto"/>
            </w:tcBorders>
            <w:shd w:val="clear" w:color="auto" w:fill="DBE4F0"/>
          </w:tcPr>
          <w:p>
            <w:pPr>
              <w:pStyle w:val="TableParagraph"/>
              <w:spacing w:line="240" w:lineRule="auto" w:before="47"/>
              <w:ind w:right="82"/>
              <w:jc w:val="center"/>
              <w:rPr>
                <w:rFonts w:ascii="宋体" w:hAnsi="宋体" w:cs="宋体" w:eastAsia="宋体" w:hint="default"/>
                <w:sz w:val="18"/>
                <w:szCs w:val="18"/>
              </w:rPr>
            </w:pPr>
            <w:r>
              <w:rPr>
                <w:rFonts w:ascii="宋体" w:hAnsi="宋体" w:cs="宋体" w:eastAsia="宋体" w:hint="default"/>
                <w:sz w:val="18"/>
                <w:szCs w:val="18"/>
              </w:rPr>
              <w:t>深交所</w:t>
            </w:r>
          </w:p>
        </w:tc>
        <w:tc>
          <w:tcPr>
            <w:tcW w:w="756" w:type="dxa"/>
            <w:tcBorders>
              <w:top w:val="single" w:sz="8" w:space="0" w:color="5B9BD4"/>
              <w:left w:val="nil" w:sz="6" w:space="0" w:color="auto"/>
              <w:bottom w:val="single" w:sz="8" w:space="0" w:color="5B9BD4"/>
              <w:right w:val="nil" w:sz="6" w:space="0" w:color="auto"/>
            </w:tcBorders>
            <w:shd w:val="clear" w:color="auto" w:fill="DBE4F0"/>
          </w:tcPr>
          <w:p>
            <w:pPr>
              <w:pStyle w:val="TableParagraph"/>
              <w:spacing w:line="240" w:lineRule="auto" w:before="47"/>
              <w:ind w:left="24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8" w:type="dxa"/>
            <w:tcBorders>
              <w:top w:val="single" w:sz="8" w:space="0" w:color="5B9BD4"/>
              <w:left w:val="nil" w:sz="6" w:space="0" w:color="auto"/>
              <w:bottom w:val="single" w:sz="8" w:space="0" w:color="5B9BD4"/>
              <w:right w:val="nil" w:sz="6" w:space="0" w:color="auto"/>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12" w:hRule="exact"/>
        </w:trPr>
        <w:tc>
          <w:tcPr>
            <w:tcW w:w="2206" w:type="dxa"/>
            <w:tcBorders>
              <w:top w:val="single" w:sz="8" w:space="0" w:color="5B9BD4"/>
              <w:left w:val="nil" w:sz="6" w:space="0" w:color="auto"/>
              <w:bottom w:val="single" w:sz="8" w:space="0" w:color="5B9BD4"/>
              <w:right w:val="nil" w:sz="6" w:space="0" w:color="auto"/>
            </w:tcBorders>
            <w:shd w:val="clear" w:color="auto" w:fill="DBE4F0"/>
          </w:tcPr>
          <w:p>
            <w:pPr>
              <w:pStyle w:val="TableParagraph"/>
              <w:spacing w:line="240" w:lineRule="auto" w:before="46"/>
              <w:ind w:right="82"/>
              <w:jc w:val="center"/>
              <w:rPr>
                <w:rFonts w:ascii="宋体" w:hAnsi="宋体" w:cs="宋体" w:eastAsia="宋体" w:hint="default"/>
                <w:sz w:val="18"/>
                <w:szCs w:val="18"/>
              </w:rPr>
            </w:pPr>
            <w:r>
              <w:rPr>
                <w:rFonts w:ascii="宋体" w:hAnsi="宋体" w:cs="宋体" w:eastAsia="宋体" w:hint="default"/>
                <w:sz w:val="18"/>
                <w:szCs w:val="18"/>
              </w:rPr>
              <w:t>《公司法》</w:t>
            </w:r>
          </w:p>
        </w:tc>
        <w:tc>
          <w:tcPr>
            <w:tcW w:w="756" w:type="dxa"/>
            <w:tcBorders>
              <w:top w:val="single" w:sz="8" w:space="0" w:color="5B9BD4"/>
              <w:left w:val="nil" w:sz="6" w:space="0" w:color="auto"/>
              <w:bottom w:val="single" w:sz="8" w:space="0" w:color="5B9BD4"/>
              <w:right w:val="nil" w:sz="6" w:space="0" w:color="auto"/>
            </w:tcBorders>
            <w:shd w:val="clear" w:color="auto" w:fill="DBE4F0"/>
          </w:tcPr>
          <w:p>
            <w:pPr>
              <w:pStyle w:val="TableParagraph"/>
              <w:spacing w:line="240" w:lineRule="auto" w:before="46"/>
              <w:ind w:left="24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8" w:type="dxa"/>
            <w:tcBorders>
              <w:top w:val="single" w:sz="8" w:space="0" w:color="5B9BD4"/>
              <w:left w:val="nil" w:sz="6" w:space="0" w:color="auto"/>
              <w:bottom w:val="single" w:sz="8" w:space="0" w:color="5B9BD4"/>
              <w:right w:val="nil" w:sz="6" w:space="0" w:color="auto"/>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12" w:hRule="exact"/>
        </w:trPr>
        <w:tc>
          <w:tcPr>
            <w:tcW w:w="2206" w:type="dxa"/>
            <w:tcBorders>
              <w:top w:val="single" w:sz="8" w:space="0" w:color="5B9BD4"/>
              <w:left w:val="nil" w:sz="6" w:space="0" w:color="auto"/>
              <w:bottom w:val="single" w:sz="8" w:space="0" w:color="5B9BD4"/>
              <w:right w:val="nil" w:sz="6" w:space="0" w:color="auto"/>
            </w:tcBorders>
            <w:shd w:val="clear" w:color="auto" w:fill="DBE4F0"/>
          </w:tcPr>
          <w:p>
            <w:pPr>
              <w:pStyle w:val="TableParagraph"/>
              <w:spacing w:line="240" w:lineRule="auto" w:before="47"/>
              <w:ind w:right="82"/>
              <w:jc w:val="center"/>
              <w:rPr>
                <w:rFonts w:ascii="宋体" w:hAnsi="宋体" w:cs="宋体" w:eastAsia="宋体" w:hint="default"/>
                <w:sz w:val="18"/>
                <w:szCs w:val="18"/>
              </w:rPr>
            </w:pPr>
            <w:r>
              <w:rPr>
                <w:rFonts w:ascii="宋体" w:hAnsi="宋体" w:cs="宋体" w:eastAsia="宋体" w:hint="default"/>
                <w:sz w:val="18"/>
                <w:szCs w:val="18"/>
              </w:rPr>
              <w:t>《证券法》</w:t>
            </w:r>
          </w:p>
        </w:tc>
        <w:tc>
          <w:tcPr>
            <w:tcW w:w="756" w:type="dxa"/>
            <w:tcBorders>
              <w:top w:val="single" w:sz="8" w:space="0" w:color="5B9BD4"/>
              <w:left w:val="nil" w:sz="6" w:space="0" w:color="auto"/>
              <w:bottom w:val="single" w:sz="8" w:space="0" w:color="5B9BD4"/>
              <w:right w:val="nil" w:sz="6" w:space="0" w:color="auto"/>
            </w:tcBorders>
            <w:shd w:val="clear" w:color="auto" w:fill="DBE4F0"/>
          </w:tcPr>
          <w:p>
            <w:pPr>
              <w:pStyle w:val="TableParagraph"/>
              <w:spacing w:line="240" w:lineRule="auto" w:before="47"/>
              <w:ind w:left="24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8" w:type="dxa"/>
            <w:tcBorders>
              <w:top w:val="single" w:sz="8" w:space="0" w:color="5B9BD4"/>
              <w:left w:val="nil" w:sz="6" w:space="0" w:color="auto"/>
              <w:bottom w:val="single" w:sz="8" w:space="0" w:color="5B9BD4"/>
              <w:right w:val="nil" w:sz="6" w:space="0" w:color="auto"/>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13" w:hRule="exact"/>
        </w:trPr>
        <w:tc>
          <w:tcPr>
            <w:tcW w:w="2206" w:type="dxa"/>
            <w:tcBorders>
              <w:top w:val="single" w:sz="8" w:space="0" w:color="5B9BD4"/>
              <w:left w:val="nil" w:sz="6" w:space="0" w:color="auto"/>
              <w:bottom w:val="single" w:sz="8" w:space="0" w:color="5B9BD4"/>
              <w:right w:val="nil" w:sz="6" w:space="0" w:color="auto"/>
            </w:tcBorders>
            <w:shd w:val="clear" w:color="auto" w:fill="DBE4F0"/>
          </w:tcPr>
          <w:p>
            <w:pPr>
              <w:pStyle w:val="TableParagraph"/>
              <w:spacing w:line="240" w:lineRule="auto" w:before="47"/>
              <w:ind w:right="82"/>
              <w:jc w:val="center"/>
              <w:rPr>
                <w:rFonts w:ascii="宋体" w:hAnsi="宋体" w:cs="宋体" w:eastAsia="宋体" w:hint="default"/>
                <w:sz w:val="18"/>
                <w:szCs w:val="18"/>
              </w:rPr>
            </w:pPr>
            <w:r>
              <w:rPr>
                <w:rFonts w:ascii="宋体" w:hAnsi="宋体" w:cs="宋体" w:eastAsia="宋体" w:hint="default"/>
                <w:sz w:val="18"/>
                <w:szCs w:val="18"/>
              </w:rPr>
              <w:t>中国移动</w:t>
            </w:r>
          </w:p>
        </w:tc>
        <w:tc>
          <w:tcPr>
            <w:tcW w:w="756" w:type="dxa"/>
            <w:tcBorders>
              <w:top w:val="single" w:sz="8" w:space="0" w:color="5B9BD4"/>
              <w:left w:val="nil" w:sz="6" w:space="0" w:color="auto"/>
              <w:bottom w:val="single" w:sz="8" w:space="0" w:color="5B9BD4"/>
              <w:right w:val="nil" w:sz="6" w:space="0" w:color="auto"/>
            </w:tcBorders>
            <w:shd w:val="clear" w:color="auto" w:fill="DBE4F0"/>
          </w:tcPr>
          <w:p>
            <w:pPr>
              <w:pStyle w:val="TableParagraph"/>
              <w:spacing w:line="240" w:lineRule="auto" w:before="47"/>
              <w:ind w:left="24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8" w:type="dxa"/>
            <w:tcBorders>
              <w:top w:val="single" w:sz="8" w:space="0" w:color="5B9BD4"/>
              <w:left w:val="nil" w:sz="6" w:space="0" w:color="auto"/>
              <w:bottom w:val="single" w:sz="8" w:space="0" w:color="5B9BD4"/>
              <w:right w:val="nil" w:sz="6" w:space="0" w:color="auto"/>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中国移动通信集团公司</w:t>
            </w:r>
          </w:p>
        </w:tc>
      </w:tr>
      <w:tr>
        <w:trPr>
          <w:trHeight w:val="412" w:hRule="exact"/>
        </w:trPr>
        <w:tc>
          <w:tcPr>
            <w:tcW w:w="2206" w:type="dxa"/>
            <w:tcBorders>
              <w:top w:val="single" w:sz="8" w:space="0" w:color="5B9BD4"/>
              <w:left w:val="nil" w:sz="6" w:space="0" w:color="auto"/>
              <w:bottom w:val="single" w:sz="8" w:space="0" w:color="5B9BD4"/>
              <w:right w:val="nil" w:sz="6" w:space="0" w:color="auto"/>
            </w:tcBorders>
            <w:shd w:val="clear" w:color="auto" w:fill="DBE4F0"/>
          </w:tcPr>
          <w:p>
            <w:pPr>
              <w:pStyle w:val="TableParagraph"/>
              <w:spacing w:line="240" w:lineRule="auto" w:before="46"/>
              <w:ind w:right="82"/>
              <w:jc w:val="center"/>
              <w:rPr>
                <w:rFonts w:ascii="宋体" w:hAnsi="宋体" w:cs="宋体" w:eastAsia="宋体" w:hint="default"/>
                <w:sz w:val="18"/>
                <w:szCs w:val="18"/>
              </w:rPr>
            </w:pPr>
            <w:r>
              <w:rPr>
                <w:rFonts w:ascii="宋体" w:hAnsi="宋体" w:cs="宋体" w:eastAsia="宋体" w:hint="default"/>
                <w:sz w:val="18"/>
                <w:szCs w:val="18"/>
              </w:rPr>
              <w:t>中国联通</w:t>
            </w:r>
          </w:p>
        </w:tc>
        <w:tc>
          <w:tcPr>
            <w:tcW w:w="756" w:type="dxa"/>
            <w:tcBorders>
              <w:top w:val="single" w:sz="8" w:space="0" w:color="5B9BD4"/>
              <w:left w:val="nil" w:sz="6" w:space="0" w:color="auto"/>
              <w:bottom w:val="single" w:sz="8" w:space="0" w:color="5B9BD4"/>
              <w:right w:val="nil" w:sz="6" w:space="0" w:color="auto"/>
            </w:tcBorders>
            <w:shd w:val="clear" w:color="auto" w:fill="DBE4F0"/>
          </w:tcPr>
          <w:p>
            <w:pPr>
              <w:pStyle w:val="TableParagraph"/>
              <w:spacing w:line="240" w:lineRule="auto" w:before="46"/>
              <w:ind w:left="24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8" w:type="dxa"/>
            <w:tcBorders>
              <w:top w:val="single" w:sz="8" w:space="0" w:color="5B9BD4"/>
              <w:left w:val="nil" w:sz="6" w:space="0" w:color="auto"/>
              <w:bottom w:val="single" w:sz="8" w:space="0" w:color="5B9BD4"/>
              <w:right w:val="nil" w:sz="6" w:space="0" w:color="auto"/>
            </w:tcBorders>
          </w:tcPr>
          <w:p>
            <w:pPr>
              <w:pStyle w:val="TableParagraph"/>
              <w:spacing w:line="240" w:lineRule="auto" w:before="46"/>
              <w:ind w:right="0"/>
              <w:jc w:val="center"/>
              <w:rPr>
                <w:rFonts w:ascii="宋体" w:hAnsi="宋体" w:cs="宋体" w:eastAsia="宋体" w:hint="default"/>
                <w:sz w:val="18"/>
                <w:szCs w:val="18"/>
              </w:rPr>
            </w:pPr>
            <w:hyperlink r:id="rId17">
              <w:r>
                <w:rPr>
                  <w:rFonts w:ascii="宋体" w:hAnsi="宋体" w:cs="宋体" w:eastAsia="宋体" w:hint="default"/>
                  <w:sz w:val="18"/>
                  <w:szCs w:val="18"/>
                </w:rPr>
                <w:t>中国联合通信有限公司</w:t>
              </w:r>
            </w:hyperlink>
          </w:p>
        </w:tc>
      </w:tr>
      <w:tr>
        <w:trPr>
          <w:trHeight w:val="412" w:hRule="exact"/>
        </w:trPr>
        <w:tc>
          <w:tcPr>
            <w:tcW w:w="2206" w:type="dxa"/>
            <w:tcBorders>
              <w:top w:val="single" w:sz="8" w:space="0" w:color="5B9BD4"/>
              <w:left w:val="nil" w:sz="6" w:space="0" w:color="auto"/>
              <w:bottom w:val="single" w:sz="8" w:space="0" w:color="5B9BD4"/>
              <w:right w:val="nil" w:sz="6" w:space="0" w:color="auto"/>
            </w:tcBorders>
            <w:shd w:val="clear" w:color="auto" w:fill="DBE4F0"/>
          </w:tcPr>
          <w:p>
            <w:pPr>
              <w:pStyle w:val="TableParagraph"/>
              <w:spacing w:line="240" w:lineRule="auto" w:before="47"/>
              <w:ind w:right="82"/>
              <w:jc w:val="center"/>
              <w:rPr>
                <w:rFonts w:ascii="宋体" w:hAnsi="宋体" w:cs="宋体" w:eastAsia="宋体" w:hint="default"/>
                <w:sz w:val="18"/>
                <w:szCs w:val="18"/>
              </w:rPr>
            </w:pPr>
            <w:r>
              <w:rPr>
                <w:rFonts w:ascii="宋体" w:hAnsi="宋体" w:cs="宋体" w:eastAsia="宋体" w:hint="default"/>
                <w:sz w:val="18"/>
                <w:szCs w:val="18"/>
              </w:rPr>
              <w:t>中国电信</w:t>
            </w:r>
          </w:p>
        </w:tc>
        <w:tc>
          <w:tcPr>
            <w:tcW w:w="756" w:type="dxa"/>
            <w:tcBorders>
              <w:top w:val="single" w:sz="8" w:space="0" w:color="5B9BD4"/>
              <w:left w:val="nil" w:sz="6" w:space="0" w:color="auto"/>
              <w:bottom w:val="single" w:sz="8" w:space="0" w:color="5B9BD4"/>
              <w:right w:val="nil" w:sz="6" w:space="0" w:color="auto"/>
            </w:tcBorders>
            <w:shd w:val="clear" w:color="auto" w:fill="DBE4F0"/>
          </w:tcPr>
          <w:p>
            <w:pPr>
              <w:pStyle w:val="TableParagraph"/>
              <w:spacing w:line="240" w:lineRule="auto" w:before="47"/>
              <w:ind w:left="24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8" w:type="dxa"/>
            <w:tcBorders>
              <w:top w:val="single" w:sz="8" w:space="0" w:color="5B9BD4"/>
              <w:left w:val="nil" w:sz="6" w:space="0" w:color="auto"/>
              <w:bottom w:val="single" w:sz="8" w:space="0" w:color="5B9BD4"/>
              <w:right w:val="nil" w:sz="6" w:space="0" w:color="auto"/>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中国电信集团公司</w:t>
            </w:r>
          </w:p>
        </w:tc>
      </w:tr>
      <w:tr>
        <w:trPr>
          <w:trHeight w:val="413" w:hRule="exact"/>
        </w:trPr>
        <w:tc>
          <w:tcPr>
            <w:tcW w:w="2206" w:type="dxa"/>
            <w:tcBorders>
              <w:top w:val="single" w:sz="8" w:space="0" w:color="5B9BD4"/>
              <w:left w:val="nil" w:sz="6" w:space="0" w:color="auto"/>
              <w:bottom w:val="single" w:sz="8" w:space="0" w:color="5B9BD4"/>
              <w:right w:val="nil" w:sz="6" w:space="0" w:color="auto"/>
            </w:tcBorders>
            <w:shd w:val="clear" w:color="auto" w:fill="DBE4F0"/>
          </w:tcPr>
          <w:p>
            <w:pPr>
              <w:pStyle w:val="TableParagraph"/>
              <w:spacing w:line="240" w:lineRule="auto" w:before="47"/>
              <w:ind w:right="82"/>
              <w:jc w:val="center"/>
              <w:rPr>
                <w:rFonts w:ascii="宋体" w:hAnsi="宋体" w:cs="宋体" w:eastAsia="宋体" w:hint="default"/>
                <w:sz w:val="18"/>
                <w:szCs w:val="18"/>
              </w:rPr>
            </w:pPr>
            <w:r>
              <w:rPr>
                <w:rFonts w:ascii="宋体" w:hAnsi="宋体" w:cs="宋体" w:eastAsia="宋体" w:hint="default"/>
                <w:sz w:val="18"/>
                <w:szCs w:val="18"/>
              </w:rPr>
              <w:t>中国信贷</w:t>
            </w:r>
          </w:p>
        </w:tc>
        <w:tc>
          <w:tcPr>
            <w:tcW w:w="756" w:type="dxa"/>
            <w:tcBorders>
              <w:top w:val="single" w:sz="8" w:space="0" w:color="5B9BD4"/>
              <w:left w:val="nil" w:sz="6" w:space="0" w:color="auto"/>
              <w:bottom w:val="single" w:sz="8" w:space="0" w:color="5B9BD4"/>
              <w:right w:val="nil" w:sz="6" w:space="0" w:color="auto"/>
            </w:tcBorders>
            <w:shd w:val="clear" w:color="auto" w:fill="DBE4F0"/>
          </w:tcPr>
          <w:p>
            <w:pPr>
              <w:pStyle w:val="TableParagraph"/>
              <w:spacing w:line="240" w:lineRule="auto" w:before="47"/>
              <w:ind w:left="24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8" w:type="dxa"/>
            <w:tcBorders>
              <w:top w:val="single" w:sz="8" w:space="0" w:color="5B9BD4"/>
              <w:left w:val="nil" w:sz="6" w:space="0" w:color="auto"/>
              <w:bottom w:val="single" w:sz="8" w:space="0" w:color="5B9BD4"/>
              <w:right w:val="nil" w:sz="6" w:space="0" w:color="auto"/>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中国信贷控股有限公司</w:t>
            </w:r>
          </w:p>
        </w:tc>
      </w:tr>
      <w:tr>
        <w:trPr>
          <w:trHeight w:val="412" w:hRule="exact"/>
        </w:trPr>
        <w:tc>
          <w:tcPr>
            <w:tcW w:w="2206" w:type="dxa"/>
            <w:tcBorders>
              <w:top w:val="single" w:sz="8" w:space="0" w:color="5B9BD4"/>
              <w:left w:val="nil" w:sz="6" w:space="0" w:color="auto"/>
              <w:bottom w:val="single" w:sz="8" w:space="0" w:color="5B9BD4"/>
              <w:right w:val="nil" w:sz="6" w:space="0" w:color="auto"/>
            </w:tcBorders>
            <w:shd w:val="clear" w:color="auto" w:fill="DBE4F0"/>
          </w:tcPr>
          <w:p>
            <w:pPr>
              <w:pStyle w:val="TableParagraph"/>
              <w:spacing w:line="240" w:lineRule="auto" w:before="46"/>
              <w:ind w:right="82"/>
              <w:jc w:val="center"/>
              <w:rPr>
                <w:rFonts w:ascii="宋体" w:hAnsi="宋体" w:cs="宋体" w:eastAsia="宋体" w:hint="default"/>
                <w:sz w:val="18"/>
                <w:szCs w:val="18"/>
              </w:rPr>
            </w:pPr>
            <w:r>
              <w:rPr>
                <w:rFonts w:ascii="宋体" w:hAnsi="宋体" w:cs="宋体" w:eastAsia="宋体" w:hint="default"/>
                <w:sz w:val="18"/>
                <w:szCs w:val="18"/>
              </w:rPr>
              <w:t>迈奔灵动</w:t>
            </w:r>
          </w:p>
        </w:tc>
        <w:tc>
          <w:tcPr>
            <w:tcW w:w="756" w:type="dxa"/>
            <w:tcBorders>
              <w:top w:val="single" w:sz="8" w:space="0" w:color="5B9BD4"/>
              <w:left w:val="nil" w:sz="6" w:space="0" w:color="auto"/>
              <w:bottom w:val="single" w:sz="8" w:space="0" w:color="5B9BD4"/>
              <w:right w:val="nil" w:sz="6" w:space="0" w:color="auto"/>
            </w:tcBorders>
            <w:shd w:val="clear" w:color="auto" w:fill="DBE4F0"/>
          </w:tcPr>
          <w:p>
            <w:pPr>
              <w:pStyle w:val="TableParagraph"/>
              <w:spacing w:line="240" w:lineRule="auto" w:before="46"/>
              <w:ind w:left="24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8" w:type="dxa"/>
            <w:tcBorders>
              <w:top w:val="single" w:sz="8" w:space="0" w:color="5B9BD4"/>
              <w:left w:val="nil" w:sz="6" w:space="0" w:color="auto"/>
              <w:bottom w:val="single" w:sz="8" w:space="0" w:color="5B9BD4"/>
              <w:right w:val="nil" w:sz="6" w:space="0" w:color="auto"/>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迈奔灵动科技</w:t>
            </w:r>
            <w:r>
              <w:rPr>
                <w:rFonts w:ascii="Arial" w:hAnsi="Arial" w:cs="Arial" w:eastAsia="Arial" w:hint="default"/>
                <w:sz w:val="18"/>
                <w:szCs w:val="18"/>
              </w:rPr>
              <w:t>(</w:t>
            </w:r>
            <w:r>
              <w:rPr>
                <w:rFonts w:ascii="宋体" w:hAnsi="宋体" w:cs="宋体" w:eastAsia="宋体" w:hint="default"/>
                <w:sz w:val="18"/>
                <w:szCs w:val="18"/>
              </w:rPr>
              <w:t>北京</w:t>
            </w:r>
            <w:r>
              <w:rPr>
                <w:rFonts w:ascii="Arial" w:hAnsi="Arial" w:cs="Arial" w:eastAsia="Arial" w:hint="default"/>
                <w:sz w:val="18"/>
                <w:szCs w:val="18"/>
              </w:rPr>
              <w:t>)</w:t>
            </w:r>
            <w:r>
              <w:rPr>
                <w:rFonts w:ascii="宋体" w:hAnsi="宋体" w:cs="宋体" w:eastAsia="宋体" w:hint="default"/>
                <w:sz w:val="18"/>
                <w:szCs w:val="18"/>
              </w:rPr>
              <w:t>有限公司</w:t>
            </w:r>
          </w:p>
        </w:tc>
      </w:tr>
      <w:tr>
        <w:trPr>
          <w:trHeight w:val="412" w:hRule="exact"/>
        </w:trPr>
        <w:tc>
          <w:tcPr>
            <w:tcW w:w="2206" w:type="dxa"/>
            <w:tcBorders>
              <w:top w:val="single" w:sz="8" w:space="0" w:color="5B9BD4"/>
              <w:left w:val="nil" w:sz="6" w:space="0" w:color="auto"/>
              <w:bottom w:val="single" w:sz="8" w:space="0" w:color="5B9BD4"/>
              <w:right w:val="nil" w:sz="6" w:space="0" w:color="auto"/>
            </w:tcBorders>
            <w:shd w:val="clear" w:color="auto" w:fill="DBE4F0"/>
          </w:tcPr>
          <w:p>
            <w:pPr>
              <w:pStyle w:val="TableParagraph"/>
              <w:spacing w:line="240" w:lineRule="auto" w:before="47"/>
              <w:ind w:right="82"/>
              <w:jc w:val="center"/>
              <w:rPr>
                <w:rFonts w:ascii="宋体" w:hAnsi="宋体" w:cs="宋体" w:eastAsia="宋体" w:hint="default"/>
                <w:sz w:val="18"/>
                <w:szCs w:val="18"/>
              </w:rPr>
            </w:pPr>
            <w:r>
              <w:rPr>
                <w:rFonts w:ascii="宋体" w:hAnsi="宋体" w:cs="宋体" w:eastAsia="宋体" w:hint="default"/>
                <w:sz w:val="18"/>
                <w:szCs w:val="18"/>
              </w:rPr>
              <w:t>彩梦科技</w:t>
            </w:r>
          </w:p>
        </w:tc>
        <w:tc>
          <w:tcPr>
            <w:tcW w:w="756" w:type="dxa"/>
            <w:tcBorders>
              <w:top w:val="single" w:sz="8" w:space="0" w:color="5B9BD4"/>
              <w:left w:val="nil" w:sz="6" w:space="0" w:color="auto"/>
              <w:bottom w:val="single" w:sz="8" w:space="0" w:color="5B9BD4"/>
              <w:right w:val="nil" w:sz="6" w:space="0" w:color="auto"/>
            </w:tcBorders>
            <w:shd w:val="clear" w:color="auto" w:fill="DBE4F0"/>
          </w:tcPr>
          <w:p>
            <w:pPr>
              <w:pStyle w:val="TableParagraph"/>
              <w:spacing w:line="240" w:lineRule="auto" w:before="47"/>
              <w:ind w:left="24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8" w:type="dxa"/>
            <w:tcBorders>
              <w:top w:val="single" w:sz="8" w:space="0" w:color="5B9BD4"/>
              <w:left w:val="nil" w:sz="6" w:space="0" w:color="auto"/>
              <w:bottom w:val="single" w:sz="8" w:space="0" w:color="5B9BD4"/>
              <w:right w:val="nil" w:sz="6" w:space="0" w:color="auto"/>
            </w:tcBorders>
          </w:tcPr>
          <w:p>
            <w:pPr>
              <w:pStyle w:val="TableParagraph"/>
              <w:spacing w:line="240" w:lineRule="auto" w:before="47"/>
              <w:ind w:right="0"/>
              <w:jc w:val="center"/>
              <w:rPr>
                <w:rFonts w:ascii="宋体" w:hAnsi="宋体" w:cs="宋体" w:eastAsia="宋体" w:hint="default"/>
                <w:sz w:val="18"/>
                <w:szCs w:val="18"/>
              </w:rPr>
            </w:pPr>
            <w:hyperlink r:id="rId18">
              <w:r>
                <w:rPr>
                  <w:rFonts w:ascii="宋体" w:hAnsi="宋体" w:cs="宋体" w:eastAsia="宋体" w:hint="default"/>
                  <w:sz w:val="18"/>
                  <w:szCs w:val="18"/>
                </w:rPr>
                <w:t>深圳市彩梦科技有限公司</w:t>
              </w:r>
            </w:hyperlink>
          </w:p>
        </w:tc>
      </w:tr>
      <w:tr>
        <w:trPr>
          <w:trHeight w:val="413" w:hRule="exact"/>
        </w:trPr>
        <w:tc>
          <w:tcPr>
            <w:tcW w:w="2206" w:type="dxa"/>
            <w:tcBorders>
              <w:top w:val="single" w:sz="8" w:space="0" w:color="5B9BD4"/>
              <w:left w:val="nil" w:sz="6" w:space="0" w:color="auto"/>
              <w:bottom w:val="single" w:sz="8" w:space="0" w:color="5B9BD4"/>
              <w:right w:val="nil" w:sz="6" w:space="0" w:color="auto"/>
            </w:tcBorders>
            <w:shd w:val="clear" w:color="auto" w:fill="DBE4F0"/>
          </w:tcPr>
          <w:p>
            <w:pPr>
              <w:pStyle w:val="TableParagraph"/>
              <w:spacing w:line="240" w:lineRule="auto" w:before="47"/>
              <w:ind w:right="82"/>
              <w:jc w:val="center"/>
              <w:rPr>
                <w:rFonts w:ascii="宋体" w:hAnsi="宋体" w:cs="宋体" w:eastAsia="宋体" w:hint="default"/>
                <w:sz w:val="18"/>
                <w:szCs w:val="18"/>
              </w:rPr>
            </w:pPr>
            <w:r>
              <w:rPr>
                <w:rFonts w:ascii="宋体" w:hAnsi="宋体" w:cs="宋体" w:eastAsia="宋体" w:hint="default"/>
                <w:sz w:val="18"/>
                <w:szCs w:val="18"/>
              </w:rPr>
              <w:t>瑞成汇达</w:t>
            </w:r>
          </w:p>
        </w:tc>
        <w:tc>
          <w:tcPr>
            <w:tcW w:w="756" w:type="dxa"/>
            <w:tcBorders>
              <w:top w:val="single" w:sz="8" w:space="0" w:color="5B9BD4"/>
              <w:left w:val="nil" w:sz="6" w:space="0" w:color="auto"/>
              <w:bottom w:val="single" w:sz="8" w:space="0" w:color="5B9BD4"/>
              <w:right w:val="nil" w:sz="6" w:space="0" w:color="auto"/>
            </w:tcBorders>
            <w:shd w:val="clear" w:color="auto" w:fill="DBE4F0"/>
          </w:tcPr>
          <w:p>
            <w:pPr>
              <w:pStyle w:val="TableParagraph"/>
              <w:spacing w:line="240" w:lineRule="auto" w:before="47"/>
              <w:ind w:left="24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8" w:type="dxa"/>
            <w:tcBorders>
              <w:top w:val="single" w:sz="8" w:space="0" w:color="5B9BD4"/>
              <w:left w:val="nil" w:sz="6" w:space="0" w:color="auto"/>
              <w:bottom w:val="single" w:sz="8" w:space="0" w:color="5B9BD4"/>
              <w:right w:val="nil" w:sz="6" w:space="0" w:color="auto"/>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北京瑞成汇达科技有限公司</w:t>
            </w:r>
          </w:p>
        </w:tc>
      </w:tr>
      <w:tr>
        <w:trPr>
          <w:trHeight w:val="724" w:hRule="exact"/>
        </w:trPr>
        <w:tc>
          <w:tcPr>
            <w:tcW w:w="2206" w:type="dxa"/>
            <w:tcBorders>
              <w:top w:val="single" w:sz="8" w:space="0" w:color="5B9BD4"/>
              <w:left w:val="nil" w:sz="6" w:space="0" w:color="auto"/>
              <w:bottom w:val="single" w:sz="8" w:space="0" w:color="5B9BD4"/>
              <w:right w:val="nil" w:sz="6" w:space="0" w:color="auto"/>
            </w:tcBorders>
            <w:shd w:val="clear" w:color="auto" w:fill="DBE4F0"/>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82"/>
              <w:jc w:val="center"/>
              <w:rPr>
                <w:rFonts w:ascii="宋体" w:hAnsi="宋体" w:cs="宋体" w:eastAsia="宋体" w:hint="default"/>
                <w:sz w:val="18"/>
                <w:szCs w:val="18"/>
              </w:rPr>
            </w:pPr>
            <w:r>
              <w:rPr>
                <w:rFonts w:ascii="宋体" w:hAnsi="宋体" w:cs="宋体" w:eastAsia="宋体" w:hint="default"/>
                <w:sz w:val="18"/>
                <w:szCs w:val="18"/>
              </w:rPr>
              <w:t>全网通</w:t>
            </w:r>
          </w:p>
        </w:tc>
        <w:tc>
          <w:tcPr>
            <w:tcW w:w="756" w:type="dxa"/>
            <w:tcBorders>
              <w:top w:val="single" w:sz="8" w:space="0" w:color="5B9BD4"/>
              <w:left w:val="nil" w:sz="6" w:space="0" w:color="auto"/>
              <w:bottom w:val="single" w:sz="8" w:space="0" w:color="5B9BD4"/>
              <w:right w:val="nil" w:sz="6" w:space="0" w:color="auto"/>
            </w:tcBorders>
            <w:shd w:val="clear" w:color="auto" w:fill="DBE4F0"/>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8" w:type="dxa"/>
            <w:tcBorders>
              <w:top w:val="single" w:sz="8" w:space="0" w:color="5B9BD4"/>
              <w:left w:val="nil" w:sz="6" w:space="0" w:color="auto"/>
              <w:bottom w:val="single" w:sz="8" w:space="0" w:color="5B9BD4"/>
              <w:right w:val="nil" w:sz="6" w:space="0" w:color="auto"/>
            </w:tcBorders>
          </w:tcPr>
          <w:p>
            <w:pPr>
              <w:pStyle w:val="TableParagraph"/>
              <w:spacing w:line="319" w:lineRule="auto" w:before="47"/>
              <w:ind w:left="693" w:right="106" w:hanging="586"/>
              <w:jc w:val="left"/>
              <w:rPr>
                <w:rFonts w:ascii="宋体" w:hAnsi="宋体" w:cs="宋体" w:eastAsia="宋体" w:hint="default"/>
                <w:sz w:val="18"/>
                <w:szCs w:val="18"/>
              </w:rPr>
            </w:pPr>
            <w:r>
              <w:rPr>
                <w:rFonts w:ascii="宋体" w:hAnsi="宋体" w:cs="宋体" w:eastAsia="宋体" w:hint="default"/>
                <w:spacing w:val="-3"/>
                <w:sz w:val="18"/>
                <w:szCs w:val="18"/>
              </w:rPr>
              <w:t>同时兼容中国电信、中国移动以及中国联通所有网络制式的产品，既手机支持不同</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运营商的手机卡，手机用户可以不换手机既享受不同运营商的服务</w:t>
            </w:r>
          </w:p>
        </w:tc>
      </w:tr>
      <w:tr>
        <w:trPr>
          <w:trHeight w:val="412" w:hRule="exact"/>
        </w:trPr>
        <w:tc>
          <w:tcPr>
            <w:tcW w:w="2206" w:type="dxa"/>
            <w:tcBorders>
              <w:top w:val="single" w:sz="8" w:space="0" w:color="5B9BD4"/>
              <w:left w:val="nil" w:sz="6" w:space="0" w:color="auto"/>
              <w:bottom w:val="single" w:sz="8" w:space="0" w:color="5B9BD4"/>
              <w:right w:val="nil" w:sz="6" w:space="0" w:color="auto"/>
            </w:tcBorders>
            <w:shd w:val="clear" w:color="auto" w:fill="DBE4F0"/>
          </w:tcPr>
          <w:p>
            <w:pPr>
              <w:pStyle w:val="TableParagraph"/>
              <w:spacing w:line="240" w:lineRule="auto" w:before="47"/>
              <w:ind w:right="82"/>
              <w:jc w:val="center"/>
              <w:rPr>
                <w:rFonts w:ascii="宋体" w:hAnsi="宋体" w:cs="宋体" w:eastAsia="宋体" w:hint="default"/>
                <w:sz w:val="18"/>
                <w:szCs w:val="18"/>
              </w:rPr>
            </w:pPr>
            <w:r>
              <w:rPr>
                <w:rFonts w:ascii="宋体" w:hAnsi="宋体" w:cs="宋体" w:eastAsia="宋体" w:hint="default"/>
                <w:sz w:val="18"/>
                <w:szCs w:val="18"/>
              </w:rPr>
              <w:t>移动互联网</w:t>
            </w:r>
          </w:p>
        </w:tc>
        <w:tc>
          <w:tcPr>
            <w:tcW w:w="756" w:type="dxa"/>
            <w:tcBorders>
              <w:top w:val="single" w:sz="8" w:space="0" w:color="5B9BD4"/>
              <w:left w:val="nil" w:sz="6" w:space="0" w:color="auto"/>
              <w:bottom w:val="single" w:sz="8" w:space="0" w:color="5B9BD4"/>
              <w:right w:val="nil" w:sz="6" w:space="0" w:color="auto"/>
            </w:tcBorders>
            <w:shd w:val="clear" w:color="auto" w:fill="DBE4F0"/>
          </w:tcPr>
          <w:p>
            <w:pPr>
              <w:pStyle w:val="TableParagraph"/>
              <w:spacing w:line="240" w:lineRule="auto" w:before="47"/>
              <w:ind w:left="24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8" w:type="dxa"/>
            <w:tcBorders>
              <w:top w:val="single" w:sz="8" w:space="0" w:color="5B9BD4"/>
              <w:left w:val="nil" w:sz="6" w:space="0" w:color="auto"/>
              <w:bottom w:val="single" w:sz="8" w:space="0" w:color="5B9BD4"/>
              <w:right w:val="nil" w:sz="6" w:space="0" w:color="auto"/>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将移动通信和互联网二者结合起来，成为一体</w:t>
            </w:r>
          </w:p>
        </w:tc>
      </w:tr>
      <w:tr>
        <w:trPr>
          <w:trHeight w:val="413" w:hRule="exact"/>
        </w:trPr>
        <w:tc>
          <w:tcPr>
            <w:tcW w:w="2206" w:type="dxa"/>
            <w:tcBorders>
              <w:top w:val="single" w:sz="8" w:space="0" w:color="5B9BD4"/>
              <w:left w:val="nil" w:sz="6" w:space="0" w:color="auto"/>
              <w:bottom w:val="single" w:sz="8" w:space="0" w:color="5B9BD4"/>
              <w:right w:val="nil" w:sz="6" w:space="0" w:color="auto"/>
            </w:tcBorders>
            <w:shd w:val="clear" w:color="auto" w:fill="DBE4F0"/>
          </w:tcPr>
          <w:p>
            <w:pPr>
              <w:pStyle w:val="TableParagraph"/>
              <w:spacing w:line="240" w:lineRule="auto" w:before="47"/>
              <w:ind w:right="83"/>
              <w:jc w:val="center"/>
              <w:rPr>
                <w:rFonts w:ascii="宋体" w:hAnsi="宋体" w:cs="宋体" w:eastAsia="宋体" w:hint="default"/>
                <w:sz w:val="18"/>
                <w:szCs w:val="18"/>
              </w:rPr>
            </w:pPr>
            <w:r>
              <w:rPr>
                <w:rFonts w:ascii="宋体" w:hAnsi="宋体" w:cs="宋体" w:eastAsia="宋体" w:hint="default"/>
                <w:sz w:val="18"/>
                <w:szCs w:val="18"/>
              </w:rPr>
              <w:t>互联网化品牌</w:t>
            </w:r>
          </w:p>
        </w:tc>
        <w:tc>
          <w:tcPr>
            <w:tcW w:w="756" w:type="dxa"/>
            <w:tcBorders>
              <w:top w:val="single" w:sz="8" w:space="0" w:color="5B9BD4"/>
              <w:left w:val="nil" w:sz="6" w:space="0" w:color="auto"/>
              <w:bottom w:val="single" w:sz="8" w:space="0" w:color="5B9BD4"/>
              <w:right w:val="nil" w:sz="6" w:space="0" w:color="auto"/>
            </w:tcBorders>
            <w:shd w:val="clear" w:color="auto" w:fill="DBE4F0"/>
          </w:tcPr>
          <w:p>
            <w:pPr>
              <w:pStyle w:val="TableParagraph"/>
              <w:spacing w:line="240" w:lineRule="auto" w:before="47"/>
              <w:ind w:left="24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8" w:type="dxa"/>
            <w:tcBorders>
              <w:top w:val="single" w:sz="8" w:space="0" w:color="5B9BD4"/>
              <w:left w:val="nil" w:sz="6" w:space="0" w:color="auto"/>
              <w:bottom w:val="single" w:sz="8" w:space="0" w:color="5B9BD4"/>
              <w:right w:val="nil" w:sz="6" w:space="0" w:color="auto"/>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指主要利用互联网平台和技术运作产品的宣传、销售以及提升产品粘性的品牌</w:t>
            </w:r>
          </w:p>
        </w:tc>
      </w:tr>
      <w:tr>
        <w:trPr>
          <w:trHeight w:val="412" w:hRule="exact"/>
        </w:trPr>
        <w:tc>
          <w:tcPr>
            <w:tcW w:w="2206" w:type="dxa"/>
            <w:tcBorders>
              <w:top w:val="single" w:sz="8" w:space="0" w:color="5B9BD4"/>
              <w:left w:val="nil" w:sz="6" w:space="0" w:color="auto"/>
              <w:bottom w:val="single" w:sz="8" w:space="0" w:color="5B9BD4"/>
              <w:right w:val="nil" w:sz="6" w:space="0" w:color="auto"/>
            </w:tcBorders>
            <w:shd w:val="clear" w:color="auto" w:fill="DBE4F0"/>
          </w:tcPr>
          <w:p>
            <w:pPr>
              <w:pStyle w:val="TableParagraph"/>
              <w:spacing w:line="240" w:lineRule="auto" w:before="46"/>
              <w:ind w:right="83"/>
              <w:jc w:val="center"/>
              <w:rPr>
                <w:rFonts w:ascii="宋体" w:hAnsi="宋体" w:cs="宋体" w:eastAsia="宋体" w:hint="default"/>
                <w:sz w:val="18"/>
                <w:szCs w:val="18"/>
              </w:rPr>
            </w:pPr>
            <w:r>
              <w:rPr>
                <w:rFonts w:ascii="宋体" w:hAnsi="宋体" w:cs="宋体" w:eastAsia="宋体" w:hint="default"/>
                <w:sz w:val="18"/>
                <w:szCs w:val="18"/>
              </w:rPr>
              <w:t>生态手机品牌</w:t>
            </w:r>
          </w:p>
        </w:tc>
        <w:tc>
          <w:tcPr>
            <w:tcW w:w="756" w:type="dxa"/>
            <w:tcBorders>
              <w:top w:val="single" w:sz="8" w:space="0" w:color="5B9BD4"/>
              <w:left w:val="nil" w:sz="6" w:space="0" w:color="auto"/>
              <w:bottom w:val="single" w:sz="8" w:space="0" w:color="5B9BD4"/>
              <w:right w:val="nil" w:sz="6" w:space="0" w:color="auto"/>
            </w:tcBorders>
            <w:shd w:val="clear" w:color="auto" w:fill="DBE4F0"/>
          </w:tcPr>
          <w:p>
            <w:pPr>
              <w:pStyle w:val="TableParagraph"/>
              <w:spacing w:line="240" w:lineRule="auto" w:before="46"/>
              <w:ind w:left="24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8" w:type="dxa"/>
            <w:tcBorders>
              <w:top w:val="single" w:sz="8" w:space="0" w:color="5B9BD4"/>
              <w:left w:val="nil" w:sz="6" w:space="0" w:color="auto"/>
              <w:bottom w:val="single" w:sz="8" w:space="0" w:color="5B9BD4"/>
              <w:right w:val="nil" w:sz="6" w:space="0" w:color="auto"/>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具备系统平台、内容提供、终端产品、应用体验为一体的自有封闭品牌</w:t>
            </w:r>
          </w:p>
        </w:tc>
      </w:tr>
      <w:tr>
        <w:trPr>
          <w:trHeight w:val="724" w:hRule="exact"/>
        </w:trPr>
        <w:tc>
          <w:tcPr>
            <w:tcW w:w="2206" w:type="dxa"/>
            <w:tcBorders>
              <w:top w:val="single" w:sz="8" w:space="0" w:color="5B9BD4"/>
              <w:left w:val="nil" w:sz="6" w:space="0" w:color="auto"/>
              <w:bottom w:val="single" w:sz="8" w:space="0" w:color="5B9BD4"/>
              <w:right w:val="nil" w:sz="6" w:space="0" w:color="auto"/>
            </w:tcBorders>
            <w:shd w:val="clear" w:color="auto" w:fill="DBE4F0"/>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82"/>
              <w:jc w:val="center"/>
              <w:rPr>
                <w:rFonts w:ascii="Arial" w:hAnsi="Arial" w:cs="Arial" w:eastAsia="Arial" w:hint="default"/>
                <w:sz w:val="18"/>
                <w:szCs w:val="18"/>
              </w:rPr>
            </w:pPr>
            <w:r>
              <w:rPr>
                <w:rFonts w:ascii="Arial"/>
                <w:w w:val="105"/>
                <w:sz w:val="18"/>
              </w:rPr>
              <w:t>4G</w:t>
            </w:r>
            <w:r>
              <w:rPr>
                <w:rFonts w:ascii="Arial"/>
                <w:sz w:val="18"/>
              </w:rPr>
            </w:r>
          </w:p>
        </w:tc>
        <w:tc>
          <w:tcPr>
            <w:tcW w:w="756" w:type="dxa"/>
            <w:tcBorders>
              <w:top w:val="single" w:sz="8" w:space="0" w:color="5B9BD4"/>
              <w:left w:val="nil" w:sz="6" w:space="0" w:color="auto"/>
              <w:bottom w:val="single" w:sz="8" w:space="0" w:color="5B9BD4"/>
              <w:right w:val="nil" w:sz="6" w:space="0" w:color="auto"/>
            </w:tcBorders>
            <w:shd w:val="clear" w:color="auto" w:fill="DBE4F0"/>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8" w:type="dxa"/>
            <w:tcBorders>
              <w:top w:val="single" w:sz="8" w:space="0" w:color="5B9BD4"/>
              <w:left w:val="nil" w:sz="6" w:space="0" w:color="auto"/>
              <w:bottom w:val="single" w:sz="8" w:space="0" w:color="5B9BD4"/>
              <w:right w:val="nil" w:sz="6" w:space="0" w:color="auto"/>
            </w:tcBorders>
          </w:tcPr>
          <w:p>
            <w:pPr>
              <w:pStyle w:val="TableParagraph"/>
              <w:spacing w:line="302" w:lineRule="auto" w:before="47"/>
              <w:ind w:left="107" w:right="138"/>
              <w:jc w:val="left"/>
              <w:rPr>
                <w:rFonts w:ascii="宋体" w:hAnsi="宋体" w:cs="宋体" w:eastAsia="宋体" w:hint="default"/>
                <w:sz w:val="18"/>
                <w:szCs w:val="18"/>
              </w:rPr>
            </w:pPr>
            <w:hyperlink r:id="rId19">
              <w:r>
                <w:rPr>
                  <w:rFonts w:ascii="宋体" w:hAnsi="宋体" w:cs="宋体" w:eastAsia="宋体" w:hint="default"/>
                  <w:w w:val="95"/>
                  <w:sz w:val="18"/>
                  <w:szCs w:val="18"/>
                </w:rPr>
                <w:t>指的是第四代移动通信技术</w:t>
              </w:r>
            </w:hyperlink>
            <w:r>
              <w:rPr>
                <w:rFonts w:ascii="宋体" w:hAnsi="宋体" w:cs="宋体" w:eastAsia="宋体" w:hint="default"/>
                <w:w w:val="95"/>
                <w:sz w:val="18"/>
                <w:szCs w:val="18"/>
              </w:rPr>
              <w:t>，该技术包括</w:t>
            </w:r>
            <w:r>
              <w:rPr>
                <w:rFonts w:ascii="宋体" w:hAnsi="宋体" w:cs="宋体" w:eastAsia="宋体" w:hint="default"/>
                <w:spacing w:val="-15"/>
                <w:w w:val="95"/>
                <w:sz w:val="18"/>
                <w:szCs w:val="18"/>
              </w:rPr>
              <w:t> </w:t>
            </w:r>
            <w:hyperlink r:id="rId20">
              <w:r>
                <w:rPr>
                  <w:rFonts w:ascii="Arial" w:hAnsi="Arial" w:cs="Arial" w:eastAsia="Arial" w:hint="default"/>
                  <w:w w:val="95"/>
                  <w:sz w:val="18"/>
                  <w:szCs w:val="18"/>
                </w:rPr>
                <w:t>TD-LTE</w:t>
              </w:r>
            </w:hyperlink>
            <w:r>
              <w:rPr>
                <w:rFonts w:ascii="Arial" w:hAnsi="Arial" w:cs="Arial" w:eastAsia="Arial" w:hint="default"/>
                <w:spacing w:val="22"/>
                <w:w w:val="95"/>
                <w:sz w:val="18"/>
                <w:szCs w:val="18"/>
              </w:rPr>
              <w:t> </w:t>
            </w:r>
            <w:r>
              <w:rPr>
                <w:rFonts w:ascii="宋体" w:hAnsi="宋体" w:cs="宋体" w:eastAsia="宋体" w:hint="default"/>
                <w:w w:val="95"/>
                <w:sz w:val="18"/>
                <w:szCs w:val="18"/>
              </w:rPr>
              <w:t>和</w:t>
            </w:r>
            <w:r>
              <w:rPr>
                <w:rFonts w:ascii="宋体" w:hAnsi="宋体" w:cs="宋体" w:eastAsia="宋体" w:hint="default"/>
                <w:spacing w:val="-15"/>
                <w:w w:val="95"/>
                <w:sz w:val="18"/>
                <w:szCs w:val="18"/>
              </w:rPr>
              <w:t> </w:t>
            </w:r>
            <w:hyperlink r:id="rId21">
              <w:r>
                <w:rPr>
                  <w:rFonts w:ascii="Arial" w:hAnsi="Arial" w:cs="Arial" w:eastAsia="Arial" w:hint="default"/>
                  <w:w w:val="95"/>
                  <w:sz w:val="18"/>
                  <w:szCs w:val="18"/>
                </w:rPr>
                <w:t>FDD-LTE</w:t>
              </w:r>
            </w:hyperlink>
            <w:r>
              <w:rPr>
                <w:rFonts w:ascii="Arial" w:hAnsi="Arial" w:cs="Arial" w:eastAsia="Arial" w:hint="default"/>
                <w:spacing w:val="22"/>
                <w:w w:val="95"/>
                <w:sz w:val="18"/>
                <w:szCs w:val="18"/>
              </w:rPr>
              <w:t> </w:t>
            </w:r>
            <w:r>
              <w:rPr>
                <w:rFonts w:ascii="宋体" w:hAnsi="宋体" w:cs="宋体" w:eastAsia="宋体" w:hint="default"/>
                <w:w w:val="95"/>
                <w:sz w:val="18"/>
                <w:szCs w:val="18"/>
              </w:rPr>
              <w:t>两种制式，</w:t>
            </w:r>
            <w:hyperlink r:id="rId22">
              <w:r>
                <w:rPr>
                  <w:rFonts w:ascii="Arial" w:hAnsi="Arial" w:cs="Arial" w:eastAsia="Arial" w:hint="default"/>
                  <w:w w:val="95"/>
                  <w:sz w:val="18"/>
                  <w:szCs w:val="18"/>
                </w:rPr>
                <w:t>4G</w:t>
              </w:r>
            </w:hyperlink>
            <w:r>
              <w:rPr>
                <w:rFonts w:ascii="Arial" w:hAnsi="Arial" w:cs="Arial" w:eastAsia="Arial" w:hint="default"/>
                <w:spacing w:val="23"/>
                <w:w w:val="95"/>
                <w:sz w:val="18"/>
                <w:szCs w:val="18"/>
              </w:rPr>
              <w:t> </w:t>
            </w:r>
            <w:r>
              <w:rPr>
                <w:rFonts w:ascii="宋体" w:hAnsi="宋体" w:cs="宋体" w:eastAsia="宋体" w:hint="default"/>
                <w:w w:val="95"/>
                <w:sz w:val="18"/>
                <w:szCs w:val="18"/>
              </w:rPr>
              <w:t>是集</w:t>
            </w:r>
            <w:r>
              <w:rPr>
                <w:rFonts w:ascii="宋体" w:hAnsi="宋体" w:cs="宋体" w:eastAsia="宋体" w:hint="default"/>
                <w:spacing w:val="-80"/>
                <w:w w:val="95"/>
                <w:sz w:val="18"/>
                <w:szCs w:val="18"/>
              </w:rPr>
              <w:t> </w:t>
            </w:r>
            <w:hyperlink r:id="rId23">
              <w:r>
                <w:rPr>
                  <w:rFonts w:ascii="Arial" w:hAnsi="Arial" w:cs="Arial" w:eastAsia="Arial" w:hint="default"/>
                  <w:sz w:val="18"/>
                  <w:szCs w:val="18"/>
                </w:rPr>
                <w:t>3G</w:t>
              </w:r>
            </w:hyperlink>
            <w:r>
              <w:rPr>
                <w:rFonts w:ascii="Arial" w:hAnsi="Arial" w:cs="Arial" w:eastAsia="Arial" w:hint="default"/>
                <w:spacing w:val="-1"/>
                <w:sz w:val="18"/>
                <w:szCs w:val="18"/>
              </w:rPr>
              <w:t> </w:t>
            </w:r>
            <w:r>
              <w:rPr>
                <w:rFonts w:ascii="宋体" w:hAnsi="宋体" w:cs="宋体" w:eastAsia="宋体" w:hint="default"/>
                <w:sz w:val="18"/>
                <w:szCs w:val="18"/>
              </w:rPr>
              <w:t>与</w:t>
            </w:r>
            <w:r>
              <w:rPr>
                <w:rFonts w:ascii="宋体" w:hAnsi="宋体" w:cs="宋体" w:eastAsia="宋体" w:hint="default"/>
                <w:spacing w:val="-41"/>
                <w:sz w:val="18"/>
                <w:szCs w:val="18"/>
              </w:rPr>
              <w:t> </w:t>
            </w:r>
            <w:hyperlink r:id="rId24">
              <w:r>
                <w:rPr>
                  <w:rFonts w:ascii="Arial" w:hAnsi="Arial" w:cs="Arial" w:eastAsia="Arial" w:hint="default"/>
                  <w:sz w:val="18"/>
                  <w:szCs w:val="18"/>
                </w:rPr>
                <w:t>WLAN</w:t>
              </w:r>
            </w:hyperlink>
            <w:r>
              <w:rPr>
                <w:rFonts w:ascii="Arial" w:hAnsi="Arial" w:cs="Arial" w:eastAsia="Arial" w:hint="default"/>
                <w:spacing w:val="2"/>
                <w:sz w:val="18"/>
                <w:szCs w:val="18"/>
              </w:rPr>
              <w:t> </w:t>
            </w:r>
            <w:r>
              <w:rPr>
                <w:rFonts w:ascii="宋体" w:hAnsi="宋体" w:cs="宋体" w:eastAsia="宋体" w:hint="default"/>
                <w:sz w:val="18"/>
                <w:szCs w:val="18"/>
              </w:rPr>
              <w:t>于一体，并能够快速传输数据、高质量、音频、视频和图像等</w:t>
            </w:r>
          </w:p>
        </w:tc>
      </w:tr>
      <w:tr>
        <w:trPr>
          <w:trHeight w:val="725" w:hRule="exact"/>
        </w:trPr>
        <w:tc>
          <w:tcPr>
            <w:tcW w:w="2206" w:type="dxa"/>
            <w:tcBorders>
              <w:top w:val="single" w:sz="8" w:space="0" w:color="5B9BD4"/>
              <w:left w:val="nil" w:sz="6" w:space="0" w:color="auto"/>
              <w:bottom w:val="single" w:sz="8" w:space="0" w:color="5B9BD4"/>
              <w:right w:val="nil" w:sz="6" w:space="0" w:color="auto"/>
            </w:tcBorders>
            <w:shd w:val="clear" w:color="auto" w:fill="DBE4F0"/>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83"/>
              <w:jc w:val="center"/>
              <w:rPr>
                <w:rFonts w:ascii="Arial" w:hAnsi="Arial" w:cs="Arial" w:eastAsia="Arial" w:hint="default"/>
                <w:sz w:val="18"/>
                <w:szCs w:val="18"/>
              </w:rPr>
            </w:pPr>
            <w:r>
              <w:rPr>
                <w:rFonts w:ascii="Arial"/>
                <w:w w:val="110"/>
                <w:sz w:val="18"/>
              </w:rPr>
              <w:t>M2M</w:t>
            </w:r>
            <w:r>
              <w:rPr>
                <w:rFonts w:ascii="Arial"/>
                <w:sz w:val="18"/>
              </w:rPr>
            </w:r>
          </w:p>
        </w:tc>
        <w:tc>
          <w:tcPr>
            <w:tcW w:w="756" w:type="dxa"/>
            <w:tcBorders>
              <w:top w:val="single" w:sz="8" w:space="0" w:color="5B9BD4"/>
              <w:left w:val="nil" w:sz="6" w:space="0" w:color="auto"/>
              <w:bottom w:val="single" w:sz="8" w:space="0" w:color="5B9BD4"/>
              <w:right w:val="nil" w:sz="6" w:space="0" w:color="auto"/>
            </w:tcBorders>
            <w:shd w:val="clear" w:color="auto" w:fill="DBE4F0"/>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8" w:type="dxa"/>
            <w:tcBorders>
              <w:top w:val="single" w:sz="8" w:space="0" w:color="5B9BD4"/>
              <w:left w:val="nil" w:sz="6" w:space="0" w:color="auto"/>
              <w:bottom w:val="single" w:sz="8" w:space="0" w:color="5B9BD4"/>
              <w:right w:val="nil" w:sz="6" w:space="0" w:color="auto"/>
            </w:tcBorders>
          </w:tcPr>
          <w:p>
            <w:pPr>
              <w:pStyle w:val="TableParagraph"/>
              <w:spacing w:line="302" w:lineRule="auto" w:before="47"/>
              <w:ind w:left="2166" w:right="106" w:hanging="2059"/>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Arial" w:hAnsi="Arial" w:cs="Arial" w:eastAsia="Arial" w:hint="default"/>
                <w:spacing w:val="-1"/>
                <w:sz w:val="18"/>
                <w:szCs w:val="18"/>
              </w:rPr>
              <w:t>M2M</w:t>
            </w:r>
            <w:r>
              <w:rPr>
                <w:rFonts w:ascii="宋体" w:hAnsi="宋体" w:cs="宋体" w:eastAsia="宋体" w:hint="default"/>
                <w:spacing w:val="-1"/>
                <w:sz w:val="18"/>
                <w:szCs w:val="18"/>
              </w:rPr>
              <w:t>”是指“</w:t>
            </w:r>
            <w:r>
              <w:rPr>
                <w:rFonts w:ascii="Arial" w:hAnsi="Arial" w:cs="Arial" w:eastAsia="Arial" w:hint="default"/>
                <w:spacing w:val="-1"/>
                <w:sz w:val="18"/>
                <w:szCs w:val="18"/>
              </w:rPr>
              <w:t>Machine-to-Machine</w:t>
            </w:r>
            <w:r>
              <w:rPr>
                <w:rFonts w:ascii="宋体" w:hAnsi="宋体" w:cs="宋体" w:eastAsia="宋体" w:hint="default"/>
                <w:spacing w:val="-1"/>
                <w:sz w:val="18"/>
                <w:szCs w:val="18"/>
              </w:rPr>
              <w:t>”用来表示机器对机器之间的连接与通信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Arial" w:hAnsi="Arial" w:cs="Arial" w:eastAsia="Arial" w:hint="default"/>
                <w:sz w:val="18"/>
                <w:szCs w:val="18"/>
              </w:rPr>
              <w:t>M2M</w:t>
            </w:r>
            <w:r>
              <w:rPr>
                <w:rFonts w:ascii="Arial" w:hAnsi="Arial" w:cs="Arial" w:eastAsia="Arial" w:hint="default"/>
                <w:spacing w:val="24"/>
                <w:sz w:val="18"/>
                <w:szCs w:val="18"/>
              </w:rPr>
              <w:t> </w:t>
            </w:r>
            <w:r>
              <w:rPr>
                <w:rFonts w:ascii="宋体" w:hAnsi="宋体" w:cs="宋体" w:eastAsia="宋体" w:hint="default"/>
                <w:sz w:val="18"/>
                <w:szCs w:val="18"/>
              </w:rPr>
              <w:t>是物联网支撑技术之一</w:t>
            </w:r>
          </w:p>
        </w:tc>
      </w:tr>
      <w:tr>
        <w:trPr>
          <w:trHeight w:val="1036" w:hRule="exact"/>
        </w:trPr>
        <w:tc>
          <w:tcPr>
            <w:tcW w:w="2206" w:type="dxa"/>
            <w:tcBorders>
              <w:top w:val="single" w:sz="8" w:space="0" w:color="5B9BD4"/>
              <w:left w:val="nil" w:sz="6" w:space="0" w:color="auto"/>
              <w:bottom w:val="single" w:sz="8" w:space="0" w:color="5B9BD4"/>
              <w:right w:val="nil" w:sz="6" w:space="0" w:color="auto"/>
            </w:tcBorders>
            <w:shd w:val="clear" w:color="auto" w:fill="DBE4F0"/>
          </w:tcPr>
          <w:p>
            <w:pPr>
              <w:pStyle w:val="TableParagraph"/>
              <w:spacing w:line="240" w:lineRule="auto" w:before="17"/>
              <w:ind w:right="0"/>
              <w:jc w:val="left"/>
              <w:rPr>
                <w:rFonts w:ascii="Microsoft JhengHei" w:hAnsi="Microsoft JhengHei" w:cs="Microsoft JhengHei" w:eastAsia="Microsoft JhengHei" w:hint="default"/>
                <w:b/>
                <w:bCs/>
                <w:sz w:val="22"/>
                <w:szCs w:val="22"/>
              </w:rPr>
            </w:pPr>
          </w:p>
          <w:p>
            <w:pPr>
              <w:pStyle w:val="TableParagraph"/>
              <w:spacing w:line="240" w:lineRule="auto"/>
              <w:ind w:right="82"/>
              <w:jc w:val="center"/>
              <w:rPr>
                <w:rFonts w:ascii="Arial" w:hAnsi="Arial" w:cs="Arial" w:eastAsia="Arial" w:hint="default"/>
                <w:sz w:val="18"/>
                <w:szCs w:val="18"/>
              </w:rPr>
            </w:pPr>
            <w:r>
              <w:rPr>
                <w:rFonts w:ascii="Arial"/>
                <w:w w:val="90"/>
                <w:sz w:val="18"/>
              </w:rPr>
              <w:t>SAP</w:t>
            </w:r>
            <w:r>
              <w:rPr>
                <w:rFonts w:ascii="Arial"/>
                <w:spacing w:val="-18"/>
                <w:w w:val="90"/>
                <w:sz w:val="18"/>
              </w:rPr>
              <w:t> </w:t>
            </w:r>
            <w:r>
              <w:rPr>
                <w:rFonts w:ascii="Arial"/>
                <w:w w:val="90"/>
                <w:sz w:val="18"/>
              </w:rPr>
              <w:t>ERP</w:t>
            </w:r>
            <w:r>
              <w:rPr>
                <w:rFonts w:ascii="Arial"/>
                <w:sz w:val="18"/>
              </w:rPr>
            </w:r>
          </w:p>
        </w:tc>
        <w:tc>
          <w:tcPr>
            <w:tcW w:w="756" w:type="dxa"/>
            <w:tcBorders>
              <w:top w:val="single" w:sz="8" w:space="0" w:color="5B9BD4"/>
              <w:left w:val="nil" w:sz="6" w:space="0" w:color="auto"/>
              <w:bottom w:val="single" w:sz="8" w:space="0" w:color="5B9BD4"/>
              <w:right w:val="nil" w:sz="6" w:space="0" w:color="auto"/>
            </w:tcBorders>
            <w:shd w:val="clear" w:color="auto" w:fill="DBE4F0"/>
          </w:tcPr>
          <w:p>
            <w:pPr>
              <w:pStyle w:val="TableParagraph"/>
              <w:spacing w:line="240" w:lineRule="auto" w:before="10"/>
              <w:ind w:right="0"/>
              <w:jc w:val="left"/>
              <w:rPr>
                <w:rFonts w:ascii="Microsoft JhengHei" w:hAnsi="Microsoft JhengHei" w:cs="Microsoft JhengHei" w:eastAsia="Microsoft JhengHei" w:hint="default"/>
                <w:b/>
                <w:bCs/>
                <w:sz w:val="20"/>
                <w:szCs w:val="20"/>
              </w:rPr>
            </w:pPr>
          </w:p>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8" w:type="dxa"/>
            <w:tcBorders>
              <w:top w:val="single" w:sz="8" w:space="0" w:color="5B9BD4"/>
              <w:left w:val="nil" w:sz="6" w:space="0" w:color="auto"/>
              <w:bottom w:val="single" w:sz="8" w:space="0" w:color="5B9BD4"/>
              <w:right w:val="nil" w:sz="6" w:space="0" w:color="auto"/>
            </w:tcBorders>
          </w:tcPr>
          <w:p>
            <w:pPr>
              <w:pStyle w:val="TableParagraph"/>
              <w:spacing w:line="309" w:lineRule="auto" w:before="46"/>
              <w:ind w:left="107" w:right="106"/>
              <w:jc w:val="left"/>
              <w:rPr>
                <w:rFonts w:ascii="宋体" w:hAnsi="宋体" w:cs="宋体" w:eastAsia="宋体" w:hint="default"/>
                <w:sz w:val="18"/>
                <w:szCs w:val="18"/>
              </w:rPr>
            </w:pPr>
            <w:r>
              <w:rPr>
                <w:rFonts w:ascii="宋体" w:hAnsi="宋体" w:cs="宋体" w:eastAsia="宋体" w:hint="default"/>
                <w:spacing w:val="-3"/>
                <w:sz w:val="18"/>
                <w:szCs w:val="18"/>
              </w:rPr>
              <w:t>功能覆盖企业的财务、后勤（工程设计、采购、库存、生产销售和质量等）和人力</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资源管理、</w:t>
            </w:r>
            <w:r>
              <w:rPr>
                <w:rFonts w:ascii="Arial" w:hAnsi="Arial" w:cs="Arial" w:eastAsia="Arial" w:hint="default"/>
                <w:sz w:val="18"/>
                <w:szCs w:val="18"/>
              </w:rPr>
              <w:t>SAP</w:t>
            </w:r>
            <w:r>
              <w:rPr>
                <w:rFonts w:ascii="Arial" w:hAnsi="Arial" w:cs="Arial" w:eastAsia="Arial" w:hint="default"/>
                <w:spacing w:val="-17"/>
                <w:sz w:val="18"/>
                <w:szCs w:val="18"/>
              </w:rPr>
              <w:t> </w:t>
            </w:r>
            <w:r>
              <w:rPr>
                <w:rFonts w:ascii="宋体" w:hAnsi="宋体" w:cs="宋体" w:eastAsia="宋体" w:hint="default"/>
                <w:sz w:val="18"/>
                <w:szCs w:val="18"/>
              </w:rPr>
              <w:t>业务工作流系统以及因特网应用链接功能等各个方面的企业资源 计划系统</w:t>
            </w:r>
          </w:p>
        </w:tc>
      </w:tr>
      <w:tr>
        <w:trPr>
          <w:trHeight w:val="413" w:hRule="exact"/>
        </w:trPr>
        <w:tc>
          <w:tcPr>
            <w:tcW w:w="2206" w:type="dxa"/>
            <w:tcBorders>
              <w:top w:val="single" w:sz="8" w:space="0" w:color="5B9BD4"/>
              <w:left w:val="nil" w:sz="6" w:space="0" w:color="auto"/>
              <w:bottom w:val="single" w:sz="8" w:space="0" w:color="5B9BD4"/>
              <w:right w:val="nil" w:sz="6" w:space="0" w:color="auto"/>
            </w:tcBorders>
            <w:shd w:val="clear" w:color="auto" w:fill="DBE4F0"/>
          </w:tcPr>
          <w:p>
            <w:pPr>
              <w:pStyle w:val="TableParagraph"/>
              <w:spacing w:line="240" w:lineRule="auto" w:before="47"/>
              <w:ind w:right="82"/>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756" w:type="dxa"/>
            <w:tcBorders>
              <w:top w:val="single" w:sz="8" w:space="0" w:color="5B9BD4"/>
              <w:left w:val="nil" w:sz="6" w:space="0" w:color="auto"/>
              <w:bottom w:val="single" w:sz="8" w:space="0" w:color="5B9BD4"/>
              <w:right w:val="nil" w:sz="6" w:space="0" w:color="auto"/>
            </w:tcBorders>
            <w:shd w:val="clear" w:color="auto" w:fill="DBE4F0"/>
          </w:tcPr>
          <w:p>
            <w:pPr>
              <w:pStyle w:val="TableParagraph"/>
              <w:spacing w:line="240" w:lineRule="auto" w:before="47"/>
              <w:ind w:left="24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8" w:type="dxa"/>
            <w:tcBorders>
              <w:top w:val="single" w:sz="8" w:space="0" w:color="5B9BD4"/>
              <w:left w:val="nil" w:sz="6" w:space="0" w:color="auto"/>
              <w:bottom w:val="single" w:sz="8" w:space="0" w:color="5B9BD4"/>
              <w:right w:val="nil" w:sz="6" w:space="0" w:color="auto"/>
            </w:tcBorders>
          </w:tcPr>
          <w:p>
            <w:pPr>
              <w:pStyle w:val="TableParagraph"/>
              <w:spacing w:line="240" w:lineRule="auto" w:before="47"/>
              <w:ind w:right="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Arial" w:hAnsi="Arial" w:cs="Arial" w:eastAsia="Arial" w:hint="default"/>
                <w:sz w:val="18"/>
                <w:szCs w:val="18"/>
              </w:rPr>
              <w:t>2015</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2"/>
                <w:sz w:val="18"/>
                <w:szCs w:val="18"/>
              </w:rPr>
              <w:t> </w:t>
            </w:r>
            <w:r>
              <w:rPr>
                <w:rFonts w:ascii="Arial" w:hAnsi="Arial" w:cs="Arial" w:eastAsia="Arial" w:hint="default"/>
                <w:sz w:val="18"/>
                <w:szCs w:val="18"/>
              </w:rPr>
              <w:t>12</w:t>
            </w:r>
            <w:r>
              <w:rPr>
                <w:rFonts w:ascii="Arial" w:hAnsi="Arial" w:cs="Arial" w:eastAsia="Arial" w:hint="default"/>
                <w:spacing w:val="3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37"/>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headerReference w:type="default" r:id="rId16"/>
          <w:pgSz w:w="11910" w:h="16840"/>
          <w:pgMar w:header="877" w:footer="1187" w:top="1100" w:bottom="1380" w:left="98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4"/>
        <w:rPr>
          <w:rFonts w:ascii="Microsoft JhengHei" w:hAnsi="Microsoft JhengHei" w:cs="Microsoft JhengHei" w:eastAsia="Microsoft JhengHei" w:hint="default"/>
          <w:b/>
          <w:bCs/>
          <w:sz w:val="26"/>
          <w:szCs w:val="26"/>
        </w:rPr>
      </w:pPr>
    </w:p>
    <w:p>
      <w:pPr>
        <w:pStyle w:val="Heading1"/>
        <w:spacing w:line="409" w:lineRule="exact"/>
        <w:ind w:left="1076" w:right="976"/>
        <w:jc w:val="center"/>
        <w:rPr>
          <w:b w:val="0"/>
          <w:bCs w:val="0"/>
        </w:rPr>
      </w:pPr>
      <w:bookmarkStart w:name="重大风险提示" w:id="10"/>
      <w:bookmarkEnd w:id="10"/>
      <w:r>
        <w:rPr>
          <w:b w:val="0"/>
          <w:bCs w:val="0"/>
        </w:rPr>
      </w:r>
      <w:bookmarkStart w:name="_bookmark3" w:id="11"/>
      <w:bookmarkEnd w:id="11"/>
      <w:r>
        <w:rPr>
          <w:b w:val="0"/>
          <w:bCs w:val="0"/>
        </w:rPr>
      </w:r>
      <w:r>
        <w:rPr>
          <w:color w:val="5B9BD4"/>
        </w:rPr>
        <w:t>重大风险提示</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4"/>
        <w:rPr>
          <w:rFonts w:ascii="Microsoft JhengHei" w:hAnsi="Microsoft JhengHei" w:cs="Microsoft JhengHei" w:eastAsia="Microsoft JhengHei" w:hint="default"/>
          <w:b/>
          <w:bCs/>
          <w:sz w:val="12"/>
          <w:szCs w:val="12"/>
        </w:rPr>
      </w:pPr>
    </w:p>
    <w:p>
      <w:pPr>
        <w:pStyle w:val="Heading5"/>
        <w:spacing w:line="317" w:lineRule="exact" w:before="0"/>
        <w:ind w:left="573" w:right="0"/>
        <w:jc w:val="left"/>
        <w:rPr>
          <w:rFonts w:ascii="Microsoft JhengHei" w:hAnsi="Microsoft JhengHei" w:cs="Microsoft JhengHei" w:eastAsia="Microsoft JhengHei" w:hint="default"/>
          <w:b w:val="0"/>
          <w:bCs w:val="0"/>
        </w:rPr>
      </w:pPr>
      <w:r>
        <w:rPr>
          <w:rFonts w:ascii="Trebuchet MS" w:hAnsi="Trebuchet MS" w:cs="Trebuchet MS" w:eastAsia="Trebuchet MS" w:hint="default"/>
        </w:rPr>
        <w:t>1</w:t>
      </w:r>
      <w:r>
        <w:rPr>
          <w:rFonts w:ascii="Microsoft JhengHei" w:hAnsi="Microsoft JhengHei" w:cs="Microsoft JhengHei" w:eastAsia="Microsoft JhengHei" w:hint="default"/>
        </w:rPr>
        <w:t>、市场风险</w:t>
      </w:r>
      <w:r>
        <w:rPr>
          <w:rFonts w:ascii="Microsoft JhengHei" w:hAnsi="Microsoft JhengHei" w:cs="Microsoft JhengHei" w:eastAsia="Microsoft JhengHei" w:hint="default"/>
          <w:b w:val="0"/>
          <w:bCs w:val="0"/>
        </w:rPr>
      </w:r>
    </w:p>
    <w:p>
      <w:pPr>
        <w:spacing w:line="240" w:lineRule="auto" w:before="12"/>
        <w:rPr>
          <w:rFonts w:ascii="Microsoft JhengHei" w:hAnsi="Microsoft JhengHei" w:cs="Microsoft JhengHei" w:eastAsia="Microsoft JhengHei" w:hint="default"/>
          <w:b/>
          <w:bCs/>
          <w:sz w:val="18"/>
          <w:szCs w:val="18"/>
        </w:rPr>
      </w:pPr>
    </w:p>
    <w:p>
      <w:pPr>
        <w:pStyle w:val="BodyText"/>
        <w:spacing w:line="408" w:lineRule="auto"/>
        <w:ind w:right="1131" w:firstLine="420"/>
        <w:jc w:val="both"/>
      </w:pPr>
      <w:r>
        <w:rPr>
          <w:spacing w:val="-1"/>
        </w:rPr>
        <w:t>随着智能手机普及率不断提高，市场规模增长步伐放缓，产品体验与品牌价值不断提升，市场竞争加</w:t>
      </w:r>
      <w:r>
        <w:rPr/>
        <w:t> </w:t>
      </w:r>
      <w:r>
        <w:rPr>
          <w:spacing w:val="-1"/>
        </w:rPr>
        <w:t>剧，产品更新迭代速度加快，对线上、线下一体化销售提出了更高的要求，公司作为国内最大的手机分销</w:t>
      </w:r>
      <w:r>
        <w:rPr>
          <w:spacing w:val="-86"/>
        </w:rPr>
        <w:t> </w:t>
      </w:r>
      <w:r>
        <w:rPr>
          <w:spacing w:val="-86"/>
        </w:rPr>
      </w:r>
      <w:r>
        <w:rPr/>
        <w:t>商之一，在竞争激烈的市场环境中，面临持续提升销售服务能力和运营效率的挑战。</w:t>
      </w:r>
    </w:p>
    <w:p>
      <w:pPr>
        <w:pStyle w:val="BodyText"/>
        <w:spacing w:line="453" w:lineRule="auto" w:before="135"/>
        <w:ind w:left="573" w:right="1125"/>
        <w:jc w:val="left"/>
      </w:pPr>
      <w:r>
        <w:rPr>
          <w:rFonts w:ascii="Trebuchet MS" w:hAnsi="Trebuchet MS" w:cs="Trebuchet MS" w:eastAsia="Trebuchet MS" w:hint="default"/>
          <w:b/>
          <w:bCs/>
        </w:rPr>
        <w:t>2</w:t>
      </w:r>
      <w:r>
        <w:rPr>
          <w:rFonts w:ascii="Microsoft JhengHei" w:hAnsi="Microsoft JhengHei" w:cs="Microsoft JhengHei" w:eastAsia="Microsoft JhengHei" w:hint="default"/>
          <w:b/>
          <w:bCs/>
        </w:rPr>
        <w:t>、管理风险 </w:t>
      </w:r>
      <w:r>
        <w:rPr>
          <w:spacing w:val="-1"/>
        </w:rPr>
        <w:t>公司已建立较规范的组织管理体系，但随着公司业务规模的逐步扩大，业务领域的拓展，公司在资源</w:t>
      </w:r>
    </w:p>
    <w:p>
      <w:pPr>
        <w:pStyle w:val="BodyText"/>
        <w:spacing w:line="388" w:lineRule="auto" w:before="6"/>
        <w:ind w:right="0"/>
        <w:jc w:val="left"/>
      </w:pPr>
      <w:r>
        <w:rPr>
          <w:w w:val="95"/>
        </w:rPr>
        <w:t>整合、效能提升、产品体验、风险控制、平台化运营、</w:t>
      </w:r>
      <w:r>
        <w:rPr>
          <w:rFonts w:ascii="Arial" w:hAnsi="Arial" w:cs="Arial" w:eastAsia="Arial" w:hint="default"/>
          <w:w w:val="95"/>
        </w:rPr>
        <w:t>IT </w:t>
      </w:r>
      <w:r>
        <w:rPr>
          <w:w w:val="95"/>
        </w:rPr>
        <w:t>化闭环管控、合伙人机制创新等方面，面临着管</w:t>
      </w:r>
      <w:r>
        <w:rPr>
          <w:spacing w:val="-60"/>
          <w:w w:val="95"/>
        </w:rPr>
        <w:t> </w:t>
      </w:r>
      <w:r>
        <w:rPr/>
        <w:t>理能力需要不断提升的挑战。</w:t>
      </w:r>
    </w:p>
    <w:p>
      <w:pPr>
        <w:pStyle w:val="BodyText"/>
        <w:spacing w:line="326" w:lineRule="auto" w:before="152"/>
        <w:ind w:left="573" w:right="2353"/>
        <w:jc w:val="left"/>
      </w:pPr>
      <w:r>
        <w:rPr>
          <w:rFonts w:ascii="Trebuchet MS" w:hAnsi="Trebuchet MS" w:cs="Trebuchet MS" w:eastAsia="Trebuchet MS" w:hint="default"/>
          <w:b/>
          <w:bCs/>
        </w:rPr>
        <w:t>3</w:t>
      </w:r>
      <w:r>
        <w:rPr>
          <w:rFonts w:ascii="Microsoft JhengHei" w:hAnsi="Microsoft JhengHei" w:cs="Microsoft JhengHei" w:eastAsia="Microsoft JhengHei" w:hint="default"/>
          <w:b/>
          <w:bCs/>
        </w:rPr>
        <w:t>、财务风险 </w:t>
      </w:r>
      <w:r>
        <w:rPr/>
        <w:t>随着公司销售规模扩大，业务领域拓宽，国家金融政策将会对公司经营业绩产生影响。</w:t>
      </w:r>
    </w:p>
    <w:p>
      <w:pPr>
        <w:spacing w:after="0" w:line="326" w:lineRule="auto"/>
        <w:jc w:val="left"/>
        <w:sectPr>
          <w:headerReference w:type="default" r:id="rId25"/>
          <w:footerReference w:type="default" r:id="rId26"/>
          <w:pgSz w:w="11910" w:h="16840"/>
          <w:pgMar w:header="877" w:footer="979" w:top="1060" w:bottom="1160" w:left="980" w:right="0"/>
          <w:pgNumType w:start="9"/>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1"/>
        <w:spacing w:line="409" w:lineRule="exact"/>
        <w:ind w:left="3515" w:right="0"/>
        <w:jc w:val="left"/>
        <w:rPr>
          <w:b w:val="0"/>
          <w:bCs w:val="0"/>
        </w:rPr>
      </w:pPr>
      <w:bookmarkStart w:name="第二节 公司简介和主要财务指标" w:id="12"/>
      <w:bookmarkEnd w:id="12"/>
      <w:r>
        <w:rPr>
          <w:b w:val="0"/>
          <w:bCs w:val="0"/>
        </w:rPr>
      </w:r>
      <w:bookmarkStart w:name="_bookmark4" w:id="13"/>
      <w:bookmarkEnd w:id="13"/>
      <w:r>
        <w:rPr>
          <w:b w:val="0"/>
          <w:bCs w:val="0"/>
        </w:rPr>
      </w:r>
      <w:r>
        <w:rPr>
          <w:color w:val="2D74B5"/>
        </w:rPr>
        <w:t>第二节  公司简介和主要财务指标</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7"/>
        <w:rPr>
          <w:rFonts w:ascii="Microsoft JhengHei" w:hAnsi="Microsoft JhengHei" w:cs="Microsoft JhengHei" w:eastAsia="Microsoft JhengHei" w:hint="default"/>
          <w:b/>
          <w:bCs/>
          <w:sz w:val="14"/>
          <w:szCs w:val="14"/>
        </w:rPr>
      </w:pPr>
    </w:p>
    <w:p>
      <w:pPr>
        <w:pStyle w:val="Heading1"/>
        <w:spacing w:line="409" w:lineRule="exact"/>
        <w:ind w:right="0"/>
        <w:jc w:val="left"/>
        <w:rPr>
          <w:b w:val="0"/>
          <w:bCs w:val="0"/>
        </w:rPr>
      </w:pPr>
      <w:bookmarkStart w:name="2.1 公司信息" w:id="14"/>
      <w:bookmarkEnd w:id="14"/>
      <w:r>
        <w:rPr>
          <w:b w:val="0"/>
          <w:bCs w:val="0"/>
        </w:rPr>
      </w:r>
      <w:bookmarkStart w:name="_bookmark5" w:id="15"/>
      <w:bookmarkEnd w:id="15"/>
      <w:r>
        <w:rPr>
          <w:b w:val="0"/>
          <w:bCs w:val="0"/>
        </w:rPr>
      </w:r>
      <w:r>
        <w:rPr>
          <w:rFonts w:ascii="Trebuchet MS" w:hAnsi="Trebuchet MS" w:cs="Trebuchet MS" w:eastAsia="Trebuchet MS" w:hint="default"/>
        </w:rPr>
        <w:t>2.1</w:t>
      </w:r>
      <w:r>
        <w:rPr>
          <w:rFonts w:ascii="Trebuchet MS" w:hAnsi="Trebuchet MS" w:cs="Trebuchet MS" w:eastAsia="Trebuchet MS" w:hint="default"/>
          <w:spacing w:val="14"/>
        </w:rPr>
        <w:t> </w:t>
      </w:r>
      <w:r>
        <w:rPr/>
        <w:t>公司信息</w:t>
      </w:r>
      <w:r>
        <w:rPr>
          <w:b w:val="0"/>
          <w:bCs w:val="0"/>
        </w:rPr>
      </w:r>
    </w:p>
    <w:p>
      <w:pPr>
        <w:spacing w:line="240" w:lineRule="auto" w:before="14"/>
        <w:rPr>
          <w:rFonts w:ascii="Microsoft JhengHei" w:hAnsi="Microsoft JhengHei" w:cs="Microsoft JhengHei" w:eastAsia="Microsoft JhengHei" w:hint="default"/>
          <w:b/>
          <w:bCs/>
          <w:sz w:val="7"/>
          <w:szCs w:val="7"/>
        </w:rPr>
      </w:pPr>
    </w:p>
    <w:tbl>
      <w:tblPr>
        <w:tblW w:w="0" w:type="auto"/>
        <w:jc w:val="left"/>
        <w:tblInd w:w="162" w:type="dxa"/>
        <w:tblLayout w:type="fixed"/>
        <w:tblCellMar>
          <w:top w:w="0" w:type="dxa"/>
          <w:left w:w="0" w:type="dxa"/>
          <w:bottom w:w="0" w:type="dxa"/>
          <w:right w:w="0" w:type="dxa"/>
        </w:tblCellMar>
        <w:tblLook w:val="01E0"/>
      </w:tblPr>
      <w:tblGrid>
        <w:gridCol w:w="3621"/>
        <w:gridCol w:w="2100"/>
        <w:gridCol w:w="1659"/>
        <w:gridCol w:w="2176"/>
      </w:tblGrid>
      <w:tr>
        <w:trPr>
          <w:trHeight w:val="402" w:hRule="exact"/>
        </w:trPr>
        <w:tc>
          <w:tcPr>
            <w:tcW w:w="362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10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41" w:right="0"/>
              <w:jc w:val="left"/>
              <w:rPr>
                <w:rFonts w:ascii="宋体" w:hAnsi="宋体" w:cs="宋体" w:eastAsia="宋体" w:hint="default"/>
                <w:sz w:val="18"/>
                <w:szCs w:val="18"/>
              </w:rPr>
            </w:pPr>
            <w:r>
              <w:rPr>
                <w:rFonts w:ascii="宋体" w:hAnsi="宋体" w:cs="宋体" w:eastAsia="宋体" w:hint="default"/>
                <w:sz w:val="18"/>
                <w:szCs w:val="18"/>
              </w:rPr>
              <w:t>爱施德</w:t>
            </w:r>
          </w:p>
        </w:tc>
        <w:tc>
          <w:tcPr>
            <w:tcW w:w="1659" w:type="dxa"/>
            <w:tcBorders>
              <w:top w:val="single" w:sz="4" w:space="0" w:color="5B9BD4"/>
              <w:left w:val="single" w:sz="12" w:space="0" w:color="DEEAF6"/>
              <w:bottom w:val="single" w:sz="4" w:space="0" w:color="5B9BD4"/>
              <w:right w:val="nil" w:sz="6" w:space="0" w:color="auto"/>
            </w:tcBorders>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left="27" w:right="0"/>
              <w:jc w:val="left"/>
              <w:rPr>
                <w:rFonts w:ascii="Arial" w:hAnsi="Arial" w:cs="Arial" w:eastAsia="Arial" w:hint="default"/>
                <w:sz w:val="18"/>
                <w:szCs w:val="18"/>
              </w:rPr>
            </w:pPr>
            <w:r>
              <w:rPr>
                <w:rFonts w:ascii="Arial"/>
                <w:sz w:val="18"/>
              </w:rPr>
              <w:t>002416</w:t>
            </w:r>
          </w:p>
        </w:tc>
      </w:tr>
      <w:tr>
        <w:trPr>
          <w:trHeight w:val="402" w:hRule="exact"/>
        </w:trPr>
        <w:tc>
          <w:tcPr>
            <w:tcW w:w="362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5935" w:type="dxa"/>
            <w:gridSpan w:val="3"/>
            <w:tcBorders>
              <w:top w:val="single" w:sz="4" w:space="0" w:color="5B9BD4"/>
              <w:left w:val="single" w:sz="12" w:space="0" w:color="DEEAF6"/>
              <w:bottom w:val="single" w:sz="4" w:space="0" w:color="5B9BD4"/>
              <w:right w:val="nil" w:sz="6" w:space="0" w:color="auto"/>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62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5935" w:type="dxa"/>
            <w:gridSpan w:val="3"/>
            <w:tcBorders>
              <w:top w:val="single" w:sz="4" w:space="0" w:color="5B9BD4"/>
              <w:left w:val="single" w:sz="12" w:space="0" w:color="DEEAF6"/>
              <w:bottom w:val="single" w:sz="4" w:space="0" w:color="5B9BD4"/>
              <w:right w:val="nil" w:sz="6" w:space="0" w:color="auto"/>
            </w:tcBorders>
          </w:tcPr>
          <w:p>
            <w:pPr>
              <w:pStyle w:val="TableParagraph"/>
              <w:spacing w:line="240" w:lineRule="auto" w:before="46"/>
              <w:ind w:left="1879" w:right="0"/>
              <w:jc w:val="left"/>
              <w:rPr>
                <w:rFonts w:ascii="宋体" w:hAnsi="宋体" w:cs="宋体" w:eastAsia="宋体" w:hint="default"/>
                <w:sz w:val="18"/>
                <w:szCs w:val="18"/>
              </w:rPr>
            </w:pPr>
            <w:r>
              <w:rPr>
                <w:rFonts w:ascii="宋体" w:hAnsi="宋体" w:cs="宋体" w:eastAsia="宋体" w:hint="default"/>
                <w:sz w:val="18"/>
                <w:szCs w:val="18"/>
              </w:rPr>
              <w:t>深圳市爱施德股份有限公司</w:t>
            </w:r>
          </w:p>
        </w:tc>
      </w:tr>
      <w:tr>
        <w:trPr>
          <w:trHeight w:val="402" w:hRule="exact"/>
        </w:trPr>
        <w:tc>
          <w:tcPr>
            <w:tcW w:w="362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5935" w:type="dxa"/>
            <w:gridSpan w:val="3"/>
            <w:tcBorders>
              <w:top w:val="single" w:sz="4" w:space="0" w:color="5B9BD4"/>
              <w:left w:val="single" w:sz="12" w:space="0" w:color="DEEAF6"/>
              <w:bottom w:val="single" w:sz="4" w:space="0" w:color="5B9BD4"/>
              <w:right w:val="nil" w:sz="6" w:space="0" w:color="auto"/>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爱施德</w:t>
            </w:r>
          </w:p>
        </w:tc>
      </w:tr>
      <w:tr>
        <w:trPr>
          <w:trHeight w:val="402" w:hRule="exact"/>
        </w:trPr>
        <w:tc>
          <w:tcPr>
            <w:tcW w:w="362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5935" w:type="dxa"/>
            <w:gridSpan w:val="3"/>
            <w:tcBorders>
              <w:top w:val="single" w:sz="4" w:space="0" w:color="5B9BD4"/>
              <w:left w:val="single" w:sz="12" w:space="0" w:color="DEEAF6"/>
              <w:bottom w:val="single" w:sz="4" w:space="0" w:color="5B9BD4"/>
              <w:right w:val="nil" w:sz="6" w:space="0" w:color="auto"/>
            </w:tcBorders>
          </w:tcPr>
          <w:p>
            <w:pPr>
              <w:pStyle w:val="TableParagraph"/>
              <w:spacing w:line="240" w:lineRule="auto" w:before="88"/>
              <w:ind w:left="1904" w:right="0"/>
              <w:jc w:val="left"/>
              <w:rPr>
                <w:rFonts w:ascii="Arial" w:hAnsi="Arial" w:cs="Arial" w:eastAsia="Arial" w:hint="default"/>
                <w:sz w:val="18"/>
                <w:szCs w:val="18"/>
              </w:rPr>
            </w:pPr>
            <w:r>
              <w:rPr>
                <w:rFonts w:ascii="Arial"/>
                <w:sz w:val="18"/>
              </w:rPr>
              <w:t>Shenzhen Aisidi</w:t>
            </w:r>
            <w:r>
              <w:rPr>
                <w:rFonts w:ascii="Arial"/>
                <w:spacing w:val="4"/>
                <w:sz w:val="18"/>
              </w:rPr>
              <w:t> </w:t>
            </w:r>
            <w:r>
              <w:rPr>
                <w:rFonts w:ascii="Arial"/>
                <w:sz w:val="18"/>
              </w:rPr>
              <w:t>CO.,LTD.</w:t>
            </w:r>
          </w:p>
        </w:tc>
      </w:tr>
      <w:tr>
        <w:trPr>
          <w:trHeight w:val="402" w:hRule="exact"/>
        </w:trPr>
        <w:tc>
          <w:tcPr>
            <w:tcW w:w="362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5935" w:type="dxa"/>
            <w:gridSpan w:val="3"/>
            <w:tcBorders>
              <w:top w:val="single" w:sz="4" w:space="0" w:color="5B9BD4"/>
              <w:left w:val="single" w:sz="12" w:space="0" w:color="DEEAF6"/>
              <w:bottom w:val="single" w:sz="4" w:space="0" w:color="5B9BD4"/>
              <w:right w:val="nil" w:sz="6" w:space="0" w:color="auto"/>
            </w:tcBorders>
          </w:tcPr>
          <w:p>
            <w:pPr>
              <w:pStyle w:val="TableParagraph"/>
              <w:spacing w:line="240" w:lineRule="auto" w:before="88"/>
              <w:ind w:right="0"/>
              <w:jc w:val="center"/>
              <w:rPr>
                <w:rFonts w:ascii="Arial" w:hAnsi="Arial" w:cs="Arial" w:eastAsia="Arial" w:hint="default"/>
                <w:sz w:val="18"/>
                <w:szCs w:val="18"/>
              </w:rPr>
            </w:pPr>
            <w:r>
              <w:rPr>
                <w:rFonts w:ascii="Arial"/>
                <w:sz w:val="18"/>
              </w:rPr>
              <w:t>aisidi</w:t>
            </w:r>
          </w:p>
        </w:tc>
      </w:tr>
      <w:tr>
        <w:trPr>
          <w:trHeight w:val="402" w:hRule="exact"/>
        </w:trPr>
        <w:tc>
          <w:tcPr>
            <w:tcW w:w="362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公司法定代表人</w:t>
            </w:r>
          </w:p>
        </w:tc>
        <w:tc>
          <w:tcPr>
            <w:tcW w:w="5935" w:type="dxa"/>
            <w:gridSpan w:val="3"/>
            <w:tcBorders>
              <w:top w:val="single" w:sz="4" w:space="0" w:color="5B9BD4"/>
              <w:left w:val="single" w:sz="12" w:space="0" w:color="DEEAF6"/>
              <w:bottom w:val="single" w:sz="4" w:space="0" w:color="5B9BD4"/>
              <w:right w:val="nil" w:sz="6" w:space="0" w:color="auto"/>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黄文辉</w:t>
            </w:r>
          </w:p>
        </w:tc>
      </w:tr>
      <w:tr>
        <w:trPr>
          <w:trHeight w:val="402" w:hRule="exact"/>
        </w:trPr>
        <w:tc>
          <w:tcPr>
            <w:tcW w:w="362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5935" w:type="dxa"/>
            <w:gridSpan w:val="3"/>
            <w:tcBorders>
              <w:top w:val="single" w:sz="4" w:space="0" w:color="5B9BD4"/>
              <w:left w:val="single" w:sz="12" w:space="0" w:color="DEEAF6"/>
              <w:bottom w:val="single" w:sz="4" w:space="0" w:color="5B9BD4"/>
              <w:right w:val="nil" w:sz="6" w:space="0" w:color="auto"/>
            </w:tcBorders>
          </w:tcPr>
          <w:p>
            <w:pPr>
              <w:pStyle w:val="TableParagraph"/>
              <w:spacing w:line="240" w:lineRule="auto" w:before="46"/>
              <w:ind w:left="1263" w:right="0"/>
              <w:jc w:val="left"/>
              <w:rPr>
                <w:rFonts w:ascii="Arial" w:hAnsi="Arial" w:cs="Arial" w:eastAsia="Arial" w:hint="default"/>
                <w:sz w:val="18"/>
                <w:szCs w:val="18"/>
              </w:rPr>
            </w:pPr>
            <w:r>
              <w:rPr>
                <w:rFonts w:ascii="宋体" w:hAnsi="宋体" w:cs="宋体" w:eastAsia="宋体" w:hint="default"/>
                <w:sz w:val="18"/>
                <w:szCs w:val="18"/>
              </w:rPr>
              <w:t>深圳市福田区泰然大道东泰然劲松大厦</w:t>
            </w:r>
            <w:r>
              <w:rPr>
                <w:rFonts w:ascii="宋体" w:hAnsi="宋体" w:cs="宋体" w:eastAsia="宋体" w:hint="default"/>
                <w:spacing w:val="-70"/>
                <w:sz w:val="18"/>
                <w:szCs w:val="18"/>
              </w:rPr>
              <w:t> </w:t>
            </w:r>
            <w:r>
              <w:rPr>
                <w:rFonts w:ascii="Arial" w:hAnsi="Arial" w:cs="Arial" w:eastAsia="Arial" w:hint="default"/>
                <w:sz w:val="18"/>
                <w:szCs w:val="18"/>
              </w:rPr>
              <w:t>20F</w:t>
            </w:r>
          </w:p>
        </w:tc>
      </w:tr>
      <w:tr>
        <w:trPr>
          <w:trHeight w:val="402" w:hRule="exact"/>
        </w:trPr>
        <w:tc>
          <w:tcPr>
            <w:tcW w:w="362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5935" w:type="dxa"/>
            <w:gridSpan w:val="3"/>
            <w:tcBorders>
              <w:top w:val="single" w:sz="4" w:space="0" w:color="5B9BD4"/>
              <w:left w:val="single" w:sz="12" w:space="0" w:color="DEEAF6"/>
              <w:bottom w:val="single" w:sz="4" w:space="0" w:color="5B9BD4"/>
              <w:right w:val="nil" w:sz="6" w:space="0" w:color="auto"/>
            </w:tcBorders>
          </w:tcPr>
          <w:p>
            <w:pPr>
              <w:pStyle w:val="TableParagraph"/>
              <w:spacing w:line="240" w:lineRule="auto" w:before="88"/>
              <w:ind w:right="1"/>
              <w:jc w:val="center"/>
              <w:rPr>
                <w:rFonts w:ascii="Arial" w:hAnsi="Arial" w:cs="Arial" w:eastAsia="Arial" w:hint="default"/>
                <w:sz w:val="18"/>
                <w:szCs w:val="18"/>
              </w:rPr>
            </w:pPr>
            <w:r>
              <w:rPr>
                <w:rFonts w:ascii="Arial"/>
                <w:sz w:val="18"/>
              </w:rPr>
              <w:t>518040</w:t>
            </w:r>
          </w:p>
        </w:tc>
      </w:tr>
      <w:tr>
        <w:trPr>
          <w:trHeight w:val="402" w:hRule="exact"/>
        </w:trPr>
        <w:tc>
          <w:tcPr>
            <w:tcW w:w="362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5935" w:type="dxa"/>
            <w:gridSpan w:val="3"/>
            <w:tcBorders>
              <w:top w:val="single" w:sz="4" w:space="0" w:color="5B9BD4"/>
              <w:left w:val="single" w:sz="12" w:space="0" w:color="DEEAF6"/>
              <w:bottom w:val="single" w:sz="4" w:space="0" w:color="5B9BD4"/>
              <w:right w:val="nil" w:sz="6" w:space="0" w:color="auto"/>
            </w:tcBorders>
          </w:tcPr>
          <w:p>
            <w:pPr>
              <w:pStyle w:val="TableParagraph"/>
              <w:spacing w:line="240" w:lineRule="auto" w:before="46"/>
              <w:ind w:left="185" w:right="0"/>
              <w:jc w:val="left"/>
              <w:rPr>
                <w:rFonts w:ascii="宋体" w:hAnsi="宋体" w:cs="宋体" w:eastAsia="宋体" w:hint="default"/>
                <w:sz w:val="18"/>
                <w:szCs w:val="18"/>
              </w:rPr>
            </w:pPr>
            <w:r>
              <w:rPr>
                <w:rFonts w:ascii="宋体" w:hAnsi="宋体" w:cs="宋体" w:eastAsia="宋体" w:hint="default"/>
                <w:sz w:val="18"/>
                <w:szCs w:val="18"/>
              </w:rPr>
              <w:t>深圳市南山区沙河西路</w:t>
            </w:r>
            <w:r>
              <w:rPr>
                <w:rFonts w:ascii="宋体" w:hAnsi="宋体" w:cs="宋体" w:eastAsia="宋体" w:hint="default"/>
                <w:spacing w:val="-44"/>
                <w:sz w:val="18"/>
                <w:szCs w:val="18"/>
              </w:rPr>
              <w:t> </w:t>
            </w:r>
            <w:r>
              <w:rPr>
                <w:rFonts w:ascii="Arial" w:hAnsi="Arial" w:cs="Arial" w:eastAsia="Arial" w:hint="default"/>
                <w:sz w:val="18"/>
                <w:szCs w:val="18"/>
              </w:rPr>
              <w:t>3151</w:t>
            </w:r>
            <w:r>
              <w:rPr>
                <w:rFonts w:ascii="Arial" w:hAnsi="Arial" w:cs="Arial" w:eastAsia="Arial" w:hint="default"/>
                <w:spacing w:val="-3"/>
                <w:sz w:val="18"/>
                <w:szCs w:val="18"/>
              </w:rPr>
              <w:t> </w:t>
            </w:r>
            <w:r>
              <w:rPr>
                <w:rFonts w:ascii="宋体" w:hAnsi="宋体" w:cs="宋体" w:eastAsia="宋体" w:hint="default"/>
                <w:sz w:val="18"/>
                <w:szCs w:val="18"/>
              </w:rPr>
              <w:t>号新兴产业园（健兴科技大厦）</w:t>
            </w:r>
            <w:r>
              <w:rPr>
                <w:rFonts w:ascii="Arial" w:hAnsi="Arial" w:cs="Arial" w:eastAsia="Arial" w:hint="default"/>
                <w:sz w:val="18"/>
                <w:szCs w:val="18"/>
              </w:rPr>
              <w:t>C</w:t>
            </w:r>
            <w:r>
              <w:rPr>
                <w:rFonts w:ascii="Arial" w:hAnsi="Arial" w:cs="Arial" w:eastAsia="Arial" w:hint="default"/>
                <w:spacing w:val="-4"/>
                <w:sz w:val="18"/>
                <w:szCs w:val="18"/>
              </w:rPr>
              <w:t> </w:t>
            </w:r>
            <w:r>
              <w:rPr>
                <w:rFonts w:ascii="宋体" w:hAnsi="宋体" w:cs="宋体" w:eastAsia="宋体" w:hint="default"/>
                <w:sz w:val="18"/>
                <w:szCs w:val="18"/>
              </w:rPr>
              <w:t>栋</w:t>
            </w:r>
            <w:r>
              <w:rPr>
                <w:rFonts w:ascii="宋体" w:hAnsi="宋体" w:cs="宋体" w:eastAsia="宋体" w:hint="default"/>
                <w:spacing w:val="-43"/>
                <w:sz w:val="18"/>
                <w:szCs w:val="18"/>
              </w:rPr>
              <w:t> </w:t>
            </w:r>
            <w:r>
              <w:rPr>
                <w:rFonts w:ascii="Arial" w:hAnsi="Arial" w:cs="Arial" w:eastAsia="Arial" w:hint="default"/>
                <w:sz w:val="18"/>
                <w:szCs w:val="18"/>
              </w:rPr>
              <w:t>8</w:t>
            </w:r>
            <w:r>
              <w:rPr>
                <w:rFonts w:ascii="Arial" w:hAnsi="Arial" w:cs="Arial" w:eastAsia="Arial" w:hint="default"/>
                <w:spacing w:val="-4"/>
                <w:sz w:val="18"/>
                <w:szCs w:val="18"/>
              </w:rPr>
              <w:t> </w:t>
            </w:r>
            <w:r>
              <w:rPr>
                <w:rFonts w:ascii="宋体" w:hAnsi="宋体" w:cs="宋体" w:eastAsia="宋体" w:hint="default"/>
                <w:sz w:val="18"/>
                <w:szCs w:val="18"/>
              </w:rPr>
              <w:t>楼</w:t>
            </w:r>
          </w:p>
        </w:tc>
      </w:tr>
      <w:tr>
        <w:trPr>
          <w:trHeight w:val="402" w:hRule="exact"/>
        </w:trPr>
        <w:tc>
          <w:tcPr>
            <w:tcW w:w="362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5935" w:type="dxa"/>
            <w:gridSpan w:val="3"/>
            <w:tcBorders>
              <w:top w:val="single" w:sz="4" w:space="0" w:color="5B9BD4"/>
              <w:left w:val="single" w:sz="12" w:space="0" w:color="DEEAF6"/>
              <w:bottom w:val="single" w:sz="4" w:space="0" w:color="5B9BD4"/>
              <w:right w:val="nil" w:sz="6" w:space="0" w:color="auto"/>
            </w:tcBorders>
          </w:tcPr>
          <w:p>
            <w:pPr>
              <w:pStyle w:val="TableParagraph"/>
              <w:spacing w:line="240" w:lineRule="auto" w:before="88"/>
              <w:ind w:right="1"/>
              <w:jc w:val="center"/>
              <w:rPr>
                <w:rFonts w:ascii="Arial" w:hAnsi="Arial" w:cs="Arial" w:eastAsia="Arial" w:hint="default"/>
                <w:sz w:val="18"/>
                <w:szCs w:val="18"/>
              </w:rPr>
            </w:pPr>
            <w:r>
              <w:rPr>
                <w:rFonts w:ascii="Arial"/>
                <w:sz w:val="18"/>
              </w:rPr>
              <w:t>518055</w:t>
            </w:r>
          </w:p>
        </w:tc>
      </w:tr>
      <w:tr>
        <w:trPr>
          <w:trHeight w:val="402" w:hRule="exact"/>
        </w:trPr>
        <w:tc>
          <w:tcPr>
            <w:tcW w:w="362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5935" w:type="dxa"/>
            <w:gridSpan w:val="3"/>
            <w:tcBorders>
              <w:top w:val="single" w:sz="4" w:space="0" w:color="5B9BD4"/>
              <w:left w:val="single" w:sz="12" w:space="0" w:color="DEEAF6"/>
              <w:bottom w:val="single" w:sz="4" w:space="0" w:color="5B9BD4"/>
              <w:right w:val="nil" w:sz="6" w:space="0" w:color="auto"/>
            </w:tcBorders>
          </w:tcPr>
          <w:p>
            <w:pPr>
              <w:pStyle w:val="TableParagraph"/>
              <w:spacing w:line="240" w:lineRule="auto" w:before="88"/>
              <w:ind w:right="0"/>
              <w:jc w:val="center"/>
              <w:rPr>
                <w:rFonts w:ascii="Arial" w:hAnsi="Arial" w:cs="Arial" w:eastAsia="Arial" w:hint="default"/>
                <w:sz w:val="18"/>
                <w:szCs w:val="18"/>
              </w:rPr>
            </w:pPr>
            <w:hyperlink r:id="rId27">
              <w:r>
                <w:rPr>
                  <w:rFonts w:ascii="Arial"/>
                  <w:w w:val="115"/>
                  <w:sz w:val="18"/>
                </w:rPr>
                <w:t>http://www.aisidi.com</w:t>
              </w:r>
              <w:r>
                <w:rPr>
                  <w:rFonts w:ascii="Arial"/>
                  <w:sz w:val="18"/>
                </w:rPr>
              </w:r>
            </w:hyperlink>
          </w:p>
        </w:tc>
      </w:tr>
      <w:tr>
        <w:trPr>
          <w:trHeight w:val="402" w:hRule="exact"/>
        </w:trPr>
        <w:tc>
          <w:tcPr>
            <w:tcW w:w="362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5935" w:type="dxa"/>
            <w:gridSpan w:val="3"/>
            <w:tcBorders>
              <w:top w:val="single" w:sz="4" w:space="0" w:color="5B9BD4"/>
              <w:left w:val="single" w:sz="12" w:space="0" w:color="DEEAF6"/>
              <w:bottom w:val="single" w:sz="4" w:space="0" w:color="5B9BD4"/>
              <w:right w:val="nil" w:sz="6" w:space="0" w:color="auto"/>
            </w:tcBorders>
          </w:tcPr>
          <w:p>
            <w:pPr>
              <w:pStyle w:val="TableParagraph"/>
              <w:spacing w:line="240" w:lineRule="auto" w:before="88"/>
              <w:ind w:right="1"/>
              <w:jc w:val="center"/>
              <w:rPr>
                <w:rFonts w:ascii="Arial" w:hAnsi="Arial" w:cs="Arial" w:eastAsia="Arial" w:hint="default"/>
                <w:sz w:val="18"/>
                <w:szCs w:val="18"/>
              </w:rPr>
            </w:pPr>
            <w:hyperlink r:id="rId28">
              <w:r>
                <w:rPr>
                  <w:rFonts w:ascii="Arial"/>
                  <w:sz w:val="18"/>
                </w:rPr>
                <w:t>ir@aisidi.com</w:t>
              </w:r>
            </w:hyperlink>
          </w:p>
        </w:tc>
      </w:tr>
    </w:tbl>
    <w:p>
      <w:pPr>
        <w:spacing w:line="240" w:lineRule="auto" w:before="2"/>
        <w:rPr>
          <w:rFonts w:ascii="Microsoft JhengHei" w:hAnsi="Microsoft JhengHei" w:cs="Microsoft JhengHei" w:eastAsia="Microsoft JhengHei" w:hint="default"/>
          <w:b/>
          <w:bCs/>
          <w:sz w:val="5"/>
          <w:szCs w:val="5"/>
        </w:rPr>
      </w:pPr>
    </w:p>
    <w:p>
      <w:pPr>
        <w:pStyle w:val="Heading1"/>
        <w:spacing w:line="409" w:lineRule="exact"/>
        <w:ind w:left="154" w:right="0"/>
        <w:jc w:val="left"/>
        <w:rPr>
          <w:b w:val="0"/>
          <w:bCs w:val="0"/>
        </w:rPr>
      </w:pPr>
      <w:bookmarkStart w:name="2.2 联系人和联系方式" w:id="16"/>
      <w:bookmarkEnd w:id="16"/>
      <w:r>
        <w:rPr>
          <w:b w:val="0"/>
          <w:bCs w:val="0"/>
        </w:rPr>
      </w:r>
      <w:bookmarkStart w:name="_bookmark6" w:id="17"/>
      <w:bookmarkEnd w:id="17"/>
      <w:r>
        <w:rPr>
          <w:b w:val="0"/>
          <w:bCs w:val="0"/>
        </w:rPr>
      </w:r>
      <w:r>
        <w:rPr>
          <w:rFonts w:ascii="Trebuchet MS" w:hAnsi="Trebuchet MS" w:cs="Trebuchet MS" w:eastAsia="Trebuchet MS" w:hint="default"/>
        </w:rPr>
        <w:t>2.2</w:t>
      </w:r>
      <w:r>
        <w:rPr>
          <w:rFonts w:ascii="Trebuchet MS" w:hAnsi="Trebuchet MS" w:cs="Trebuchet MS" w:eastAsia="Trebuchet MS" w:hint="default"/>
          <w:spacing w:val="14"/>
        </w:rPr>
        <w:t> </w:t>
      </w:r>
      <w:r>
        <w:rPr/>
        <w:t>联系人和联系方式</w:t>
      </w:r>
      <w:r>
        <w:rPr>
          <w:b w:val="0"/>
          <w:bCs w:val="0"/>
        </w:rPr>
      </w:r>
    </w:p>
    <w:p>
      <w:pPr>
        <w:spacing w:line="240" w:lineRule="auto" w:before="17"/>
        <w:rPr>
          <w:rFonts w:ascii="Microsoft JhengHei" w:hAnsi="Microsoft JhengHei" w:cs="Microsoft JhengHei" w:eastAsia="Microsoft JhengHei" w:hint="default"/>
          <w:b/>
          <w:bCs/>
          <w:sz w:val="7"/>
          <w:szCs w:val="7"/>
        </w:rPr>
      </w:pPr>
    </w:p>
    <w:tbl>
      <w:tblPr>
        <w:tblW w:w="0" w:type="auto"/>
        <w:jc w:val="left"/>
        <w:tblInd w:w="162" w:type="dxa"/>
        <w:tblLayout w:type="fixed"/>
        <w:tblCellMar>
          <w:top w:w="0" w:type="dxa"/>
          <w:left w:w="0" w:type="dxa"/>
          <w:bottom w:w="0" w:type="dxa"/>
          <w:right w:w="0" w:type="dxa"/>
        </w:tblCellMar>
        <w:tblLook w:val="01E0"/>
      </w:tblPr>
      <w:tblGrid>
        <w:gridCol w:w="3597"/>
        <w:gridCol w:w="5968"/>
      </w:tblGrid>
      <w:tr>
        <w:trPr>
          <w:trHeight w:val="408" w:hRule="exact"/>
        </w:trPr>
        <w:tc>
          <w:tcPr>
            <w:tcW w:w="3597" w:type="dxa"/>
            <w:tcBorders>
              <w:top w:val="single" w:sz="4" w:space="0" w:color="5B9BD4"/>
              <w:left w:val="nil" w:sz="6" w:space="0" w:color="auto"/>
              <w:bottom w:val="single" w:sz="4" w:space="0" w:color="5B9BD4"/>
              <w:right w:val="nil" w:sz="6" w:space="0" w:color="auto"/>
            </w:tcBorders>
            <w:shd w:val="clear" w:color="auto" w:fill="DEEAF6"/>
          </w:tcPr>
          <w:p>
            <w:pPr/>
          </w:p>
        </w:tc>
        <w:tc>
          <w:tcPr>
            <w:tcW w:w="5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9"/>
              <w:ind w:left="28" w:right="0"/>
              <w:jc w:val="center"/>
              <w:rPr>
                <w:rFonts w:ascii="宋体" w:hAnsi="宋体" w:cs="宋体" w:eastAsia="宋体" w:hint="default"/>
                <w:sz w:val="18"/>
                <w:szCs w:val="18"/>
              </w:rPr>
            </w:pPr>
            <w:r>
              <w:rPr>
                <w:rFonts w:ascii="宋体" w:hAnsi="宋体" w:cs="宋体" w:eastAsia="宋体" w:hint="default"/>
                <w:sz w:val="18"/>
                <w:szCs w:val="18"/>
              </w:rPr>
              <w:t>董事会秘书</w:t>
            </w:r>
          </w:p>
        </w:tc>
      </w:tr>
      <w:tr>
        <w:trPr>
          <w:trHeight w:val="405" w:hRule="exact"/>
        </w:trPr>
        <w:tc>
          <w:tcPr>
            <w:tcW w:w="359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5968" w:type="dxa"/>
            <w:tcBorders>
              <w:top w:val="single" w:sz="4" w:space="0" w:color="5B9BD4"/>
              <w:left w:val="single" w:sz="12" w:space="0" w:color="DEEAF6"/>
              <w:bottom w:val="single" w:sz="4" w:space="0" w:color="5B9BD4"/>
              <w:right w:val="nil" w:sz="6" w:space="0" w:color="auto"/>
            </w:tcBorders>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罗筱溪</w:t>
            </w:r>
          </w:p>
        </w:tc>
      </w:tr>
      <w:tr>
        <w:trPr>
          <w:trHeight w:val="402" w:hRule="exact"/>
        </w:trPr>
        <w:tc>
          <w:tcPr>
            <w:tcW w:w="359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5968" w:type="dxa"/>
            <w:tcBorders>
              <w:top w:val="single" w:sz="4" w:space="0" w:color="5B9BD4"/>
              <w:left w:val="single" w:sz="12" w:space="0" w:color="DEEAF6"/>
              <w:bottom w:val="single" w:sz="4" w:space="0" w:color="5B9BD4"/>
              <w:right w:val="nil" w:sz="6" w:space="0" w:color="auto"/>
            </w:tcBorders>
          </w:tcPr>
          <w:p>
            <w:pPr>
              <w:pStyle w:val="TableParagraph"/>
              <w:spacing w:line="240" w:lineRule="auto" w:before="46"/>
              <w:ind w:left="11" w:right="0"/>
              <w:jc w:val="center"/>
              <w:rPr>
                <w:rFonts w:ascii="宋体" w:hAnsi="宋体" w:cs="宋体" w:eastAsia="宋体" w:hint="default"/>
                <w:sz w:val="18"/>
                <w:szCs w:val="18"/>
              </w:rPr>
            </w:pPr>
            <w:r>
              <w:rPr>
                <w:rFonts w:ascii="宋体" w:hAnsi="宋体" w:cs="宋体" w:eastAsia="宋体" w:hint="default"/>
                <w:sz w:val="18"/>
                <w:szCs w:val="18"/>
              </w:rPr>
              <w:t>深圳市南山区沙河西路</w:t>
            </w:r>
            <w:r>
              <w:rPr>
                <w:rFonts w:ascii="宋体" w:hAnsi="宋体" w:cs="宋体" w:eastAsia="宋体" w:hint="default"/>
                <w:spacing w:val="-44"/>
                <w:sz w:val="18"/>
                <w:szCs w:val="18"/>
              </w:rPr>
              <w:t> </w:t>
            </w:r>
            <w:r>
              <w:rPr>
                <w:rFonts w:ascii="Arial" w:hAnsi="Arial" w:cs="Arial" w:eastAsia="Arial" w:hint="default"/>
                <w:sz w:val="18"/>
                <w:szCs w:val="18"/>
              </w:rPr>
              <w:t>3151</w:t>
            </w:r>
            <w:r>
              <w:rPr>
                <w:rFonts w:ascii="Arial" w:hAnsi="Arial" w:cs="Arial" w:eastAsia="Arial" w:hint="default"/>
                <w:spacing w:val="-3"/>
                <w:sz w:val="18"/>
                <w:szCs w:val="18"/>
              </w:rPr>
              <w:t> </w:t>
            </w:r>
            <w:r>
              <w:rPr>
                <w:rFonts w:ascii="宋体" w:hAnsi="宋体" w:cs="宋体" w:eastAsia="宋体" w:hint="default"/>
                <w:sz w:val="18"/>
                <w:szCs w:val="18"/>
              </w:rPr>
              <w:t>号新兴产业园（健兴科技大厦）</w:t>
            </w:r>
            <w:r>
              <w:rPr>
                <w:rFonts w:ascii="Arial" w:hAnsi="Arial" w:cs="Arial" w:eastAsia="Arial" w:hint="default"/>
                <w:sz w:val="18"/>
                <w:szCs w:val="18"/>
              </w:rPr>
              <w:t>C</w:t>
            </w:r>
            <w:r>
              <w:rPr>
                <w:rFonts w:ascii="Arial" w:hAnsi="Arial" w:cs="Arial" w:eastAsia="Arial" w:hint="default"/>
                <w:spacing w:val="-4"/>
                <w:sz w:val="18"/>
                <w:szCs w:val="18"/>
              </w:rPr>
              <w:t> </w:t>
            </w:r>
            <w:r>
              <w:rPr>
                <w:rFonts w:ascii="宋体" w:hAnsi="宋体" w:cs="宋体" w:eastAsia="宋体" w:hint="default"/>
                <w:sz w:val="18"/>
                <w:szCs w:val="18"/>
              </w:rPr>
              <w:t>栋</w:t>
            </w:r>
            <w:r>
              <w:rPr>
                <w:rFonts w:ascii="宋体" w:hAnsi="宋体" w:cs="宋体" w:eastAsia="宋体" w:hint="default"/>
                <w:spacing w:val="-43"/>
                <w:sz w:val="18"/>
                <w:szCs w:val="18"/>
              </w:rPr>
              <w:t> </w:t>
            </w:r>
            <w:r>
              <w:rPr>
                <w:rFonts w:ascii="Arial" w:hAnsi="Arial" w:cs="Arial" w:eastAsia="Arial" w:hint="default"/>
                <w:sz w:val="18"/>
                <w:szCs w:val="18"/>
              </w:rPr>
              <w:t>8</w:t>
            </w:r>
            <w:r>
              <w:rPr>
                <w:rFonts w:ascii="Arial" w:hAnsi="Arial" w:cs="Arial" w:eastAsia="Arial" w:hint="default"/>
                <w:spacing w:val="-4"/>
                <w:sz w:val="18"/>
                <w:szCs w:val="18"/>
              </w:rPr>
              <w:t> </w:t>
            </w:r>
            <w:r>
              <w:rPr>
                <w:rFonts w:ascii="宋体" w:hAnsi="宋体" w:cs="宋体" w:eastAsia="宋体" w:hint="default"/>
                <w:sz w:val="18"/>
                <w:szCs w:val="18"/>
              </w:rPr>
              <w:t>楼</w:t>
            </w:r>
          </w:p>
        </w:tc>
      </w:tr>
      <w:tr>
        <w:trPr>
          <w:trHeight w:val="402" w:hRule="exact"/>
        </w:trPr>
        <w:tc>
          <w:tcPr>
            <w:tcW w:w="359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5968" w:type="dxa"/>
            <w:tcBorders>
              <w:top w:val="single" w:sz="4" w:space="0" w:color="5B9BD4"/>
              <w:left w:val="single" w:sz="12" w:space="0" w:color="DEEAF6"/>
              <w:bottom w:val="single" w:sz="4" w:space="0" w:color="5B9BD4"/>
              <w:right w:val="nil" w:sz="6" w:space="0" w:color="auto"/>
            </w:tcBorders>
          </w:tcPr>
          <w:p>
            <w:pPr>
              <w:pStyle w:val="TableParagraph"/>
              <w:spacing w:line="240" w:lineRule="auto" w:before="46"/>
              <w:ind w:left="14" w:right="0"/>
              <w:jc w:val="center"/>
              <w:rPr>
                <w:rFonts w:ascii="宋体" w:hAnsi="宋体" w:cs="宋体" w:eastAsia="宋体" w:hint="default"/>
                <w:sz w:val="18"/>
                <w:szCs w:val="18"/>
              </w:rPr>
            </w:pPr>
            <w:r>
              <w:rPr>
                <w:rFonts w:ascii="Arial" w:hAnsi="Arial" w:cs="Arial" w:eastAsia="Arial" w:hint="default"/>
                <w:sz w:val="18"/>
                <w:szCs w:val="18"/>
              </w:rPr>
              <w:t>0755-21519815</w:t>
            </w:r>
            <w:r>
              <w:rPr>
                <w:rFonts w:ascii="宋体" w:hAnsi="宋体" w:cs="宋体" w:eastAsia="宋体" w:hint="default"/>
                <w:sz w:val="18"/>
                <w:szCs w:val="18"/>
              </w:rPr>
              <w:t>；</w:t>
            </w:r>
            <w:r>
              <w:rPr>
                <w:rFonts w:ascii="Arial" w:hAnsi="Arial" w:cs="Arial" w:eastAsia="Arial" w:hint="default"/>
                <w:sz w:val="18"/>
                <w:szCs w:val="18"/>
              </w:rPr>
              <w:t>0755-21519888  </w:t>
            </w:r>
            <w:r>
              <w:rPr>
                <w:rFonts w:ascii="宋体" w:hAnsi="宋体" w:cs="宋体" w:eastAsia="宋体" w:hint="default"/>
                <w:sz w:val="18"/>
                <w:szCs w:val="18"/>
              </w:rPr>
              <w:t>转</w:t>
            </w:r>
            <w:r>
              <w:rPr>
                <w:rFonts w:ascii="宋体" w:hAnsi="宋体" w:cs="宋体" w:eastAsia="宋体" w:hint="default"/>
                <w:spacing w:val="-30"/>
                <w:sz w:val="18"/>
                <w:szCs w:val="18"/>
              </w:rPr>
              <w:t> </w:t>
            </w:r>
            <w:r>
              <w:rPr>
                <w:rFonts w:ascii="宋体" w:hAnsi="宋体" w:cs="宋体" w:eastAsia="宋体" w:hint="default"/>
                <w:sz w:val="18"/>
                <w:szCs w:val="18"/>
              </w:rPr>
              <w:t>董事会办公室</w:t>
            </w:r>
          </w:p>
        </w:tc>
      </w:tr>
      <w:tr>
        <w:trPr>
          <w:trHeight w:val="402" w:hRule="exact"/>
        </w:trPr>
        <w:tc>
          <w:tcPr>
            <w:tcW w:w="359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5968" w:type="dxa"/>
            <w:tcBorders>
              <w:top w:val="single" w:sz="4" w:space="0" w:color="5B9BD4"/>
              <w:left w:val="single" w:sz="12" w:space="0" w:color="DEEAF6"/>
              <w:bottom w:val="single" w:sz="4" w:space="0" w:color="5B9BD4"/>
              <w:right w:val="nil" w:sz="6" w:space="0" w:color="auto"/>
            </w:tcBorders>
          </w:tcPr>
          <w:p>
            <w:pPr>
              <w:pStyle w:val="TableParagraph"/>
              <w:spacing w:line="240" w:lineRule="auto" w:before="88"/>
              <w:ind w:left="12" w:right="0"/>
              <w:jc w:val="center"/>
              <w:rPr>
                <w:rFonts w:ascii="Arial" w:hAnsi="Arial" w:cs="Arial" w:eastAsia="Arial" w:hint="default"/>
                <w:sz w:val="18"/>
                <w:szCs w:val="18"/>
              </w:rPr>
            </w:pPr>
            <w:r>
              <w:rPr>
                <w:rFonts w:ascii="Arial"/>
                <w:sz w:val="18"/>
              </w:rPr>
              <w:t>0755-21519900</w:t>
            </w:r>
          </w:p>
        </w:tc>
      </w:tr>
      <w:tr>
        <w:trPr>
          <w:trHeight w:val="402" w:hRule="exact"/>
        </w:trPr>
        <w:tc>
          <w:tcPr>
            <w:tcW w:w="359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5968" w:type="dxa"/>
            <w:tcBorders>
              <w:top w:val="single" w:sz="4" w:space="0" w:color="5B9BD4"/>
              <w:left w:val="single" w:sz="12" w:space="0" w:color="DEEAF6"/>
              <w:bottom w:val="single" w:sz="4" w:space="0" w:color="5B9BD4"/>
              <w:right w:val="nil" w:sz="6" w:space="0" w:color="auto"/>
            </w:tcBorders>
          </w:tcPr>
          <w:p>
            <w:pPr>
              <w:pStyle w:val="TableParagraph"/>
              <w:spacing w:line="240" w:lineRule="auto" w:before="88"/>
              <w:ind w:left="13" w:right="0"/>
              <w:jc w:val="center"/>
              <w:rPr>
                <w:rFonts w:ascii="Arial" w:hAnsi="Arial" w:cs="Arial" w:eastAsia="Arial" w:hint="default"/>
                <w:sz w:val="18"/>
                <w:szCs w:val="18"/>
              </w:rPr>
            </w:pPr>
            <w:hyperlink r:id="rId28">
              <w:r>
                <w:rPr>
                  <w:rFonts w:ascii="Arial"/>
                  <w:sz w:val="18"/>
                </w:rPr>
                <w:t>ir@aisidi.com</w:t>
              </w:r>
            </w:hyperlink>
          </w:p>
        </w:tc>
      </w:tr>
    </w:tbl>
    <w:p>
      <w:pPr>
        <w:spacing w:line="240" w:lineRule="auto" w:before="2"/>
        <w:rPr>
          <w:rFonts w:ascii="Microsoft JhengHei" w:hAnsi="Microsoft JhengHei" w:cs="Microsoft JhengHei" w:eastAsia="Microsoft JhengHei" w:hint="default"/>
          <w:b/>
          <w:bCs/>
          <w:sz w:val="5"/>
          <w:szCs w:val="5"/>
        </w:rPr>
      </w:pPr>
    </w:p>
    <w:p>
      <w:pPr>
        <w:pStyle w:val="Heading1"/>
        <w:spacing w:line="409" w:lineRule="exact"/>
        <w:ind w:left="154" w:right="0"/>
        <w:jc w:val="left"/>
        <w:rPr>
          <w:b w:val="0"/>
          <w:bCs w:val="0"/>
        </w:rPr>
      </w:pPr>
      <w:bookmarkStart w:name="2.3 信息披露及备置地点" w:id="18"/>
      <w:bookmarkEnd w:id="18"/>
      <w:r>
        <w:rPr>
          <w:b w:val="0"/>
          <w:bCs w:val="0"/>
        </w:rPr>
      </w:r>
      <w:bookmarkStart w:name="_bookmark7" w:id="19"/>
      <w:bookmarkEnd w:id="19"/>
      <w:r>
        <w:rPr>
          <w:b w:val="0"/>
          <w:bCs w:val="0"/>
        </w:rPr>
      </w:r>
      <w:r>
        <w:rPr>
          <w:rFonts w:ascii="Trebuchet MS" w:hAnsi="Trebuchet MS" w:cs="Trebuchet MS" w:eastAsia="Trebuchet MS" w:hint="default"/>
        </w:rPr>
        <w:t>2.3</w:t>
      </w:r>
      <w:r>
        <w:rPr>
          <w:rFonts w:ascii="Trebuchet MS" w:hAnsi="Trebuchet MS" w:cs="Trebuchet MS" w:eastAsia="Trebuchet MS" w:hint="default"/>
          <w:spacing w:val="14"/>
        </w:rPr>
        <w:t> </w:t>
      </w:r>
      <w:r>
        <w:rPr/>
        <w:t>信息披露及备置地点</w:t>
      </w:r>
      <w:r>
        <w:rPr>
          <w:b w:val="0"/>
          <w:bCs w:val="0"/>
        </w:rPr>
      </w:r>
    </w:p>
    <w:p>
      <w:pPr>
        <w:spacing w:line="240" w:lineRule="auto" w:before="13"/>
        <w:rPr>
          <w:rFonts w:ascii="Microsoft JhengHei" w:hAnsi="Microsoft JhengHei" w:cs="Microsoft JhengHei" w:eastAsia="Microsoft JhengHei"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3680"/>
        <w:gridCol w:w="5889"/>
      </w:tblGrid>
      <w:tr>
        <w:trPr>
          <w:trHeight w:val="403" w:hRule="exact"/>
        </w:trPr>
        <w:tc>
          <w:tcPr>
            <w:tcW w:w="3680" w:type="dxa"/>
            <w:tcBorders>
              <w:top w:val="single" w:sz="4" w:space="0" w:color="2D74B5"/>
              <w:left w:val="nil" w:sz="6" w:space="0" w:color="auto"/>
              <w:bottom w:val="single" w:sz="4" w:space="0" w:color="5B9BD4"/>
              <w:right w:val="nil" w:sz="6" w:space="0" w:color="auto"/>
            </w:tcBorders>
            <w:shd w:val="clear" w:color="auto" w:fill="DEEAF6"/>
          </w:tcPr>
          <w:p>
            <w:pPr>
              <w:pStyle w:val="TableParagraph"/>
              <w:spacing w:line="240" w:lineRule="auto" w:before="47"/>
              <w:ind w:left="27"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889" w:type="dxa"/>
            <w:tcBorders>
              <w:top w:val="single" w:sz="4" w:space="0" w:color="2D74B5"/>
              <w:left w:val="nil" w:sz="6" w:space="0" w:color="auto"/>
              <w:bottom w:val="single" w:sz="4" w:space="0" w:color="5B9BD4"/>
              <w:right w:val="nil" w:sz="6" w:space="0" w:color="auto"/>
            </w:tcBorders>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402" w:hRule="exact"/>
        </w:trPr>
        <w:tc>
          <w:tcPr>
            <w:tcW w:w="368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27"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8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w w:val="110"/>
                <w:sz w:val="18"/>
                <w:szCs w:val="18"/>
              </w:rPr>
              <w:t>巨潮资讯网（</w:t>
            </w:r>
            <w:hyperlink r:id="rId29">
              <w:r>
                <w:rPr>
                  <w:rFonts w:ascii="Arial" w:hAnsi="Arial" w:cs="Arial" w:eastAsia="Arial" w:hint="default"/>
                  <w:w w:val="110"/>
                  <w:sz w:val="18"/>
                  <w:szCs w:val="18"/>
                </w:rPr>
                <w:t>www.cninfo.com.cn</w:t>
              </w:r>
            </w:hyperlink>
            <w:r>
              <w:rPr>
                <w:rFonts w:ascii="宋体" w:hAnsi="宋体" w:cs="宋体" w:eastAsia="宋体" w:hint="default"/>
                <w:w w:val="110"/>
                <w:sz w:val="18"/>
                <w:szCs w:val="18"/>
              </w:rPr>
              <w:t>）</w:t>
            </w:r>
          </w:p>
        </w:tc>
      </w:tr>
      <w:tr>
        <w:trPr>
          <w:trHeight w:val="403" w:hRule="exact"/>
        </w:trPr>
        <w:tc>
          <w:tcPr>
            <w:tcW w:w="368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27"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8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3"/>
        <w:rPr>
          <w:rFonts w:ascii="Microsoft JhengHei" w:hAnsi="Microsoft JhengHei" w:cs="Microsoft JhengHei" w:eastAsia="Microsoft JhengHei" w:hint="default"/>
          <w:b/>
          <w:bCs/>
          <w:sz w:val="5"/>
          <w:szCs w:val="5"/>
        </w:rPr>
      </w:pPr>
    </w:p>
    <w:p>
      <w:pPr>
        <w:pStyle w:val="Heading1"/>
        <w:spacing w:line="409" w:lineRule="exact"/>
        <w:ind w:left="154" w:right="0"/>
        <w:jc w:val="left"/>
        <w:rPr>
          <w:b w:val="0"/>
          <w:bCs w:val="0"/>
        </w:rPr>
      </w:pPr>
      <w:bookmarkStart w:name="2.4 注册变更情况" w:id="20"/>
      <w:bookmarkEnd w:id="20"/>
      <w:r>
        <w:rPr>
          <w:b w:val="0"/>
          <w:bCs w:val="0"/>
        </w:rPr>
      </w:r>
      <w:bookmarkStart w:name="_bookmark8" w:id="21"/>
      <w:bookmarkEnd w:id="21"/>
      <w:r>
        <w:rPr>
          <w:b w:val="0"/>
          <w:bCs w:val="0"/>
        </w:rPr>
      </w:r>
      <w:r>
        <w:rPr>
          <w:rFonts w:ascii="Trebuchet MS" w:hAnsi="Trebuchet MS" w:cs="Trebuchet MS" w:eastAsia="Trebuchet MS" w:hint="default"/>
        </w:rPr>
        <w:t>2.4</w:t>
      </w:r>
      <w:r>
        <w:rPr>
          <w:rFonts w:ascii="Trebuchet MS" w:hAnsi="Trebuchet MS" w:cs="Trebuchet MS" w:eastAsia="Trebuchet MS" w:hint="default"/>
          <w:spacing w:val="14"/>
        </w:rPr>
        <w:t> </w:t>
      </w:r>
      <w:r>
        <w:rPr/>
        <w:t>注册变更情况</w:t>
      </w:r>
      <w:r>
        <w:rPr>
          <w:b w:val="0"/>
          <w:bCs w:val="0"/>
        </w:rPr>
      </w:r>
    </w:p>
    <w:p>
      <w:pPr>
        <w:spacing w:line="240" w:lineRule="auto" w:before="13"/>
        <w:rPr>
          <w:rFonts w:ascii="Microsoft JhengHei" w:hAnsi="Microsoft JhengHei" w:cs="Microsoft JhengHei" w:eastAsia="Microsoft JhengHei"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3680"/>
        <w:gridCol w:w="5889"/>
      </w:tblGrid>
      <w:tr>
        <w:trPr>
          <w:trHeight w:val="402" w:hRule="exact"/>
        </w:trPr>
        <w:tc>
          <w:tcPr>
            <w:tcW w:w="368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5889"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88"/>
              <w:ind w:right="0"/>
              <w:jc w:val="center"/>
              <w:rPr>
                <w:rFonts w:ascii="Arial" w:hAnsi="Arial" w:cs="Arial" w:eastAsia="Arial" w:hint="default"/>
                <w:sz w:val="18"/>
                <w:szCs w:val="18"/>
              </w:rPr>
            </w:pPr>
            <w:r>
              <w:rPr>
                <w:rFonts w:ascii="Arial"/>
                <w:sz w:val="18"/>
              </w:rPr>
              <w:t>70841595-7</w:t>
            </w:r>
          </w:p>
        </w:tc>
      </w:tr>
      <w:tr>
        <w:trPr>
          <w:trHeight w:val="402" w:hRule="exact"/>
        </w:trPr>
        <w:tc>
          <w:tcPr>
            <w:tcW w:w="368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公司上市以来主营业务的变化情况（如有）</w:t>
            </w:r>
          </w:p>
        </w:tc>
        <w:tc>
          <w:tcPr>
            <w:tcW w:w="5889"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无变更</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3"/>
        <w:rPr>
          <w:rFonts w:ascii="Microsoft JhengHei" w:hAnsi="Microsoft JhengHei" w:cs="Microsoft JhengHei" w:eastAsia="Microsoft JhengHei" w:hint="default"/>
          <w:b/>
          <w:bCs/>
          <w:sz w:val="2"/>
          <w:szCs w:val="2"/>
        </w:rPr>
      </w:pPr>
    </w:p>
    <w:tbl>
      <w:tblPr>
        <w:tblW w:w="0" w:type="auto"/>
        <w:jc w:val="left"/>
        <w:tblInd w:w="109" w:type="dxa"/>
        <w:tblLayout w:type="fixed"/>
        <w:tblCellMar>
          <w:top w:w="0" w:type="dxa"/>
          <w:left w:w="0" w:type="dxa"/>
          <w:bottom w:w="0" w:type="dxa"/>
          <w:right w:w="0" w:type="dxa"/>
        </w:tblCellMar>
        <w:tblLook w:val="01E0"/>
      </w:tblPr>
      <w:tblGrid>
        <w:gridCol w:w="3680"/>
        <w:gridCol w:w="5889"/>
        <w:gridCol w:w="101"/>
      </w:tblGrid>
      <w:tr>
        <w:trPr>
          <w:trHeight w:val="332" w:hRule="exact"/>
        </w:trPr>
        <w:tc>
          <w:tcPr>
            <w:tcW w:w="3680" w:type="dxa"/>
            <w:tcBorders>
              <w:top w:val="single" w:sz="6" w:space="0" w:color="000000"/>
              <w:left w:val="nil" w:sz="6" w:space="0" w:color="auto"/>
              <w:bottom w:val="single" w:sz="4" w:space="0" w:color="5B9BD4"/>
              <w:right w:val="nil" w:sz="6" w:space="0" w:color="auto"/>
            </w:tcBorders>
          </w:tcPr>
          <w:p>
            <w:pPr/>
          </w:p>
        </w:tc>
        <w:tc>
          <w:tcPr>
            <w:tcW w:w="5889" w:type="dxa"/>
            <w:tcBorders>
              <w:top w:val="single" w:sz="6" w:space="0" w:color="000000"/>
              <w:left w:val="nil" w:sz="6" w:space="0" w:color="auto"/>
              <w:bottom w:val="single" w:sz="4" w:space="0" w:color="5B9BD4"/>
              <w:right w:val="nil" w:sz="6" w:space="0" w:color="auto"/>
            </w:tcBorders>
          </w:tcPr>
          <w:p>
            <w:pPr/>
          </w:p>
        </w:tc>
        <w:tc>
          <w:tcPr>
            <w:tcW w:w="101" w:type="dxa"/>
            <w:tcBorders>
              <w:top w:val="single" w:sz="6" w:space="0" w:color="000000"/>
              <w:left w:val="nil" w:sz="6" w:space="0" w:color="auto"/>
              <w:bottom w:val="nil" w:sz="6" w:space="0" w:color="auto"/>
              <w:right w:val="nil" w:sz="6" w:space="0" w:color="auto"/>
            </w:tcBorders>
          </w:tcPr>
          <w:p>
            <w:pPr/>
          </w:p>
        </w:tc>
      </w:tr>
      <w:tr>
        <w:trPr>
          <w:trHeight w:val="402" w:hRule="exact"/>
        </w:trPr>
        <w:tc>
          <w:tcPr>
            <w:tcW w:w="368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5889"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无变更</w:t>
            </w:r>
          </w:p>
        </w:tc>
        <w:tc>
          <w:tcPr>
            <w:tcW w:w="101"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Microsoft JhengHei" w:hAnsi="Microsoft JhengHei" w:cs="Microsoft JhengHei" w:eastAsia="Microsoft JhengHei" w:hint="default"/>
          <w:b/>
          <w:bCs/>
          <w:sz w:val="5"/>
          <w:szCs w:val="5"/>
        </w:rPr>
      </w:pPr>
    </w:p>
    <w:p>
      <w:pPr>
        <w:pStyle w:val="Heading1"/>
        <w:spacing w:line="409" w:lineRule="exact"/>
        <w:ind w:left="114" w:right="0"/>
        <w:jc w:val="left"/>
        <w:rPr>
          <w:b w:val="0"/>
          <w:bCs w:val="0"/>
        </w:rPr>
      </w:pPr>
      <w:bookmarkStart w:name="2.5 其他有关资料" w:id="22"/>
      <w:bookmarkEnd w:id="22"/>
      <w:r>
        <w:rPr>
          <w:b w:val="0"/>
          <w:bCs w:val="0"/>
        </w:rPr>
      </w:r>
      <w:bookmarkStart w:name="_bookmark9" w:id="23"/>
      <w:bookmarkEnd w:id="23"/>
      <w:r>
        <w:rPr>
          <w:b w:val="0"/>
          <w:bCs w:val="0"/>
        </w:rPr>
      </w:r>
      <w:r>
        <w:rPr>
          <w:rFonts w:ascii="Trebuchet MS" w:hAnsi="Trebuchet MS" w:cs="Trebuchet MS" w:eastAsia="Trebuchet MS" w:hint="default"/>
        </w:rPr>
        <w:t>2.5</w:t>
      </w:r>
      <w:r>
        <w:rPr>
          <w:rFonts w:ascii="Trebuchet MS" w:hAnsi="Trebuchet MS" w:cs="Trebuchet MS" w:eastAsia="Trebuchet MS" w:hint="default"/>
          <w:spacing w:val="14"/>
        </w:rPr>
        <w:t> </w:t>
      </w:r>
      <w:r>
        <w:rPr/>
        <w:t>其他有关资料</w:t>
      </w:r>
      <w:r>
        <w:rPr>
          <w:b w:val="0"/>
          <w:bCs w:val="0"/>
        </w:rPr>
      </w:r>
    </w:p>
    <w:p>
      <w:pPr>
        <w:spacing w:before="182"/>
        <w:ind w:left="114"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5"/>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62"/>
        <w:gridCol w:w="6307"/>
      </w:tblGrid>
      <w:tr>
        <w:trPr>
          <w:trHeight w:val="402" w:hRule="exact"/>
        </w:trPr>
        <w:tc>
          <w:tcPr>
            <w:tcW w:w="326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27"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307"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27"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326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27"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307"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27" w:right="0"/>
              <w:jc w:val="left"/>
              <w:rPr>
                <w:rFonts w:ascii="宋体" w:hAnsi="宋体" w:cs="宋体" w:eastAsia="宋体" w:hint="default"/>
                <w:sz w:val="18"/>
                <w:szCs w:val="18"/>
              </w:rPr>
            </w:pPr>
            <w:r>
              <w:rPr>
                <w:rFonts w:ascii="宋体" w:hAnsi="宋体" w:cs="宋体" w:eastAsia="宋体" w:hint="default"/>
                <w:sz w:val="18"/>
                <w:szCs w:val="18"/>
              </w:rPr>
              <w:t>北京市东城区永定门西滨河路</w:t>
            </w:r>
            <w:r>
              <w:rPr>
                <w:rFonts w:ascii="宋体" w:hAnsi="宋体" w:cs="宋体" w:eastAsia="宋体" w:hint="default"/>
                <w:spacing w:val="-47"/>
                <w:sz w:val="18"/>
                <w:szCs w:val="18"/>
              </w:rPr>
              <w:t> </w:t>
            </w:r>
            <w:r>
              <w:rPr>
                <w:rFonts w:ascii="Arial" w:hAnsi="Arial" w:cs="Arial" w:eastAsia="Arial" w:hint="default"/>
                <w:sz w:val="18"/>
                <w:szCs w:val="18"/>
              </w:rPr>
              <w:t>8</w:t>
            </w:r>
            <w:r>
              <w:rPr>
                <w:rFonts w:ascii="Arial" w:hAnsi="Arial" w:cs="Arial" w:eastAsia="Arial" w:hint="default"/>
                <w:spacing w:val="-7"/>
                <w:sz w:val="18"/>
                <w:szCs w:val="18"/>
              </w:rPr>
              <w:t> </w:t>
            </w:r>
            <w:r>
              <w:rPr>
                <w:rFonts w:ascii="宋体" w:hAnsi="宋体" w:cs="宋体" w:eastAsia="宋体" w:hint="default"/>
                <w:sz w:val="18"/>
                <w:szCs w:val="18"/>
              </w:rPr>
              <w:t>号院</w:t>
            </w:r>
            <w:r>
              <w:rPr>
                <w:rFonts w:ascii="宋体" w:hAnsi="宋体" w:cs="宋体" w:eastAsia="宋体" w:hint="default"/>
                <w:spacing w:val="-47"/>
                <w:sz w:val="18"/>
                <w:szCs w:val="18"/>
              </w:rPr>
              <w:t> </w:t>
            </w:r>
            <w:r>
              <w:rPr>
                <w:rFonts w:ascii="Arial" w:hAnsi="Arial" w:cs="Arial" w:eastAsia="Arial" w:hint="default"/>
                <w:sz w:val="18"/>
                <w:szCs w:val="18"/>
              </w:rPr>
              <w:t>7</w:t>
            </w:r>
            <w:r>
              <w:rPr>
                <w:rFonts w:ascii="Arial" w:hAnsi="Arial" w:cs="Arial" w:eastAsia="Arial" w:hint="default"/>
                <w:spacing w:val="-7"/>
                <w:sz w:val="18"/>
                <w:szCs w:val="18"/>
              </w:rPr>
              <w:t> </w:t>
            </w:r>
            <w:r>
              <w:rPr>
                <w:rFonts w:ascii="宋体" w:hAnsi="宋体" w:cs="宋体" w:eastAsia="宋体" w:hint="default"/>
                <w:sz w:val="18"/>
                <w:szCs w:val="18"/>
              </w:rPr>
              <w:t>号楼中海地产广场西塔</w:t>
            </w:r>
            <w:r>
              <w:rPr>
                <w:rFonts w:ascii="宋体" w:hAnsi="宋体" w:cs="宋体" w:eastAsia="宋体" w:hint="default"/>
                <w:spacing w:val="-47"/>
                <w:sz w:val="18"/>
                <w:szCs w:val="18"/>
              </w:rPr>
              <w:t> </w:t>
            </w:r>
            <w:r>
              <w:rPr>
                <w:rFonts w:ascii="Arial" w:hAnsi="Arial" w:cs="Arial" w:eastAsia="Arial" w:hint="default"/>
                <w:sz w:val="18"/>
                <w:szCs w:val="18"/>
              </w:rPr>
              <w:t>3-9</w:t>
            </w:r>
            <w:r>
              <w:rPr>
                <w:rFonts w:ascii="Arial" w:hAnsi="Arial" w:cs="Arial" w:eastAsia="Arial" w:hint="default"/>
                <w:spacing w:val="-7"/>
                <w:sz w:val="18"/>
                <w:szCs w:val="18"/>
              </w:rPr>
              <w:t> </w:t>
            </w:r>
            <w:r>
              <w:rPr>
                <w:rFonts w:ascii="宋体" w:hAnsi="宋体" w:cs="宋体" w:eastAsia="宋体" w:hint="default"/>
                <w:sz w:val="18"/>
                <w:szCs w:val="18"/>
              </w:rPr>
              <w:t>层</w:t>
            </w:r>
          </w:p>
        </w:tc>
      </w:tr>
      <w:tr>
        <w:trPr>
          <w:trHeight w:val="403" w:hRule="exact"/>
        </w:trPr>
        <w:tc>
          <w:tcPr>
            <w:tcW w:w="326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27"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307"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27" w:right="0"/>
              <w:jc w:val="left"/>
              <w:rPr>
                <w:rFonts w:ascii="宋体" w:hAnsi="宋体" w:cs="宋体" w:eastAsia="宋体" w:hint="default"/>
                <w:sz w:val="18"/>
                <w:szCs w:val="18"/>
              </w:rPr>
            </w:pPr>
            <w:r>
              <w:rPr>
                <w:rFonts w:ascii="宋体" w:hAnsi="宋体" w:cs="宋体" w:eastAsia="宋体" w:hint="default"/>
                <w:sz w:val="18"/>
                <w:szCs w:val="18"/>
              </w:rPr>
              <w:t>廖晓鸿、何晓娟</w:t>
            </w:r>
          </w:p>
        </w:tc>
      </w:tr>
    </w:tbl>
    <w:p>
      <w:pPr>
        <w:spacing w:line="240" w:lineRule="auto" w:before="11"/>
        <w:rPr>
          <w:rFonts w:ascii="宋体" w:hAnsi="宋体" w:cs="宋体" w:eastAsia="宋体" w:hint="default"/>
          <w:sz w:val="6"/>
          <w:szCs w:val="6"/>
        </w:rPr>
      </w:pPr>
    </w:p>
    <w:p>
      <w:pPr>
        <w:pStyle w:val="Heading1"/>
        <w:spacing w:line="409" w:lineRule="exact"/>
        <w:ind w:left="114" w:right="0"/>
        <w:jc w:val="left"/>
        <w:rPr>
          <w:b w:val="0"/>
          <w:bCs w:val="0"/>
        </w:rPr>
      </w:pPr>
      <w:bookmarkStart w:name="2.6 主要会计数据和财务指标" w:id="24"/>
      <w:bookmarkEnd w:id="24"/>
      <w:r>
        <w:rPr>
          <w:b w:val="0"/>
          <w:bCs w:val="0"/>
        </w:rPr>
      </w:r>
      <w:bookmarkStart w:name="_bookmark10" w:id="25"/>
      <w:bookmarkEnd w:id="25"/>
      <w:r>
        <w:rPr>
          <w:b w:val="0"/>
          <w:bCs w:val="0"/>
        </w:rPr>
      </w:r>
      <w:r>
        <w:rPr>
          <w:rFonts w:ascii="Trebuchet MS" w:hAnsi="Trebuchet MS" w:cs="Trebuchet MS" w:eastAsia="Trebuchet MS" w:hint="default"/>
        </w:rPr>
        <w:t>2.6</w:t>
      </w:r>
      <w:r>
        <w:rPr>
          <w:rFonts w:ascii="Trebuchet MS" w:hAnsi="Trebuchet MS" w:cs="Trebuchet MS" w:eastAsia="Trebuchet MS" w:hint="default"/>
          <w:spacing w:val="14"/>
        </w:rPr>
        <w:t> </w:t>
      </w:r>
      <w:r>
        <w:rPr/>
        <w:t>主要会计数据和财务指标</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10"/>
          <w:szCs w:val="10"/>
        </w:rPr>
      </w:pPr>
    </w:p>
    <w:tbl>
      <w:tblPr>
        <w:tblW w:w="0" w:type="auto"/>
        <w:jc w:val="left"/>
        <w:tblInd w:w="123" w:type="dxa"/>
        <w:tblLayout w:type="fixed"/>
        <w:tblCellMar>
          <w:top w:w="0" w:type="dxa"/>
          <w:left w:w="0" w:type="dxa"/>
          <w:bottom w:w="0" w:type="dxa"/>
          <w:right w:w="0" w:type="dxa"/>
        </w:tblCellMar>
        <w:tblLook w:val="01E0"/>
      </w:tblPr>
      <w:tblGrid>
        <w:gridCol w:w="2594"/>
        <w:gridCol w:w="1766"/>
        <w:gridCol w:w="1723"/>
        <w:gridCol w:w="1751"/>
        <w:gridCol w:w="1778"/>
      </w:tblGrid>
      <w:tr>
        <w:trPr>
          <w:trHeight w:val="402" w:hRule="exact"/>
        </w:trPr>
        <w:tc>
          <w:tcPr>
            <w:tcW w:w="2594" w:type="dxa"/>
            <w:tcBorders>
              <w:top w:val="single" w:sz="4" w:space="0" w:color="5B9BD4"/>
              <w:left w:val="nil" w:sz="6" w:space="0" w:color="auto"/>
              <w:bottom w:val="single" w:sz="4" w:space="0" w:color="5B9BD4"/>
              <w:right w:val="nil" w:sz="6" w:space="0" w:color="auto"/>
            </w:tcBorders>
            <w:shd w:val="clear" w:color="auto" w:fill="DEEAF6"/>
          </w:tcPr>
          <w:p>
            <w:pPr/>
          </w:p>
        </w:tc>
        <w:tc>
          <w:tcPr>
            <w:tcW w:w="17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570"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w:t>
            </w:r>
          </w:p>
        </w:tc>
        <w:tc>
          <w:tcPr>
            <w:tcW w:w="172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542"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1"/>
                <w:sz w:val="18"/>
                <w:szCs w:val="18"/>
              </w:rPr>
              <w:t> </w:t>
            </w:r>
            <w:r>
              <w:rPr>
                <w:rFonts w:ascii="宋体" w:hAnsi="宋体" w:cs="宋体" w:eastAsia="宋体" w:hint="default"/>
                <w:sz w:val="18"/>
                <w:szCs w:val="18"/>
              </w:rPr>
              <w:t>年</w:t>
            </w:r>
          </w:p>
        </w:tc>
        <w:tc>
          <w:tcPr>
            <w:tcW w:w="175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37"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577"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1"/>
                <w:sz w:val="18"/>
                <w:szCs w:val="18"/>
              </w:rPr>
              <w:t> </w:t>
            </w:r>
            <w:r>
              <w:rPr>
                <w:rFonts w:ascii="宋体" w:hAnsi="宋体" w:cs="宋体" w:eastAsia="宋体" w:hint="default"/>
                <w:sz w:val="18"/>
                <w:szCs w:val="18"/>
              </w:rPr>
              <w:t>年</w:t>
            </w:r>
          </w:p>
        </w:tc>
      </w:tr>
      <w:tr>
        <w:trPr>
          <w:trHeight w:val="402" w:hRule="exact"/>
        </w:trPr>
        <w:tc>
          <w:tcPr>
            <w:tcW w:w="2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66"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26"/>
              <w:jc w:val="right"/>
              <w:rPr>
                <w:rFonts w:ascii="Arial" w:hAnsi="Arial" w:cs="Arial" w:eastAsia="Arial" w:hint="default"/>
                <w:sz w:val="18"/>
                <w:szCs w:val="18"/>
              </w:rPr>
            </w:pPr>
            <w:r>
              <w:rPr>
                <w:rFonts w:ascii="Arial"/>
                <w:w w:val="95"/>
                <w:sz w:val="18"/>
              </w:rPr>
              <w:t>49,569,028,331.67</w:t>
            </w:r>
            <w:r>
              <w:rPr>
                <w:rFonts w:ascii="Arial"/>
                <w:sz w:val="18"/>
              </w:rPr>
            </w:r>
          </w:p>
        </w:tc>
        <w:tc>
          <w:tcPr>
            <w:tcW w:w="172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w w:val="95"/>
                <w:sz w:val="18"/>
              </w:rPr>
              <w:t>48,320,567,496.53</w:t>
            </w:r>
            <w:r>
              <w:rPr>
                <w:rFonts w:ascii="Arial"/>
                <w:sz w:val="18"/>
              </w:rPr>
            </w:r>
          </w:p>
        </w:tc>
        <w:tc>
          <w:tcPr>
            <w:tcW w:w="1751"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2.58%</w:t>
            </w:r>
            <w:r>
              <w:rPr>
                <w:rFonts w:ascii="Arial"/>
                <w:sz w:val="18"/>
              </w:rPr>
            </w:r>
          </w:p>
        </w:tc>
        <w:tc>
          <w:tcPr>
            <w:tcW w:w="17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1"/>
              <w:jc w:val="right"/>
              <w:rPr>
                <w:rFonts w:ascii="Arial" w:hAnsi="Arial" w:cs="Arial" w:eastAsia="Arial" w:hint="default"/>
                <w:sz w:val="18"/>
                <w:szCs w:val="18"/>
              </w:rPr>
            </w:pPr>
            <w:r>
              <w:rPr>
                <w:rFonts w:ascii="Arial"/>
                <w:w w:val="95"/>
                <w:sz w:val="18"/>
              </w:rPr>
              <w:t>40,409,034,903.14</w:t>
            </w:r>
            <w:r>
              <w:rPr>
                <w:rFonts w:ascii="Arial"/>
                <w:sz w:val="18"/>
              </w:rPr>
            </w:r>
          </w:p>
        </w:tc>
      </w:tr>
      <w:tr>
        <w:trPr>
          <w:trHeight w:val="161" w:hRule="exact"/>
        </w:trPr>
        <w:tc>
          <w:tcPr>
            <w:tcW w:w="2594"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66" w:type="dxa"/>
            <w:vMerge w:val="restart"/>
            <w:tcBorders>
              <w:top w:val="single" w:sz="4" w:space="0" w:color="5B9BD4"/>
              <w:left w:val="single" w:sz="11" w:space="0" w:color="DEEAF6"/>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left="463" w:right="0"/>
              <w:jc w:val="left"/>
              <w:rPr>
                <w:rFonts w:ascii="Arial" w:hAnsi="Arial" w:cs="Arial" w:eastAsia="Arial" w:hint="default"/>
                <w:sz w:val="18"/>
                <w:szCs w:val="18"/>
              </w:rPr>
            </w:pPr>
            <w:r>
              <w:rPr>
                <w:rFonts w:ascii="Arial"/>
                <w:sz w:val="18"/>
              </w:rPr>
              <w:t>140,631,298.55</w:t>
            </w:r>
          </w:p>
        </w:tc>
        <w:tc>
          <w:tcPr>
            <w:tcW w:w="1723" w:type="dxa"/>
            <w:tcBorders>
              <w:top w:val="single" w:sz="4" w:space="0" w:color="5B9BD4"/>
              <w:left w:val="nil" w:sz="6" w:space="0" w:color="auto"/>
              <w:bottom w:val="nil" w:sz="6" w:space="0" w:color="auto"/>
              <w:right w:val="nil" w:sz="6" w:space="0" w:color="auto"/>
            </w:tcBorders>
            <w:shd w:val="clear" w:color="auto" w:fill="DEEAF6"/>
          </w:tcPr>
          <w:p>
            <w:pPr/>
          </w:p>
        </w:tc>
        <w:tc>
          <w:tcPr>
            <w:tcW w:w="1751" w:type="dxa"/>
            <w:vMerge w:val="restart"/>
            <w:tcBorders>
              <w:top w:val="single" w:sz="4" w:space="0" w:color="5B9BD4"/>
              <w:left w:val="nil" w:sz="6" w:space="0" w:color="auto"/>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left="1021" w:right="0"/>
              <w:jc w:val="left"/>
              <w:rPr>
                <w:rFonts w:ascii="Arial" w:hAnsi="Arial" w:cs="Arial" w:eastAsia="Arial" w:hint="default"/>
                <w:sz w:val="18"/>
                <w:szCs w:val="18"/>
              </w:rPr>
            </w:pPr>
            <w:r>
              <w:rPr>
                <w:rFonts w:ascii="Arial"/>
                <w:sz w:val="18"/>
              </w:rPr>
              <w:t>382.54%</w:t>
            </w:r>
          </w:p>
        </w:tc>
        <w:tc>
          <w:tcPr>
            <w:tcW w:w="1778" w:type="dxa"/>
            <w:tcBorders>
              <w:top w:val="single" w:sz="4" w:space="0" w:color="5B9BD4"/>
              <w:left w:val="nil" w:sz="6" w:space="0" w:color="auto"/>
              <w:bottom w:val="nil" w:sz="6" w:space="0" w:color="auto"/>
              <w:right w:val="nil" w:sz="6" w:space="0" w:color="auto"/>
            </w:tcBorders>
            <w:shd w:val="clear" w:color="auto" w:fill="DEEAF6"/>
          </w:tcPr>
          <w:p>
            <w:pPr/>
          </w:p>
        </w:tc>
      </w:tr>
      <w:tr>
        <w:trPr>
          <w:trHeight w:val="392" w:hRule="exact"/>
        </w:trPr>
        <w:tc>
          <w:tcPr>
            <w:tcW w:w="2594" w:type="dxa"/>
            <w:vMerge/>
            <w:tcBorders>
              <w:left w:val="nil" w:sz="6" w:space="0" w:color="auto"/>
              <w:right w:val="nil" w:sz="6" w:space="0" w:color="auto"/>
            </w:tcBorders>
            <w:shd w:val="clear" w:color="auto" w:fill="DEEAF6"/>
          </w:tcPr>
          <w:p>
            <w:pPr/>
          </w:p>
        </w:tc>
        <w:tc>
          <w:tcPr>
            <w:tcW w:w="1766" w:type="dxa"/>
            <w:vMerge/>
            <w:tcBorders>
              <w:left w:val="single" w:sz="11" w:space="0" w:color="DEEAF6"/>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w w:val="95"/>
                <w:sz w:val="18"/>
              </w:rPr>
              <w:t>29,143,960.41</w:t>
            </w:r>
            <w:r>
              <w:rPr>
                <w:rFonts w:ascii="Arial"/>
                <w:sz w:val="18"/>
              </w:rPr>
            </w:r>
          </w:p>
        </w:tc>
        <w:tc>
          <w:tcPr>
            <w:tcW w:w="1751" w:type="dxa"/>
            <w:vMerge/>
            <w:tcBorders>
              <w:left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11"/>
              <w:jc w:val="right"/>
              <w:rPr>
                <w:rFonts w:ascii="Arial" w:hAnsi="Arial" w:cs="Arial" w:eastAsia="Arial" w:hint="default"/>
                <w:sz w:val="18"/>
                <w:szCs w:val="18"/>
              </w:rPr>
            </w:pPr>
            <w:r>
              <w:rPr>
                <w:rFonts w:ascii="Arial"/>
                <w:w w:val="95"/>
                <w:sz w:val="18"/>
              </w:rPr>
              <w:t>784,444,254.03</w:t>
            </w:r>
            <w:r>
              <w:rPr>
                <w:rFonts w:ascii="Arial"/>
                <w:sz w:val="18"/>
              </w:rPr>
            </w:r>
          </w:p>
        </w:tc>
      </w:tr>
      <w:tr>
        <w:trPr>
          <w:trHeight w:val="161" w:hRule="exact"/>
        </w:trPr>
        <w:tc>
          <w:tcPr>
            <w:tcW w:w="2594" w:type="dxa"/>
            <w:vMerge/>
            <w:tcBorders>
              <w:left w:val="nil" w:sz="6" w:space="0" w:color="auto"/>
              <w:bottom w:val="single" w:sz="4" w:space="0" w:color="5B9BD4"/>
              <w:right w:val="nil" w:sz="6" w:space="0" w:color="auto"/>
            </w:tcBorders>
            <w:shd w:val="clear" w:color="auto" w:fill="DEEAF6"/>
          </w:tcPr>
          <w:p>
            <w:pPr/>
          </w:p>
        </w:tc>
        <w:tc>
          <w:tcPr>
            <w:tcW w:w="1766" w:type="dxa"/>
            <w:vMerge/>
            <w:tcBorders>
              <w:left w:val="single" w:sz="11" w:space="0" w:color="DEEAF6"/>
              <w:bottom w:val="single" w:sz="4" w:space="0" w:color="5B9BD4"/>
              <w:right w:val="nil" w:sz="6" w:space="0" w:color="auto"/>
            </w:tcBorders>
          </w:tcPr>
          <w:p>
            <w:pPr/>
          </w:p>
        </w:tc>
        <w:tc>
          <w:tcPr>
            <w:tcW w:w="1723" w:type="dxa"/>
            <w:tcBorders>
              <w:top w:val="nil" w:sz="6" w:space="0" w:color="auto"/>
              <w:left w:val="nil" w:sz="6" w:space="0" w:color="auto"/>
              <w:bottom w:val="single" w:sz="4" w:space="0" w:color="5B9BD4"/>
              <w:right w:val="nil" w:sz="6" w:space="0" w:color="auto"/>
            </w:tcBorders>
            <w:shd w:val="clear" w:color="auto" w:fill="DEEAF6"/>
          </w:tcPr>
          <w:p>
            <w:pPr/>
          </w:p>
        </w:tc>
        <w:tc>
          <w:tcPr>
            <w:tcW w:w="1751" w:type="dxa"/>
            <w:vMerge/>
            <w:tcBorders>
              <w:left w:val="nil" w:sz="6" w:space="0" w:color="auto"/>
              <w:bottom w:val="single" w:sz="4" w:space="0" w:color="5B9BD4"/>
              <w:right w:val="nil" w:sz="6" w:space="0" w:color="auto"/>
            </w:tcBorders>
          </w:tcPr>
          <w:p>
            <w:pPr/>
          </w:p>
        </w:tc>
        <w:tc>
          <w:tcPr>
            <w:tcW w:w="1778" w:type="dxa"/>
            <w:tcBorders>
              <w:top w:val="nil" w:sz="6" w:space="0" w:color="auto"/>
              <w:left w:val="nil" w:sz="6" w:space="0" w:color="auto"/>
              <w:bottom w:val="single" w:sz="4" w:space="0" w:color="5B9BD4"/>
              <w:right w:val="nil" w:sz="6" w:space="0" w:color="auto"/>
            </w:tcBorders>
            <w:shd w:val="clear" w:color="auto" w:fill="DEEAF6"/>
          </w:tcPr>
          <w:p>
            <w:pPr/>
          </w:p>
        </w:tc>
      </w:tr>
      <w:tr>
        <w:trPr>
          <w:trHeight w:val="161" w:hRule="exact"/>
        </w:trPr>
        <w:tc>
          <w:tcPr>
            <w:tcW w:w="2594"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6"/>
              <w:ind w:left="13" w:right="57"/>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66" w:type="dxa"/>
            <w:vMerge w:val="restart"/>
            <w:tcBorders>
              <w:top w:val="single" w:sz="4" w:space="0" w:color="5B9BD4"/>
              <w:left w:val="single" w:sz="11" w:space="0" w:color="DEEAF6"/>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left="562" w:right="0"/>
              <w:jc w:val="left"/>
              <w:rPr>
                <w:rFonts w:ascii="Arial" w:hAnsi="Arial" w:cs="Arial" w:eastAsia="Arial" w:hint="default"/>
                <w:sz w:val="18"/>
                <w:szCs w:val="18"/>
              </w:rPr>
            </w:pPr>
            <w:r>
              <w:rPr>
                <w:rFonts w:ascii="Arial"/>
                <w:sz w:val="18"/>
              </w:rPr>
              <w:t>76,741,966.81</w:t>
            </w:r>
          </w:p>
        </w:tc>
        <w:tc>
          <w:tcPr>
            <w:tcW w:w="1723" w:type="dxa"/>
            <w:tcBorders>
              <w:top w:val="single" w:sz="4" w:space="0" w:color="5B9BD4"/>
              <w:left w:val="nil" w:sz="6" w:space="0" w:color="auto"/>
              <w:bottom w:val="nil" w:sz="6" w:space="0" w:color="auto"/>
              <w:right w:val="nil" w:sz="6" w:space="0" w:color="auto"/>
            </w:tcBorders>
            <w:shd w:val="clear" w:color="auto" w:fill="DEEAF6"/>
          </w:tcPr>
          <w:p>
            <w:pPr/>
          </w:p>
        </w:tc>
        <w:tc>
          <w:tcPr>
            <w:tcW w:w="1751" w:type="dxa"/>
            <w:vMerge w:val="restart"/>
            <w:tcBorders>
              <w:top w:val="single" w:sz="4" w:space="0" w:color="5B9BD4"/>
              <w:left w:val="nil" w:sz="6" w:space="0" w:color="auto"/>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left="1021" w:right="0"/>
              <w:jc w:val="left"/>
              <w:rPr>
                <w:rFonts w:ascii="Arial" w:hAnsi="Arial" w:cs="Arial" w:eastAsia="Arial" w:hint="default"/>
                <w:sz w:val="18"/>
                <w:szCs w:val="18"/>
              </w:rPr>
            </w:pPr>
            <w:r>
              <w:rPr>
                <w:rFonts w:ascii="Arial"/>
                <w:sz w:val="18"/>
              </w:rPr>
              <w:t>273.74%</w:t>
            </w:r>
          </w:p>
        </w:tc>
        <w:tc>
          <w:tcPr>
            <w:tcW w:w="1778" w:type="dxa"/>
            <w:tcBorders>
              <w:top w:val="single" w:sz="4" w:space="0" w:color="5B9BD4"/>
              <w:left w:val="nil" w:sz="6" w:space="0" w:color="auto"/>
              <w:bottom w:val="nil" w:sz="6" w:space="0" w:color="auto"/>
              <w:right w:val="nil" w:sz="6" w:space="0" w:color="auto"/>
            </w:tcBorders>
            <w:shd w:val="clear" w:color="auto" w:fill="DEEAF6"/>
          </w:tcPr>
          <w:p>
            <w:pPr/>
          </w:p>
        </w:tc>
      </w:tr>
      <w:tr>
        <w:trPr>
          <w:trHeight w:val="392" w:hRule="exact"/>
        </w:trPr>
        <w:tc>
          <w:tcPr>
            <w:tcW w:w="2594" w:type="dxa"/>
            <w:vMerge/>
            <w:tcBorders>
              <w:left w:val="nil" w:sz="6" w:space="0" w:color="auto"/>
              <w:right w:val="nil" w:sz="6" w:space="0" w:color="auto"/>
            </w:tcBorders>
            <w:shd w:val="clear" w:color="auto" w:fill="DEEAF6"/>
          </w:tcPr>
          <w:p>
            <w:pPr/>
          </w:p>
        </w:tc>
        <w:tc>
          <w:tcPr>
            <w:tcW w:w="1766" w:type="dxa"/>
            <w:vMerge/>
            <w:tcBorders>
              <w:left w:val="single" w:sz="11" w:space="0" w:color="DEEAF6"/>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24"/>
              <w:jc w:val="right"/>
              <w:rPr>
                <w:rFonts w:ascii="Arial" w:hAnsi="Arial" w:cs="Arial" w:eastAsia="Arial" w:hint="default"/>
                <w:sz w:val="18"/>
                <w:szCs w:val="18"/>
              </w:rPr>
            </w:pPr>
            <w:r>
              <w:rPr>
                <w:rFonts w:ascii="Arial"/>
                <w:w w:val="95"/>
                <w:sz w:val="18"/>
              </w:rPr>
              <w:t>-44,171,730.36</w:t>
            </w:r>
            <w:r>
              <w:rPr>
                <w:rFonts w:ascii="Arial"/>
                <w:sz w:val="18"/>
              </w:rPr>
            </w:r>
          </w:p>
        </w:tc>
        <w:tc>
          <w:tcPr>
            <w:tcW w:w="1751" w:type="dxa"/>
            <w:vMerge/>
            <w:tcBorders>
              <w:left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11"/>
              <w:jc w:val="right"/>
              <w:rPr>
                <w:rFonts w:ascii="Arial" w:hAnsi="Arial" w:cs="Arial" w:eastAsia="Arial" w:hint="default"/>
                <w:sz w:val="18"/>
                <w:szCs w:val="18"/>
              </w:rPr>
            </w:pPr>
            <w:r>
              <w:rPr>
                <w:rFonts w:ascii="Arial"/>
                <w:w w:val="95"/>
                <w:sz w:val="18"/>
              </w:rPr>
              <w:t>727,367,411.34</w:t>
            </w:r>
            <w:r>
              <w:rPr>
                <w:rFonts w:ascii="Arial"/>
                <w:sz w:val="18"/>
              </w:rPr>
            </w:r>
          </w:p>
        </w:tc>
      </w:tr>
      <w:tr>
        <w:trPr>
          <w:trHeight w:val="161" w:hRule="exact"/>
        </w:trPr>
        <w:tc>
          <w:tcPr>
            <w:tcW w:w="2594" w:type="dxa"/>
            <w:vMerge/>
            <w:tcBorders>
              <w:left w:val="nil" w:sz="6" w:space="0" w:color="auto"/>
              <w:bottom w:val="single" w:sz="4" w:space="0" w:color="5B9BD4"/>
              <w:right w:val="nil" w:sz="6" w:space="0" w:color="auto"/>
            </w:tcBorders>
            <w:shd w:val="clear" w:color="auto" w:fill="DEEAF6"/>
          </w:tcPr>
          <w:p>
            <w:pPr/>
          </w:p>
        </w:tc>
        <w:tc>
          <w:tcPr>
            <w:tcW w:w="1766" w:type="dxa"/>
            <w:vMerge/>
            <w:tcBorders>
              <w:left w:val="single" w:sz="11" w:space="0" w:color="DEEAF6"/>
              <w:bottom w:val="single" w:sz="4" w:space="0" w:color="5B9BD4"/>
              <w:right w:val="nil" w:sz="6" w:space="0" w:color="auto"/>
            </w:tcBorders>
          </w:tcPr>
          <w:p>
            <w:pPr/>
          </w:p>
        </w:tc>
        <w:tc>
          <w:tcPr>
            <w:tcW w:w="1723" w:type="dxa"/>
            <w:tcBorders>
              <w:top w:val="nil" w:sz="6" w:space="0" w:color="auto"/>
              <w:left w:val="nil" w:sz="6" w:space="0" w:color="auto"/>
              <w:bottom w:val="single" w:sz="4" w:space="0" w:color="5B9BD4"/>
              <w:right w:val="nil" w:sz="6" w:space="0" w:color="auto"/>
            </w:tcBorders>
            <w:shd w:val="clear" w:color="auto" w:fill="DEEAF6"/>
          </w:tcPr>
          <w:p>
            <w:pPr/>
          </w:p>
        </w:tc>
        <w:tc>
          <w:tcPr>
            <w:tcW w:w="1751" w:type="dxa"/>
            <w:vMerge/>
            <w:tcBorders>
              <w:left w:val="nil" w:sz="6" w:space="0" w:color="auto"/>
              <w:bottom w:val="single" w:sz="4" w:space="0" w:color="5B9BD4"/>
              <w:right w:val="nil" w:sz="6" w:space="0" w:color="auto"/>
            </w:tcBorders>
          </w:tcPr>
          <w:p>
            <w:pPr/>
          </w:p>
        </w:tc>
        <w:tc>
          <w:tcPr>
            <w:tcW w:w="1778" w:type="dxa"/>
            <w:tcBorders>
              <w:top w:val="nil" w:sz="6" w:space="0" w:color="auto"/>
              <w:left w:val="nil" w:sz="6" w:space="0" w:color="auto"/>
              <w:bottom w:val="single" w:sz="4" w:space="0" w:color="5B9BD4"/>
              <w:right w:val="nil" w:sz="6" w:space="0" w:color="auto"/>
            </w:tcBorders>
            <w:shd w:val="clear" w:color="auto" w:fill="DEEAF6"/>
          </w:tcPr>
          <w:p>
            <w:pPr/>
          </w:p>
        </w:tc>
      </w:tr>
      <w:tr>
        <w:trPr>
          <w:trHeight w:val="161" w:hRule="exact"/>
        </w:trPr>
        <w:tc>
          <w:tcPr>
            <w:tcW w:w="2594"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66" w:type="dxa"/>
            <w:vMerge w:val="restart"/>
            <w:tcBorders>
              <w:top w:val="single" w:sz="4" w:space="0" w:color="5B9BD4"/>
              <w:left w:val="single" w:sz="11" w:space="0" w:color="DEEAF6"/>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left="463" w:right="0"/>
              <w:jc w:val="left"/>
              <w:rPr>
                <w:rFonts w:ascii="Arial" w:hAnsi="Arial" w:cs="Arial" w:eastAsia="Arial" w:hint="default"/>
                <w:sz w:val="18"/>
                <w:szCs w:val="18"/>
              </w:rPr>
            </w:pPr>
            <w:r>
              <w:rPr>
                <w:rFonts w:ascii="Arial"/>
                <w:sz w:val="18"/>
              </w:rPr>
              <w:t>292,544,694.61</w:t>
            </w:r>
          </w:p>
        </w:tc>
        <w:tc>
          <w:tcPr>
            <w:tcW w:w="1723" w:type="dxa"/>
            <w:tcBorders>
              <w:top w:val="single" w:sz="4" w:space="0" w:color="5B9BD4"/>
              <w:left w:val="nil" w:sz="6" w:space="0" w:color="auto"/>
              <w:bottom w:val="nil" w:sz="6" w:space="0" w:color="auto"/>
              <w:right w:val="nil" w:sz="6" w:space="0" w:color="auto"/>
            </w:tcBorders>
            <w:shd w:val="clear" w:color="auto" w:fill="DEEAF6"/>
          </w:tcPr>
          <w:p>
            <w:pPr/>
          </w:p>
        </w:tc>
        <w:tc>
          <w:tcPr>
            <w:tcW w:w="1751" w:type="dxa"/>
            <w:vMerge w:val="restart"/>
            <w:tcBorders>
              <w:top w:val="single" w:sz="4" w:space="0" w:color="5B9BD4"/>
              <w:left w:val="nil" w:sz="6" w:space="0" w:color="auto"/>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left="871" w:right="0"/>
              <w:jc w:val="left"/>
              <w:rPr>
                <w:rFonts w:ascii="Arial" w:hAnsi="Arial" w:cs="Arial" w:eastAsia="Arial" w:hint="default"/>
                <w:sz w:val="18"/>
                <w:szCs w:val="18"/>
              </w:rPr>
            </w:pPr>
            <w:r>
              <w:rPr>
                <w:rFonts w:ascii="Arial"/>
                <w:sz w:val="18"/>
              </w:rPr>
              <w:t>3,115.92%</w:t>
            </w:r>
          </w:p>
        </w:tc>
        <w:tc>
          <w:tcPr>
            <w:tcW w:w="1778" w:type="dxa"/>
            <w:tcBorders>
              <w:top w:val="single" w:sz="4" w:space="0" w:color="5B9BD4"/>
              <w:left w:val="nil" w:sz="6" w:space="0" w:color="auto"/>
              <w:bottom w:val="nil" w:sz="6" w:space="0" w:color="auto"/>
              <w:right w:val="nil" w:sz="6" w:space="0" w:color="auto"/>
            </w:tcBorders>
            <w:shd w:val="clear" w:color="auto" w:fill="DEEAF6"/>
          </w:tcPr>
          <w:p>
            <w:pPr/>
          </w:p>
        </w:tc>
      </w:tr>
      <w:tr>
        <w:trPr>
          <w:trHeight w:val="392" w:hRule="exact"/>
        </w:trPr>
        <w:tc>
          <w:tcPr>
            <w:tcW w:w="2594" w:type="dxa"/>
            <w:vMerge/>
            <w:tcBorders>
              <w:left w:val="nil" w:sz="6" w:space="0" w:color="auto"/>
              <w:right w:val="nil" w:sz="6" w:space="0" w:color="auto"/>
            </w:tcBorders>
            <w:shd w:val="clear" w:color="auto" w:fill="DEEAF6"/>
          </w:tcPr>
          <w:p>
            <w:pPr/>
          </w:p>
        </w:tc>
        <w:tc>
          <w:tcPr>
            <w:tcW w:w="1766" w:type="dxa"/>
            <w:vMerge/>
            <w:tcBorders>
              <w:left w:val="single" w:sz="11" w:space="0" w:color="DEEAF6"/>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24"/>
              <w:jc w:val="right"/>
              <w:rPr>
                <w:rFonts w:ascii="Arial" w:hAnsi="Arial" w:cs="Arial" w:eastAsia="Arial" w:hint="default"/>
                <w:sz w:val="18"/>
                <w:szCs w:val="18"/>
              </w:rPr>
            </w:pPr>
            <w:r>
              <w:rPr>
                <w:rFonts w:ascii="Arial"/>
                <w:w w:val="95"/>
                <w:sz w:val="18"/>
              </w:rPr>
              <w:t>9,096,769.34</w:t>
            </w:r>
            <w:r>
              <w:rPr>
                <w:rFonts w:ascii="Arial"/>
                <w:sz w:val="18"/>
              </w:rPr>
            </w:r>
          </w:p>
        </w:tc>
        <w:tc>
          <w:tcPr>
            <w:tcW w:w="1751" w:type="dxa"/>
            <w:vMerge/>
            <w:tcBorders>
              <w:left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11"/>
              <w:jc w:val="right"/>
              <w:rPr>
                <w:rFonts w:ascii="Arial" w:hAnsi="Arial" w:cs="Arial" w:eastAsia="Arial" w:hint="default"/>
                <w:sz w:val="18"/>
                <w:szCs w:val="18"/>
              </w:rPr>
            </w:pPr>
            <w:r>
              <w:rPr>
                <w:rFonts w:ascii="Arial"/>
                <w:w w:val="95"/>
                <w:sz w:val="18"/>
              </w:rPr>
              <w:t>816,245,695.59</w:t>
            </w:r>
            <w:r>
              <w:rPr>
                <w:rFonts w:ascii="Arial"/>
                <w:sz w:val="18"/>
              </w:rPr>
            </w:r>
          </w:p>
        </w:tc>
      </w:tr>
      <w:tr>
        <w:trPr>
          <w:trHeight w:val="161" w:hRule="exact"/>
        </w:trPr>
        <w:tc>
          <w:tcPr>
            <w:tcW w:w="2594" w:type="dxa"/>
            <w:vMerge/>
            <w:tcBorders>
              <w:left w:val="nil" w:sz="6" w:space="0" w:color="auto"/>
              <w:bottom w:val="single" w:sz="4" w:space="0" w:color="5B9BD4"/>
              <w:right w:val="nil" w:sz="6" w:space="0" w:color="auto"/>
            </w:tcBorders>
            <w:shd w:val="clear" w:color="auto" w:fill="DEEAF6"/>
          </w:tcPr>
          <w:p>
            <w:pPr/>
          </w:p>
        </w:tc>
        <w:tc>
          <w:tcPr>
            <w:tcW w:w="1766" w:type="dxa"/>
            <w:vMerge/>
            <w:tcBorders>
              <w:left w:val="single" w:sz="11" w:space="0" w:color="DEEAF6"/>
              <w:bottom w:val="single" w:sz="4" w:space="0" w:color="5B9BD4"/>
              <w:right w:val="nil" w:sz="6" w:space="0" w:color="auto"/>
            </w:tcBorders>
          </w:tcPr>
          <w:p>
            <w:pPr/>
          </w:p>
        </w:tc>
        <w:tc>
          <w:tcPr>
            <w:tcW w:w="1723" w:type="dxa"/>
            <w:tcBorders>
              <w:top w:val="nil" w:sz="6" w:space="0" w:color="auto"/>
              <w:left w:val="nil" w:sz="6" w:space="0" w:color="auto"/>
              <w:bottom w:val="single" w:sz="4" w:space="0" w:color="5B9BD4"/>
              <w:right w:val="nil" w:sz="6" w:space="0" w:color="auto"/>
            </w:tcBorders>
            <w:shd w:val="clear" w:color="auto" w:fill="DEEAF6"/>
          </w:tcPr>
          <w:p>
            <w:pPr/>
          </w:p>
        </w:tc>
        <w:tc>
          <w:tcPr>
            <w:tcW w:w="1751" w:type="dxa"/>
            <w:vMerge/>
            <w:tcBorders>
              <w:left w:val="nil" w:sz="6" w:space="0" w:color="auto"/>
              <w:bottom w:val="single" w:sz="4" w:space="0" w:color="5B9BD4"/>
              <w:right w:val="nil" w:sz="6" w:space="0" w:color="auto"/>
            </w:tcBorders>
          </w:tcPr>
          <w:p>
            <w:pPr/>
          </w:p>
        </w:tc>
        <w:tc>
          <w:tcPr>
            <w:tcW w:w="1778" w:type="dxa"/>
            <w:tcBorders>
              <w:top w:val="nil" w:sz="6" w:space="0" w:color="auto"/>
              <w:left w:val="nil" w:sz="6" w:space="0" w:color="auto"/>
              <w:bottom w:val="single" w:sz="4" w:space="0" w:color="5B9BD4"/>
              <w:right w:val="nil" w:sz="6" w:space="0" w:color="auto"/>
            </w:tcBorders>
            <w:shd w:val="clear" w:color="auto" w:fill="DEEAF6"/>
          </w:tcPr>
          <w:p>
            <w:pPr/>
          </w:p>
        </w:tc>
      </w:tr>
      <w:tr>
        <w:trPr>
          <w:trHeight w:val="402" w:hRule="exact"/>
        </w:trPr>
        <w:tc>
          <w:tcPr>
            <w:tcW w:w="2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w w:val="105"/>
                <w:sz w:val="18"/>
                <w:szCs w:val="18"/>
              </w:rPr>
              <w:t>基本每股收益（元</w:t>
            </w:r>
            <w:r>
              <w:rPr>
                <w:rFonts w:ascii="Arial" w:hAnsi="Arial" w:cs="Arial" w:eastAsia="Arial" w:hint="default"/>
                <w:w w:val="105"/>
                <w:sz w:val="18"/>
                <w:szCs w:val="18"/>
              </w:rPr>
              <w:t>/</w:t>
            </w:r>
            <w:r>
              <w:rPr>
                <w:rFonts w:ascii="宋体" w:hAnsi="宋体" w:cs="宋体" w:eastAsia="宋体" w:hint="default"/>
                <w:w w:val="105"/>
                <w:sz w:val="18"/>
                <w:szCs w:val="18"/>
              </w:rPr>
              <w:t>股）</w:t>
            </w:r>
          </w:p>
        </w:tc>
        <w:tc>
          <w:tcPr>
            <w:tcW w:w="1766"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0.141</w:t>
            </w:r>
            <w:r>
              <w:rPr>
                <w:rFonts w:ascii="Arial"/>
                <w:sz w:val="18"/>
              </w:rPr>
            </w:r>
          </w:p>
        </w:tc>
        <w:tc>
          <w:tcPr>
            <w:tcW w:w="172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w w:val="95"/>
                <w:sz w:val="18"/>
              </w:rPr>
              <w:t>0.029</w:t>
            </w:r>
            <w:r>
              <w:rPr>
                <w:rFonts w:ascii="Arial"/>
                <w:sz w:val="18"/>
              </w:rPr>
            </w:r>
          </w:p>
        </w:tc>
        <w:tc>
          <w:tcPr>
            <w:tcW w:w="1751"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386.21%</w:t>
            </w:r>
            <w:r>
              <w:rPr>
                <w:rFonts w:ascii="Arial"/>
                <w:sz w:val="18"/>
              </w:rPr>
            </w:r>
          </w:p>
        </w:tc>
        <w:tc>
          <w:tcPr>
            <w:tcW w:w="17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1"/>
              <w:jc w:val="right"/>
              <w:rPr>
                <w:rFonts w:ascii="Arial" w:hAnsi="Arial" w:cs="Arial" w:eastAsia="Arial" w:hint="default"/>
                <w:sz w:val="18"/>
                <w:szCs w:val="18"/>
              </w:rPr>
            </w:pPr>
            <w:r>
              <w:rPr>
                <w:rFonts w:ascii="Arial"/>
                <w:w w:val="95"/>
                <w:sz w:val="18"/>
              </w:rPr>
              <w:t>0.785</w:t>
            </w:r>
            <w:r>
              <w:rPr>
                <w:rFonts w:ascii="Arial"/>
                <w:sz w:val="18"/>
              </w:rPr>
            </w:r>
          </w:p>
        </w:tc>
      </w:tr>
      <w:tr>
        <w:trPr>
          <w:trHeight w:val="402" w:hRule="exact"/>
        </w:trPr>
        <w:tc>
          <w:tcPr>
            <w:tcW w:w="2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w w:val="105"/>
                <w:sz w:val="18"/>
                <w:szCs w:val="18"/>
              </w:rPr>
              <w:t>稀释每股收益（元</w:t>
            </w:r>
            <w:r>
              <w:rPr>
                <w:rFonts w:ascii="Arial" w:hAnsi="Arial" w:cs="Arial" w:eastAsia="Arial" w:hint="default"/>
                <w:w w:val="105"/>
                <w:sz w:val="18"/>
                <w:szCs w:val="18"/>
              </w:rPr>
              <w:t>/</w:t>
            </w:r>
            <w:r>
              <w:rPr>
                <w:rFonts w:ascii="宋体" w:hAnsi="宋体" w:cs="宋体" w:eastAsia="宋体" w:hint="default"/>
                <w:w w:val="105"/>
                <w:sz w:val="18"/>
                <w:szCs w:val="18"/>
              </w:rPr>
              <w:t>股）</w:t>
            </w:r>
          </w:p>
        </w:tc>
        <w:tc>
          <w:tcPr>
            <w:tcW w:w="1766"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0.141</w:t>
            </w:r>
            <w:r>
              <w:rPr>
                <w:rFonts w:ascii="Arial"/>
                <w:sz w:val="18"/>
              </w:rPr>
            </w:r>
          </w:p>
        </w:tc>
        <w:tc>
          <w:tcPr>
            <w:tcW w:w="172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w w:val="95"/>
                <w:sz w:val="18"/>
              </w:rPr>
              <w:t>0.029</w:t>
            </w:r>
            <w:r>
              <w:rPr>
                <w:rFonts w:ascii="Arial"/>
                <w:sz w:val="18"/>
              </w:rPr>
            </w:r>
          </w:p>
        </w:tc>
        <w:tc>
          <w:tcPr>
            <w:tcW w:w="1751"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386.21%</w:t>
            </w:r>
            <w:r>
              <w:rPr>
                <w:rFonts w:ascii="Arial"/>
                <w:sz w:val="18"/>
              </w:rPr>
            </w:r>
          </w:p>
        </w:tc>
        <w:tc>
          <w:tcPr>
            <w:tcW w:w="17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1"/>
              <w:jc w:val="right"/>
              <w:rPr>
                <w:rFonts w:ascii="Arial" w:hAnsi="Arial" w:cs="Arial" w:eastAsia="Arial" w:hint="default"/>
                <w:sz w:val="18"/>
                <w:szCs w:val="18"/>
              </w:rPr>
            </w:pPr>
            <w:r>
              <w:rPr>
                <w:rFonts w:ascii="Arial"/>
                <w:w w:val="95"/>
                <w:sz w:val="18"/>
              </w:rPr>
              <w:t>0.785</w:t>
            </w:r>
            <w:r>
              <w:rPr>
                <w:rFonts w:ascii="Arial"/>
                <w:sz w:val="18"/>
              </w:rPr>
            </w:r>
          </w:p>
        </w:tc>
      </w:tr>
      <w:tr>
        <w:trPr>
          <w:trHeight w:val="402" w:hRule="exact"/>
        </w:trPr>
        <w:tc>
          <w:tcPr>
            <w:tcW w:w="2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66"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3.21%</w:t>
            </w:r>
            <w:r>
              <w:rPr>
                <w:rFonts w:ascii="Arial"/>
                <w:sz w:val="18"/>
              </w:rPr>
            </w:r>
          </w:p>
        </w:tc>
        <w:tc>
          <w:tcPr>
            <w:tcW w:w="172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w w:val="95"/>
                <w:sz w:val="18"/>
              </w:rPr>
              <w:t>0.66%</w:t>
            </w:r>
            <w:r>
              <w:rPr>
                <w:rFonts w:ascii="Arial"/>
                <w:sz w:val="18"/>
              </w:rPr>
            </w:r>
          </w:p>
        </w:tc>
        <w:tc>
          <w:tcPr>
            <w:tcW w:w="1751"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2.55%</w:t>
            </w:r>
            <w:r>
              <w:rPr>
                <w:rFonts w:ascii="Arial"/>
                <w:sz w:val="18"/>
              </w:rPr>
            </w:r>
          </w:p>
        </w:tc>
        <w:tc>
          <w:tcPr>
            <w:tcW w:w="17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1"/>
              <w:jc w:val="right"/>
              <w:rPr>
                <w:rFonts w:ascii="Arial" w:hAnsi="Arial" w:cs="Arial" w:eastAsia="Arial" w:hint="default"/>
                <w:sz w:val="18"/>
                <w:szCs w:val="18"/>
              </w:rPr>
            </w:pPr>
            <w:r>
              <w:rPr>
                <w:rFonts w:ascii="Arial"/>
                <w:w w:val="95"/>
                <w:sz w:val="18"/>
              </w:rPr>
              <w:t>18.41%</w:t>
            </w:r>
            <w:r>
              <w:rPr>
                <w:rFonts w:ascii="Arial"/>
                <w:sz w:val="18"/>
              </w:rPr>
            </w:r>
          </w:p>
        </w:tc>
      </w:tr>
      <w:tr>
        <w:trPr>
          <w:trHeight w:val="402" w:hRule="exact"/>
        </w:trPr>
        <w:tc>
          <w:tcPr>
            <w:tcW w:w="2594" w:type="dxa"/>
            <w:tcBorders>
              <w:top w:val="single" w:sz="4" w:space="0" w:color="5B9BD4"/>
              <w:left w:val="nil" w:sz="6" w:space="0" w:color="auto"/>
              <w:bottom w:val="single" w:sz="4" w:space="0" w:color="5B9BD4"/>
              <w:right w:val="nil" w:sz="6" w:space="0" w:color="auto"/>
            </w:tcBorders>
            <w:shd w:val="clear" w:color="auto" w:fill="DEEAF6"/>
          </w:tcPr>
          <w:p>
            <w:pPr/>
          </w:p>
        </w:tc>
        <w:tc>
          <w:tcPr>
            <w:tcW w:w="17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480"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年末</w:t>
            </w:r>
          </w:p>
        </w:tc>
        <w:tc>
          <w:tcPr>
            <w:tcW w:w="172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452"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1"/>
                <w:sz w:val="18"/>
                <w:szCs w:val="18"/>
              </w:rPr>
              <w:t> </w:t>
            </w:r>
            <w:r>
              <w:rPr>
                <w:rFonts w:ascii="宋体" w:hAnsi="宋体" w:cs="宋体" w:eastAsia="宋体" w:hint="default"/>
                <w:sz w:val="18"/>
                <w:szCs w:val="18"/>
              </w:rPr>
              <w:t>年末</w:t>
            </w:r>
          </w:p>
        </w:tc>
        <w:tc>
          <w:tcPr>
            <w:tcW w:w="175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right="71"/>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487"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1"/>
                <w:sz w:val="18"/>
                <w:szCs w:val="18"/>
              </w:rPr>
              <w:t> </w:t>
            </w:r>
            <w:r>
              <w:rPr>
                <w:rFonts w:ascii="宋体" w:hAnsi="宋体" w:cs="宋体" w:eastAsia="宋体" w:hint="default"/>
                <w:sz w:val="18"/>
                <w:szCs w:val="18"/>
              </w:rPr>
              <w:t>年末</w:t>
            </w:r>
          </w:p>
        </w:tc>
      </w:tr>
      <w:tr>
        <w:trPr>
          <w:trHeight w:val="402" w:hRule="exact"/>
        </w:trPr>
        <w:tc>
          <w:tcPr>
            <w:tcW w:w="2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66"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26"/>
              <w:jc w:val="right"/>
              <w:rPr>
                <w:rFonts w:ascii="Arial" w:hAnsi="Arial" w:cs="Arial" w:eastAsia="Arial" w:hint="default"/>
                <w:sz w:val="18"/>
                <w:szCs w:val="18"/>
              </w:rPr>
            </w:pPr>
            <w:r>
              <w:rPr>
                <w:rFonts w:ascii="Arial"/>
                <w:w w:val="95"/>
                <w:sz w:val="18"/>
              </w:rPr>
              <w:t>10,454,702,828.57</w:t>
            </w:r>
            <w:r>
              <w:rPr>
                <w:rFonts w:ascii="Arial"/>
                <w:sz w:val="18"/>
              </w:rPr>
            </w:r>
          </w:p>
        </w:tc>
        <w:tc>
          <w:tcPr>
            <w:tcW w:w="172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spacing w:val="-1"/>
                <w:sz w:val="18"/>
              </w:rPr>
              <w:t>8,926,220,756.19</w:t>
            </w:r>
          </w:p>
        </w:tc>
        <w:tc>
          <w:tcPr>
            <w:tcW w:w="1751"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17.12%</w:t>
            </w:r>
            <w:r>
              <w:rPr>
                <w:rFonts w:ascii="Arial"/>
                <w:sz w:val="18"/>
              </w:rPr>
            </w:r>
          </w:p>
        </w:tc>
        <w:tc>
          <w:tcPr>
            <w:tcW w:w="17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1"/>
              <w:jc w:val="right"/>
              <w:rPr>
                <w:rFonts w:ascii="Arial" w:hAnsi="Arial" w:cs="Arial" w:eastAsia="Arial" w:hint="default"/>
                <w:sz w:val="18"/>
                <w:szCs w:val="18"/>
              </w:rPr>
            </w:pPr>
            <w:r>
              <w:rPr>
                <w:rFonts w:ascii="Arial"/>
                <w:w w:val="95"/>
                <w:sz w:val="18"/>
              </w:rPr>
              <w:t>12,007,502,224.82</w:t>
            </w:r>
            <w:r>
              <w:rPr>
                <w:rFonts w:ascii="Arial"/>
                <w:sz w:val="18"/>
              </w:rPr>
            </w:r>
          </w:p>
        </w:tc>
      </w:tr>
      <w:tr>
        <w:trPr>
          <w:trHeight w:val="161" w:hRule="exact"/>
        </w:trPr>
        <w:tc>
          <w:tcPr>
            <w:tcW w:w="2594"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66" w:type="dxa"/>
            <w:vMerge w:val="restart"/>
            <w:tcBorders>
              <w:top w:val="single" w:sz="4" w:space="0" w:color="5B9BD4"/>
              <w:left w:val="single" w:sz="11" w:space="0" w:color="DEEAF6"/>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left="314" w:right="0"/>
              <w:jc w:val="left"/>
              <w:rPr>
                <w:rFonts w:ascii="Arial" w:hAnsi="Arial" w:cs="Arial" w:eastAsia="Arial" w:hint="default"/>
                <w:sz w:val="18"/>
                <w:szCs w:val="18"/>
              </w:rPr>
            </w:pPr>
            <w:r>
              <w:rPr>
                <w:rFonts w:ascii="Arial"/>
                <w:sz w:val="18"/>
              </w:rPr>
              <w:t>4,468,575,072.28</w:t>
            </w:r>
          </w:p>
        </w:tc>
        <w:tc>
          <w:tcPr>
            <w:tcW w:w="1723" w:type="dxa"/>
            <w:tcBorders>
              <w:top w:val="single" w:sz="4" w:space="0" w:color="5B9BD4"/>
              <w:left w:val="nil" w:sz="6" w:space="0" w:color="auto"/>
              <w:bottom w:val="nil" w:sz="6" w:space="0" w:color="auto"/>
              <w:right w:val="nil" w:sz="6" w:space="0" w:color="auto"/>
            </w:tcBorders>
            <w:shd w:val="clear" w:color="auto" w:fill="DEEAF6"/>
          </w:tcPr>
          <w:p>
            <w:pPr/>
          </w:p>
        </w:tc>
        <w:tc>
          <w:tcPr>
            <w:tcW w:w="1751" w:type="dxa"/>
            <w:vMerge w:val="restart"/>
            <w:tcBorders>
              <w:top w:val="single" w:sz="4" w:space="0" w:color="5B9BD4"/>
              <w:left w:val="nil" w:sz="6" w:space="0" w:color="auto"/>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right="39"/>
              <w:jc w:val="right"/>
              <w:rPr>
                <w:rFonts w:ascii="Arial" w:hAnsi="Arial" w:cs="Arial" w:eastAsia="Arial" w:hint="default"/>
                <w:sz w:val="18"/>
                <w:szCs w:val="18"/>
              </w:rPr>
            </w:pPr>
            <w:r>
              <w:rPr>
                <w:rFonts w:ascii="Arial"/>
                <w:w w:val="95"/>
                <w:sz w:val="18"/>
              </w:rPr>
              <w:t>3.96%</w:t>
            </w:r>
            <w:r>
              <w:rPr>
                <w:rFonts w:ascii="Arial"/>
                <w:sz w:val="18"/>
              </w:rPr>
            </w:r>
          </w:p>
        </w:tc>
        <w:tc>
          <w:tcPr>
            <w:tcW w:w="1778" w:type="dxa"/>
            <w:tcBorders>
              <w:top w:val="single" w:sz="4" w:space="0" w:color="5B9BD4"/>
              <w:left w:val="nil" w:sz="6" w:space="0" w:color="auto"/>
              <w:bottom w:val="nil" w:sz="6" w:space="0" w:color="auto"/>
              <w:right w:val="nil" w:sz="6" w:space="0" w:color="auto"/>
            </w:tcBorders>
            <w:shd w:val="clear" w:color="auto" w:fill="DEEAF6"/>
          </w:tcPr>
          <w:p>
            <w:pPr/>
          </w:p>
        </w:tc>
      </w:tr>
      <w:tr>
        <w:trPr>
          <w:trHeight w:val="392" w:hRule="exact"/>
        </w:trPr>
        <w:tc>
          <w:tcPr>
            <w:tcW w:w="2594" w:type="dxa"/>
            <w:vMerge/>
            <w:tcBorders>
              <w:left w:val="nil" w:sz="6" w:space="0" w:color="auto"/>
              <w:right w:val="nil" w:sz="6" w:space="0" w:color="auto"/>
            </w:tcBorders>
            <w:shd w:val="clear" w:color="auto" w:fill="DEEAF6"/>
          </w:tcPr>
          <w:p>
            <w:pPr/>
          </w:p>
        </w:tc>
        <w:tc>
          <w:tcPr>
            <w:tcW w:w="1766" w:type="dxa"/>
            <w:vMerge/>
            <w:tcBorders>
              <w:left w:val="single" w:sz="11" w:space="0" w:color="DEEAF6"/>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spacing w:val="-1"/>
                <w:sz w:val="18"/>
              </w:rPr>
              <w:t>4,298,371,776.94</w:t>
            </w:r>
          </w:p>
        </w:tc>
        <w:tc>
          <w:tcPr>
            <w:tcW w:w="1751" w:type="dxa"/>
            <w:vMerge/>
            <w:tcBorders>
              <w:left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11"/>
              <w:jc w:val="right"/>
              <w:rPr>
                <w:rFonts w:ascii="Arial" w:hAnsi="Arial" w:cs="Arial" w:eastAsia="Arial" w:hint="default"/>
                <w:sz w:val="18"/>
                <w:szCs w:val="18"/>
              </w:rPr>
            </w:pPr>
            <w:r>
              <w:rPr>
                <w:rFonts w:ascii="Arial"/>
                <w:spacing w:val="-1"/>
                <w:sz w:val="18"/>
              </w:rPr>
              <w:t>4,607,435,965.78</w:t>
            </w:r>
          </w:p>
        </w:tc>
      </w:tr>
      <w:tr>
        <w:trPr>
          <w:trHeight w:val="161" w:hRule="exact"/>
        </w:trPr>
        <w:tc>
          <w:tcPr>
            <w:tcW w:w="2594" w:type="dxa"/>
            <w:vMerge/>
            <w:tcBorders>
              <w:left w:val="nil" w:sz="6" w:space="0" w:color="auto"/>
              <w:bottom w:val="single" w:sz="4" w:space="0" w:color="5B9BD4"/>
              <w:right w:val="nil" w:sz="6" w:space="0" w:color="auto"/>
            </w:tcBorders>
            <w:shd w:val="clear" w:color="auto" w:fill="DEEAF6"/>
          </w:tcPr>
          <w:p>
            <w:pPr/>
          </w:p>
        </w:tc>
        <w:tc>
          <w:tcPr>
            <w:tcW w:w="1766" w:type="dxa"/>
            <w:vMerge/>
            <w:tcBorders>
              <w:left w:val="single" w:sz="11" w:space="0" w:color="DEEAF6"/>
              <w:bottom w:val="single" w:sz="4" w:space="0" w:color="5B9BD4"/>
              <w:right w:val="nil" w:sz="6" w:space="0" w:color="auto"/>
            </w:tcBorders>
          </w:tcPr>
          <w:p>
            <w:pPr/>
          </w:p>
        </w:tc>
        <w:tc>
          <w:tcPr>
            <w:tcW w:w="1723" w:type="dxa"/>
            <w:tcBorders>
              <w:top w:val="nil" w:sz="6" w:space="0" w:color="auto"/>
              <w:left w:val="nil" w:sz="6" w:space="0" w:color="auto"/>
              <w:bottom w:val="single" w:sz="4" w:space="0" w:color="5B9BD4"/>
              <w:right w:val="nil" w:sz="6" w:space="0" w:color="auto"/>
            </w:tcBorders>
            <w:shd w:val="clear" w:color="auto" w:fill="DEEAF6"/>
          </w:tcPr>
          <w:p>
            <w:pPr/>
          </w:p>
        </w:tc>
        <w:tc>
          <w:tcPr>
            <w:tcW w:w="1751" w:type="dxa"/>
            <w:vMerge/>
            <w:tcBorders>
              <w:left w:val="nil" w:sz="6" w:space="0" w:color="auto"/>
              <w:bottom w:val="single" w:sz="4" w:space="0" w:color="5B9BD4"/>
              <w:right w:val="nil" w:sz="6" w:space="0" w:color="auto"/>
            </w:tcBorders>
          </w:tcPr>
          <w:p>
            <w:pPr/>
          </w:p>
        </w:tc>
        <w:tc>
          <w:tcPr>
            <w:tcW w:w="1778" w:type="dxa"/>
            <w:tcBorders>
              <w:top w:val="nil" w:sz="6" w:space="0" w:color="auto"/>
              <w:left w:val="nil" w:sz="6" w:space="0" w:color="auto"/>
              <w:bottom w:val="single" w:sz="4" w:space="0" w:color="5B9BD4"/>
              <w:right w:val="nil" w:sz="6" w:space="0" w:color="auto"/>
            </w:tcBorders>
            <w:shd w:val="clear" w:color="auto" w:fill="DEEAF6"/>
          </w:tcPr>
          <w:p>
            <w:pPr/>
          </w:p>
        </w:tc>
      </w:tr>
    </w:tbl>
    <w:p>
      <w:pPr>
        <w:spacing w:before="46"/>
        <w:ind w:left="114" w:right="0" w:firstLine="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w:t>
      </w:r>
    </w:p>
    <w:p>
      <w:pPr>
        <w:spacing w:line="240" w:lineRule="auto" w:before="6"/>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354"/>
        <w:gridCol w:w="5214"/>
      </w:tblGrid>
      <w:tr>
        <w:trPr>
          <w:trHeight w:val="402" w:hRule="exact"/>
        </w:trPr>
        <w:tc>
          <w:tcPr>
            <w:tcW w:w="435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截止披露前一交易日的公司总股本（股）</w:t>
            </w:r>
          </w:p>
        </w:tc>
        <w:tc>
          <w:tcPr>
            <w:tcW w:w="5214"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991,384,839</w:t>
            </w:r>
            <w:r>
              <w:rPr>
                <w:rFonts w:ascii="Arial"/>
                <w:sz w:val="18"/>
              </w:rPr>
            </w:r>
          </w:p>
        </w:tc>
      </w:tr>
      <w:tr>
        <w:trPr>
          <w:trHeight w:val="402" w:hRule="exact"/>
        </w:trPr>
        <w:tc>
          <w:tcPr>
            <w:tcW w:w="435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w w:val="105"/>
                <w:sz w:val="18"/>
                <w:szCs w:val="18"/>
              </w:rPr>
              <w:t>用最新股本计算的全面摊薄每股收益（元</w:t>
            </w:r>
            <w:r>
              <w:rPr>
                <w:rFonts w:ascii="Arial" w:hAnsi="Arial" w:cs="Arial" w:eastAsia="Arial" w:hint="default"/>
                <w:w w:val="105"/>
                <w:sz w:val="18"/>
                <w:szCs w:val="18"/>
              </w:rPr>
              <w:t>/</w:t>
            </w:r>
            <w:r>
              <w:rPr>
                <w:rFonts w:ascii="宋体" w:hAnsi="宋体" w:cs="宋体" w:eastAsia="宋体" w:hint="default"/>
                <w:w w:val="105"/>
                <w:sz w:val="18"/>
                <w:szCs w:val="18"/>
              </w:rPr>
              <w:t>股）</w:t>
            </w:r>
          </w:p>
        </w:tc>
        <w:tc>
          <w:tcPr>
            <w:tcW w:w="5214"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0.1419</w:t>
            </w:r>
            <w:r>
              <w:rPr>
                <w:rFonts w:ascii="Arial"/>
                <w:sz w:val="18"/>
              </w:rPr>
            </w:r>
          </w:p>
        </w:tc>
      </w:tr>
    </w:tbl>
    <w:p>
      <w:pPr>
        <w:spacing w:before="46"/>
        <w:ind w:left="114" w:right="0" w:firstLine="0"/>
        <w:jc w:val="left"/>
        <w:rPr>
          <w:rFonts w:ascii="宋体" w:hAnsi="宋体" w:cs="宋体" w:eastAsia="宋体" w:hint="default"/>
          <w:sz w:val="18"/>
          <w:szCs w:val="18"/>
        </w:rPr>
      </w:pPr>
      <w:r>
        <w:rPr>
          <w:rFonts w:ascii="宋体" w:hAnsi="宋体" w:cs="宋体" w:eastAsia="宋体" w:hint="default"/>
          <w:sz w:val="18"/>
          <w:szCs w:val="18"/>
        </w:rPr>
        <w:t>公司存在公司债</w:t>
      </w:r>
    </w:p>
    <w:p>
      <w:pPr>
        <w:spacing w:before="117"/>
        <w:ind w:left="113"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77" w:footer="979" w:top="1060" w:bottom="1160" w:left="102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19"/>
        <w:ind w:right="0"/>
        <w:jc w:val="left"/>
        <w:rPr>
          <w:b w:val="0"/>
          <w:bCs w:val="0"/>
        </w:rPr>
      </w:pPr>
      <w:bookmarkStart w:name="2.7 境内外会计准则下会计数据差异" w:id="26"/>
      <w:bookmarkEnd w:id="26"/>
      <w:r>
        <w:rPr>
          <w:b w:val="0"/>
          <w:bCs w:val="0"/>
        </w:rPr>
      </w:r>
      <w:bookmarkStart w:name="_bookmark11" w:id="27"/>
      <w:bookmarkEnd w:id="27"/>
      <w:r>
        <w:rPr>
          <w:b w:val="0"/>
          <w:bCs w:val="0"/>
        </w:rPr>
      </w:r>
      <w:r>
        <w:rPr>
          <w:rFonts w:ascii="Trebuchet MS" w:hAnsi="Trebuchet MS" w:cs="Trebuchet MS" w:eastAsia="Trebuchet MS" w:hint="default"/>
        </w:rPr>
        <w:t>2.7</w:t>
      </w:r>
      <w:r>
        <w:rPr>
          <w:rFonts w:ascii="Trebuchet MS" w:hAnsi="Trebuchet MS" w:cs="Trebuchet MS" w:eastAsia="Trebuchet MS" w:hint="default"/>
          <w:spacing w:val="14"/>
        </w:rPr>
        <w:t> </w:t>
      </w:r>
      <w:r>
        <w:rPr/>
        <w:t>境内外会计准则下会计数据差异</w:t>
      </w:r>
      <w:r>
        <w:rPr>
          <w:b w:val="0"/>
          <w:bCs w:val="0"/>
        </w:rPr>
      </w:r>
    </w:p>
    <w:p>
      <w:pPr>
        <w:spacing w:line="240" w:lineRule="auto" w:before="1"/>
        <w:rPr>
          <w:rFonts w:ascii="Microsoft JhengHei" w:hAnsi="Microsoft JhengHei" w:cs="Microsoft JhengHei" w:eastAsia="Microsoft JhengHei" w:hint="default"/>
          <w:b/>
          <w:bCs/>
          <w:sz w:val="27"/>
          <w:szCs w:val="27"/>
        </w:rPr>
      </w:pPr>
    </w:p>
    <w:p>
      <w:pPr>
        <w:pStyle w:val="Heading2"/>
        <w:spacing w:line="357" w:lineRule="auto"/>
        <w:ind w:right="1125"/>
        <w:jc w:val="left"/>
        <w:rPr>
          <w:b w:val="0"/>
          <w:bCs w:val="0"/>
        </w:rPr>
      </w:pPr>
      <w:bookmarkStart w:name="2.7.1 同时按照国际会计准则与按照中国会计准则披露的财务报告中净利润和净资产" w:id="28"/>
      <w:bookmarkEnd w:id="28"/>
      <w:r>
        <w:rPr>
          <w:b w:val="0"/>
          <w:bCs w:val="0"/>
        </w:rPr>
      </w:r>
      <w:r>
        <w:rPr>
          <w:rFonts w:ascii="Trebuchet MS" w:hAnsi="Trebuchet MS" w:cs="Trebuchet MS" w:eastAsia="Trebuchet MS" w:hint="default"/>
        </w:rPr>
        <w:t>2.7.1</w:t>
      </w:r>
      <w:r>
        <w:rPr>
          <w:rFonts w:ascii="Trebuchet MS" w:hAnsi="Trebuchet MS" w:cs="Trebuchet MS" w:eastAsia="Trebuchet MS" w:hint="default"/>
          <w:spacing w:val="3"/>
        </w:rPr>
        <w:t> </w:t>
      </w:r>
      <w:r>
        <w:rPr>
          <w:spacing w:val="2"/>
        </w:rPr>
        <w:t>同时按照国际会计准则与按照中国会计准则披露的财务报告中净利润和净资产差异情</w:t>
      </w:r>
      <w:r>
        <w:rPr/>
        <w:t> 况</w:t>
      </w:r>
      <w:r>
        <w:rPr>
          <w:b w:val="0"/>
          <w:bCs w:val="0"/>
        </w:rPr>
      </w:r>
    </w:p>
    <w:p>
      <w:pPr>
        <w:spacing w:line="240" w:lineRule="auto" w:before="1"/>
        <w:rPr>
          <w:rFonts w:ascii="Microsoft JhengHei" w:hAnsi="Microsoft JhengHei" w:cs="Microsoft JhengHei" w:eastAsia="Microsoft JhengHei" w:hint="default"/>
          <w:b/>
          <w:bCs/>
          <w:sz w:val="17"/>
          <w:szCs w:val="17"/>
        </w:rPr>
      </w:pPr>
    </w:p>
    <w:p>
      <w:pPr>
        <w:pStyle w:val="BodyText"/>
        <w:spacing w:line="240" w:lineRule="auto"/>
        <w:ind w:right="0"/>
        <w:jc w:val="left"/>
      </w:pPr>
      <w:r>
        <w:rPr/>
        <w:t>公司报告期不存在按照国际会计准则与按照中国会计准则披露的财务报告中净利润和净资产差异情况。</w:t>
      </w:r>
    </w:p>
    <w:p>
      <w:pPr>
        <w:spacing w:line="240" w:lineRule="auto" w:before="11"/>
        <w:rPr>
          <w:rFonts w:ascii="宋体" w:hAnsi="宋体" w:cs="宋体" w:eastAsia="宋体" w:hint="default"/>
          <w:sz w:val="29"/>
          <w:szCs w:val="29"/>
        </w:rPr>
      </w:pPr>
    </w:p>
    <w:p>
      <w:pPr>
        <w:pStyle w:val="Heading2"/>
        <w:spacing w:line="357" w:lineRule="auto"/>
        <w:ind w:right="1125"/>
        <w:jc w:val="left"/>
        <w:rPr>
          <w:b w:val="0"/>
          <w:bCs w:val="0"/>
        </w:rPr>
      </w:pPr>
      <w:bookmarkStart w:name="2.7.2 同时按照境外会计准则与按照中国会计准则披露的财务报告中净利润和净资产" w:id="29"/>
      <w:bookmarkEnd w:id="29"/>
      <w:r>
        <w:rPr>
          <w:b w:val="0"/>
          <w:bCs w:val="0"/>
        </w:rPr>
      </w:r>
      <w:r>
        <w:rPr>
          <w:rFonts w:ascii="Trebuchet MS" w:hAnsi="Trebuchet MS" w:cs="Trebuchet MS" w:eastAsia="Trebuchet MS" w:hint="default"/>
        </w:rPr>
        <w:t>2.7.2</w:t>
      </w:r>
      <w:r>
        <w:rPr>
          <w:rFonts w:ascii="Trebuchet MS" w:hAnsi="Trebuchet MS" w:cs="Trebuchet MS" w:eastAsia="Trebuchet MS" w:hint="default"/>
          <w:spacing w:val="3"/>
        </w:rPr>
        <w:t> </w:t>
      </w:r>
      <w:r>
        <w:rPr>
          <w:spacing w:val="2"/>
        </w:rPr>
        <w:t>同时按照境外会计准则与按照中国会计准则披露的财务报告中净利润和净资产差异情</w:t>
      </w:r>
      <w:r>
        <w:rPr/>
        <w:t> 况</w:t>
      </w:r>
      <w:r>
        <w:rPr>
          <w:b w:val="0"/>
          <w:bCs w:val="0"/>
        </w:rPr>
      </w:r>
    </w:p>
    <w:p>
      <w:pPr>
        <w:spacing w:line="240" w:lineRule="auto" w:before="1"/>
        <w:rPr>
          <w:rFonts w:ascii="Microsoft JhengHei" w:hAnsi="Microsoft JhengHei" w:cs="Microsoft JhengHei" w:eastAsia="Microsoft JhengHei" w:hint="default"/>
          <w:b/>
          <w:bCs/>
          <w:sz w:val="17"/>
          <w:szCs w:val="17"/>
        </w:rPr>
      </w:pPr>
    </w:p>
    <w:p>
      <w:pPr>
        <w:pStyle w:val="BodyText"/>
        <w:spacing w:line="240" w:lineRule="auto"/>
        <w:ind w:left="154" w:right="0"/>
        <w:jc w:val="left"/>
      </w:pPr>
      <w:r>
        <w:rPr/>
        <w:t>公司报告期不存在按照境外会计准则与按照中国会计准则披露的财务报告中净利润和净资产差异情况。</w:t>
      </w:r>
    </w:p>
    <w:p>
      <w:pPr>
        <w:pStyle w:val="Heading1"/>
        <w:spacing w:line="240" w:lineRule="auto" w:before="61"/>
        <w:ind w:right="0"/>
        <w:jc w:val="left"/>
        <w:rPr>
          <w:b w:val="0"/>
          <w:bCs w:val="0"/>
        </w:rPr>
      </w:pPr>
      <w:bookmarkStart w:name="2.8 分季度主要财务指标" w:id="30"/>
      <w:bookmarkEnd w:id="30"/>
      <w:r>
        <w:rPr>
          <w:b w:val="0"/>
          <w:bCs w:val="0"/>
        </w:rPr>
      </w:r>
      <w:bookmarkStart w:name="_bookmark12" w:id="31"/>
      <w:bookmarkEnd w:id="31"/>
      <w:r>
        <w:rPr>
          <w:b w:val="0"/>
          <w:bCs w:val="0"/>
        </w:rPr>
      </w:r>
      <w:r>
        <w:rPr>
          <w:rFonts w:ascii="Trebuchet MS" w:hAnsi="Trebuchet MS" w:cs="Trebuchet MS" w:eastAsia="Trebuchet MS" w:hint="default"/>
        </w:rPr>
        <w:t>2.8</w:t>
      </w:r>
      <w:r>
        <w:rPr>
          <w:rFonts w:ascii="Trebuchet MS" w:hAnsi="Trebuchet MS" w:cs="Trebuchet MS" w:eastAsia="Trebuchet MS" w:hint="default"/>
          <w:spacing w:val="14"/>
        </w:rPr>
        <w:t> </w:t>
      </w:r>
      <w:r>
        <w:rPr/>
        <w:t>分季度主要财务指标</w:t>
      </w:r>
      <w:r>
        <w:rPr>
          <w:b w:val="0"/>
          <w:bCs w:val="0"/>
        </w:rPr>
      </w:r>
    </w:p>
    <w:p>
      <w:pPr>
        <w:spacing w:before="18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2594"/>
        <w:gridCol w:w="1768"/>
        <w:gridCol w:w="1711"/>
        <w:gridCol w:w="1767"/>
        <w:gridCol w:w="1702"/>
      </w:tblGrid>
      <w:tr>
        <w:trPr>
          <w:trHeight w:val="402" w:hRule="exact"/>
        </w:trPr>
        <w:tc>
          <w:tcPr>
            <w:tcW w:w="2594" w:type="dxa"/>
            <w:tcBorders>
              <w:top w:val="single" w:sz="4" w:space="0" w:color="5B9BD4"/>
              <w:left w:val="nil" w:sz="6" w:space="0" w:color="auto"/>
              <w:bottom w:val="single" w:sz="4" w:space="0" w:color="5B9BD4"/>
              <w:right w:val="nil" w:sz="6" w:space="0" w:color="auto"/>
            </w:tcBorders>
            <w:shd w:val="clear" w:color="auto" w:fill="DEEAF6"/>
          </w:tcPr>
          <w:p>
            <w:pPr/>
          </w:p>
        </w:tc>
        <w:tc>
          <w:tcPr>
            <w:tcW w:w="17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522"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1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49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52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490"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68"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8"/>
              <w:ind w:right="27"/>
              <w:jc w:val="right"/>
              <w:rPr>
                <w:rFonts w:ascii="Arial" w:hAnsi="Arial" w:cs="Arial" w:eastAsia="Arial" w:hint="default"/>
                <w:sz w:val="18"/>
                <w:szCs w:val="18"/>
              </w:rPr>
            </w:pPr>
            <w:r>
              <w:rPr>
                <w:rFonts w:ascii="Arial"/>
                <w:w w:val="95"/>
                <w:sz w:val="18"/>
              </w:rPr>
              <w:t>12,652,426,503.53</w:t>
            </w:r>
            <w:r>
              <w:rPr>
                <w:rFonts w:ascii="Arial"/>
                <w:sz w:val="18"/>
              </w:rPr>
            </w:r>
          </w:p>
        </w:tc>
        <w:tc>
          <w:tcPr>
            <w:tcW w:w="171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3"/>
              <w:jc w:val="right"/>
              <w:rPr>
                <w:rFonts w:ascii="Arial" w:hAnsi="Arial" w:cs="Arial" w:eastAsia="Arial" w:hint="default"/>
                <w:sz w:val="18"/>
                <w:szCs w:val="18"/>
              </w:rPr>
            </w:pPr>
            <w:r>
              <w:rPr>
                <w:rFonts w:ascii="Arial"/>
                <w:w w:val="95"/>
                <w:sz w:val="18"/>
              </w:rPr>
              <w:t>10,210,250,840.51</w:t>
            </w:r>
            <w:r>
              <w:rPr>
                <w:rFonts w:ascii="Arial"/>
                <w:sz w:val="18"/>
              </w:rPr>
            </w:r>
          </w:p>
        </w:tc>
        <w:tc>
          <w:tcPr>
            <w:tcW w:w="1767"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26"/>
              <w:jc w:val="right"/>
              <w:rPr>
                <w:rFonts w:ascii="Arial" w:hAnsi="Arial" w:cs="Arial" w:eastAsia="Arial" w:hint="default"/>
                <w:sz w:val="18"/>
                <w:szCs w:val="18"/>
              </w:rPr>
            </w:pPr>
            <w:r>
              <w:rPr>
                <w:rFonts w:ascii="Arial"/>
                <w:w w:val="95"/>
                <w:sz w:val="18"/>
              </w:rPr>
              <w:t>10,574,903,292.35</w:t>
            </w:r>
            <w:r>
              <w:rPr>
                <w:rFonts w:ascii="Arial"/>
                <w:sz w:val="18"/>
              </w:rPr>
            </w:r>
          </w:p>
        </w:tc>
        <w:tc>
          <w:tcPr>
            <w:tcW w:w="17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1"/>
              <w:jc w:val="right"/>
              <w:rPr>
                <w:rFonts w:ascii="Arial" w:hAnsi="Arial" w:cs="Arial" w:eastAsia="Arial" w:hint="default"/>
                <w:sz w:val="18"/>
                <w:szCs w:val="18"/>
              </w:rPr>
            </w:pPr>
            <w:r>
              <w:rPr>
                <w:rFonts w:ascii="Arial"/>
                <w:w w:val="95"/>
                <w:sz w:val="18"/>
              </w:rPr>
              <w:t>16,131,447,695.28</w:t>
            </w:r>
            <w:r>
              <w:rPr>
                <w:rFonts w:ascii="Arial"/>
                <w:sz w:val="18"/>
              </w:rPr>
            </w:r>
          </w:p>
        </w:tc>
      </w:tr>
      <w:tr>
        <w:trPr>
          <w:trHeight w:val="402" w:hRule="exact"/>
        </w:trPr>
        <w:tc>
          <w:tcPr>
            <w:tcW w:w="2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68"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8"/>
              <w:ind w:right="27"/>
              <w:jc w:val="right"/>
              <w:rPr>
                <w:rFonts w:ascii="Arial" w:hAnsi="Arial" w:cs="Arial" w:eastAsia="Arial" w:hint="default"/>
                <w:sz w:val="18"/>
                <w:szCs w:val="18"/>
              </w:rPr>
            </w:pPr>
            <w:r>
              <w:rPr>
                <w:rFonts w:ascii="Arial"/>
                <w:w w:val="95"/>
                <w:sz w:val="18"/>
              </w:rPr>
              <w:t>53,635,165.55</w:t>
            </w:r>
            <w:r>
              <w:rPr>
                <w:rFonts w:ascii="Arial"/>
                <w:sz w:val="18"/>
              </w:rPr>
            </w:r>
          </w:p>
        </w:tc>
        <w:tc>
          <w:tcPr>
            <w:tcW w:w="171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2"/>
              <w:jc w:val="right"/>
              <w:rPr>
                <w:rFonts w:ascii="Arial" w:hAnsi="Arial" w:cs="Arial" w:eastAsia="Arial" w:hint="default"/>
                <w:sz w:val="18"/>
                <w:szCs w:val="18"/>
              </w:rPr>
            </w:pPr>
            <w:r>
              <w:rPr>
                <w:rFonts w:ascii="Arial"/>
                <w:w w:val="95"/>
                <w:sz w:val="18"/>
              </w:rPr>
              <w:t>26,780,017.71</w:t>
            </w:r>
            <w:r>
              <w:rPr>
                <w:rFonts w:ascii="Arial"/>
                <w:sz w:val="18"/>
              </w:rPr>
            </w:r>
          </w:p>
        </w:tc>
        <w:tc>
          <w:tcPr>
            <w:tcW w:w="1767"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27,146,972.12</w:t>
            </w:r>
            <w:r>
              <w:rPr>
                <w:rFonts w:ascii="Arial"/>
                <w:sz w:val="18"/>
              </w:rPr>
            </w:r>
          </w:p>
        </w:tc>
        <w:tc>
          <w:tcPr>
            <w:tcW w:w="17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1"/>
              <w:jc w:val="right"/>
              <w:rPr>
                <w:rFonts w:ascii="Arial" w:hAnsi="Arial" w:cs="Arial" w:eastAsia="Arial" w:hint="default"/>
                <w:sz w:val="18"/>
                <w:szCs w:val="18"/>
              </w:rPr>
            </w:pPr>
            <w:r>
              <w:rPr>
                <w:rFonts w:ascii="Arial"/>
                <w:w w:val="95"/>
                <w:sz w:val="18"/>
              </w:rPr>
              <w:t>33,069,143.17</w:t>
            </w:r>
            <w:r>
              <w:rPr>
                <w:rFonts w:ascii="Arial"/>
                <w:sz w:val="18"/>
              </w:rPr>
            </w:r>
          </w:p>
        </w:tc>
      </w:tr>
      <w:tr>
        <w:trPr>
          <w:trHeight w:val="161" w:hRule="exact"/>
        </w:trPr>
        <w:tc>
          <w:tcPr>
            <w:tcW w:w="2594" w:type="dxa"/>
            <w:vMerge w:val="restart"/>
            <w:tcBorders>
              <w:top w:val="single" w:sz="4" w:space="0" w:color="5B9BD4"/>
              <w:left w:val="nil" w:sz="6" w:space="0" w:color="auto"/>
              <w:right w:val="nil" w:sz="6" w:space="0" w:color="auto"/>
            </w:tcBorders>
            <w:shd w:val="clear" w:color="auto" w:fill="DEEAF6"/>
          </w:tcPr>
          <w:p>
            <w:pPr>
              <w:pStyle w:val="TableParagraph"/>
              <w:spacing w:line="319" w:lineRule="auto" w:before="46"/>
              <w:ind w:left="13" w:right="57"/>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68" w:type="dxa"/>
            <w:vMerge w:val="restart"/>
            <w:tcBorders>
              <w:top w:val="single" w:sz="4" w:space="0" w:color="5B9BD4"/>
              <w:left w:val="single" w:sz="11" w:space="0" w:color="DEEAF6"/>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64" w:right="0"/>
              <w:jc w:val="left"/>
              <w:rPr>
                <w:rFonts w:ascii="Arial" w:hAnsi="Arial" w:cs="Arial" w:eastAsia="Arial" w:hint="default"/>
                <w:sz w:val="18"/>
                <w:szCs w:val="18"/>
              </w:rPr>
            </w:pPr>
            <w:r>
              <w:rPr>
                <w:rFonts w:ascii="Arial"/>
                <w:sz w:val="18"/>
              </w:rPr>
              <w:t>48,359,694.26</w:t>
            </w:r>
          </w:p>
        </w:tc>
        <w:tc>
          <w:tcPr>
            <w:tcW w:w="1711" w:type="dxa"/>
            <w:tcBorders>
              <w:top w:val="single" w:sz="4" w:space="0" w:color="5B9BD4"/>
              <w:left w:val="nil" w:sz="6" w:space="0" w:color="auto"/>
              <w:bottom w:val="nil" w:sz="6" w:space="0" w:color="auto"/>
              <w:right w:val="nil" w:sz="6" w:space="0" w:color="auto"/>
            </w:tcBorders>
            <w:shd w:val="clear" w:color="auto" w:fill="DEEAF6"/>
          </w:tcPr>
          <w:p>
            <w:pPr/>
          </w:p>
        </w:tc>
        <w:tc>
          <w:tcPr>
            <w:tcW w:w="1767" w:type="dxa"/>
            <w:vMerge w:val="restart"/>
            <w:tcBorders>
              <w:top w:val="single" w:sz="4" w:space="0" w:color="5B9BD4"/>
              <w:left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678" w:right="0"/>
              <w:jc w:val="left"/>
              <w:rPr>
                <w:rFonts w:ascii="Arial" w:hAnsi="Arial" w:cs="Arial" w:eastAsia="Arial" w:hint="default"/>
                <w:sz w:val="18"/>
                <w:szCs w:val="18"/>
              </w:rPr>
            </w:pPr>
            <w:r>
              <w:rPr>
                <w:rFonts w:ascii="Arial"/>
                <w:sz w:val="18"/>
              </w:rPr>
              <w:t>9,607,590.83</w:t>
            </w:r>
          </w:p>
        </w:tc>
        <w:tc>
          <w:tcPr>
            <w:tcW w:w="1702" w:type="dxa"/>
            <w:tcBorders>
              <w:top w:val="single" w:sz="4" w:space="0" w:color="5B9BD4"/>
              <w:left w:val="nil" w:sz="6" w:space="0" w:color="auto"/>
              <w:bottom w:val="nil" w:sz="6" w:space="0" w:color="auto"/>
              <w:right w:val="nil" w:sz="6" w:space="0" w:color="auto"/>
            </w:tcBorders>
            <w:shd w:val="clear" w:color="auto" w:fill="DEEAF6"/>
          </w:tcPr>
          <w:p>
            <w:pPr/>
          </w:p>
        </w:tc>
      </w:tr>
      <w:tr>
        <w:trPr>
          <w:trHeight w:val="392" w:hRule="exact"/>
        </w:trPr>
        <w:tc>
          <w:tcPr>
            <w:tcW w:w="2594" w:type="dxa"/>
            <w:vMerge/>
            <w:tcBorders>
              <w:left w:val="nil" w:sz="6" w:space="0" w:color="auto"/>
              <w:right w:val="nil" w:sz="6" w:space="0" w:color="auto"/>
            </w:tcBorders>
            <w:shd w:val="clear" w:color="auto" w:fill="DEEAF6"/>
          </w:tcPr>
          <w:p>
            <w:pPr/>
          </w:p>
        </w:tc>
        <w:tc>
          <w:tcPr>
            <w:tcW w:w="1768" w:type="dxa"/>
            <w:vMerge/>
            <w:tcBorders>
              <w:left w:val="single" w:sz="11" w:space="0" w:color="DEEAF6"/>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12"/>
              <w:jc w:val="right"/>
              <w:rPr>
                <w:rFonts w:ascii="Arial" w:hAnsi="Arial" w:cs="Arial" w:eastAsia="Arial" w:hint="default"/>
                <w:sz w:val="18"/>
                <w:szCs w:val="18"/>
              </w:rPr>
            </w:pPr>
            <w:r>
              <w:rPr>
                <w:rFonts w:ascii="Arial"/>
                <w:w w:val="95"/>
                <w:sz w:val="18"/>
              </w:rPr>
              <w:t>31,237,999.65</w:t>
            </w:r>
            <w:r>
              <w:rPr>
                <w:rFonts w:ascii="Arial"/>
                <w:sz w:val="18"/>
              </w:rPr>
            </w:r>
          </w:p>
        </w:tc>
        <w:tc>
          <w:tcPr>
            <w:tcW w:w="1767" w:type="dxa"/>
            <w:vMerge/>
            <w:tcBorders>
              <w:left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10"/>
              <w:jc w:val="right"/>
              <w:rPr>
                <w:rFonts w:ascii="Arial" w:hAnsi="Arial" w:cs="Arial" w:eastAsia="Arial" w:hint="default"/>
                <w:sz w:val="18"/>
                <w:szCs w:val="18"/>
              </w:rPr>
            </w:pPr>
            <w:r>
              <w:rPr>
                <w:rFonts w:ascii="Arial"/>
                <w:w w:val="95"/>
                <w:sz w:val="18"/>
              </w:rPr>
              <w:t>-12,463,317.93</w:t>
            </w:r>
            <w:r>
              <w:rPr>
                <w:rFonts w:ascii="Arial"/>
                <w:sz w:val="18"/>
              </w:rPr>
            </w:r>
          </w:p>
        </w:tc>
      </w:tr>
      <w:tr>
        <w:trPr>
          <w:trHeight w:val="161" w:hRule="exact"/>
        </w:trPr>
        <w:tc>
          <w:tcPr>
            <w:tcW w:w="2594" w:type="dxa"/>
            <w:vMerge/>
            <w:tcBorders>
              <w:left w:val="nil" w:sz="6" w:space="0" w:color="auto"/>
              <w:bottom w:val="single" w:sz="4" w:space="0" w:color="5B9BD4"/>
              <w:right w:val="nil" w:sz="6" w:space="0" w:color="auto"/>
            </w:tcBorders>
            <w:shd w:val="clear" w:color="auto" w:fill="DEEAF6"/>
          </w:tcPr>
          <w:p>
            <w:pPr/>
          </w:p>
        </w:tc>
        <w:tc>
          <w:tcPr>
            <w:tcW w:w="1768" w:type="dxa"/>
            <w:vMerge/>
            <w:tcBorders>
              <w:left w:val="single" w:sz="11" w:space="0" w:color="DEEAF6"/>
              <w:bottom w:val="single" w:sz="4" w:space="0" w:color="5B9BD4"/>
              <w:right w:val="nil" w:sz="6" w:space="0" w:color="auto"/>
            </w:tcBorders>
          </w:tcPr>
          <w:p>
            <w:pPr/>
          </w:p>
        </w:tc>
        <w:tc>
          <w:tcPr>
            <w:tcW w:w="1711" w:type="dxa"/>
            <w:tcBorders>
              <w:top w:val="nil" w:sz="6" w:space="0" w:color="auto"/>
              <w:left w:val="nil" w:sz="6" w:space="0" w:color="auto"/>
              <w:bottom w:val="single" w:sz="4" w:space="0" w:color="5B9BD4"/>
              <w:right w:val="nil" w:sz="6" w:space="0" w:color="auto"/>
            </w:tcBorders>
            <w:shd w:val="clear" w:color="auto" w:fill="DEEAF6"/>
          </w:tcPr>
          <w:p>
            <w:pPr/>
          </w:p>
        </w:tc>
        <w:tc>
          <w:tcPr>
            <w:tcW w:w="1767" w:type="dxa"/>
            <w:vMerge/>
            <w:tcBorders>
              <w:left w:val="nil" w:sz="6" w:space="0" w:color="auto"/>
              <w:bottom w:val="single" w:sz="4" w:space="0" w:color="5B9BD4"/>
              <w:right w:val="nil" w:sz="6" w:space="0" w:color="auto"/>
            </w:tcBorders>
          </w:tcPr>
          <w:p>
            <w:pPr/>
          </w:p>
        </w:tc>
        <w:tc>
          <w:tcPr>
            <w:tcW w:w="1702" w:type="dxa"/>
            <w:tcBorders>
              <w:top w:val="nil" w:sz="6" w:space="0" w:color="auto"/>
              <w:left w:val="nil" w:sz="6" w:space="0" w:color="auto"/>
              <w:bottom w:val="single" w:sz="4" w:space="0" w:color="5B9BD4"/>
              <w:right w:val="nil" w:sz="6" w:space="0" w:color="auto"/>
            </w:tcBorders>
            <w:shd w:val="clear" w:color="auto" w:fill="DEEAF6"/>
          </w:tcPr>
          <w:p>
            <w:pPr/>
          </w:p>
        </w:tc>
      </w:tr>
      <w:tr>
        <w:trPr>
          <w:trHeight w:val="402" w:hRule="exact"/>
        </w:trPr>
        <w:tc>
          <w:tcPr>
            <w:tcW w:w="2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68"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8"/>
              <w:ind w:right="27"/>
              <w:jc w:val="right"/>
              <w:rPr>
                <w:rFonts w:ascii="Arial" w:hAnsi="Arial" w:cs="Arial" w:eastAsia="Arial" w:hint="default"/>
                <w:sz w:val="18"/>
                <w:szCs w:val="18"/>
              </w:rPr>
            </w:pPr>
            <w:r>
              <w:rPr>
                <w:rFonts w:ascii="Arial"/>
                <w:spacing w:val="-1"/>
                <w:sz w:val="18"/>
              </w:rPr>
              <w:t>-922,089,983.50</w:t>
            </w:r>
          </w:p>
        </w:tc>
        <w:tc>
          <w:tcPr>
            <w:tcW w:w="171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3"/>
              <w:jc w:val="right"/>
              <w:rPr>
                <w:rFonts w:ascii="Arial" w:hAnsi="Arial" w:cs="Arial" w:eastAsia="Arial" w:hint="default"/>
                <w:sz w:val="18"/>
                <w:szCs w:val="18"/>
              </w:rPr>
            </w:pPr>
            <w:r>
              <w:rPr>
                <w:rFonts w:ascii="Arial"/>
                <w:spacing w:val="-1"/>
                <w:sz w:val="18"/>
              </w:rPr>
              <w:t>1,156,008,511.18</w:t>
            </w:r>
          </w:p>
        </w:tc>
        <w:tc>
          <w:tcPr>
            <w:tcW w:w="1767"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490,915,244.35</w:t>
            </w:r>
            <w:r>
              <w:rPr>
                <w:rFonts w:ascii="Arial"/>
                <w:sz w:val="18"/>
              </w:rPr>
            </w:r>
          </w:p>
        </w:tc>
        <w:tc>
          <w:tcPr>
            <w:tcW w:w="17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1"/>
              <w:jc w:val="right"/>
              <w:rPr>
                <w:rFonts w:ascii="Arial" w:hAnsi="Arial" w:cs="Arial" w:eastAsia="Arial" w:hint="default"/>
                <w:sz w:val="18"/>
                <w:szCs w:val="18"/>
              </w:rPr>
            </w:pPr>
            <w:r>
              <w:rPr>
                <w:rFonts w:ascii="Arial"/>
                <w:spacing w:val="-1"/>
                <w:sz w:val="18"/>
              </w:rPr>
              <w:t>-432,289,077.42</w:t>
            </w:r>
          </w:p>
        </w:tc>
      </w:tr>
    </w:tbl>
    <w:p>
      <w:pPr>
        <w:spacing w:line="240" w:lineRule="auto" w:before="11"/>
        <w:rPr>
          <w:rFonts w:ascii="宋体" w:hAnsi="宋体" w:cs="宋体" w:eastAsia="宋体" w:hint="default"/>
          <w:sz w:val="6"/>
          <w:szCs w:val="6"/>
        </w:rPr>
      </w:pPr>
    </w:p>
    <w:p>
      <w:pPr>
        <w:pStyle w:val="Heading1"/>
        <w:spacing w:line="409" w:lineRule="exact"/>
        <w:ind w:left="154" w:right="0"/>
        <w:jc w:val="left"/>
        <w:rPr>
          <w:b w:val="0"/>
          <w:bCs w:val="0"/>
        </w:rPr>
      </w:pPr>
      <w:bookmarkStart w:name="2.9 非经常性损益项目及金额" w:id="32"/>
      <w:bookmarkEnd w:id="32"/>
      <w:r>
        <w:rPr>
          <w:b w:val="0"/>
          <w:bCs w:val="0"/>
        </w:rPr>
      </w:r>
      <w:bookmarkStart w:name="_bookmark13" w:id="33"/>
      <w:bookmarkEnd w:id="33"/>
      <w:r>
        <w:rPr>
          <w:b w:val="0"/>
          <w:bCs w:val="0"/>
        </w:rPr>
      </w:r>
      <w:r>
        <w:rPr>
          <w:rFonts w:ascii="Trebuchet MS" w:hAnsi="Trebuchet MS" w:cs="Trebuchet MS" w:eastAsia="Trebuchet MS" w:hint="default"/>
        </w:rPr>
        <w:t>2.9</w:t>
      </w:r>
      <w:r>
        <w:rPr>
          <w:rFonts w:ascii="Trebuchet MS" w:hAnsi="Trebuchet MS" w:cs="Trebuchet MS" w:eastAsia="Trebuchet MS" w:hint="default"/>
          <w:spacing w:val="14"/>
        </w:rPr>
        <w:t> </w:t>
      </w:r>
      <w:r>
        <w:rPr/>
        <w:t>非经常性损益项目及金额</w:t>
      </w:r>
      <w:r>
        <w:rPr>
          <w:b w:val="0"/>
          <w:bCs w:val="0"/>
        </w:rPr>
      </w:r>
    </w:p>
    <w:p>
      <w:pPr>
        <w:spacing w:line="240" w:lineRule="auto" w:before="14"/>
        <w:rPr>
          <w:rFonts w:ascii="Microsoft JhengHei" w:hAnsi="Microsoft JhengHei" w:cs="Microsoft JhengHei" w:eastAsia="Microsoft JhengHei" w:hint="default"/>
          <w:b/>
          <w:bCs/>
          <w:sz w:val="8"/>
          <w:szCs w:val="8"/>
        </w:rPr>
      </w:pP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3269"/>
        <w:gridCol w:w="1535"/>
        <w:gridCol w:w="1520"/>
        <w:gridCol w:w="1523"/>
        <w:gridCol w:w="1696"/>
      </w:tblGrid>
      <w:tr>
        <w:trPr>
          <w:trHeight w:val="402" w:hRule="exact"/>
        </w:trPr>
        <w:tc>
          <w:tcPr>
            <w:tcW w:w="326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81"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年金额</w:t>
            </w:r>
          </w:p>
        </w:tc>
        <w:tc>
          <w:tcPr>
            <w:tcW w:w="152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68"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1"/>
                <w:sz w:val="18"/>
                <w:szCs w:val="18"/>
              </w:rPr>
              <w:t> </w:t>
            </w:r>
            <w:r>
              <w:rPr>
                <w:rFonts w:ascii="宋体" w:hAnsi="宋体" w:cs="宋体" w:eastAsia="宋体" w:hint="default"/>
                <w:sz w:val="18"/>
                <w:szCs w:val="18"/>
              </w:rPr>
              <w:t>年金额</w:t>
            </w:r>
          </w:p>
        </w:tc>
        <w:tc>
          <w:tcPr>
            <w:tcW w:w="152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68"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1"/>
                <w:sz w:val="18"/>
                <w:szCs w:val="18"/>
              </w:rPr>
              <w:t> </w:t>
            </w:r>
            <w:r>
              <w:rPr>
                <w:rFonts w:ascii="宋体" w:hAnsi="宋体" w:cs="宋体" w:eastAsia="宋体" w:hint="default"/>
                <w:sz w:val="18"/>
                <w:szCs w:val="18"/>
              </w:rPr>
              <w:t>年金额</w:t>
            </w:r>
          </w:p>
        </w:tc>
        <w:tc>
          <w:tcPr>
            <w:tcW w:w="169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4"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61" w:hRule="exact"/>
        </w:trPr>
        <w:tc>
          <w:tcPr>
            <w:tcW w:w="3269"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6"/>
              <w:ind w:left="13" w:right="1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5" w:type="dxa"/>
            <w:vMerge w:val="restart"/>
            <w:tcBorders>
              <w:top w:val="single" w:sz="4" w:space="0" w:color="5B9BD4"/>
              <w:left w:val="single" w:sz="12" w:space="0" w:color="DEEAF6"/>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45" w:right="0"/>
              <w:jc w:val="left"/>
              <w:rPr>
                <w:rFonts w:ascii="Arial" w:hAnsi="Arial" w:cs="Arial" w:eastAsia="Arial" w:hint="default"/>
                <w:sz w:val="18"/>
                <w:szCs w:val="18"/>
              </w:rPr>
            </w:pPr>
            <w:r>
              <w:rPr>
                <w:rFonts w:ascii="Arial"/>
                <w:sz w:val="18"/>
              </w:rPr>
              <w:t>6,896,174.62</w:t>
            </w:r>
          </w:p>
        </w:tc>
        <w:tc>
          <w:tcPr>
            <w:tcW w:w="1520" w:type="dxa"/>
            <w:tcBorders>
              <w:top w:val="single" w:sz="4" w:space="0" w:color="5B9BD4"/>
              <w:left w:val="nil" w:sz="6" w:space="0" w:color="auto"/>
              <w:bottom w:val="nil" w:sz="6" w:space="0" w:color="auto"/>
              <w:right w:val="nil" w:sz="6" w:space="0" w:color="auto"/>
            </w:tcBorders>
            <w:shd w:val="clear" w:color="auto" w:fill="DEEAF6"/>
          </w:tcPr>
          <w:p>
            <w:pPr/>
          </w:p>
        </w:tc>
        <w:tc>
          <w:tcPr>
            <w:tcW w:w="1523" w:type="dxa"/>
            <w:vMerge w:val="restart"/>
            <w:tcBorders>
              <w:top w:val="single" w:sz="4" w:space="0" w:color="5B9BD4"/>
              <w:left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87" w:right="0"/>
              <w:jc w:val="left"/>
              <w:rPr>
                <w:rFonts w:ascii="Arial" w:hAnsi="Arial" w:cs="Arial" w:eastAsia="Arial" w:hint="default"/>
                <w:sz w:val="18"/>
                <w:szCs w:val="18"/>
              </w:rPr>
            </w:pPr>
            <w:r>
              <w:rPr>
                <w:rFonts w:ascii="Arial"/>
                <w:sz w:val="18"/>
              </w:rPr>
              <w:t>-1,229,256.72</w:t>
            </w:r>
          </w:p>
        </w:tc>
        <w:tc>
          <w:tcPr>
            <w:tcW w:w="1696" w:type="dxa"/>
            <w:tcBorders>
              <w:top w:val="single" w:sz="4" w:space="0" w:color="5B9BD4"/>
              <w:left w:val="nil" w:sz="6" w:space="0" w:color="auto"/>
              <w:bottom w:val="nil" w:sz="6" w:space="0" w:color="auto"/>
              <w:right w:val="nil" w:sz="6" w:space="0" w:color="auto"/>
            </w:tcBorders>
            <w:shd w:val="clear" w:color="auto" w:fill="DEEAF6"/>
          </w:tcPr>
          <w:p>
            <w:pPr/>
          </w:p>
        </w:tc>
      </w:tr>
      <w:tr>
        <w:trPr>
          <w:trHeight w:val="392" w:hRule="exact"/>
        </w:trPr>
        <w:tc>
          <w:tcPr>
            <w:tcW w:w="3269" w:type="dxa"/>
            <w:vMerge/>
            <w:tcBorders>
              <w:left w:val="nil" w:sz="6" w:space="0" w:color="auto"/>
              <w:right w:val="nil" w:sz="6" w:space="0" w:color="auto"/>
            </w:tcBorders>
            <w:shd w:val="clear" w:color="auto" w:fill="DEEAF6"/>
          </w:tcPr>
          <w:p>
            <w:pPr/>
          </w:p>
        </w:tc>
        <w:tc>
          <w:tcPr>
            <w:tcW w:w="1535" w:type="dxa"/>
            <w:vMerge/>
            <w:tcBorders>
              <w:left w:val="single" w:sz="12" w:space="0" w:color="DEEAF6"/>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w w:val="95"/>
                <w:sz w:val="18"/>
              </w:rPr>
              <w:t>-885,235.64</w:t>
            </w:r>
            <w:r>
              <w:rPr>
                <w:rFonts w:ascii="Arial"/>
                <w:sz w:val="18"/>
              </w:rPr>
            </w:r>
          </w:p>
        </w:tc>
        <w:tc>
          <w:tcPr>
            <w:tcW w:w="1523" w:type="dxa"/>
            <w:vMerge/>
            <w:tcBorders>
              <w:left w:val="nil" w:sz="6" w:space="0" w:color="auto"/>
              <w:right w:val="nil" w:sz="6" w:space="0" w:color="auto"/>
            </w:tcBorders>
          </w:tcPr>
          <w:p>
            <w:pPr/>
          </w:p>
        </w:tc>
        <w:tc>
          <w:tcPr>
            <w:tcW w:w="1696" w:type="dxa"/>
            <w:tcBorders>
              <w:top w:val="nil" w:sz="6" w:space="0" w:color="auto"/>
              <w:left w:val="nil" w:sz="6" w:space="0" w:color="auto"/>
              <w:bottom w:val="nil" w:sz="6" w:space="0" w:color="auto"/>
              <w:right w:val="nil" w:sz="6" w:space="0" w:color="auto"/>
            </w:tcBorders>
            <w:shd w:val="clear" w:color="auto" w:fill="DEEAF6"/>
          </w:tcPr>
          <w:p>
            <w:pPr/>
          </w:p>
        </w:tc>
      </w:tr>
      <w:tr>
        <w:trPr>
          <w:trHeight w:val="161" w:hRule="exact"/>
        </w:trPr>
        <w:tc>
          <w:tcPr>
            <w:tcW w:w="3269" w:type="dxa"/>
            <w:vMerge/>
            <w:tcBorders>
              <w:left w:val="nil" w:sz="6" w:space="0" w:color="auto"/>
              <w:bottom w:val="single" w:sz="4" w:space="0" w:color="5B9BD4"/>
              <w:right w:val="nil" w:sz="6" w:space="0" w:color="auto"/>
            </w:tcBorders>
            <w:shd w:val="clear" w:color="auto" w:fill="DEEAF6"/>
          </w:tcPr>
          <w:p>
            <w:pPr/>
          </w:p>
        </w:tc>
        <w:tc>
          <w:tcPr>
            <w:tcW w:w="1535" w:type="dxa"/>
            <w:vMerge/>
            <w:tcBorders>
              <w:left w:val="single" w:sz="12" w:space="0" w:color="DEEAF6"/>
              <w:bottom w:val="single" w:sz="4" w:space="0" w:color="5B9BD4"/>
              <w:right w:val="nil" w:sz="6" w:space="0" w:color="auto"/>
            </w:tcBorders>
          </w:tcPr>
          <w:p>
            <w:pPr/>
          </w:p>
        </w:tc>
        <w:tc>
          <w:tcPr>
            <w:tcW w:w="1520" w:type="dxa"/>
            <w:tcBorders>
              <w:top w:val="nil" w:sz="6" w:space="0" w:color="auto"/>
              <w:left w:val="nil" w:sz="6" w:space="0" w:color="auto"/>
              <w:bottom w:val="single" w:sz="4" w:space="0" w:color="5B9BD4"/>
              <w:right w:val="nil" w:sz="6" w:space="0" w:color="auto"/>
            </w:tcBorders>
            <w:shd w:val="clear" w:color="auto" w:fill="DEEAF6"/>
          </w:tcPr>
          <w:p>
            <w:pPr/>
          </w:p>
        </w:tc>
        <w:tc>
          <w:tcPr>
            <w:tcW w:w="1523" w:type="dxa"/>
            <w:vMerge/>
            <w:tcBorders>
              <w:left w:val="nil" w:sz="6" w:space="0" w:color="auto"/>
              <w:bottom w:val="single" w:sz="4" w:space="0" w:color="5B9BD4"/>
              <w:right w:val="nil" w:sz="6" w:space="0" w:color="auto"/>
            </w:tcBorders>
          </w:tcPr>
          <w:p>
            <w:pPr/>
          </w:p>
        </w:tc>
        <w:tc>
          <w:tcPr>
            <w:tcW w:w="1696" w:type="dxa"/>
            <w:tcBorders>
              <w:top w:val="nil" w:sz="6" w:space="0" w:color="auto"/>
              <w:left w:val="nil" w:sz="6" w:space="0" w:color="auto"/>
              <w:bottom w:val="single" w:sz="4" w:space="0" w:color="5B9BD4"/>
              <w:right w:val="nil" w:sz="6" w:space="0" w:color="auto"/>
            </w:tcBorders>
            <w:shd w:val="clear" w:color="auto" w:fill="DEEAF6"/>
          </w:tcPr>
          <w:p>
            <w:pPr/>
          </w:p>
        </w:tc>
      </w:tr>
      <w:tr>
        <w:trPr>
          <w:trHeight w:val="317" w:hRule="exact"/>
        </w:trPr>
        <w:tc>
          <w:tcPr>
            <w:tcW w:w="3269"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6"/>
              <w:ind w:left="13" w:right="1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5" w:type="dxa"/>
            <w:vMerge w:val="restart"/>
            <w:tcBorders>
              <w:top w:val="single" w:sz="4" w:space="0" w:color="5B9BD4"/>
              <w:left w:val="single" w:sz="12" w:space="0" w:color="DEEAF6"/>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45" w:right="0"/>
              <w:jc w:val="left"/>
              <w:rPr>
                <w:rFonts w:ascii="Arial" w:hAnsi="Arial" w:cs="Arial" w:eastAsia="Arial" w:hint="default"/>
                <w:sz w:val="18"/>
                <w:szCs w:val="18"/>
              </w:rPr>
            </w:pPr>
            <w:r>
              <w:rPr>
                <w:rFonts w:ascii="Arial"/>
                <w:sz w:val="18"/>
              </w:rPr>
              <w:t>8,894,717.77</w:t>
            </w:r>
          </w:p>
        </w:tc>
        <w:tc>
          <w:tcPr>
            <w:tcW w:w="1520" w:type="dxa"/>
            <w:tcBorders>
              <w:top w:val="single" w:sz="4" w:space="0" w:color="5B9BD4"/>
              <w:left w:val="nil" w:sz="6" w:space="0" w:color="auto"/>
              <w:bottom w:val="nil" w:sz="6" w:space="0" w:color="auto"/>
              <w:right w:val="nil" w:sz="6" w:space="0" w:color="auto"/>
            </w:tcBorders>
            <w:shd w:val="clear" w:color="auto" w:fill="DEEAF6"/>
          </w:tcPr>
          <w:p>
            <w:pPr/>
          </w:p>
        </w:tc>
        <w:tc>
          <w:tcPr>
            <w:tcW w:w="1523"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46" w:right="0"/>
              <w:jc w:val="left"/>
              <w:rPr>
                <w:rFonts w:ascii="Arial" w:hAnsi="Arial" w:cs="Arial" w:eastAsia="Arial" w:hint="default"/>
                <w:sz w:val="18"/>
                <w:szCs w:val="18"/>
              </w:rPr>
            </w:pPr>
            <w:r>
              <w:rPr>
                <w:rFonts w:ascii="Arial"/>
                <w:sz w:val="18"/>
              </w:rPr>
              <w:t>35,156,000.00</w:t>
            </w:r>
          </w:p>
        </w:tc>
        <w:tc>
          <w:tcPr>
            <w:tcW w:w="1696" w:type="dxa"/>
            <w:tcBorders>
              <w:top w:val="single" w:sz="4" w:space="0" w:color="5B9BD4"/>
              <w:left w:val="nil" w:sz="6" w:space="0" w:color="auto"/>
              <w:bottom w:val="nil" w:sz="6" w:space="0" w:color="auto"/>
              <w:right w:val="nil" w:sz="6" w:space="0" w:color="auto"/>
            </w:tcBorders>
            <w:shd w:val="clear" w:color="auto" w:fill="DEEAF6"/>
          </w:tcPr>
          <w:p>
            <w:pPr/>
          </w:p>
        </w:tc>
      </w:tr>
      <w:tr>
        <w:trPr>
          <w:trHeight w:val="392" w:hRule="exact"/>
        </w:trPr>
        <w:tc>
          <w:tcPr>
            <w:tcW w:w="3269" w:type="dxa"/>
            <w:vMerge/>
            <w:tcBorders>
              <w:left w:val="nil" w:sz="6" w:space="0" w:color="auto"/>
              <w:right w:val="nil" w:sz="6" w:space="0" w:color="auto"/>
            </w:tcBorders>
            <w:shd w:val="clear" w:color="auto" w:fill="DEEAF6"/>
          </w:tcPr>
          <w:p>
            <w:pPr/>
          </w:p>
        </w:tc>
        <w:tc>
          <w:tcPr>
            <w:tcW w:w="1535" w:type="dxa"/>
            <w:vMerge/>
            <w:tcBorders>
              <w:left w:val="single" w:sz="12" w:space="0" w:color="DEEAF6"/>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w w:val="95"/>
                <w:sz w:val="18"/>
              </w:rPr>
              <w:t>59,226,936.72</w:t>
            </w:r>
            <w:r>
              <w:rPr>
                <w:rFonts w:ascii="Arial"/>
                <w:sz w:val="18"/>
              </w:rPr>
            </w:r>
          </w:p>
        </w:tc>
        <w:tc>
          <w:tcPr>
            <w:tcW w:w="1523" w:type="dxa"/>
            <w:vMerge/>
            <w:tcBorders>
              <w:left w:val="nil" w:sz="6" w:space="0" w:color="auto"/>
              <w:right w:val="nil" w:sz="6" w:space="0" w:color="auto"/>
            </w:tcBorders>
          </w:tcPr>
          <w:p>
            <w:pPr/>
          </w:p>
        </w:tc>
        <w:tc>
          <w:tcPr>
            <w:tcW w:w="1696" w:type="dxa"/>
            <w:tcBorders>
              <w:top w:val="nil" w:sz="6" w:space="0" w:color="auto"/>
              <w:left w:val="nil" w:sz="6" w:space="0" w:color="auto"/>
              <w:bottom w:val="nil" w:sz="6" w:space="0" w:color="auto"/>
              <w:right w:val="nil" w:sz="6" w:space="0" w:color="auto"/>
            </w:tcBorders>
            <w:shd w:val="clear" w:color="auto" w:fill="DEEAF6"/>
          </w:tcPr>
          <w:p>
            <w:pPr/>
          </w:p>
        </w:tc>
      </w:tr>
      <w:tr>
        <w:trPr>
          <w:trHeight w:val="317" w:hRule="exact"/>
        </w:trPr>
        <w:tc>
          <w:tcPr>
            <w:tcW w:w="3269" w:type="dxa"/>
            <w:vMerge/>
            <w:tcBorders>
              <w:left w:val="nil" w:sz="6" w:space="0" w:color="auto"/>
              <w:bottom w:val="single" w:sz="4" w:space="0" w:color="5B9BD4"/>
              <w:right w:val="nil" w:sz="6" w:space="0" w:color="auto"/>
            </w:tcBorders>
            <w:shd w:val="clear" w:color="auto" w:fill="DEEAF6"/>
          </w:tcPr>
          <w:p>
            <w:pPr/>
          </w:p>
        </w:tc>
        <w:tc>
          <w:tcPr>
            <w:tcW w:w="1535" w:type="dxa"/>
            <w:vMerge/>
            <w:tcBorders>
              <w:left w:val="single" w:sz="12" w:space="0" w:color="DEEAF6"/>
              <w:bottom w:val="single" w:sz="4" w:space="0" w:color="5B9BD4"/>
              <w:right w:val="nil" w:sz="6" w:space="0" w:color="auto"/>
            </w:tcBorders>
          </w:tcPr>
          <w:p>
            <w:pPr/>
          </w:p>
        </w:tc>
        <w:tc>
          <w:tcPr>
            <w:tcW w:w="1520" w:type="dxa"/>
            <w:tcBorders>
              <w:top w:val="nil" w:sz="6" w:space="0" w:color="auto"/>
              <w:left w:val="nil" w:sz="6" w:space="0" w:color="auto"/>
              <w:bottom w:val="single" w:sz="4" w:space="0" w:color="5B9BD4"/>
              <w:right w:val="nil" w:sz="6" w:space="0" w:color="auto"/>
            </w:tcBorders>
            <w:shd w:val="clear" w:color="auto" w:fill="DEEAF6"/>
          </w:tcPr>
          <w:p>
            <w:pPr/>
          </w:p>
        </w:tc>
        <w:tc>
          <w:tcPr>
            <w:tcW w:w="1523" w:type="dxa"/>
            <w:vMerge/>
            <w:tcBorders>
              <w:left w:val="nil" w:sz="6" w:space="0" w:color="auto"/>
              <w:bottom w:val="single" w:sz="4" w:space="0" w:color="5B9BD4"/>
              <w:right w:val="nil" w:sz="6" w:space="0" w:color="auto"/>
            </w:tcBorders>
          </w:tcPr>
          <w:p>
            <w:pPr/>
          </w:p>
        </w:tc>
        <w:tc>
          <w:tcPr>
            <w:tcW w:w="1696" w:type="dxa"/>
            <w:tcBorders>
              <w:top w:val="nil" w:sz="6" w:space="0" w:color="auto"/>
              <w:left w:val="nil" w:sz="6" w:space="0" w:color="auto"/>
              <w:bottom w:val="single" w:sz="4" w:space="0" w:color="5B9BD4"/>
              <w:right w:val="nil" w:sz="6" w:space="0" w:color="auto"/>
            </w:tcBorders>
            <w:shd w:val="clear" w:color="auto" w:fill="DEEAF6"/>
          </w:tcPr>
          <w:p>
            <w:pPr/>
          </w:p>
        </w:tc>
      </w:tr>
      <w:tr>
        <w:trPr>
          <w:trHeight w:val="402" w:hRule="exact"/>
        </w:trPr>
        <w:tc>
          <w:tcPr>
            <w:tcW w:w="326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535" w:type="dxa"/>
            <w:tcBorders>
              <w:top w:val="single" w:sz="4" w:space="0" w:color="5B9BD4"/>
              <w:left w:val="single" w:sz="12" w:space="0" w:color="DEEAF6"/>
              <w:bottom w:val="single" w:sz="4" w:space="0" w:color="5B9BD4"/>
              <w:right w:val="single" w:sz="12" w:space="0" w:color="DEEAF6"/>
            </w:tcBorders>
          </w:tcPr>
          <w:p>
            <w:pPr/>
          </w:p>
        </w:tc>
        <w:tc>
          <w:tcPr>
            <w:tcW w:w="152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w w:val="95"/>
                <w:sz w:val="18"/>
              </w:rPr>
              <w:t>29,455,796.00</w:t>
            </w:r>
            <w:r>
              <w:rPr>
                <w:rFonts w:ascii="Arial"/>
                <w:sz w:val="18"/>
              </w:rPr>
            </w:r>
          </w:p>
        </w:tc>
        <w:tc>
          <w:tcPr>
            <w:tcW w:w="1523" w:type="dxa"/>
            <w:tcBorders>
              <w:top w:val="single" w:sz="4" w:space="0" w:color="5B9BD4"/>
              <w:left w:val="single" w:sz="11" w:space="0" w:color="DEEAF6"/>
              <w:bottom w:val="single" w:sz="4" w:space="0" w:color="5B9BD4"/>
              <w:right w:val="single" w:sz="12" w:space="0" w:color="DEEAF6"/>
            </w:tcBorders>
          </w:tcPr>
          <w:p>
            <w:pPr/>
          </w:p>
        </w:tc>
        <w:tc>
          <w:tcPr>
            <w:tcW w:w="1696"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402" w:hRule="exact"/>
        </w:trPr>
        <w:tc>
          <w:tcPr>
            <w:tcW w:w="326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5" w:type="dxa"/>
            <w:tcBorders>
              <w:top w:val="single" w:sz="4" w:space="0" w:color="5B9BD4"/>
              <w:left w:val="single" w:sz="12" w:space="0" w:color="DEEAF6"/>
              <w:bottom w:val="single" w:sz="4" w:space="0" w:color="5B9BD4"/>
              <w:right w:val="single" w:sz="12" w:space="0" w:color="DEEAF6"/>
            </w:tcBorders>
          </w:tcPr>
          <w:p>
            <w:pPr>
              <w:pStyle w:val="TableParagraph"/>
              <w:spacing w:line="240" w:lineRule="auto" w:before="88"/>
              <w:ind w:right="10"/>
              <w:jc w:val="right"/>
              <w:rPr>
                <w:rFonts w:ascii="Arial" w:hAnsi="Arial" w:cs="Arial" w:eastAsia="Arial" w:hint="default"/>
                <w:sz w:val="18"/>
                <w:szCs w:val="18"/>
              </w:rPr>
            </w:pPr>
            <w:r>
              <w:rPr>
                <w:rFonts w:ascii="Arial"/>
                <w:w w:val="95"/>
                <w:sz w:val="18"/>
              </w:rPr>
              <w:t>4,962,601.67</w:t>
            </w:r>
            <w:r>
              <w:rPr>
                <w:rFonts w:ascii="Arial"/>
                <w:sz w:val="18"/>
              </w:rPr>
            </w:r>
          </w:p>
        </w:tc>
        <w:tc>
          <w:tcPr>
            <w:tcW w:w="152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4"/>
              <w:jc w:val="right"/>
              <w:rPr>
                <w:rFonts w:ascii="Arial" w:hAnsi="Arial" w:cs="Arial" w:eastAsia="Arial" w:hint="default"/>
                <w:sz w:val="18"/>
                <w:szCs w:val="18"/>
              </w:rPr>
            </w:pPr>
            <w:r>
              <w:rPr>
                <w:rFonts w:ascii="Arial"/>
                <w:w w:val="95"/>
                <w:sz w:val="18"/>
              </w:rPr>
              <w:t>3,534,169.43</w:t>
            </w:r>
            <w:r>
              <w:rPr>
                <w:rFonts w:ascii="Arial"/>
                <w:sz w:val="18"/>
              </w:rPr>
            </w:r>
          </w:p>
        </w:tc>
        <w:tc>
          <w:tcPr>
            <w:tcW w:w="1523"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11"/>
              <w:jc w:val="right"/>
              <w:rPr>
                <w:rFonts w:ascii="Arial" w:hAnsi="Arial" w:cs="Arial" w:eastAsia="Arial" w:hint="default"/>
                <w:sz w:val="18"/>
                <w:szCs w:val="18"/>
              </w:rPr>
            </w:pPr>
            <w:r>
              <w:rPr>
                <w:rFonts w:ascii="Arial"/>
                <w:w w:val="95"/>
                <w:sz w:val="18"/>
              </w:rPr>
              <w:t>1,118,191.79</w:t>
            </w:r>
            <w:r>
              <w:rPr>
                <w:rFonts w:ascii="Arial"/>
                <w:sz w:val="18"/>
              </w:rPr>
            </w:r>
          </w:p>
        </w:tc>
        <w:tc>
          <w:tcPr>
            <w:tcW w:w="1696"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161" w:hRule="exact"/>
        </w:trPr>
        <w:tc>
          <w:tcPr>
            <w:tcW w:w="3269"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6"/>
              <w:ind w:left="13" w:right="12"/>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35" w:type="dxa"/>
            <w:vMerge w:val="restart"/>
            <w:tcBorders>
              <w:top w:val="single" w:sz="4" w:space="0" w:color="5B9BD4"/>
              <w:left w:val="single" w:sz="12" w:space="0" w:color="DEEAF6"/>
              <w:right w:val="nil" w:sz="6" w:space="0" w:color="auto"/>
            </w:tcBorders>
          </w:tcPr>
          <w:p>
            <w:pPr/>
          </w:p>
        </w:tc>
        <w:tc>
          <w:tcPr>
            <w:tcW w:w="1520" w:type="dxa"/>
            <w:tcBorders>
              <w:top w:val="single" w:sz="4" w:space="0" w:color="5B9BD4"/>
              <w:left w:val="nil" w:sz="6" w:space="0" w:color="auto"/>
              <w:bottom w:val="nil" w:sz="6" w:space="0" w:color="auto"/>
              <w:right w:val="nil" w:sz="6" w:space="0" w:color="auto"/>
            </w:tcBorders>
            <w:shd w:val="clear" w:color="auto" w:fill="DEEAF6"/>
          </w:tcPr>
          <w:p>
            <w:pPr/>
          </w:p>
        </w:tc>
        <w:tc>
          <w:tcPr>
            <w:tcW w:w="1523" w:type="dxa"/>
            <w:vMerge w:val="restart"/>
            <w:tcBorders>
              <w:top w:val="single" w:sz="4" w:space="0" w:color="5B9BD4"/>
              <w:left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46" w:right="0"/>
              <w:jc w:val="left"/>
              <w:rPr>
                <w:rFonts w:ascii="Arial" w:hAnsi="Arial" w:cs="Arial" w:eastAsia="Arial" w:hint="default"/>
                <w:sz w:val="18"/>
                <w:szCs w:val="18"/>
              </w:rPr>
            </w:pPr>
            <w:r>
              <w:rPr>
                <w:rFonts w:ascii="Arial"/>
                <w:sz w:val="18"/>
              </w:rPr>
              <w:t>35,253,135.13</w:t>
            </w:r>
          </w:p>
        </w:tc>
        <w:tc>
          <w:tcPr>
            <w:tcW w:w="1696" w:type="dxa"/>
            <w:tcBorders>
              <w:top w:val="single" w:sz="4" w:space="0" w:color="5B9BD4"/>
              <w:left w:val="nil" w:sz="6" w:space="0" w:color="auto"/>
              <w:bottom w:val="nil" w:sz="6" w:space="0" w:color="auto"/>
              <w:right w:val="nil" w:sz="6" w:space="0" w:color="auto"/>
            </w:tcBorders>
            <w:shd w:val="clear" w:color="auto" w:fill="DEEAF6"/>
          </w:tcPr>
          <w:p>
            <w:pPr/>
          </w:p>
        </w:tc>
      </w:tr>
      <w:tr>
        <w:trPr>
          <w:trHeight w:val="392" w:hRule="exact"/>
        </w:trPr>
        <w:tc>
          <w:tcPr>
            <w:tcW w:w="3269" w:type="dxa"/>
            <w:vMerge/>
            <w:tcBorders>
              <w:left w:val="nil" w:sz="6" w:space="0" w:color="auto"/>
              <w:right w:val="nil" w:sz="6" w:space="0" w:color="auto"/>
            </w:tcBorders>
            <w:shd w:val="clear" w:color="auto" w:fill="DEEAF6"/>
          </w:tcPr>
          <w:p>
            <w:pPr/>
          </w:p>
        </w:tc>
        <w:tc>
          <w:tcPr>
            <w:tcW w:w="1535" w:type="dxa"/>
            <w:vMerge/>
            <w:tcBorders>
              <w:left w:val="single" w:sz="12" w:space="0" w:color="DEEAF6"/>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24"/>
              <w:jc w:val="right"/>
              <w:rPr>
                <w:rFonts w:ascii="Arial" w:hAnsi="Arial" w:cs="Arial" w:eastAsia="Arial" w:hint="default"/>
                <w:sz w:val="18"/>
                <w:szCs w:val="18"/>
              </w:rPr>
            </w:pPr>
            <w:r>
              <w:rPr>
                <w:rFonts w:ascii="Arial"/>
                <w:w w:val="95"/>
                <w:sz w:val="18"/>
              </w:rPr>
              <w:t>1,324,574.39</w:t>
            </w:r>
            <w:r>
              <w:rPr>
                <w:rFonts w:ascii="Arial"/>
                <w:sz w:val="18"/>
              </w:rPr>
            </w:r>
          </w:p>
        </w:tc>
        <w:tc>
          <w:tcPr>
            <w:tcW w:w="1523" w:type="dxa"/>
            <w:vMerge/>
            <w:tcBorders>
              <w:left w:val="nil" w:sz="6" w:space="0" w:color="auto"/>
              <w:right w:val="nil" w:sz="6" w:space="0" w:color="auto"/>
            </w:tcBorders>
          </w:tcPr>
          <w:p>
            <w:pPr/>
          </w:p>
        </w:tc>
        <w:tc>
          <w:tcPr>
            <w:tcW w:w="1696" w:type="dxa"/>
            <w:tcBorders>
              <w:top w:val="nil" w:sz="6" w:space="0" w:color="auto"/>
              <w:left w:val="nil" w:sz="6" w:space="0" w:color="auto"/>
              <w:bottom w:val="nil" w:sz="6" w:space="0" w:color="auto"/>
              <w:right w:val="nil" w:sz="6" w:space="0" w:color="auto"/>
            </w:tcBorders>
            <w:shd w:val="clear" w:color="auto" w:fill="DEEAF6"/>
          </w:tcPr>
          <w:p>
            <w:pPr/>
          </w:p>
        </w:tc>
      </w:tr>
      <w:tr>
        <w:trPr>
          <w:trHeight w:val="161" w:hRule="exact"/>
        </w:trPr>
        <w:tc>
          <w:tcPr>
            <w:tcW w:w="3269" w:type="dxa"/>
            <w:vMerge/>
            <w:tcBorders>
              <w:left w:val="nil" w:sz="6" w:space="0" w:color="auto"/>
              <w:bottom w:val="single" w:sz="4" w:space="0" w:color="5B9BD4"/>
              <w:right w:val="nil" w:sz="6" w:space="0" w:color="auto"/>
            </w:tcBorders>
            <w:shd w:val="clear" w:color="auto" w:fill="DEEAF6"/>
          </w:tcPr>
          <w:p>
            <w:pPr/>
          </w:p>
        </w:tc>
        <w:tc>
          <w:tcPr>
            <w:tcW w:w="1535" w:type="dxa"/>
            <w:vMerge/>
            <w:tcBorders>
              <w:left w:val="single" w:sz="12" w:space="0" w:color="DEEAF6"/>
              <w:bottom w:val="single" w:sz="4" w:space="0" w:color="5B9BD4"/>
              <w:right w:val="nil" w:sz="6" w:space="0" w:color="auto"/>
            </w:tcBorders>
          </w:tcPr>
          <w:p>
            <w:pPr/>
          </w:p>
        </w:tc>
        <w:tc>
          <w:tcPr>
            <w:tcW w:w="1520" w:type="dxa"/>
            <w:tcBorders>
              <w:top w:val="nil" w:sz="6" w:space="0" w:color="auto"/>
              <w:left w:val="nil" w:sz="6" w:space="0" w:color="auto"/>
              <w:bottom w:val="single" w:sz="4" w:space="0" w:color="5B9BD4"/>
              <w:right w:val="nil" w:sz="6" w:space="0" w:color="auto"/>
            </w:tcBorders>
            <w:shd w:val="clear" w:color="auto" w:fill="DEEAF6"/>
          </w:tcPr>
          <w:p>
            <w:pPr/>
          </w:p>
        </w:tc>
        <w:tc>
          <w:tcPr>
            <w:tcW w:w="1523" w:type="dxa"/>
            <w:vMerge/>
            <w:tcBorders>
              <w:left w:val="nil" w:sz="6" w:space="0" w:color="auto"/>
              <w:bottom w:val="single" w:sz="4" w:space="0" w:color="5B9BD4"/>
              <w:right w:val="nil" w:sz="6" w:space="0" w:color="auto"/>
            </w:tcBorders>
          </w:tcPr>
          <w:p>
            <w:pPr/>
          </w:p>
        </w:tc>
        <w:tc>
          <w:tcPr>
            <w:tcW w:w="1696" w:type="dxa"/>
            <w:tcBorders>
              <w:top w:val="nil" w:sz="6" w:space="0" w:color="auto"/>
              <w:left w:val="nil" w:sz="6" w:space="0" w:color="auto"/>
              <w:bottom w:val="single" w:sz="4" w:space="0" w:color="5B9BD4"/>
              <w:right w:val="nil" w:sz="6" w:space="0" w:color="auto"/>
            </w:tcBorders>
            <w:shd w:val="clear" w:color="auto" w:fill="DEEAF6"/>
          </w:tcPr>
          <w:p>
            <w:pPr/>
          </w:p>
        </w:tc>
      </w:tr>
      <w:tr>
        <w:trPr>
          <w:trHeight w:val="402" w:hRule="exact"/>
        </w:trPr>
        <w:tc>
          <w:tcPr>
            <w:tcW w:w="326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7"/>
              <w:ind w:left="13"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w:t>
            </w:r>
          </w:p>
        </w:tc>
        <w:tc>
          <w:tcPr>
            <w:tcW w:w="1535" w:type="dxa"/>
            <w:tcBorders>
              <w:top w:val="single" w:sz="4" w:space="0" w:color="5B9BD4"/>
              <w:left w:val="single" w:sz="12" w:space="0" w:color="DEEAF6"/>
              <w:bottom w:val="single" w:sz="4" w:space="0" w:color="5B9BD4"/>
              <w:right w:val="single" w:sz="12" w:space="0" w:color="DEEAF6"/>
            </w:tcBorders>
          </w:tcPr>
          <w:p>
            <w:pPr>
              <w:pStyle w:val="TableParagraph"/>
              <w:spacing w:line="240" w:lineRule="auto" w:before="88"/>
              <w:ind w:right="12"/>
              <w:jc w:val="right"/>
              <w:rPr>
                <w:rFonts w:ascii="Arial" w:hAnsi="Arial" w:cs="Arial" w:eastAsia="Arial" w:hint="default"/>
                <w:sz w:val="18"/>
                <w:szCs w:val="18"/>
              </w:rPr>
            </w:pPr>
            <w:r>
              <w:rPr>
                <w:rFonts w:ascii="Arial"/>
                <w:w w:val="95"/>
                <w:sz w:val="18"/>
              </w:rPr>
              <w:t>31,067,901.18</w:t>
            </w:r>
            <w:r>
              <w:rPr>
                <w:rFonts w:ascii="Arial"/>
                <w:sz w:val="18"/>
              </w:rPr>
            </w:r>
          </w:p>
        </w:tc>
        <w:tc>
          <w:tcPr>
            <w:tcW w:w="152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4"/>
              <w:jc w:val="right"/>
              <w:rPr>
                <w:rFonts w:ascii="Arial" w:hAnsi="Arial" w:cs="Arial" w:eastAsia="Arial" w:hint="default"/>
                <w:sz w:val="18"/>
                <w:szCs w:val="18"/>
              </w:rPr>
            </w:pPr>
            <w:r>
              <w:rPr>
                <w:rFonts w:ascii="Arial"/>
                <w:w w:val="95"/>
                <w:sz w:val="18"/>
              </w:rPr>
              <w:t>2,876,136.44</w:t>
            </w:r>
            <w:r>
              <w:rPr>
                <w:rFonts w:ascii="Arial"/>
                <w:sz w:val="18"/>
              </w:rPr>
            </w:r>
          </w:p>
        </w:tc>
        <w:tc>
          <w:tcPr>
            <w:tcW w:w="1523"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12"/>
              <w:jc w:val="right"/>
              <w:rPr>
                <w:rFonts w:ascii="Arial" w:hAnsi="Arial" w:cs="Arial" w:eastAsia="Arial" w:hint="default"/>
                <w:sz w:val="18"/>
                <w:szCs w:val="18"/>
              </w:rPr>
            </w:pPr>
            <w:r>
              <w:rPr>
                <w:rFonts w:ascii="Arial"/>
                <w:w w:val="95"/>
                <w:sz w:val="18"/>
              </w:rPr>
              <w:t>142,166.44</w:t>
            </w:r>
            <w:r>
              <w:rPr>
                <w:rFonts w:ascii="Arial"/>
                <w:sz w:val="18"/>
              </w:rPr>
            </w:r>
          </w:p>
        </w:tc>
        <w:tc>
          <w:tcPr>
            <w:tcW w:w="1696" w:type="dxa"/>
            <w:tcBorders>
              <w:top w:val="single" w:sz="4" w:space="0" w:color="5B9BD4"/>
              <w:left w:val="nil" w:sz="6" w:space="0" w:color="auto"/>
              <w:bottom w:val="single" w:sz="4" w:space="0" w:color="5B9BD4"/>
              <w:right w:val="nil" w:sz="6" w:space="0" w:color="auto"/>
            </w:tcBorders>
            <w:shd w:val="clear" w:color="auto" w:fill="DEEAF6"/>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1298" w:hRule="exact"/>
        </w:trPr>
        <w:tc>
          <w:tcPr>
            <w:tcW w:w="329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5"/>
              <w:ind w:left="27" w:right="27"/>
              <w:jc w:val="both"/>
              <w:rPr>
                <w:rFonts w:ascii="宋体" w:hAnsi="宋体" w:cs="宋体" w:eastAsia="宋体" w:hint="default"/>
                <w:sz w:val="18"/>
                <w:szCs w:val="18"/>
              </w:rPr>
            </w:pPr>
            <w:r>
              <w:rPr>
                <w:rFonts w:ascii="宋体" w:hAnsi="宋体" w:cs="宋体" w:eastAsia="宋体" w:hint="default"/>
                <w:sz w:val="18"/>
                <w:szCs w:val="18"/>
              </w:rPr>
              <w:t>值业务外，持有交易性金融资产、交易性 金融负债产生的公允价值变动损益，以及 处置交易性金融资产、交易性金融负债和 可供出售金融资产取得的投资收益</w:t>
            </w:r>
          </w:p>
        </w:tc>
        <w:tc>
          <w:tcPr>
            <w:tcW w:w="1520" w:type="dxa"/>
            <w:tcBorders>
              <w:top w:val="single" w:sz="4" w:space="0" w:color="5B9BD4"/>
              <w:left w:val="nil" w:sz="6" w:space="0" w:color="auto"/>
              <w:bottom w:val="single" w:sz="4" w:space="0" w:color="5B9BD4"/>
              <w:right w:val="nil" w:sz="6" w:space="0" w:color="auto"/>
            </w:tcBorders>
          </w:tcPr>
          <w:p>
            <w:pPr/>
          </w:p>
        </w:tc>
        <w:tc>
          <w:tcPr>
            <w:tcW w:w="1520" w:type="dxa"/>
            <w:tcBorders>
              <w:top w:val="single" w:sz="4" w:space="0" w:color="5B9BD4"/>
              <w:left w:val="nil" w:sz="6" w:space="0" w:color="auto"/>
              <w:bottom w:val="single" w:sz="4" w:space="0" w:color="5B9BD4"/>
              <w:right w:val="nil" w:sz="6" w:space="0" w:color="auto"/>
            </w:tcBorders>
            <w:shd w:val="clear" w:color="auto" w:fill="DEEAF6"/>
          </w:tcPr>
          <w:p>
            <w:pPr/>
          </w:p>
        </w:tc>
        <w:tc>
          <w:tcPr>
            <w:tcW w:w="1522" w:type="dxa"/>
            <w:tcBorders>
              <w:top w:val="single" w:sz="4" w:space="0" w:color="5B9BD4"/>
              <w:left w:val="nil" w:sz="6" w:space="0" w:color="auto"/>
              <w:bottom w:val="single" w:sz="4" w:space="0" w:color="5B9BD4"/>
              <w:right w:val="nil" w:sz="6" w:space="0" w:color="auto"/>
            </w:tcBorders>
          </w:tcPr>
          <w:p>
            <w:pPr/>
          </w:p>
        </w:tc>
        <w:tc>
          <w:tcPr>
            <w:tcW w:w="1710"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402" w:hRule="exact"/>
        </w:trPr>
        <w:tc>
          <w:tcPr>
            <w:tcW w:w="329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27"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23,605,879.14</w:t>
            </w:r>
            <w:r>
              <w:rPr>
                <w:rFonts w:ascii="Arial"/>
                <w:sz w:val="18"/>
              </w:rPr>
            </w:r>
          </w:p>
        </w:tc>
        <w:tc>
          <w:tcPr>
            <w:tcW w:w="152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4"/>
              <w:jc w:val="right"/>
              <w:rPr>
                <w:rFonts w:ascii="Arial" w:hAnsi="Arial" w:cs="Arial" w:eastAsia="Arial" w:hint="default"/>
                <w:sz w:val="18"/>
                <w:szCs w:val="18"/>
              </w:rPr>
            </w:pPr>
            <w:r>
              <w:rPr>
                <w:rFonts w:ascii="Arial"/>
                <w:w w:val="95"/>
                <w:sz w:val="18"/>
              </w:rPr>
              <w:t>-2,429,118.03</w:t>
            </w:r>
            <w:r>
              <w:rPr>
                <w:rFonts w:ascii="Arial"/>
                <w:sz w:val="18"/>
              </w:rPr>
            </w:r>
          </w:p>
        </w:tc>
        <w:tc>
          <w:tcPr>
            <w:tcW w:w="1522"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26"/>
              <w:jc w:val="right"/>
              <w:rPr>
                <w:rFonts w:ascii="Arial" w:hAnsi="Arial" w:cs="Arial" w:eastAsia="Arial" w:hint="default"/>
                <w:sz w:val="18"/>
                <w:szCs w:val="18"/>
              </w:rPr>
            </w:pPr>
            <w:r>
              <w:rPr>
                <w:rFonts w:ascii="Arial"/>
                <w:w w:val="95"/>
                <w:sz w:val="18"/>
              </w:rPr>
              <w:t>260,512.46</w:t>
            </w:r>
            <w:r>
              <w:rPr>
                <w:rFonts w:ascii="Arial"/>
                <w:sz w:val="18"/>
              </w:rPr>
            </w:r>
          </w:p>
        </w:tc>
        <w:tc>
          <w:tcPr>
            <w:tcW w:w="1710"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402" w:hRule="exact"/>
        </w:trPr>
        <w:tc>
          <w:tcPr>
            <w:tcW w:w="329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5B9BD4"/>
              <w:left w:val="nil" w:sz="6" w:space="0" w:color="auto"/>
              <w:bottom w:val="single" w:sz="4" w:space="0" w:color="5B9BD4"/>
              <w:right w:val="nil" w:sz="6" w:space="0" w:color="auto"/>
            </w:tcBorders>
          </w:tcPr>
          <w:p>
            <w:pPr/>
          </w:p>
        </w:tc>
        <w:tc>
          <w:tcPr>
            <w:tcW w:w="1520" w:type="dxa"/>
            <w:tcBorders>
              <w:top w:val="single" w:sz="4" w:space="0" w:color="5B9BD4"/>
              <w:left w:val="nil" w:sz="6" w:space="0" w:color="auto"/>
              <w:bottom w:val="single" w:sz="4" w:space="0" w:color="5B9BD4"/>
              <w:right w:val="nil" w:sz="6" w:space="0" w:color="auto"/>
            </w:tcBorders>
            <w:shd w:val="clear" w:color="auto" w:fill="DEEAF6"/>
          </w:tcPr>
          <w:p>
            <w:pPr/>
          </w:p>
        </w:tc>
        <w:tc>
          <w:tcPr>
            <w:tcW w:w="1522" w:type="dxa"/>
            <w:tcBorders>
              <w:top w:val="single" w:sz="4" w:space="0" w:color="5B9BD4"/>
              <w:left w:val="nil" w:sz="6" w:space="0" w:color="auto"/>
              <w:bottom w:val="single" w:sz="4" w:space="0" w:color="5B9BD4"/>
              <w:right w:val="nil" w:sz="6" w:space="0" w:color="auto"/>
            </w:tcBorders>
          </w:tcPr>
          <w:p>
            <w:pPr/>
          </w:p>
        </w:tc>
        <w:tc>
          <w:tcPr>
            <w:tcW w:w="1710"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402" w:hRule="exact"/>
        </w:trPr>
        <w:tc>
          <w:tcPr>
            <w:tcW w:w="329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11,284,995.43</w:t>
            </w:r>
            <w:r>
              <w:rPr>
                <w:rFonts w:ascii="Arial"/>
                <w:sz w:val="18"/>
              </w:rPr>
            </w:r>
          </w:p>
        </w:tc>
        <w:tc>
          <w:tcPr>
            <w:tcW w:w="152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4"/>
              <w:jc w:val="right"/>
              <w:rPr>
                <w:rFonts w:ascii="Arial" w:hAnsi="Arial" w:cs="Arial" w:eastAsia="Arial" w:hint="default"/>
                <w:sz w:val="18"/>
                <w:szCs w:val="18"/>
              </w:rPr>
            </w:pPr>
            <w:r>
              <w:rPr>
                <w:rFonts w:ascii="Arial"/>
                <w:w w:val="95"/>
                <w:sz w:val="18"/>
              </w:rPr>
              <w:t>9,887,400.13</w:t>
            </w:r>
            <w:r>
              <w:rPr>
                <w:rFonts w:ascii="Arial"/>
                <w:sz w:val="18"/>
              </w:rPr>
            </w:r>
          </w:p>
        </w:tc>
        <w:tc>
          <w:tcPr>
            <w:tcW w:w="1522"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24"/>
              <w:jc w:val="right"/>
              <w:rPr>
                <w:rFonts w:ascii="Arial" w:hAnsi="Arial" w:cs="Arial" w:eastAsia="Arial" w:hint="default"/>
                <w:sz w:val="18"/>
                <w:szCs w:val="18"/>
              </w:rPr>
            </w:pPr>
            <w:r>
              <w:rPr>
                <w:rFonts w:ascii="Arial"/>
                <w:w w:val="95"/>
                <w:sz w:val="18"/>
              </w:rPr>
              <w:t>5,668,642.76</w:t>
            </w:r>
            <w:r>
              <w:rPr>
                <w:rFonts w:ascii="Arial"/>
                <w:sz w:val="18"/>
              </w:rPr>
            </w:r>
          </w:p>
        </w:tc>
        <w:tc>
          <w:tcPr>
            <w:tcW w:w="1710"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402" w:hRule="exact"/>
        </w:trPr>
        <w:tc>
          <w:tcPr>
            <w:tcW w:w="329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387"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252,947.21</w:t>
            </w:r>
            <w:r>
              <w:rPr>
                <w:rFonts w:ascii="Arial"/>
                <w:sz w:val="18"/>
              </w:rPr>
            </w:r>
          </w:p>
        </w:tc>
        <w:tc>
          <w:tcPr>
            <w:tcW w:w="152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4"/>
              <w:jc w:val="right"/>
              <w:rPr>
                <w:rFonts w:ascii="Arial" w:hAnsi="Arial" w:cs="Arial" w:eastAsia="Arial" w:hint="default"/>
                <w:sz w:val="18"/>
                <w:szCs w:val="18"/>
              </w:rPr>
            </w:pPr>
            <w:r>
              <w:rPr>
                <w:rFonts w:ascii="Arial"/>
                <w:w w:val="95"/>
                <w:sz w:val="18"/>
              </w:rPr>
              <w:t>9,900,168.41</w:t>
            </w:r>
            <w:r>
              <w:rPr>
                <w:rFonts w:ascii="Arial"/>
                <w:sz w:val="18"/>
              </w:rPr>
            </w:r>
          </w:p>
        </w:tc>
        <w:tc>
          <w:tcPr>
            <w:tcW w:w="1522"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24"/>
              <w:jc w:val="right"/>
              <w:rPr>
                <w:rFonts w:ascii="Arial" w:hAnsi="Arial" w:cs="Arial" w:eastAsia="Arial" w:hint="default"/>
                <w:sz w:val="18"/>
                <w:szCs w:val="18"/>
              </w:rPr>
            </w:pPr>
            <w:r>
              <w:rPr>
                <w:rFonts w:ascii="Arial"/>
                <w:w w:val="95"/>
                <w:sz w:val="18"/>
              </w:rPr>
              <w:t>7,955,263.65</w:t>
            </w:r>
            <w:r>
              <w:rPr>
                <w:rFonts w:ascii="Arial"/>
                <w:sz w:val="18"/>
              </w:rPr>
            </w:r>
          </w:p>
        </w:tc>
        <w:tc>
          <w:tcPr>
            <w:tcW w:w="1710"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402" w:hRule="exact"/>
        </w:trPr>
        <w:tc>
          <w:tcPr>
            <w:tcW w:w="329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63,889,331.74</w:t>
            </w:r>
            <w:r>
              <w:rPr>
                <w:rFonts w:ascii="Arial"/>
                <w:sz w:val="18"/>
              </w:rPr>
            </w:r>
          </w:p>
        </w:tc>
        <w:tc>
          <w:tcPr>
            <w:tcW w:w="152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w w:val="95"/>
                <w:sz w:val="18"/>
              </w:rPr>
              <w:t>73,315,690.77</w:t>
            </w:r>
            <w:r>
              <w:rPr>
                <w:rFonts w:ascii="Arial"/>
                <w:sz w:val="18"/>
              </w:rPr>
            </w:r>
          </w:p>
        </w:tc>
        <w:tc>
          <w:tcPr>
            <w:tcW w:w="1522"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57,076,842.69</w:t>
            </w:r>
            <w:r>
              <w:rPr>
                <w:rFonts w:ascii="Arial"/>
                <w:sz w:val="18"/>
              </w:rPr>
            </w:r>
          </w:p>
        </w:tc>
        <w:tc>
          <w:tcPr>
            <w:tcW w:w="171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left="1" w:right="0"/>
              <w:jc w:val="center"/>
              <w:rPr>
                <w:rFonts w:ascii="Arial" w:hAnsi="Arial" w:cs="Arial" w:eastAsia="Arial" w:hint="default"/>
                <w:sz w:val="18"/>
                <w:szCs w:val="18"/>
              </w:rPr>
            </w:pPr>
            <w:r>
              <w:rPr>
                <w:rFonts w:ascii="Arial"/>
                <w:sz w:val="18"/>
              </w:rPr>
              <w:t>--</w:t>
            </w:r>
          </w:p>
        </w:tc>
      </w:tr>
    </w:tbl>
    <w:p>
      <w:pPr>
        <w:spacing w:after="0" w:line="240" w:lineRule="auto"/>
        <w:jc w:val="center"/>
        <w:rPr>
          <w:rFonts w:ascii="Arial" w:hAnsi="Arial" w:cs="Arial" w:eastAsia="Arial"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2"/>
        <w:ind w:left="3546" w:right="0"/>
        <w:jc w:val="left"/>
        <w:rPr>
          <w:b w:val="0"/>
          <w:bCs w:val="0"/>
        </w:rPr>
      </w:pPr>
      <w:bookmarkStart w:name="第三节 公司业务概要" w:id="34"/>
      <w:bookmarkEnd w:id="34"/>
      <w:r>
        <w:rPr>
          <w:b w:val="0"/>
          <w:bCs w:val="0"/>
        </w:rPr>
      </w:r>
      <w:bookmarkStart w:name="_bookmark14" w:id="35"/>
      <w:bookmarkEnd w:id="35"/>
      <w:r>
        <w:rPr>
          <w:b w:val="0"/>
          <w:bCs w:val="0"/>
        </w:rPr>
      </w:r>
      <w:r>
        <w:rPr>
          <w:color w:val="2D74B5"/>
        </w:rPr>
        <w:t>第三节  公司业务概要</w:t>
      </w:r>
      <w:r>
        <w:rPr>
          <w:b w:val="0"/>
          <w:bCs w:val="0"/>
        </w:rPr>
      </w:r>
    </w:p>
    <w:p>
      <w:pPr>
        <w:spacing w:line="240" w:lineRule="auto" w:before="8"/>
        <w:rPr>
          <w:rFonts w:ascii="Microsoft JhengHei" w:hAnsi="Microsoft JhengHei" w:cs="Microsoft JhengHei" w:eastAsia="Microsoft JhengHei" w:hint="default"/>
          <w:b/>
          <w:bCs/>
          <w:sz w:val="28"/>
          <w:szCs w:val="28"/>
        </w:rPr>
      </w:pPr>
    </w:p>
    <w:p>
      <w:pPr>
        <w:pStyle w:val="Heading1"/>
        <w:spacing w:line="240" w:lineRule="auto"/>
        <w:ind w:right="0"/>
        <w:jc w:val="left"/>
        <w:rPr>
          <w:b w:val="0"/>
          <w:bCs w:val="0"/>
        </w:rPr>
      </w:pPr>
      <w:bookmarkStart w:name="3.1 报告期内公司从事的主要业务" w:id="36"/>
      <w:bookmarkEnd w:id="36"/>
      <w:r>
        <w:rPr>
          <w:b w:val="0"/>
          <w:bCs w:val="0"/>
        </w:rPr>
      </w:r>
      <w:bookmarkStart w:name="_bookmark15" w:id="37"/>
      <w:bookmarkEnd w:id="37"/>
      <w:r>
        <w:rPr>
          <w:b w:val="0"/>
          <w:bCs w:val="0"/>
        </w:rPr>
      </w:r>
      <w:r>
        <w:rPr>
          <w:rFonts w:ascii="Trebuchet MS" w:hAnsi="Trebuchet MS" w:cs="Trebuchet MS" w:eastAsia="Trebuchet MS" w:hint="default"/>
        </w:rPr>
        <w:t>3.1</w:t>
      </w:r>
      <w:r>
        <w:rPr>
          <w:rFonts w:ascii="Trebuchet MS" w:hAnsi="Trebuchet MS" w:cs="Trebuchet MS" w:eastAsia="Trebuchet MS" w:hint="default"/>
          <w:spacing w:val="14"/>
        </w:rPr>
        <w:t> </w:t>
      </w:r>
      <w:r>
        <w:rPr/>
        <w:t>报告期内公司从事的主要业务</w:t>
      </w:r>
      <w:r>
        <w:rPr>
          <w:b w:val="0"/>
          <w:bCs w:val="0"/>
        </w:rPr>
      </w:r>
    </w:p>
    <w:p>
      <w:pPr>
        <w:pStyle w:val="BodyText"/>
        <w:spacing w:line="398" w:lineRule="auto" w:before="235"/>
        <w:ind w:right="0" w:firstLine="420"/>
        <w:jc w:val="left"/>
      </w:pPr>
      <w:r>
        <w:rPr>
          <w:rFonts w:ascii="Arial" w:hAnsi="Arial" w:cs="Arial" w:eastAsia="Arial" w:hint="default"/>
        </w:rPr>
        <w:t>2015</w:t>
      </w:r>
      <w:r>
        <w:rPr>
          <w:rFonts w:ascii="Arial" w:hAnsi="Arial" w:cs="Arial" w:eastAsia="Arial" w:hint="default"/>
          <w:spacing w:val="3"/>
        </w:rPr>
        <w:t> </w:t>
      </w:r>
      <w:r>
        <w:rPr/>
        <w:t>年公司顺应市场变化，快速反应，以“构建能力、提升效率”为核心，在保持手机分销主营业 务行业领先的基础上，稳步推进创新业务的发展。公司发展战略逐步落地，各项业务发展势头良好；在业 务发展方面，手机分销业务实现了规模和利润双增长，</w:t>
      </w:r>
      <w:r>
        <w:rPr>
          <w:rFonts w:ascii="Arial" w:hAnsi="Arial" w:cs="Arial" w:eastAsia="Arial" w:hint="default"/>
        </w:rPr>
        <w:t>1</w:t>
      </w:r>
      <w:r>
        <w:rPr>
          <w:rFonts w:ascii="Arial" w:hAnsi="Arial" w:cs="Arial" w:eastAsia="Arial" w:hint="default"/>
          <w:spacing w:val="-15"/>
        </w:rPr>
        <w:t> </w:t>
      </w:r>
      <w:r>
        <w:rPr/>
        <w:t>号机</w:t>
      </w:r>
      <w:r>
        <w:rPr>
          <w:spacing w:val="-62"/>
        </w:rPr>
        <w:t> </w:t>
      </w:r>
      <w:r>
        <w:rPr>
          <w:rFonts w:ascii="Arial" w:hAnsi="Arial" w:cs="Arial" w:eastAsia="Arial" w:hint="default"/>
        </w:rPr>
        <w:t>B2b</w:t>
      </w:r>
      <w:r>
        <w:rPr>
          <w:rFonts w:ascii="Arial" w:hAnsi="Arial" w:cs="Arial" w:eastAsia="Arial" w:hint="default"/>
          <w:spacing w:val="-16"/>
        </w:rPr>
        <w:t> </w:t>
      </w:r>
      <w:r>
        <w:rPr/>
        <w:t>平台成功上线运营，移动转售业务稳健 </w:t>
      </w:r>
      <w:r>
        <w:rPr>
          <w:spacing w:val="-5"/>
        </w:rPr>
        <w:t>发展，并开展了供应链金融服务；在战略布局方面，公司受让中国信贷股权、与中国信贷成立合资公司“网</w:t>
      </w:r>
      <w:r>
        <w:rPr/>
        <w:t> </w:t>
      </w:r>
      <w:r>
        <w:rPr>
          <w:spacing w:val="-4"/>
        </w:rPr>
        <w:t>爱金融”、控股“海南小贷”、参与设立人寿保险和国鑫公募基金等，公司金融服务能力初步形成，同时，</w:t>
      </w:r>
      <w:r>
        <w:rPr>
          <w:spacing w:val="-60"/>
        </w:rPr>
        <w:t> </w:t>
      </w:r>
      <w:r>
        <w:rPr>
          <w:spacing w:val="-60"/>
        </w:rPr>
      </w:r>
      <w:r>
        <w:rPr/>
        <w:t>公司投资暴风魔镜和</w:t>
      </w:r>
      <w:r>
        <w:rPr>
          <w:spacing w:val="-49"/>
        </w:rPr>
        <w:t> </w:t>
      </w:r>
      <w:r>
        <w:rPr>
          <w:rFonts w:ascii="Arial" w:hAnsi="Arial" w:cs="Arial" w:eastAsia="Arial" w:hint="default"/>
        </w:rPr>
        <w:t>VR</w:t>
      </w:r>
      <w:r>
        <w:rPr>
          <w:rFonts w:ascii="Arial" w:hAnsi="Arial" w:cs="Arial" w:eastAsia="Arial" w:hint="default"/>
          <w:spacing w:val="-3"/>
        </w:rPr>
        <w:t> </w:t>
      </w:r>
      <w:r>
        <w:rPr/>
        <w:t>产业基金，为公司长期可持续发展构建新动力；在文化建设方面，公司积极践行 互联网</w:t>
      </w:r>
      <w:r>
        <w:rPr>
          <w:rFonts w:ascii="Arial" w:hAnsi="Arial" w:cs="Arial" w:eastAsia="Arial" w:hint="default"/>
        </w:rPr>
        <w:t>+</w:t>
      </w:r>
      <w:r>
        <w:rPr/>
        <w:t>思想，通过丰富多样的形式开展企业文化建设，使得公司员工的整体素质得到有效提升。</w:t>
      </w:r>
    </w:p>
    <w:p>
      <w:pPr>
        <w:pStyle w:val="BodyText"/>
        <w:spacing w:line="388" w:lineRule="auto" w:before="63"/>
        <w:ind w:right="1012" w:firstLine="420"/>
        <w:jc w:val="left"/>
      </w:pPr>
      <w:r>
        <w:rPr/>
        <w:t>报告期内公司经营规模稳步增长，利润大幅提升。公司实现营业总收入</w:t>
      </w:r>
      <w:r>
        <w:rPr>
          <w:spacing w:val="-67"/>
        </w:rPr>
        <w:t> </w:t>
      </w:r>
      <w:r>
        <w:rPr>
          <w:rFonts w:ascii="Arial" w:hAnsi="Arial" w:cs="Arial" w:eastAsia="Arial" w:hint="default"/>
        </w:rPr>
        <w:t>4,956,902.83</w:t>
      </w:r>
      <w:r>
        <w:rPr>
          <w:rFonts w:ascii="Arial" w:hAnsi="Arial" w:cs="Arial" w:eastAsia="Arial" w:hint="default"/>
          <w:spacing w:val="-21"/>
        </w:rPr>
        <w:t> </w:t>
      </w:r>
      <w:r>
        <w:rPr>
          <w:spacing w:val="-5"/>
        </w:rPr>
        <w:t>万元，较上年同</w:t>
      </w:r>
      <w:r>
        <w:rPr/>
        <w:t> 期增长</w:t>
      </w:r>
      <w:r>
        <w:rPr>
          <w:spacing w:val="-55"/>
        </w:rPr>
        <w:t> </w:t>
      </w:r>
      <w:r>
        <w:rPr>
          <w:rFonts w:ascii="Arial" w:hAnsi="Arial" w:cs="Arial" w:eastAsia="Arial" w:hint="default"/>
          <w:spacing w:val="-10"/>
        </w:rPr>
        <w:t>2.58%</w:t>
      </w:r>
      <w:r>
        <w:rPr>
          <w:spacing w:val="-10"/>
        </w:rPr>
        <w:t>，公司强化运营管理，提升运营效率，有效降低成本，</w:t>
      </w:r>
      <w:r>
        <w:rPr>
          <w:rFonts w:ascii="Arial" w:hAnsi="Arial" w:cs="Arial" w:eastAsia="Arial" w:hint="default"/>
          <w:spacing w:val="-10"/>
        </w:rPr>
        <w:t>2015</w:t>
      </w:r>
      <w:r>
        <w:rPr>
          <w:rFonts w:ascii="Arial" w:hAnsi="Arial" w:cs="Arial" w:eastAsia="Arial" w:hint="default"/>
          <w:spacing w:val="-9"/>
        </w:rPr>
        <w:t> </w:t>
      </w:r>
      <w:r>
        <w:rPr/>
        <w:t>年实现营业利润</w:t>
      </w:r>
      <w:r>
        <w:rPr>
          <w:spacing w:val="-55"/>
        </w:rPr>
        <w:t> </w:t>
      </w:r>
      <w:r>
        <w:rPr>
          <w:rFonts w:ascii="Arial" w:hAnsi="Arial" w:cs="Arial" w:eastAsia="Arial" w:hint="default"/>
        </w:rPr>
        <w:t>13,312.61</w:t>
      </w:r>
      <w:r>
        <w:rPr>
          <w:rFonts w:ascii="Arial" w:hAnsi="Arial" w:cs="Arial" w:eastAsia="Arial" w:hint="default"/>
          <w:spacing w:val="-9"/>
        </w:rPr>
        <w:t> </w:t>
      </w:r>
      <w:r>
        <w:rPr/>
        <w:t>万元， 利润总额</w:t>
      </w:r>
      <w:r>
        <w:rPr>
          <w:spacing w:val="-40"/>
        </w:rPr>
        <w:t> </w:t>
      </w:r>
      <w:r>
        <w:rPr>
          <w:rFonts w:ascii="Arial" w:hAnsi="Arial" w:cs="Arial" w:eastAsia="Arial" w:hint="default"/>
        </w:rPr>
        <w:t>16,552.28</w:t>
      </w:r>
      <w:r>
        <w:rPr>
          <w:rFonts w:ascii="Arial" w:hAnsi="Arial" w:cs="Arial" w:eastAsia="Arial" w:hint="default"/>
          <w:spacing w:val="6"/>
        </w:rPr>
        <w:t> </w:t>
      </w:r>
      <w:r>
        <w:rPr/>
        <w:t>万元，归属上市公司股东的净利润</w:t>
      </w:r>
      <w:r>
        <w:rPr>
          <w:spacing w:val="-40"/>
        </w:rPr>
        <w:t> </w:t>
      </w:r>
      <w:r>
        <w:rPr>
          <w:rFonts w:ascii="Arial" w:hAnsi="Arial" w:cs="Arial" w:eastAsia="Arial" w:hint="default"/>
        </w:rPr>
        <w:t>14,063.13</w:t>
      </w:r>
      <w:r>
        <w:rPr>
          <w:rFonts w:ascii="Arial" w:hAnsi="Arial" w:cs="Arial" w:eastAsia="Arial" w:hint="default"/>
          <w:spacing w:val="6"/>
        </w:rPr>
        <w:t> </w:t>
      </w:r>
      <w:r>
        <w:rPr/>
        <w:t>万元，较上年同期分别上升</w:t>
      </w:r>
      <w:r>
        <w:rPr>
          <w:spacing w:val="-40"/>
        </w:rPr>
        <w:t> </w:t>
      </w:r>
      <w:r>
        <w:rPr>
          <w:rFonts w:ascii="Arial" w:hAnsi="Arial" w:cs="Arial" w:eastAsia="Arial" w:hint="default"/>
        </w:rPr>
        <w:t>344.91%</w:t>
      </w:r>
      <w:r>
        <w:rPr/>
        <w:t>、 </w:t>
      </w:r>
      <w:r>
        <w:rPr>
          <w:rFonts w:ascii="Arial" w:hAnsi="Arial" w:cs="Arial" w:eastAsia="Arial" w:hint="default"/>
        </w:rPr>
        <w:t>430.31%</w:t>
      </w:r>
      <w:r>
        <w:rPr/>
        <w:t>、</w:t>
      </w:r>
      <w:r>
        <w:rPr>
          <w:rFonts w:ascii="Arial" w:hAnsi="Arial" w:cs="Arial" w:eastAsia="Arial" w:hint="default"/>
        </w:rPr>
        <w:t>382.54%</w:t>
      </w:r>
      <w:r>
        <w:rPr/>
        <w:t>。</w:t>
      </w:r>
    </w:p>
    <w:p>
      <w:pPr>
        <w:pStyle w:val="Heading5"/>
        <w:spacing w:line="240" w:lineRule="auto" w:before="5"/>
        <w:ind w:left="574" w:right="0"/>
        <w:jc w:val="left"/>
        <w:rPr>
          <w:rFonts w:ascii="Microsoft JhengHei" w:hAnsi="Microsoft JhengHei" w:cs="Microsoft JhengHei" w:eastAsia="Microsoft JhengHei" w:hint="default"/>
          <w:b w:val="0"/>
          <w:bCs w:val="0"/>
        </w:rPr>
      </w:pPr>
      <w:r>
        <w:rPr>
          <w:rFonts w:ascii="Trebuchet MS" w:hAnsi="Trebuchet MS" w:cs="Trebuchet MS" w:eastAsia="Trebuchet MS" w:hint="default"/>
        </w:rPr>
        <w:t>1</w:t>
      </w:r>
      <w:r>
        <w:rPr>
          <w:rFonts w:ascii="Microsoft JhengHei" w:hAnsi="Microsoft JhengHei" w:cs="Microsoft JhengHei" w:eastAsia="Microsoft JhengHei" w:hint="default"/>
        </w:rPr>
        <w:t>、手机分销业务</w:t>
      </w:r>
      <w:r>
        <w:rPr>
          <w:rFonts w:ascii="Microsoft JhengHei" w:hAnsi="Microsoft JhengHei" w:cs="Microsoft JhengHei" w:eastAsia="Microsoft JhengHei" w:hint="default"/>
          <w:b w:val="0"/>
          <w:bCs w:val="0"/>
        </w:rPr>
      </w:r>
    </w:p>
    <w:p>
      <w:pPr>
        <w:spacing w:line="240" w:lineRule="auto" w:before="11"/>
        <w:rPr>
          <w:rFonts w:ascii="Microsoft JhengHei" w:hAnsi="Microsoft JhengHei" w:cs="Microsoft JhengHei" w:eastAsia="Microsoft JhengHei" w:hint="default"/>
          <w:b/>
          <w:bCs/>
          <w:sz w:val="18"/>
          <w:szCs w:val="18"/>
        </w:rPr>
      </w:pPr>
    </w:p>
    <w:p>
      <w:pPr>
        <w:pStyle w:val="BodyText"/>
        <w:spacing w:line="240" w:lineRule="auto"/>
        <w:ind w:left="574" w:right="0"/>
        <w:jc w:val="left"/>
      </w:pPr>
      <w:r>
        <w:rPr>
          <w:rFonts w:ascii="Arial" w:hAnsi="Arial" w:cs="Arial" w:eastAsia="Arial" w:hint="default"/>
        </w:rPr>
        <w:t>2015</w:t>
      </w:r>
      <w:r>
        <w:rPr/>
        <w:t>年手机分销业务在规模发展和经营效率上保持了行业领先。</w:t>
      </w:r>
    </w:p>
    <w:p>
      <w:pPr>
        <w:spacing w:line="240" w:lineRule="auto" w:before="7"/>
        <w:rPr>
          <w:rFonts w:ascii="宋体" w:hAnsi="宋体" w:cs="宋体" w:eastAsia="宋体" w:hint="default"/>
          <w:sz w:val="25"/>
          <w:szCs w:val="25"/>
        </w:rPr>
      </w:pPr>
    </w:p>
    <w:p>
      <w:pPr>
        <w:pStyle w:val="BodyText"/>
        <w:spacing w:line="516" w:lineRule="auto"/>
        <w:ind w:left="573" w:right="0"/>
        <w:jc w:val="left"/>
      </w:pPr>
      <w:r>
        <w:rPr/>
        <w:t>（</w:t>
      </w:r>
      <w:r>
        <w:rPr>
          <w:rFonts w:ascii="Arial" w:hAnsi="Arial" w:cs="Arial" w:eastAsia="Arial" w:hint="default"/>
        </w:rPr>
        <w:t>1</w:t>
      </w:r>
      <w:r>
        <w:rPr/>
        <w:t>）巩固核心品牌合作，开拓新品牌服务 </w:t>
      </w:r>
      <w:r>
        <w:rPr>
          <w:spacing w:val="-1"/>
        </w:rPr>
        <w:t>通过提升自身的销售和服务能力，不断获取优势资源，强化核心品牌合作，并积极拓展互联网化新品</w:t>
      </w:r>
    </w:p>
    <w:p>
      <w:pPr>
        <w:pStyle w:val="BodyText"/>
        <w:spacing w:line="226" w:lineRule="exact"/>
        <w:ind w:right="0"/>
        <w:jc w:val="left"/>
      </w:pPr>
      <w:r>
        <w:rPr/>
        <w:t>牌和生态手机品牌，尝试新模式新市场；探索渠道线上、线下的一体化运营新模式，构建了新市场环境下</w:t>
      </w:r>
    </w:p>
    <w:p>
      <w:pPr>
        <w:spacing w:line="240" w:lineRule="auto" w:before="10"/>
        <w:rPr>
          <w:rFonts w:ascii="宋体" w:hAnsi="宋体" w:cs="宋体" w:eastAsia="宋体" w:hint="default"/>
          <w:sz w:val="14"/>
          <w:szCs w:val="14"/>
        </w:rPr>
      </w:pPr>
    </w:p>
    <w:p>
      <w:pPr>
        <w:pStyle w:val="BodyText"/>
        <w:spacing w:line="240" w:lineRule="auto"/>
        <w:ind w:right="0"/>
        <w:jc w:val="left"/>
      </w:pPr>
      <w:r>
        <w:rPr/>
        <w:t>的手机分销的新能力。</w:t>
      </w:r>
    </w:p>
    <w:p>
      <w:pPr>
        <w:spacing w:line="240" w:lineRule="auto" w:before="9"/>
        <w:rPr>
          <w:rFonts w:ascii="宋体" w:hAnsi="宋体" w:cs="宋体" w:eastAsia="宋体" w:hint="default"/>
          <w:sz w:val="26"/>
          <w:szCs w:val="26"/>
        </w:rPr>
      </w:pPr>
    </w:p>
    <w:p>
      <w:pPr>
        <w:pStyle w:val="BodyText"/>
        <w:spacing w:line="240" w:lineRule="auto"/>
        <w:ind w:left="573" w:right="0"/>
        <w:jc w:val="left"/>
      </w:pPr>
      <w:r>
        <w:rPr/>
        <w:t>（</w:t>
      </w:r>
      <w:r>
        <w:rPr>
          <w:rFonts w:ascii="Arial" w:hAnsi="Arial" w:cs="Arial" w:eastAsia="Arial" w:hint="default"/>
        </w:rPr>
        <w:t>2</w:t>
      </w:r>
      <w:r>
        <w:rPr/>
        <w:t>）强化风险控制，降低运营成本</w:t>
      </w:r>
    </w:p>
    <w:p>
      <w:pPr>
        <w:spacing w:line="240" w:lineRule="auto" w:before="7"/>
        <w:rPr>
          <w:rFonts w:ascii="宋体" w:hAnsi="宋体" w:cs="宋体" w:eastAsia="宋体" w:hint="default"/>
          <w:sz w:val="25"/>
          <w:szCs w:val="25"/>
        </w:rPr>
      </w:pPr>
    </w:p>
    <w:p>
      <w:pPr>
        <w:pStyle w:val="BodyText"/>
        <w:spacing w:line="388" w:lineRule="auto"/>
        <w:ind w:right="1116" w:firstLine="420"/>
        <w:jc w:val="left"/>
      </w:pPr>
      <w:r>
        <w:rPr/>
        <w:t>公司强化了运营风险管理的责任体系和</w:t>
      </w:r>
      <w:r>
        <w:rPr>
          <w:rFonts w:ascii="Arial" w:hAnsi="Arial" w:cs="Arial" w:eastAsia="Arial" w:hint="default"/>
        </w:rPr>
        <w:t>IT</w:t>
      </w:r>
      <w:r>
        <w:rPr/>
        <w:t>化闭环管理体系建设。进一步加强应收账款及存货管理，减 少资金占用，融资成本率下降，财务费用支出减少，实现了较好的运营成本管控。</w:t>
      </w:r>
    </w:p>
    <w:p>
      <w:pPr>
        <w:spacing w:line="240" w:lineRule="auto" w:before="10"/>
        <w:rPr>
          <w:rFonts w:ascii="宋体" w:hAnsi="宋体" w:cs="宋体" w:eastAsia="宋体" w:hint="default"/>
          <w:sz w:val="16"/>
          <w:szCs w:val="16"/>
        </w:rPr>
      </w:pPr>
    </w:p>
    <w:p>
      <w:pPr>
        <w:pStyle w:val="BodyText"/>
        <w:spacing w:line="516" w:lineRule="auto"/>
        <w:ind w:left="573" w:right="0"/>
        <w:jc w:val="left"/>
      </w:pPr>
      <w:r>
        <w:rPr/>
        <w:t>（</w:t>
      </w:r>
      <w:r>
        <w:rPr>
          <w:rFonts w:ascii="Arial" w:hAnsi="Arial" w:cs="Arial" w:eastAsia="Arial" w:hint="default"/>
        </w:rPr>
        <w:t>3</w:t>
      </w:r>
      <w:r>
        <w:rPr/>
        <w:t>）实现组织优化，提高运营效率 </w:t>
      </w:r>
      <w:r>
        <w:rPr>
          <w:spacing w:val="-1"/>
        </w:rPr>
        <w:t>公司顺应市场变化，积极优化组织架构，成立分销事业群，实现统一运营，有效的提升了分销团队的</w:t>
      </w:r>
    </w:p>
    <w:p>
      <w:pPr>
        <w:pStyle w:val="BodyText"/>
        <w:spacing w:line="227" w:lineRule="exact"/>
        <w:ind w:right="0"/>
        <w:jc w:val="left"/>
      </w:pPr>
      <w:r>
        <w:rPr/>
        <w:t>市场反应速度、客户服务效率和组织效率，进一步提升了分销业务的运营效率和组织效率。</w:t>
      </w:r>
    </w:p>
    <w:p>
      <w:pPr>
        <w:spacing w:after="0" w:line="227" w:lineRule="exact"/>
        <w:jc w:val="left"/>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pStyle w:val="BodyText"/>
        <w:spacing w:line="516" w:lineRule="auto" w:before="169"/>
        <w:ind w:left="573" w:right="0"/>
        <w:jc w:val="left"/>
      </w:pPr>
      <w:r>
        <w:rPr/>
        <w:t>（</w:t>
      </w:r>
      <w:r>
        <w:rPr>
          <w:rFonts w:ascii="Arial" w:hAnsi="Arial" w:cs="Arial" w:eastAsia="Arial" w:hint="default"/>
        </w:rPr>
        <w:t>4</w:t>
      </w:r>
      <w:r>
        <w:rPr/>
        <w:t>）创新服务价值，高效服务客户 </w:t>
      </w:r>
      <w:r>
        <w:rPr>
          <w:spacing w:val="-1"/>
        </w:rPr>
        <w:t>公司对外强化合作，对内强化管理，使公司的运营效率大幅提升，较好的应对了行业毛利率下降带来</w:t>
      </w:r>
    </w:p>
    <w:p>
      <w:pPr>
        <w:pStyle w:val="BodyText"/>
        <w:spacing w:line="227" w:lineRule="exact"/>
        <w:ind w:right="0"/>
        <w:jc w:val="left"/>
      </w:pPr>
      <w:r>
        <w:rPr/>
        <w:t>的挑战。同时，通过创新合作，专业化运营，为上下游客户提供高效供应链服务，实现了分销业务的管理</w:t>
      </w:r>
    </w:p>
    <w:p>
      <w:pPr>
        <w:spacing w:line="240" w:lineRule="auto" w:before="10"/>
        <w:rPr>
          <w:rFonts w:ascii="宋体" w:hAnsi="宋体" w:cs="宋体" w:eastAsia="宋体" w:hint="default"/>
          <w:sz w:val="14"/>
          <w:szCs w:val="14"/>
        </w:rPr>
      </w:pPr>
    </w:p>
    <w:p>
      <w:pPr>
        <w:pStyle w:val="BodyText"/>
        <w:spacing w:line="240" w:lineRule="auto"/>
        <w:ind w:right="0"/>
        <w:jc w:val="left"/>
      </w:pPr>
      <w:r>
        <w:rPr/>
        <w:t>和服务领先。</w:t>
      </w:r>
    </w:p>
    <w:p>
      <w:pPr>
        <w:spacing w:line="240" w:lineRule="auto" w:before="8"/>
        <w:rPr>
          <w:rFonts w:ascii="宋体" w:hAnsi="宋体" w:cs="宋体" w:eastAsia="宋体" w:hint="default"/>
          <w:sz w:val="21"/>
          <w:szCs w:val="21"/>
        </w:rPr>
      </w:pPr>
    </w:p>
    <w:p>
      <w:pPr>
        <w:pStyle w:val="Heading5"/>
        <w:spacing w:line="240" w:lineRule="auto" w:before="0"/>
        <w:ind w:left="573" w:right="0"/>
        <w:jc w:val="left"/>
        <w:rPr>
          <w:rFonts w:ascii="Microsoft JhengHei" w:hAnsi="Microsoft JhengHei" w:cs="Microsoft JhengHei" w:eastAsia="Microsoft JhengHei" w:hint="default"/>
          <w:b w:val="0"/>
          <w:bCs w:val="0"/>
        </w:rPr>
      </w:pPr>
      <w:r>
        <w:rPr>
          <w:rFonts w:ascii="Trebuchet MS" w:hAnsi="Trebuchet MS" w:cs="Trebuchet MS" w:eastAsia="Trebuchet MS" w:hint="default"/>
        </w:rPr>
        <w:t>2</w:t>
      </w:r>
      <w:r>
        <w:rPr>
          <w:rFonts w:ascii="Microsoft JhengHei" w:hAnsi="Microsoft JhengHei" w:cs="Microsoft JhengHei" w:eastAsia="Microsoft JhengHei" w:hint="default"/>
        </w:rPr>
        <w:t>、零售业务</w:t>
      </w:r>
      <w:r>
        <w:rPr>
          <w:rFonts w:ascii="Microsoft JhengHei" w:hAnsi="Microsoft JhengHei" w:cs="Microsoft JhengHei" w:eastAsia="Microsoft JhengHei" w:hint="default"/>
          <w:b w:val="0"/>
          <w:bCs w:val="0"/>
        </w:rPr>
      </w:r>
    </w:p>
    <w:p>
      <w:pPr>
        <w:spacing w:line="240" w:lineRule="auto" w:before="12"/>
        <w:rPr>
          <w:rFonts w:ascii="Microsoft JhengHei" w:hAnsi="Microsoft JhengHei" w:cs="Microsoft JhengHei" w:eastAsia="Microsoft JhengHei" w:hint="default"/>
          <w:b/>
          <w:bCs/>
          <w:sz w:val="18"/>
          <w:szCs w:val="18"/>
        </w:rPr>
      </w:pPr>
    </w:p>
    <w:p>
      <w:pPr>
        <w:pStyle w:val="BodyText"/>
        <w:spacing w:line="400" w:lineRule="auto"/>
        <w:ind w:right="5368" w:firstLine="420"/>
        <w:jc w:val="both"/>
      </w:pPr>
      <w:r>
        <w:rPr/>
        <w:pict>
          <v:shape style="position:absolute;margin-left:335.600006pt;margin-top:5.063675pt;width:204.350006pt;height:237.600006pt;mso-position-horizontal-relative:page;mso-position-vertical-relative:paragraph;z-index:1192" type="#_x0000_t75" stroked="false">
            <v:imagedata r:id="rId30" o:title=""/>
          </v:shape>
        </w:pict>
      </w:r>
      <w:r>
        <w:rPr>
          <w:rFonts w:ascii="Arial" w:hAnsi="Arial" w:cs="Arial" w:eastAsia="Arial" w:hint="default"/>
          <w:spacing w:val="3"/>
        </w:rPr>
        <w:t>2015</w:t>
      </w:r>
      <w:r>
        <w:rPr>
          <w:spacing w:val="3"/>
        </w:rPr>
        <w:t>年，公司零售业务加快转型升级步伐，依托于优</w:t>
      </w:r>
      <w:r>
        <w:rPr>
          <w:spacing w:val="4"/>
        </w:rPr>
        <w:t> </w:t>
      </w:r>
      <w:r>
        <w:rPr>
          <w:spacing w:val="-3"/>
        </w:rPr>
        <w:t>质零售网点，强化顾客深度服务体验，推进线上、线下一体</w:t>
      </w:r>
      <w:r>
        <w:rPr>
          <w:spacing w:val="-90"/>
        </w:rPr>
        <w:t> </w:t>
      </w:r>
      <w:r>
        <w:rPr>
          <w:spacing w:val="-90"/>
        </w:rPr>
      </w:r>
      <w:r>
        <w:rPr>
          <w:spacing w:val="-3"/>
        </w:rPr>
        <w:t>化的会员营销，初步构建了全渠道线上、线下的销售服务模</w:t>
      </w:r>
      <w:r>
        <w:rPr>
          <w:spacing w:val="-91"/>
        </w:rPr>
        <w:t> </w:t>
      </w:r>
      <w:r>
        <w:rPr>
          <w:spacing w:val="-91"/>
        </w:rPr>
      </w:r>
      <w:r>
        <w:rPr/>
        <w:t>式。</w:t>
      </w:r>
    </w:p>
    <w:p>
      <w:pPr>
        <w:spacing w:line="240" w:lineRule="auto" w:before="12"/>
        <w:rPr>
          <w:rFonts w:ascii="宋体" w:hAnsi="宋体" w:cs="宋体" w:eastAsia="宋体" w:hint="default"/>
          <w:sz w:val="15"/>
          <w:szCs w:val="15"/>
        </w:rPr>
      </w:pPr>
    </w:p>
    <w:p>
      <w:pPr>
        <w:pStyle w:val="BodyText"/>
        <w:spacing w:line="398" w:lineRule="auto"/>
        <w:ind w:right="5372" w:firstLine="420"/>
        <w:jc w:val="both"/>
      </w:pPr>
      <w:r>
        <w:rPr>
          <w:spacing w:val="-3"/>
        </w:rPr>
        <w:t>苹果品牌专卖零售业务盈利能力稳步提升。通过提供专</w:t>
      </w:r>
      <w:r>
        <w:rPr/>
        <w:t> 业优质的体验及售前</w:t>
      </w:r>
      <w:r>
        <w:rPr>
          <w:rFonts w:ascii="Arial" w:hAnsi="Arial" w:cs="Arial" w:eastAsia="Arial" w:hint="default"/>
        </w:rPr>
        <w:t>-</w:t>
      </w:r>
      <w:r>
        <w:rPr/>
        <w:t>售中</w:t>
      </w:r>
      <w:r>
        <w:rPr>
          <w:rFonts w:ascii="Arial" w:hAnsi="Arial" w:cs="Arial" w:eastAsia="Arial" w:hint="default"/>
        </w:rPr>
        <w:t>-</w:t>
      </w:r>
      <w:r>
        <w:rPr/>
        <w:t>售后增值服务、苹果产品和配件</w:t>
      </w:r>
      <w:r>
        <w:rPr>
          <w:spacing w:val="-101"/>
        </w:rPr>
        <w:t> </w:t>
      </w:r>
      <w:r>
        <w:rPr>
          <w:spacing w:val="-101"/>
        </w:rPr>
      </w:r>
      <w:r>
        <w:rPr/>
        <w:t>的组合营销，带动了盈利能力提升。</w:t>
      </w:r>
    </w:p>
    <w:p>
      <w:pPr>
        <w:spacing w:line="240" w:lineRule="auto" w:before="1"/>
        <w:rPr>
          <w:rFonts w:ascii="宋体" w:hAnsi="宋体" w:cs="宋体" w:eastAsia="宋体" w:hint="default"/>
          <w:sz w:val="16"/>
          <w:szCs w:val="16"/>
        </w:rPr>
      </w:pPr>
    </w:p>
    <w:p>
      <w:pPr>
        <w:pStyle w:val="BodyText"/>
        <w:spacing w:line="408" w:lineRule="auto"/>
        <w:ind w:right="5267" w:firstLine="420"/>
        <w:jc w:val="both"/>
      </w:pPr>
      <w:r>
        <w:rPr>
          <w:spacing w:val="-3"/>
        </w:rPr>
        <w:t>实施供应链管理优化，减少商品积压和损耗，加快商品</w:t>
      </w:r>
      <w:r>
        <w:rPr/>
        <w:t> </w:t>
      </w:r>
      <w:r>
        <w:rPr>
          <w:spacing w:val="-3"/>
        </w:rPr>
        <w:t>周转，精简后线支撑成本，提升了运营效率。年度销售收入</w:t>
      </w:r>
      <w:r>
        <w:rPr>
          <w:spacing w:val="-90"/>
        </w:rPr>
        <w:t> </w:t>
      </w:r>
      <w:r>
        <w:rPr>
          <w:spacing w:val="-90"/>
        </w:rPr>
      </w:r>
      <w:r>
        <w:rPr>
          <w:spacing w:val="-5"/>
          <w:w w:val="95"/>
        </w:rPr>
        <w:t>同比增长</w:t>
      </w:r>
      <w:r>
        <w:rPr>
          <w:rFonts w:ascii="Arial" w:hAnsi="Arial" w:cs="Arial" w:eastAsia="Arial" w:hint="default"/>
          <w:spacing w:val="-5"/>
          <w:w w:val="95"/>
        </w:rPr>
        <w:t>10%</w:t>
      </w:r>
      <w:r>
        <w:rPr>
          <w:spacing w:val="-5"/>
          <w:w w:val="95"/>
        </w:rPr>
        <w:t>，管理平台费用同比下降</w:t>
      </w:r>
      <w:r>
        <w:rPr>
          <w:rFonts w:ascii="Arial" w:hAnsi="Arial" w:cs="Arial" w:eastAsia="Arial" w:hint="default"/>
          <w:spacing w:val="-5"/>
          <w:w w:val="95"/>
        </w:rPr>
        <w:t>25%</w:t>
      </w:r>
      <w:r>
        <w:rPr>
          <w:spacing w:val="-5"/>
          <w:w w:val="95"/>
        </w:rPr>
        <w:t>，实现扭亏为盈。</w:t>
      </w:r>
    </w:p>
    <w:p>
      <w:pPr>
        <w:pStyle w:val="Heading5"/>
        <w:spacing w:line="240" w:lineRule="auto" w:before="103"/>
        <w:ind w:left="574" w:right="0"/>
        <w:jc w:val="left"/>
        <w:rPr>
          <w:rFonts w:ascii="Microsoft JhengHei" w:hAnsi="Microsoft JhengHei" w:cs="Microsoft JhengHei" w:eastAsia="Microsoft JhengHei" w:hint="default"/>
          <w:b w:val="0"/>
          <w:bCs w:val="0"/>
        </w:rPr>
      </w:pPr>
      <w:r>
        <w:rPr>
          <w:rFonts w:ascii="Trebuchet MS" w:hAnsi="Trebuchet MS" w:cs="Trebuchet MS" w:eastAsia="Trebuchet MS" w:hint="default"/>
        </w:rPr>
        <w:t>3</w:t>
      </w:r>
      <w:r>
        <w:rPr>
          <w:rFonts w:ascii="Microsoft JhengHei" w:hAnsi="Microsoft JhengHei" w:cs="Microsoft JhengHei" w:eastAsia="Microsoft JhengHei" w:hint="default"/>
        </w:rPr>
        <w:t>、移动转售业务</w:t>
      </w:r>
      <w:r>
        <w:rPr>
          <w:rFonts w:ascii="Microsoft JhengHei" w:hAnsi="Microsoft JhengHei" w:cs="Microsoft JhengHei" w:eastAsia="Microsoft JhengHei" w:hint="default"/>
          <w:b w:val="0"/>
          <w:bCs w:val="0"/>
        </w:rPr>
      </w:r>
    </w:p>
    <w:p>
      <w:pPr>
        <w:spacing w:line="240" w:lineRule="auto" w:before="1"/>
        <w:rPr>
          <w:rFonts w:ascii="Microsoft JhengHei" w:hAnsi="Microsoft JhengHei" w:cs="Microsoft JhengHei" w:eastAsia="Microsoft JhengHei" w:hint="default"/>
          <w:b/>
          <w:bCs/>
          <w:sz w:val="12"/>
          <w:szCs w:val="12"/>
        </w:rPr>
      </w:pPr>
    </w:p>
    <w:p>
      <w:pPr>
        <w:pStyle w:val="BodyText"/>
        <w:spacing w:line="405" w:lineRule="auto"/>
        <w:ind w:left="154" w:right="6284" w:firstLine="480"/>
        <w:jc w:val="both"/>
      </w:pPr>
      <w:r>
        <w:rPr/>
        <w:pict>
          <v:shape style="position:absolute;margin-left:289.850006pt;margin-top:.753662pt;width:264.199997pt;height:234.75pt;mso-position-horizontal-relative:page;mso-position-vertical-relative:paragraph;z-index:1216" type="#_x0000_t75" stroked="false">
            <v:imagedata r:id="rId31" o:title=""/>
          </v:shape>
        </w:pict>
      </w:r>
      <w:r>
        <w:rPr>
          <w:rFonts w:ascii="Arial" w:hAnsi="Arial" w:cs="Arial" w:eastAsia="Arial" w:hint="default"/>
        </w:rPr>
        <w:t>2015</w:t>
      </w:r>
      <w:r>
        <w:rPr>
          <w:rFonts w:ascii="Arial" w:hAnsi="Arial" w:cs="Arial" w:eastAsia="Arial" w:hint="default"/>
          <w:spacing w:val="5"/>
        </w:rPr>
        <w:t> </w:t>
      </w:r>
      <w:r>
        <w:rPr>
          <w:spacing w:val="-6"/>
        </w:rPr>
        <w:t>年，转售业务加强外部资源整合，内部</w:t>
      </w:r>
      <w:r>
        <w:rPr/>
        <w:t> </w:t>
      </w:r>
      <w:r>
        <w:rPr>
          <w:spacing w:val="3"/>
        </w:rPr>
        <w:t>运营能力提升，始终坚持把实现盈利作为转售业</w:t>
      </w:r>
      <w:r>
        <w:rPr>
          <w:spacing w:val="3"/>
        </w:rPr>
        <w:t> 务发展的第一要务，通过产品创新、精细化运营 和销售渠道突破，实现业务的快速发展，出账用 </w:t>
      </w:r>
      <w:r>
        <w:rPr>
          <w:spacing w:val="-7"/>
        </w:rPr>
        <w:t>户过百万，年出账收入过亿，业务发展初具规模。</w:t>
      </w:r>
      <w:r>
        <w:rPr>
          <w:spacing w:val="-89"/>
        </w:rPr>
        <w:t> </w:t>
      </w:r>
      <w:r>
        <w:rPr>
          <w:spacing w:val="-89"/>
        </w:rPr>
      </w:r>
      <w:r>
        <w:rPr>
          <w:spacing w:val="3"/>
        </w:rPr>
        <w:t>同时，聚焦业务与模式创新，构建了公众用户与</w:t>
      </w:r>
      <w:r>
        <w:rPr>
          <w:spacing w:val="3"/>
        </w:rPr>
        <w:t> 合作代理商客户行业领先的高效服务平台；通过 能力互补，打造跨界融合业务，推出了互联网金 融产品、国际漫游产品等创新产品，构建了基于 </w:t>
      </w:r>
      <w:r>
        <w:rPr/>
        <w:t>客户细分的差异化发展的能力。</w:t>
      </w:r>
    </w:p>
    <w:p>
      <w:pPr>
        <w:spacing w:line="240" w:lineRule="auto" w:before="8"/>
        <w:rPr>
          <w:rFonts w:ascii="宋体" w:hAnsi="宋体" w:cs="宋体" w:eastAsia="宋体" w:hint="default"/>
          <w:sz w:val="15"/>
          <w:szCs w:val="15"/>
        </w:rPr>
      </w:pPr>
    </w:p>
    <w:p>
      <w:pPr>
        <w:pStyle w:val="BodyText"/>
        <w:spacing w:line="240" w:lineRule="auto"/>
        <w:ind w:left="574" w:right="0"/>
        <w:jc w:val="left"/>
        <w:rPr>
          <w:rFonts w:ascii="Arial" w:hAnsi="Arial" w:cs="Arial" w:eastAsia="Arial" w:hint="default"/>
        </w:rPr>
      </w:pPr>
      <w:r>
        <w:rPr/>
        <w:t>公司移动转售业务在业内名列前茅，获得通信产业报“中国虚拟运营商十佳”称号，通信世界“</w:t>
      </w:r>
      <w:r>
        <w:rPr>
          <w:rFonts w:ascii="Arial" w:hAnsi="Arial" w:cs="Arial" w:eastAsia="Arial" w:hint="default"/>
        </w:rPr>
        <w:t>2015</w:t>
      </w:r>
    </w:p>
    <w:p>
      <w:pPr>
        <w:spacing w:after="0" w:line="240" w:lineRule="auto"/>
        <w:jc w:val="left"/>
        <w:rPr>
          <w:rFonts w:ascii="Arial" w:hAnsi="Arial" w:cs="Arial" w:eastAsia="Arial" w:hint="default"/>
        </w:rPr>
        <w:sectPr>
          <w:pgSz w:w="11910" w:h="16840"/>
          <w:pgMar w:header="877" w:footer="979" w:top="1060" w:bottom="1160" w:left="980" w:right="0"/>
        </w:sectPr>
      </w:pPr>
    </w:p>
    <w:p>
      <w:pPr>
        <w:spacing w:line="240" w:lineRule="auto" w:before="0"/>
        <w:rPr>
          <w:rFonts w:ascii="Arial" w:hAnsi="Arial" w:cs="Arial" w:eastAsia="Arial" w:hint="default"/>
          <w:sz w:val="20"/>
          <w:szCs w:val="20"/>
        </w:rPr>
      </w:pPr>
    </w:p>
    <w:p>
      <w:pPr>
        <w:spacing w:line="240" w:lineRule="auto" w:before="11"/>
        <w:rPr>
          <w:rFonts w:ascii="Arial" w:hAnsi="Arial" w:cs="Arial" w:eastAsia="Arial" w:hint="default"/>
          <w:sz w:val="15"/>
          <w:szCs w:val="15"/>
        </w:rPr>
      </w:pPr>
    </w:p>
    <w:p>
      <w:pPr>
        <w:spacing w:line="460" w:lineRule="auto" w:before="18"/>
        <w:ind w:left="575" w:right="1676" w:hanging="422"/>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年度虚拟运营商创新奖”，人民邮电报“</w:t>
      </w:r>
      <w:r>
        <w:rPr>
          <w:rFonts w:ascii="Arial" w:hAnsi="Arial" w:cs="Arial" w:eastAsia="Arial" w:hint="default"/>
          <w:sz w:val="21"/>
          <w:szCs w:val="21"/>
        </w:rPr>
        <w:t>2015</w:t>
      </w:r>
      <w:r>
        <w:rPr>
          <w:rFonts w:ascii="宋体" w:hAnsi="宋体" w:cs="宋体" w:eastAsia="宋体" w:hint="default"/>
          <w:sz w:val="21"/>
          <w:szCs w:val="21"/>
        </w:rPr>
        <w:t>年度创新飞跃奖”等诸多奖项，行业地位初步确立。 </w:t>
      </w:r>
      <w:r>
        <w:rPr>
          <w:rFonts w:ascii="Trebuchet MS" w:hAnsi="Trebuchet MS" w:cs="Trebuchet MS" w:eastAsia="Trebuchet MS" w:hint="default"/>
          <w:b/>
          <w:bCs/>
          <w:sz w:val="21"/>
          <w:szCs w:val="21"/>
        </w:rPr>
        <w:t>4</w:t>
      </w:r>
      <w:r>
        <w:rPr>
          <w:rFonts w:ascii="Microsoft JhengHei" w:hAnsi="Microsoft JhengHei" w:cs="Microsoft JhengHei" w:eastAsia="Microsoft JhengHei" w:hint="default"/>
          <w:b/>
          <w:bCs/>
          <w:sz w:val="21"/>
          <w:szCs w:val="21"/>
        </w:rPr>
        <w:t>、</w:t>
      </w:r>
      <w:r>
        <w:rPr>
          <w:rFonts w:ascii="Trebuchet MS" w:hAnsi="Trebuchet MS" w:cs="Trebuchet MS" w:eastAsia="Trebuchet MS" w:hint="default"/>
          <w:b/>
          <w:bCs/>
          <w:sz w:val="21"/>
          <w:szCs w:val="21"/>
        </w:rPr>
        <w:t>1 </w:t>
      </w:r>
      <w:r>
        <w:rPr>
          <w:rFonts w:ascii="Microsoft JhengHei" w:hAnsi="Microsoft JhengHei" w:cs="Microsoft JhengHei" w:eastAsia="Microsoft JhengHei" w:hint="default"/>
          <w:b/>
          <w:bCs/>
          <w:sz w:val="21"/>
          <w:szCs w:val="21"/>
        </w:rPr>
        <w:t>号机 </w:t>
      </w:r>
      <w:r>
        <w:rPr>
          <w:rFonts w:ascii="Trebuchet MS" w:hAnsi="Trebuchet MS" w:cs="Trebuchet MS" w:eastAsia="Trebuchet MS" w:hint="default"/>
          <w:b/>
          <w:bCs/>
          <w:sz w:val="21"/>
          <w:szCs w:val="21"/>
        </w:rPr>
        <w:t>B2b</w:t>
      </w:r>
      <w:r>
        <w:rPr>
          <w:rFonts w:ascii="Trebuchet MS" w:hAnsi="Trebuchet MS" w:cs="Trebuchet MS" w:eastAsia="Trebuchet MS" w:hint="default"/>
          <w:b/>
          <w:bCs/>
          <w:spacing w:val="-26"/>
          <w:sz w:val="21"/>
          <w:szCs w:val="21"/>
        </w:rPr>
        <w:t> </w:t>
      </w:r>
      <w:r>
        <w:rPr>
          <w:rFonts w:ascii="Microsoft JhengHei" w:hAnsi="Microsoft JhengHei" w:cs="Microsoft JhengHei" w:eastAsia="Microsoft JhengHei" w:hint="default"/>
          <w:b/>
          <w:bCs/>
          <w:sz w:val="21"/>
          <w:szCs w:val="21"/>
        </w:rPr>
        <w:t>平台业务</w:t>
      </w:r>
      <w:r>
        <w:rPr>
          <w:rFonts w:ascii="Microsoft JhengHei" w:hAnsi="Microsoft JhengHei" w:cs="Microsoft JhengHei" w:eastAsia="Microsoft JhengHei" w:hint="default"/>
          <w:sz w:val="21"/>
          <w:szCs w:val="21"/>
        </w:rPr>
      </w:r>
    </w:p>
    <w:p>
      <w:pPr>
        <w:pStyle w:val="BodyText"/>
        <w:spacing w:line="388" w:lineRule="auto" w:before="68"/>
        <w:ind w:right="1131" w:firstLine="420"/>
        <w:jc w:val="both"/>
      </w:pPr>
      <w:r>
        <w:rPr>
          <w:rFonts w:ascii="Arial" w:hAnsi="Arial" w:cs="Arial" w:eastAsia="Arial" w:hint="default"/>
        </w:rPr>
        <w:t>1</w:t>
      </w:r>
      <w:r>
        <w:rPr>
          <w:rFonts w:ascii="Arial" w:hAnsi="Arial" w:cs="Arial" w:eastAsia="Arial" w:hint="default"/>
          <w:spacing w:val="-21"/>
        </w:rPr>
        <w:t> </w:t>
      </w:r>
      <w:r>
        <w:rPr/>
        <w:t>号机平台作为公司</w:t>
      </w:r>
      <w:r>
        <w:rPr>
          <w:spacing w:val="-68"/>
        </w:rPr>
        <w:t> </w:t>
      </w:r>
      <w:r>
        <w:rPr>
          <w:rFonts w:ascii="Arial" w:hAnsi="Arial" w:cs="Arial" w:eastAsia="Arial" w:hint="default"/>
        </w:rPr>
        <w:t>B2b</w:t>
      </w:r>
      <w:r>
        <w:rPr>
          <w:rFonts w:ascii="Arial" w:hAnsi="Arial" w:cs="Arial" w:eastAsia="Arial" w:hint="default"/>
          <w:spacing w:val="-22"/>
        </w:rPr>
        <w:t> </w:t>
      </w:r>
      <w:r>
        <w:rPr/>
        <w:t>平台战略的承载体之一，立足</w:t>
      </w:r>
      <w:r>
        <w:rPr>
          <w:spacing w:val="-68"/>
        </w:rPr>
        <w:t> </w:t>
      </w:r>
      <w:r>
        <w:rPr>
          <w:rFonts w:ascii="Arial" w:hAnsi="Arial" w:cs="Arial" w:eastAsia="Arial" w:hint="default"/>
        </w:rPr>
        <w:t>T4-T6</w:t>
      </w:r>
      <w:r>
        <w:rPr>
          <w:rFonts w:ascii="Arial" w:hAnsi="Arial" w:cs="Arial" w:eastAsia="Arial" w:hint="default"/>
          <w:spacing w:val="-22"/>
        </w:rPr>
        <w:t> </w:t>
      </w:r>
      <w:r>
        <w:rPr/>
        <w:t>级县乡市场，为手机及智能硬件价值链 上下游客户提供</w:t>
      </w:r>
      <w:r>
        <w:rPr>
          <w:spacing w:val="-52"/>
        </w:rPr>
        <w:t> </w:t>
      </w:r>
      <w:r>
        <w:rPr>
          <w:rFonts w:ascii="Arial" w:hAnsi="Arial" w:cs="Arial" w:eastAsia="Arial" w:hint="default"/>
          <w:w w:val="101"/>
        </w:rPr>
        <w:t>B2b</w:t>
      </w:r>
      <w:r>
        <w:rPr>
          <w:rFonts w:ascii="Arial" w:hAnsi="Arial" w:cs="Arial" w:eastAsia="Arial" w:hint="default"/>
          <w:spacing w:val="-8"/>
          <w:w w:val="101"/>
        </w:rPr>
        <w:t> </w:t>
      </w:r>
      <w:r>
        <w:rPr>
          <w:spacing w:val="-12"/>
          <w:w w:val="99"/>
        </w:rPr>
        <w:t>电商平台服务。</w:t>
      </w:r>
      <w:r>
        <w:rPr>
          <w:rFonts w:ascii="Arial" w:hAnsi="Arial" w:cs="Arial" w:eastAsia="Arial" w:hint="default"/>
          <w:spacing w:val="-12"/>
          <w:w w:val="99"/>
        </w:rPr>
        <w:t>1</w:t>
      </w:r>
      <w:r>
        <w:rPr>
          <w:rFonts w:ascii="Arial" w:hAnsi="Arial" w:cs="Arial" w:eastAsia="Arial" w:hint="default"/>
          <w:spacing w:val="-6"/>
          <w:w w:val="99"/>
        </w:rPr>
        <w:t> </w:t>
      </w:r>
      <w:r>
        <w:rPr/>
        <w:t>号机</w:t>
      </w:r>
      <w:r>
        <w:rPr>
          <w:spacing w:val="-52"/>
        </w:rPr>
        <w:t> </w:t>
      </w:r>
      <w:r>
        <w:rPr>
          <w:rFonts w:ascii="Arial" w:hAnsi="Arial" w:cs="Arial" w:eastAsia="Arial" w:hint="default"/>
          <w:w w:val="101"/>
        </w:rPr>
        <w:t>B2b</w:t>
      </w:r>
      <w:r>
        <w:rPr>
          <w:rFonts w:ascii="Arial" w:hAnsi="Arial" w:cs="Arial" w:eastAsia="Arial" w:hint="default"/>
          <w:spacing w:val="-8"/>
          <w:w w:val="101"/>
        </w:rPr>
        <w:t> </w:t>
      </w:r>
      <w:r>
        <w:rPr/>
        <w:t>平台业务于</w:t>
      </w:r>
      <w:r>
        <w:rPr>
          <w:spacing w:val="-53"/>
        </w:rPr>
        <w:t> </w:t>
      </w:r>
      <w:r>
        <w:rPr>
          <w:rFonts w:ascii="Arial" w:hAnsi="Arial" w:cs="Arial" w:eastAsia="Arial" w:hint="default"/>
          <w:w w:val="99"/>
        </w:rPr>
        <w:t>2015</w:t>
      </w:r>
      <w:r>
        <w:rPr>
          <w:rFonts w:ascii="Arial" w:hAnsi="Arial" w:cs="Arial" w:eastAsia="Arial" w:hint="default"/>
          <w:spacing w:val="-5"/>
          <w:w w:val="99"/>
        </w:rPr>
        <w:t> </w:t>
      </w:r>
      <w:r>
        <w:rPr/>
        <w:t>年</w:t>
      </w:r>
      <w:r>
        <w:rPr>
          <w:spacing w:val="-53"/>
        </w:rPr>
        <w:t> </w:t>
      </w:r>
      <w:r>
        <w:rPr>
          <w:rFonts w:ascii="Arial" w:hAnsi="Arial" w:cs="Arial" w:eastAsia="Arial" w:hint="default"/>
          <w:w w:val="99"/>
        </w:rPr>
        <w:t>7</w:t>
      </w:r>
      <w:r>
        <w:rPr>
          <w:rFonts w:ascii="Arial" w:hAnsi="Arial" w:cs="Arial" w:eastAsia="Arial" w:hint="default"/>
          <w:spacing w:val="-5"/>
          <w:w w:val="99"/>
        </w:rPr>
        <w:t> </w:t>
      </w:r>
      <w:r>
        <w:rPr>
          <w:spacing w:val="-13"/>
        </w:rPr>
        <w:t>月正式上线，通过</w:t>
      </w:r>
      <w:r>
        <w:rPr>
          <w:spacing w:val="-52"/>
        </w:rPr>
        <w:t> </w:t>
      </w:r>
      <w:r>
        <w:rPr>
          <w:rFonts w:ascii="Arial" w:hAnsi="Arial" w:cs="Arial" w:eastAsia="Arial" w:hint="default"/>
          <w:w w:val="99"/>
        </w:rPr>
        <w:t>1</w:t>
      </w:r>
      <w:r>
        <w:rPr>
          <w:rFonts w:ascii="Arial" w:hAnsi="Arial" w:cs="Arial" w:eastAsia="Arial" w:hint="default"/>
          <w:spacing w:val="-5"/>
          <w:w w:val="99"/>
        </w:rPr>
        <w:t> </w:t>
      </w:r>
      <w:r>
        <w:rPr>
          <w:spacing w:val="-14"/>
        </w:rPr>
        <w:t>号机平台与“区</w:t>
      </w:r>
      <w:r>
        <w:rPr/>
        <w:t> </w:t>
      </w:r>
      <w:r>
        <w:rPr>
          <w:spacing w:val="-3"/>
        </w:rPr>
        <w:t>域服务商”合作的作业模式，快速启动和推进</w:t>
      </w:r>
      <w:r>
        <w:rPr>
          <w:spacing w:val="-62"/>
        </w:rPr>
        <w:t> </w:t>
      </w:r>
      <w:r>
        <w:rPr>
          <w:rFonts w:ascii="Arial" w:hAnsi="Arial" w:cs="Arial" w:eastAsia="Arial" w:hint="default"/>
        </w:rPr>
        <w:t>B2b</w:t>
      </w:r>
      <w:r>
        <w:rPr>
          <w:rFonts w:ascii="Arial" w:hAnsi="Arial" w:cs="Arial" w:eastAsia="Arial" w:hint="default"/>
          <w:spacing w:val="-17"/>
        </w:rPr>
        <w:t> </w:t>
      </w:r>
      <w:r>
        <w:rPr/>
        <w:t>销售服务平台业务，客户发展和交易规模快速增长。截 止</w:t>
      </w:r>
      <w:r>
        <w:rPr>
          <w:spacing w:val="-57"/>
        </w:rPr>
        <w:t> </w:t>
      </w:r>
      <w:r>
        <w:rPr>
          <w:rFonts w:ascii="Arial" w:hAnsi="Arial" w:cs="Arial" w:eastAsia="Arial" w:hint="default"/>
        </w:rPr>
        <w:t>2015</w:t>
      </w:r>
      <w:r>
        <w:rPr>
          <w:rFonts w:ascii="Arial" w:hAnsi="Arial" w:cs="Arial" w:eastAsia="Arial" w:hint="default"/>
          <w:spacing w:val="-10"/>
        </w:rPr>
        <w:t> </w:t>
      </w:r>
      <w:r>
        <w:rPr/>
        <w:t>年</w:t>
      </w:r>
      <w:r>
        <w:rPr>
          <w:spacing w:val="-57"/>
        </w:rPr>
        <w:t> </w:t>
      </w:r>
      <w:r>
        <w:rPr>
          <w:rFonts w:ascii="Arial" w:hAnsi="Arial" w:cs="Arial" w:eastAsia="Arial" w:hint="default"/>
        </w:rPr>
        <w:t>12</w:t>
      </w:r>
      <w:r>
        <w:rPr>
          <w:rFonts w:ascii="Arial" w:hAnsi="Arial" w:cs="Arial" w:eastAsia="Arial" w:hint="default"/>
          <w:spacing w:val="-10"/>
        </w:rPr>
        <w:t> </w:t>
      </w:r>
      <w:r>
        <w:rPr/>
        <w:t>月</w:t>
      </w:r>
      <w:r>
        <w:rPr>
          <w:spacing w:val="-57"/>
        </w:rPr>
        <w:t> </w:t>
      </w:r>
      <w:r>
        <w:rPr>
          <w:rFonts w:ascii="Arial" w:hAnsi="Arial" w:cs="Arial" w:eastAsia="Arial" w:hint="default"/>
        </w:rPr>
        <w:t>31</w:t>
      </w:r>
      <w:r>
        <w:rPr>
          <w:rFonts w:ascii="Arial" w:hAnsi="Arial" w:cs="Arial" w:eastAsia="Arial" w:hint="default"/>
          <w:spacing w:val="-10"/>
        </w:rPr>
        <w:t> </w:t>
      </w:r>
      <w:r>
        <w:rPr/>
        <w:t>日，平台注册用户数</w:t>
      </w:r>
      <w:r>
        <w:rPr>
          <w:spacing w:val="-56"/>
        </w:rPr>
        <w:t> </w:t>
      </w:r>
      <w:r>
        <w:rPr>
          <w:rFonts w:ascii="Arial" w:hAnsi="Arial" w:cs="Arial" w:eastAsia="Arial" w:hint="default"/>
        </w:rPr>
        <w:t>57,440</w:t>
      </w:r>
      <w:r>
        <w:rPr>
          <w:rFonts w:ascii="Arial" w:hAnsi="Arial" w:cs="Arial" w:eastAsia="Arial" w:hint="default"/>
          <w:spacing w:val="-10"/>
        </w:rPr>
        <w:t> </w:t>
      </w:r>
      <w:r>
        <w:rPr/>
        <w:t>家，</w:t>
      </w:r>
      <w:r>
        <w:rPr>
          <w:rFonts w:ascii="Arial" w:hAnsi="Arial" w:cs="Arial" w:eastAsia="Arial" w:hint="default"/>
        </w:rPr>
        <w:t>12</w:t>
      </w:r>
      <w:r>
        <w:rPr>
          <w:rFonts w:ascii="Arial" w:hAnsi="Arial" w:cs="Arial" w:eastAsia="Arial" w:hint="default"/>
          <w:spacing w:val="-10"/>
        </w:rPr>
        <w:t> </w:t>
      </w:r>
      <w:r>
        <w:rPr/>
        <w:t>月当月客户活跃度达到</w:t>
      </w:r>
      <w:r>
        <w:rPr>
          <w:spacing w:val="-56"/>
        </w:rPr>
        <w:t> </w:t>
      </w:r>
      <w:r>
        <w:rPr>
          <w:rFonts w:ascii="Arial" w:hAnsi="Arial" w:cs="Arial" w:eastAsia="Arial" w:hint="default"/>
        </w:rPr>
        <w:t>43.98%</w:t>
      </w:r>
      <w:r>
        <w:rPr/>
        <w:t>，交易金额突破</w:t>
      </w:r>
    </w:p>
    <w:p>
      <w:pPr>
        <w:pStyle w:val="BodyText"/>
        <w:spacing w:line="388" w:lineRule="auto" w:before="32"/>
        <w:ind w:right="1123"/>
        <w:jc w:val="left"/>
      </w:pPr>
      <w:r>
        <w:rPr>
          <w:rFonts w:ascii="Arial" w:hAnsi="Arial" w:cs="Arial" w:eastAsia="Arial" w:hint="default"/>
        </w:rPr>
        <w:t>10</w:t>
      </w:r>
      <w:r>
        <w:rPr>
          <w:rFonts w:ascii="Arial" w:hAnsi="Arial" w:cs="Arial" w:eastAsia="Arial" w:hint="default"/>
          <w:spacing w:val="-5"/>
        </w:rPr>
        <w:t> </w:t>
      </w:r>
      <w:r>
        <w:rPr>
          <w:spacing w:val="-8"/>
        </w:rPr>
        <w:t>亿元大关，平台覆盖了</w:t>
      </w:r>
      <w:r>
        <w:rPr>
          <w:spacing w:val="-51"/>
        </w:rPr>
        <w:t> </w:t>
      </w:r>
      <w:r>
        <w:rPr>
          <w:rFonts w:ascii="Arial" w:hAnsi="Arial" w:cs="Arial" w:eastAsia="Arial" w:hint="default"/>
        </w:rPr>
        <w:t>14</w:t>
      </w:r>
      <w:r>
        <w:rPr>
          <w:rFonts w:ascii="Arial" w:hAnsi="Arial" w:cs="Arial" w:eastAsia="Arial" w:hint="default"/>
          <w:spacing w:val="-5"/>
        </w:rPr>
        <w:t> </w:t>
      </w:r>
      <w:r>
        <w:rPr>
          <w:spacing w:val="-12"/>
        </w:rPr>
        <w:t>个省份，深根于</w:t>
      </w:r>
      <w:r>
        <w:rPr>
          <w:spacing w:val="-51"/>
        </w:rPr>
        <w:t> </w:t>
      </w:r>
      <w:r>
        <w:rPr>
          <w:rFonts w:ascii="Arial" w:hAnsi="Arial" w:cs="Arial" w:eastAsia="Arial" w:hint="default"/>
        </w:rPr>
        <w:t>900</w:t>
      </w:r>
      <w:r>
        <w:rPr>
          <w:rFonts w:ascii="Arial" w:hAnsi="Arial" w:cs="Arial" w:eastAsia="Arial" w:hint="default"/>
          <w:spacing w:val="-6"/>
        </w:rPr>
        <w:t> </w:t>
      </w:r>
      <w:r>
        <w:rPr>
          <w:spacing w:val="-13"/>
        </w:rPr>
        <w:t>多个区县。</w:t>
      </w:r>
      <w:r>
        <w:rPr>
          <w:rFonts w:ascii="Arial" w:hAnsi="Arial" w:cs="Arial" w:eastAsia="Arial" w:hint="default"/>
          <w:spacing w:val="-13"/>
        </w:rPr>
        <w:t>1</w:t>
      </w:r>
      <w:r>
        <w:rPr>
          <w:rFonts w:ascii="Arial" w:hAnsi="Arial" w:cs="Arial" w:eastAsia="Arial" w:hint="default"/>
          <w:spacing w:val="-5"/>
        </w:rPr>
        <w:t> </w:t>
      </w:r>
      <w:r>
        <w:rPr/>
        <w:t>号机平台构建为上下游客户提供高效的</w:t>
      </w:r>
      <w:r>
        <w:rPr>
          <w:spacing w:val="-51"/>
        </w:rPr>
        <w:t> </w:t>
      </w:r>
      <w:r>
        <w:rPr>
          <w:rFonts w:ascii="Arial" w:hAnsi="Arial" w:cs="Arial" w:eastAsia="Arial" w:hint="default"/>
        </w:rPr>
        <w:t>B2b</w:t>
      </w:r>
      <w:r>
        <w:rPr>
          <w:rFonts w:ascii="Arial" w:hAnsi="Arial" w:cs="Arial" w:eastAsia="Arial" w:hint="default"/>
          <w:w w:val="101"/>
        </w:rPr>
        <w:t> </w:t>
      </w:r>
      <w:r>
        <w:rPr/>
        <w:t>销售服务的能力。</w:t>
      </w:r>
    </w:p>
    <w:p>
      <w:pPr>
        <w:pStyle w:val="Heading5"/>
        <w:spacing w:line="240" w:lineRule="auto" w:before="152"/>
        <w:ind w:left="573" w:right="0"/>
        <w:jc w:val="left"/>
        <w:rPr>
          <w:rFonts w:ascii="Microsoft JhengHei" w:hAnsi="Microsoft JhengHei" w:cs="Microsoft JhengHei" w:eastAsia="Microsoft JhengHei" w:hint="default"/>
          <w:b w:val="0"/>
          <w:bCs w:val="0"/>
        </w:rPr>
      </w:pPr>
      <w:r>
        <w:rPr>
          <w:rFonts w:ascii="Trebuchet MS" w:hAnsi="Trebuchet MS" w:cs="Trebuchet MS" w:eastAsia="Trebuchet MS" w:hint="default"/>
        </w:rPr>
        <w:t>5</w:t>
      </w:r>
      <w:r>
        <w:rPr>
          <w:rFonts w:ascii="Microsoft JhengHei" w:hAnsi="Microsoft JhengHei" w:cs="Microsoft JhengHei" w:eastAsia="Microsoft JhengHei" w:hint="default"/>
        </w:rPr>
        <w:t>、供应链服务</w:t>
      </w:r>
      <w:r>
        <w:rPr>
          <w:rFonts w:ascii="Microsoft JhengHei" w:hAnsi="Microsoft JhengHei" w:cs="Microsoft JhengHei" w:eastAsia="Microsoft JhengHei" w:hint="default"/>
          <w:b w:val="0"/>
          <w:bCs w:val="0"/>
        </w:rPr>
      </w:r>
    </w:p>
    <w:p>
      <w:pPr>
        <w:spacing w:line="240" w:lineRule="auto" w:before="12"/>
        <w:rPr>
          <w:rFonts w:ascii="Microsoft JhengHei" w:hAnsi="Microsoft JhengHei" w:cs="Microsoft JhengHei" w:eastAsia="Microsoft JhengHei" w:hint="default"/>
          <w:b/>
          <w:bCs/>
          <w:sz w:val="18"/>
          <w:szCs w:val="18"/>
        </w:rPr>
      </w:pPr>
    </w:p>
    <w:p>
      <w:pPr>
        <w:pStyle w:val="BodyText"/>
        <w:spacing w:line="405" w:lineRule="auto"/>
        <w:ind w:right="6734" w:firstLine="480"/>
        <w:jc w:val="both"/>
      </w:pPr>
      <w:r>
        <w:rPr/>
        <w:pict>
          <v:shape style="position:absolute;margin-left:267.300018pt;margin-top:6.113663pt;width:276.699997pt;height:207.199997pt;mso-position-horizontal-relative:page;mso-position-vertical-relative:paragraph;z-index:1240" type="#_x0000_t75" stroked="false">
            <v:imagedata r:id="rId32" o:title=""/>
          </v:shape>
        </w:pict>
      </w:r>
      <w:r>
        <w:rPr>
          <w:rFonts w:ascii="Arial" w:hAnsi="Arial" w:cs="Arial" w:eastAsia="Arial" w:hint="default"/>
          <w:spacing w:val="-4"/>
        </w:rPr>
        <w:t>2015</w:t>
      </w:r>
      <w:r>
        <w:rPr>
          <w:spacing w:val="-4"/>
        </w:rPr>
        <w:t>年，公司围绕着主营业务尝试产融</w:t>
      </w:r>
      <w:r>
        <w:rPr/>
        <w:t> 结合，为上下游客户提供产融结合的服务产</w:t>
      </w:r>
      <w:r>
        <w:rPr>
          <w:spacing w:val="-68"/>
        </w:rPr>
        <w:t> </w:t>
      </w:r>
      <w:r>
        <w:rPr>
          <w:spacing w:val="-68"/>
        </w:rPr>
      </w:r>
      <w:r>
        <w:rPr/>
        <w:t>品，公司与先锋金融成立了深圳市网爱金融</w:t>
      </w:r>
      <w:r>
        <w:rPr>
          <w:spacing w:val="-68"/>
        </w:rPr>
        <w:t> </w:t>
      </w:r>
      <w:r>
        <w:rPr/>
        <w:t>服务有限公司，并致力于成为通信行业内领</w:t>
      </w:r>
      <w:r>
        <w:rPr>
          <w:spacing w:val="-68"/>
        </w:rPr>
        <w:t> </w:t>
      </w:r>
      <w:r>
        <w:rPr/>
        <w:t>先的供应链金融服务公司，为客户提供高效</w:t>
      </w:r>
      <w:r>
        <w:rPr>
          <w:spacing w:val="-68"/>
        </w:rPr>
        <w:t> </w:t>
      </w:r>
      <w:r>
        <w:rPr/>
        <w:t>的供应链服务。助力集团各单元协同发展，</w:t>
      </w:r>
    </w:p>
    <w:p>
      <w:pPr>
        <w:pStyle w:val="BodyText"/>
        <w:spacing w:line="408" w:lineRule="auto" w:before="48"/>
        <w:ind w:right="6633"/>
        <w:jc w:val="left"/>
      </w:pPr>
      <w:r>
        <w:rPr>
          <w:spacing w:val="-4"/>
        </w:rPr>
        <w:t>并不断扩大客户覆盖。搭建了客户运营体系、</w:t>
      </w:r>
      <w:r>
        <w:rPr>
          <w:spacing w:val="-90"/>
        </w:rPr>
        <w:t> </w:t>
      </w:r>
      <w:r>
        <w:rPr>
          <w:spacing w:val="-90"/>
        </w:rPr>
      </w:r>
      <w:r>
        <w:rPr/>
        <w:t>风险控制体系和服务体系。公司成立初期主</w:t>
      </w:r>
    </w:p>
    <w:p>
      <w:pPr>
        <w:pStyle w:val="BodyText"/>
        <w:spacing w:line="408" w:lineRule="auto" w:before="46"/>
        <w:ind w:right="6633"/>
        <w:jc w:val="left"/>
      </w:pPr>
      <w:r>
        <w:rPr/>
        <w:t>要针对爱施德分销渠道的客户，为核心客户</w:t>
      </w:r>
      <w:r>
        <w:rPr>
          <w:spacing w:val="-68"/>
        </w:rPr>
        <w:t> </w:t>
      </w:r>
      <w:r>
        <w:rPr/>
        <w:t>提供专业金融服务，成功开发一款通信贷产</w:t>
      </w:r>
    </w:p>
    <w:p>
      <w:pPr>
        <w:pStyle w:val="BodyText"/>
        <w:spacing w:line="408" w:lineRule="auto" w:before="46"/>
        <w:ind w:right="1125"/>
        <w:jc w:val="left"/>
      </w:pPr>
      <w:r>
        <w:rPr>
          <w:spacing w:val="-1"/>
        </w:rPr>
        <w:t>品，该产品具有期限短、成本低、操作方便等特点，正逐步在核心渠道客户中形成优良口碑，客户和业务</w:t>
      </w:r>
      <w:r>
        <w:rPr>
          <w:spacing w:val="-83"/>
        </w:rPr>
        <w:t> </w:t>
      </w:r>
      <w:r>
        <w:rPr>
          <w:spacing w:val="-83"/>
        </w:rPr>
      </w:r>
      <w:r>
        <w:rPr/>
        <w:t>发展迅速。</w:t>
      </w:r>
    </w:p>
    <w:p>
      <w:pPr>
        <w:pStyle w:val="Heading5"/>
        <w:spacing w:line="240" w:lineRule="auto" w:before="135"/>
        <w:ind w:left="573" w:right="0"/>
        <w:jc w:val="left"/>
        <w:rPr>
          <w:rFonts w:ascii="Microsoft JhengHei" w:hAnsi="Microsoft JhengHei" w:cs="Microsoft JhengHei" w:eastAsia="Microsoft JhengHei" w:hint="default"/>
          <w:b w:val="0"/>
          <w:bCs w:val="0"/>
        </w:rPr>
      </w:pPr>
      <w:r>
        <w:rPr>
          <w:rFonts w:ascii="Trebuchet MS" w:hAnsi="Trebuchet MS" w:cs="Trebuchet MS" w:eastAsia="Trebuchet MS" w:hint="default"/>
        </w:rPr>
        <w:t>6</w:t>
      </w:r>
      <w:r>
        <w:rPr>
          <w:rFonts w:ascii="Microsoft JhengHei" w:hAnsi="Microsoft JhengHei" w:cs="Microsoft JhengHei" w:eastAsia="Microsoft JhengHei" w:hint="default"/>
        </w:rPr>
        <w:t>、彩梦科技</w:t>
      </w:r>
      <w:r>
        <w:rPr>
          <w:rFonts w:ascii="Microsoft JhengHei" w:hAnsi="Microsoft JhengHei" w:cs="Microsoft JhengHei" w:eastAsia="Microsoft JhengHei" w:hint="default"/>
          <w:b w:val="0"/>
          <w:bCs w:val="0"/>
        </w:rPr>
      </w:r>
    </w:p>
    <w:p>
      <w:pPr>
        <w:spacing w:line="240" w:lineRule="auto" w:before="12"/>
        <w:rPr>
          <w:rFonts w:ascii="Microsoft JhengHei" w:hAnsi="Microsoft JhengHei" w:cs="Microsoft JhengHei" w:eastAsia="Microsoft JhengHei" w:hint="default"/>
          <w:b/>
          <w:bCs/>
          <w:sz w:val="18"/>
          <w:szCs w:val="18"/>
        </w:rPr>
      </w:pPr>
    </w:p>
    <w:p>
      <w:pPr>
        <w:pStyle w:val="BodyText"/>
        <w:spacing w:line="398" w:lineRule="auto"/>
        <w:ind w:right="1130" w:firstLine="420"/>
        <w:jc w:val="both"/>
      </w:pPr>
      <w:r>
        <w:rPr>
          <w:rFonts w:ascii="Arial" w:hAnsi="Arial" w:cs="Arial" w:eastAsia="Arial" w:hint="default"/>
          <w:spacing w:val="-2"/>
        </w:rPr>
        <w:t>2015</w:t>
      </w:r>
      <w:r>
        <w:rPr>
          <w:spacing w:val="-2"/>
        </w:rPr>
        <w:t>年彩梦科技以手机数字内容产品提供、运营、服务一体化为业务发展策略，紧密围绕“通道、内</w:t>
      </w:r>
      <w:r>
        <w:rPr/>
        <w:t> </w:t>
      </w:r>
      <w:r>
        <w:rPr>
          <w:spacing w:val="-6"/>
        </w:rPr>
        <w:t>容、渠道”三个方面，充分打造“计费能力、运营能力、渠道能力”的三大核心能力，进行了人员、组织、</w:t>
      </w:r>
      <w:r>
        <w:rPr>
          <w:spacing w:val="-68"/>
        </w:rPr>
        <w:t> </w:t>
      </w:r>
      <w:r>
        <w:rPr>
          <w:spacing w:val="-68"/>
        </w:rPr>
      </w:r>
      <w:r>
        <w:rPr/>
        <w:t>业务的进一步优化和升级，为公司后续业务的持续发展提供了保障。</w:t>
      </w:r>
    </w:p>
    <w:p>
      <w:pPr>
        <w:pStyle w:val="Heading5"/>
        <w:spacing w:line="240" w:lineRule="auto" w:before="144"/>
        <w:ind w:left="573" w:right="0"/>
        <w:jc w:val="left"/>
        <w:rPr>
          <w:rFonts w:ascii="Microsoft JhengHei" w:hAnsi="Microsoft JhengHei" w:cs="Microsoft JhengHei" w:eastAsia="Microsoft JhengHei" w:hint="default"/>
          <w:b w:val="0"/>
          <w:bCs w:val="0"/>
        </w:rPr>
      </w:pPr>
      <w:r>
        <w:rPr>
          <w:rFonts w:ascii="Trebuchet MS" w:hAnsi="Trebuchet MS" w:cs="Trebuchet MS" w:eastAsia="Trebuchet MS" w:hint="default"/>
        </w:rPr>
        <w:t>7</w:t>
      </w:r>
      <w:r>
        <w:rPr>
          <w:rFonts w:ascii="Microsoft JhengHei" w:hAnsi="Microsoft JhengHei" w:cs="Microsoft JhengHei" w:eastAsia="Microsoft JhengHei" w:hint="default"/>
        </w:rPr>
        <w:t>、战略投资</w:t>
      </w:r>
      <w:r>
        <w:rPr>
          <w:rFonts w:ascii="Microsoft JhengHei" w:hAnsi="Microsoft JhengHei" w:cs="Microsoft JhengHei" w:eastAsia="Microsoft JhengHei" w:hint="default"/>
          <w:b w:val="0"/>
          <w:bCs w:val="0"/>
        </w:rPr>
      </w:r>
    </w:p>
    <w:p>
      <w:pPr>
        <w:spacing w:line="240" w:lineRule="auto" w:before="15"/>
        <w:rPr>
          <w:rFonts w:ascii="Microsoft JhengHei" w:hAnsi="Microsoft JhengHei" w:cs="Microsoft JhengHei" w:eastAsia="Microsoft JhengHei" w:hint="default"/>
          <w:b/>
          <w:bCs/>
          <w:sz w:val="14"/>
          <w:szCs w:val="14"/>
        </w:rPr>
      </w:pPr>
    </w:p>
    <w:p>
      <w:pPr>
        <w:spacing w:before="0"/>
        <w:ind w:left="573" w:right="0" w:firstLine="0"/>
        <w:jc w:val="left"/>
        <w:rPr>
          <w:rFonts w:ascii="宋体" w:hAnsi="宋体" w:cs="宋体" w:eastAsia="宋体" w:hint="default"/>
          <w:sz w:val="21"/>
          <w:szCs w:val="21"/>
        </w:rPr>
      </w:pPr>
      <w:r>
        <w:rPr>
          <w:rFonts w:ascii="Trebuchet MS" w:hAnsi="Trebuchet MS" w:cs="Trebuchet MS" w:eastAsia="Trebuchet MS" w:hint="default"/>
          <w:b/>
          <w:bCs/>
          <w:sz w:val="21"/>
          <w:szCs w:val="21"/>
        </w:rPr>
        <w:t>2015</w:t>
      </w:r>
      <w:r>
        <w:rPr>
          <w:rFonts w:ascii="Microsoft JhengHei" w:hAnsi="Microsoft JhengHei" w:cs="Microsoft JhengHei" w:eastAsia="Microsoft JhengHei" w:hint="default"/>
          <w:b/>
          <w:bCs/>
          <w:sz w:val="21"/>
          <w:szCs w:val="21"/>
        </w:rPr>
        <w:t>年，按产融结合的战略思路，公司加大在金融领域的布局。</w:t>
      </w:r>
      <w:r>
        <w:rPr>
          <w:rFonts w:ascii="宋体" w:hAnsi="宋体" w:cs="宋体" w:eastAsia="宋体" w:hint="default"/>
          <w:sz w:val="21"/>
          <w:szCs w:val="21"/>
        </w:rPr>
        <w:t>公司控股了海南小贷；合资创办了深</w:t>
      </w:r>
    </w:p>
    <w:p>
      <w:pPr>
        <w:spacing w:after="0"/>
        <w:jc w:val="left"/>
        <w:rPr>
          <w:rFonts w:ascii="宋体" w:hAnsi="宋体" w:cs="宋体" w:eastAsia="宋体" w:hint="default"/>
          <w:sz w:val="21"/>
          <w:szCs w:val="21"/>
        </w:rPr>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pStyle w:val="BodyText"/>
        <w:spacing w:line="400" w:lineRule="auto" w:before="169"/>
        <w:ind w:right="1130"/>
        <w:jc w:val="both"/>
      </w:pPr>
      <w:r>
        <w:rPr>
          <w:w w:val="95"/>
        </w:rPr>
        <w:t>圳市网爱金融服务有限公司，开展供应链金融服务业务；投资了中国信贷（</w:t>
      </w:r>
      <w:r>
        <w:rPr>
          <w:rFonts w:ascii="Arial" w:hAnsi="Arial" w:cs="Arial" w:eastAsia="Arial" w:hint="default"/>
          <w:w w:val="95"/>
        </w:rPr>
        <w:t>HK: 8207</w:t>
      </w:r>
      <w:r>
        <w:rPr>
          <w:w w:val="95"/>
        </w:rPr>
        <w:t>）股权及其可转换公</w:t>
      </w:r>
      <w:r>
        <w:rPr>
          <w:spacing w:val="-9"/>
          <w:w w:val="95"/>
        </w:rPr>
        <w:t> </w:t>
      </w:r>
      <w:r>
        <w:rPr>
          <w:spacing w:val="-9"/>
          <w:w w:val="95"/>
        </w:rPr>
      </w:r>
      <w:r>
        <w:rPr>
          <w:spacing w:val="-1"/>
        </w:rPr>
        <w:t>司债券，进一步加强了公司与中国信贷之间的战略合作伙伴关系，通过内外兼修的方式，提高公司在金融</w:t>
      </w:r>
      <w:r>
        <w:rPr>
          <w:spacing w:val="-83"/>
        </w:rPr>
        <w:t> </w:t>
      </w:r>
      <w:r>
        <w:rPr>
          <w:spacing w:val="-83"/>
        </w:rPr>
      </w:r>
      <w:r>
        <w:rPr>
          <w:spacing w:val="-1"/>
        </w:rPr>
        <w:t>产业的运营能力，更快的推动公司产融结合的业务发展；公司作为发起人之一，参与了拟筹建设立人寿保</w:t>
      </w:r>
      <w:r>
        <w:rPr>
          <w:spacing w:val="-83"/>
        </w:rPr>
        <w:t> </w:t>
      </w:r>
      <w:r>
        <w:rPr>
          <w:spacing w:val="-83"/>
        </w:rPr>
      </w:r>
      <w:r>
        <w:rPr/>
        <w:t>险股份有限公司，拟筹建设立公募基金管理有限公司。</w:t>
      </w:r>
    </w:p>
    <w:p>
      <w:pPr>
        <w:pStyle w:val="BodyText"/>
        <w:spacing w:line="468" w:lineRule="exact" w:before="79"/>
        <w:ind w:right="1131" w:firstLine="420"/>
        <w:jc w:val="both"/>
      </w:pPr>
      <w:r>
        <w:rPr>
          <w:rFonts w:ascii="Microsoft JhengHei" w:hAnsi="Microsoft JhengHei" w:cs="Microsoft JhengHei" w:eastAsia="Microsoft JhengHei" w:hint="default"/>
          <w:b/>
          <w:bCs/>
          <w:spacing w:val="-1"/>
        </w:rPr>
        <w:t>公司构建未来成长动力，布局新业务领域。</w:t>
      </w:r>
      <w:r>
        <w:rPr>
          <w:spacing w:val="-1"/>
        </w:rPr>
        <w:t>公司投资了北京中芯铭弈科技有限公司（原北京暴风魔镜</w:t>
      </w:r>
      <w:r>
        <w:rPr/>
        <w:t> </w:t>
      </w:r>
      <w:r>
        <w:rPr>
          <w:spacing w:val="-1"/>
        </w:rPr>
        <w:t>科技有限公司）、店商互联（北京）科技发展有限公司、深圳国鑫创沅移动互联网股权投资中心、北京德</w:t>
      </w:r>
      <w:r>
        <w:rPr>
          <w:spacing w:val="-83"/>
        </w:rPr>
        <w:t> </w:t>
      </w:r>
      <w:r>
        <w:rPr>
          <w:spacing w:val="-83"/>
        </w:rPr>
      </w:r>
      <w:r>
        <w:rPr>
          <w:spacing w:val="-1"/>
        </w:rPr>
        <w:t>丰杰龙脉投资基金管理中心（有限合伙）等。公司通过投资移动互联网优质公司及基金的方式开展新业务</w:t>
      </w:r>
      <w:r>
        <w:rPr>
          <w:spacing w:val="-83"/>
        </w:rPr>
        <w:t> </w:t>
      </w:r>
      <w:r>
        <w:rPr>
          <w:spacing w:val="-83"/>
        </w:rPr>
      </w:r>
      <w:r>
        <w:rPr/>
        <w:t>领域的布局，积极构建未来成长动力。</w:t>
      </w:r>
    </w:p>
    <w:p>
      <w:pPr>
        <w:pStyle w:val="BodyText"/>
        <w:spacing w:line="468" w:lineRule="exact" w:before="156"/>
        <w:ind w:right="1131" w:firstLine="420"/>
        <w:jc w:val="both"/>
      </w:pPr>
      <w:r>
        <w:rPr>
          <w:rFonts w:ascii="Trebuchet MS" w:hAnsi="Trebuchet MS" w:cs="Trebuchet MS" w:eastAsia="Trebuchet MS" w:hint="default"/>
          <w:b/>
          <w:bCs/>
          <w:spacing w:val="-2"/>
        </w:rPr>
        <w:t>2015</w:t>
      </w:r>
      <w:r>
        <w:rPr>
          <w:rFonts w:ascii="Microsoft JhengHei" w:hAnsi="Microsoft JhengHei" w:cs="Microsoft JhengHei" w:eastAsia="Microsoft JhengHei" w:hint="default"/>
          <w:b/>
          <w:bCs/>
          <w:spacing w:val="-2"/>
        </w:rPr>
        <w:t>年，公司投资收益表现良好。</w:t>
      </w:r>
      <w:r>
        <w:rPr>
          <w:spacing w:val="-2"/>
        </w:rPr>
        <w:t>公司通过全资子公司瑞成汇达投资的北京全彩时代网络科技有限公</w:t>
      </w:r>
      <w:r>
        <w:rPr/>
        <w:t> </w:t>
      </w:r>
      <w:r>
        <w:rPr>
          <w:spacing w:val="-2"/>
          <w:w w:val="95"/>
        </w:rPr>
        <w:t>司，以股权转让的方式成功退出，实现投资回报率</w:t>
      </w:r>
      <w:r>
        <w:rPr>
          <w:rFonts w:ascii="Arial" w:hAnsi="Arial" w:cs="Arial" w:eastAsia="Arial" w:hint="default"/>
          <w:spacing w:val="-2"/>
          <w:w w:val="95"/>
        </w:rPr>
        <w:t>23.33%</w:t>
      </w:r>
      <w:r>
        <w:rPr>
          <w:spacing w:val="-2"/>
          <w:w w:val="95"/>
        </w:rPr>
        <w:t>。公司全资子公司迈奔灵动科技（北京）有限公</w:t>
      </w:r>
      <w:r>
        <w:rPr>
          <w:spacing w:val="80"/>
          <w:w w:val="95"/>
        </w:rPr>
        <w:t> </w:t>
      </w:r>
      <w:r>
        <w:rPr>
          <w:spacing w:val="80"/>
          <w:w w:val="95"/>
        </w:rPr>
      </w:r>
      <w:r>
        <w:rPr/>
        <w:t>司投资的北京磨盘精准网络营销技术服务有限公司营业收入较上年同期增加</w:t>
      </w:r>
      <w:r>
        <w:rPr>
          <w:rFonts w:ascii="Arial" w:hAnsi="Arial" w:cs="Arial" w:eastAsia="Arial" w:hint="default"/>
        </w:rPr>
        <w:t>226%</w:t>
      </w:r>
      <w:r>
        <w:rPr/>
        <w:t>，并已经改制成为股份</w:t>
      </w:r>
      <w:r>
        <w:rPr>
          <w:spacing w:val="-41"/>
        </w:rPr>
        <w:t> </w:t>
      </w:r>
      <w:r>
        <w:rPr>
          <w:spacing w:val="-41"/>
        </w:rPr>
      </w:r>
      <w:r>
        <w:rPr/>
        <w:t>公司，实施了全员股权激励，预计在</w:t>
      </w:r>
      <w:r>
        <w:rPr>
          <w:rFonts w:ascii="Arial" w:hAnsi="Arial" w:cs="Arial" w:eastAsia="Arial" w:hint="default"/>
        </w:rPr>
        <w:t>2016</w:t>
      </w:r>
      <w:r>
        <w:rPr/>
        <w:t>年挂牌新三板，公司的投资价值逐步呈现。</w:t>
      </w:r>
    </w:p>
    <w:p>
      <w:pPr>
        <w:spacing w:line="240" w:lineRule="auto" w:before="9"/>
        <w:rPr>
          <w:rFonts w:ascii="宋体" w:hAnsi="宋体" w:cs="宋体" w:eastAsia="宋体" w:hint="default"/>
          <w:sz w:val="16"/>
          <w:szCs w:val="16"/>
        </w:rPr>
      </w:pPr>
    </w:p>
    <w:p>
      <w:pPr>
        <w:pStyle w:val="Heading5"/>
        <w:spacing w:line="240" w:lineRule="auto" w:before="0"/>
        <w:ind w:left="573" w:right="0"/>
        <w:jc w:val="left"/>
        <w:rPr>
          <w:rFonts w:ascii="Microsoft JhengHei" w:hAnsi="Microsoft JhengHei" w:cs="Microsoft JhengHei" w:eastAsia="Microsoft JhengHei" w:hint="default"/>
          <w:b w:val="0"/>
          <w:bCs w:val="0"/>
        </w:rPr>
      </w:pPr>
      <w:r>
        <w:rPr>
          <w:rFonts w:ascii="Trebuchet MS" w:hAnsi="Trebuchet MS" w:cs="Trebuchet MS" w:eastAsia="Trebuchet MS" w:hint="default"/>
        </w:rPr>
        <w:t>8</w:t>
      </w:r>
      <w:r>
        <w:rPr>
          <w:rFonts w:ascii="Microsoft JhengHei" w:hAnsi="Microsoft JhengHei" w:cs="Microsoft JhengHei" w:eastAsia="Microsoft JhengHei" w:hint="default"/>
        </w:rPr>
        <w:t>、公司管理方面</w:t>
      </w:r>
      <w:r>
        <w:rPr>
          <w:rFonts w:ascii="Microsoft JhengHei" w:hAnsi="Microsoft JhengHei" w:cs="Microsoft JhengHei" w:eastAsia="Microsoft JhengHei" w:hint="default"/>
          <w:b w:val="0"/>
          <w:bCs w:val="0"/>
        </w:rPr>
      </w:r>
    </w:p>
    <w:p>
      <w:pPr>
        <w:spacing w:line="240" w:lineRule="auto" w:before="12"/>
        <w:rPr>
          <w:rFonts w:ascii="Microsoft JhengHei" w:hAnsi="Microsoft JhengHei" w:cs="Microsoft JhengHei" w:eastAsia="Microsoft JhengHei" w:hint="default"/>
          <w:b/>
          <w:bCs/>
          <w:sz w:val="18"/>
          <w:szCs w:val="18"/>
        </w:rPr>
      </w:pPr>
    </w:p>
    <w:p>
      <w:pPr>
        <w:pStyle w:val="BodyText"/>
        <w:spacing w:line="388" w:lineRule="auto"/>
        <w:ind w:left="154" w:right="1135" w:firstLine="420"/>
        <w:jc w:val="both"/>
      </w:pPr>
      <w:r>
        <w:rPr>
          <w:rFonts w:ascii="Arial" w:hAnsi="Arial" w:cs="Arial" w:eastAsia="Arial" w:hint="default"/>
        </w:rPr>
        <w:t>2015</w:t>
      </w:r>
      <w:r>
        <w:rPr>
          <w:rFonts w:ascii="Arial" w:hAnsi="Arial" w:cs="Arial" w:eastAsia="Arial" w:hint="default"/>
          <w:spacing w:val="16"/>
        </w:rPr>
        <w:t> </w:t>
      </w:r>
      <w:r>
        <w:rPr/>
        <w:t>年，围绕公司转型升级，以“构建能力、提升效率”为核心，持续推进了组织结构调整、人员 结构性优化、强化精细化管理，实施风险控制和成本控制责任落实，使公司运营效率得到有效提升。</w:t>
      </w:r>
    </w:p>
    <w:p>
      <w:pPr>
        <w:spacing w:line="240" w:lineRule="auto" w:before="10"/>
        <w:rPr>
          <w:rFonts w:ascii="宋体" w:hAnsi="宋体" w:cs="宋体" w:eastAsia="宋体" w:hint="default"/>
          <w:sz w:val="16"/>
          <w:szCs w:val="16"/>
        </w:rPr>
      </w:pPr>
    </w:p>
    <w:p>
      <w:pPr>
        <w:pStyle w:val="BodyText"/>
        <w:spacing w:line="408" w:lineRule="auto"/>
        <w:ind w:right="1133" w:firstLine="420"/>
        <w:jc w:val="both"/>
      </w:pPr>
      <w:r>
        <w:rPr>
          <w:spacing w:val="-1"/>
        </w:rPr>
        <w:t>公司通过创新激励模式，积极推进合伙人机制，营造内部创新创业的氛围，以小精专、低成本、高效</w:t>
      </w:r>
      <w:r>
        <w:rPr/>
        <w:t> 率的独立团队进行新兴业务的拓展，使公司的平台业务和供应链金融服务业务得到了快速展开。</w:t>
      </w:r>
    </w:p>
    <w:p>
      <w:pPr>
        <w:spacing w:line="240" w:lineRule="auto" w:before="6"/>
        <w:rPr>
          <w:rFonts w:ascii="宋体" w:hAnsi="宋体" w:cs="宋体" w:eastAsia="宋体" w:hint="default"/>
          <w:sz w:val="15"/>
          <w:szCs w:val="15"/>
        </w:rPr>
      </w:pPr>
    </w:p>
    <w:p>
      <w:pPr>
        <w:pStyle w:val="BodyText"/>
        <w:spacing w:line="408" w:lineRule="auto"/>
        <w:ind w:left="154" w:right="1128" w:firstLine="420"/>
        <w:jc w:val="both"/>
      </w:pPr>
      <w:r>
        <w:rPr/>
        <w:t>公司以“战略目标、经营目标和效率目标”为抓手，成立运营管理委员会，实施对各产业单元</w:t>
      </w:r>
      <w:r>
        <w:rPr>
          <w:spacing w:val="77"/>
        </w:rPr>
        <w:t> </w:t>
      </w:r>
      <w:r>
        <w:rPr/>
        <w:t>“三</w:t>
      </w:r>
      <w:r>
        <w:rPr>
          <w:spacing w:val="2"/>
        </w:rPr>
        <w:t> </w:t>
      </w:r>
      <w:r>
        <w:rPr/>
        <w:t>大目标”的过程管控、精细化运营和考核应用的闭环管理，使公司运营的成本效率提升了</w:t>
      </w:r>
      <w:r>
        <w:rPr>
          <w:spacing w:val="-76"/>
        </w:rPr>
        <w:t> </w:t>
      </w:r>
      <w:r>
        <w:rPr>
          <w:rFonts w:ascii="Arial" w:hAnsi="Arial" w:cs="Arial" w:eastAsia="Arial" w:hint="default"/>
        </w:rPr>
        <w:t>37%</w:t>
      </w:r>
      <w:r>
        <w:rPr/>
        <w:t>。</w:t>
      </w:r>
    </w:p>
    <w:p>
      <w:pPr>
        <w:pStyle w:val="BodyText"/>
        <w:spacing w:line="386" w:lineRule="auto" w:before="24"/>
        <w:ind w:left="154" w:right="1221" w:firstLine="420"/>
        <w:jc w:val="both"/>
      </w:pPr>
      <w:r>
        <w:rPr/>
        <w:t>公司通过多种方式，强化高管和团队的能力培养，</w:t>
      </w:r>
      <w:r>
        <w:rPr>
          <w:rFonts w:ascii="Arial" w:hAnsi="Arial" w:cs="Arial" w:eastAsia="Arial" w:hint="default"/>
        </w:rPr>
        <w:t>2015</w:t>
      </w:r>
      <w:r>
        <w:rPr>
          <w:rFonts w:ascii="Arial" w:hAnsi="Arial" w:cs="Arial" w:eastAsia="Arial" w:hint="default"/>
          <w:spacing w:val="-8"/>
        </w:rPr>
        <w:t> </w:t>
      </w:r>
      <w:r>
        <w:rPr/>
        <w:t>年，爱施德网络大学上线运营，爱施德全体 员工都能通过网络大学实现互联网化的在线教育，促进团队整体素质的有效提高。</w:t>
      </w:r>
    </w:p>
    <w:p>
      <w:pPr>
        <w:pStyle w:val="Heading1"/>
        <w:spacing w:line="505" w:lineRule="exact"/>
        <w:ind w:left="154" w:right="0"/>
        <w:jc w:val="both"/>
        <w:rPr>
          <w:b w:val="0"/>
          <w:bCs w:val="0"/>
        </w:rPr>
      </w:pPr>
      <w:bookmarkStart w:name="3.2 主要资产重大变化情况" w:id="38"/>
      <w:bookmarkEnd w:id="38"/>
      <w:r>
        <w:rPr>
          <w:b w:val="0"/>
          <w:bCs w:val="0"/>
        </w:rPr>
      </w:r>
      <w:bookmarkStart w:name="_bookmark16" w:id="39"/>
      <w:bookmarkEnd w:id="39"/>
      <w:r>
        <w:rPr>
          <w:b w:val="0"/>
          <w:bCs w:val="0"/>
        </w:rPr>
      </w:r>
      <w:r>
        <w:rPr>
          <w:rFonts w:ascii="Trebuchet MS" w:hAnsi="Trebuchet MS" w:cs="Trebuchet MS" w:eastAsia="Trebuchet MS" w:hint="default"/>
        </w:rPr>
        <w:t>3.2</w:t>
      </w:r>
      <w:r>
        <w:rPr>
          <w:rFonts w:ascii="Trebuchet MS" w:hAnsi="Trebuchet MS" w:cs="Trebuchet MS" w:eastAsia="Trebuchet MS" w:hint="default"/>
          <w:spacing w:val="14"/>
        </w:rPr>
        <w:t> </w:t>
      </w:r>
      <w:r>
        <w:rPr/>
        <w:t>主要资产重大变化情况</w:t>
      </w:r>
      <w:r>
        <w:rPr>
          <w:b w:val="0"/>
          <w:bCs w:val="0"/>
        </w:rPr>
      </w:r>
    </w:p>
    <w:p>
      <w:pPr>
        <w:spacing w:line="240" w:lineRule="auto" w:before="1"/>
        <w:rPr>
          <w:rFonts w:ascii="Microsoft JhengHei" w:hAnsi="Microsoft JhengHei" w:cs="Microsoft JhengHei" w:eastAsia="Microsoft JhengHei" w:hint="default"/>
          <w:b/>
          <w:bCs/>
          <w:sz w:val="27"/>
          <w:szCs w:val="27"/>
        </w:rPr>
      </w:pPr>
    </w:p>
    <w:p>
      <w:pPr>
        <w:pStyle w:val="Heading2"/>
        <w:spacing w:line="240" w:lineRule="auto"/>
        <w:ind w:left="154" w:right="0"/>
        <w:jc w:val="both"/>
        <w:rPr>
          <w:b w:val="0"/>
          <w:bCs w:val="0"/>
        </w:rPr>
      </w:pPr>
      <w:bookmarkStart w:name="3.2.1 主要资产重大变化情况" w:id="40"/>
      <w:bookmarkEnd w:id="40"/>
      <w:r>
        <w:rPr>
          <w:b w:val="0"/>
          <w:bCs w:val="0"/>
        </w:rPr>
      </w:r>
      <w:r>
        <w:rPr>
          <w:rFonts w:ascii="Trebuchet MS" w:hAnsi="Trebuchet MS" w:cs="Trebuchet MS" w:eastAsia="Trebuchet MS" w:hint="default"/>
        </w:rPr>
        <w:t>3.2.1</w:t>
      </w:r>
      <w:r>
        <w:rPr>
          <w:rFonts w:ascii="Trebuchet MS" w:hAnsi="Trebuchet MS" w:cs="Trebuchet MS" w:eastAsia="Trebuchet MS" w:hint="default"/>
          <w:spacing w:val="-18"/>
        </w:rPr>
        <w:t> </w:t>
      </w:r>
      <w:r>
        <w:rPr/>
        <w:t>主要资产重大变化情况</w:t>
      </w:r>
      <w:r>
        <w:rPr>
          <w:b w:val="0"/>
          <w:bCs w:val="0"/>
        </w:rPr>
      </w:r>
    </w:p>
    <w:p>
      <w:pPr>
        <w:spacing w:line="240" w:lineRule="auto" w:before="2"/>
        <w:rPr>
          <w:rFonts w:ascii="Microsoft JhengHei" w:hAnsi="Microsoft JhengHei" w:cs="Microsoft JhengHei" w:eastAsia="Microsoft JhengHei" w:hint="default"/>
          <w:b/>
          <w:bCs/>
          <w:sz w:val="27"/>
          <w:szCs w:val="27"/>
        </w:rPr>
      </w:pPr>
    </w:p>
    <w:tbl>
      <w:tblPr>
        <w:tblW w:w="0" w:type="auto"/>
        <w:jc w:val="left"/>
        <w:tblInd w:w="162" w:type="dxa"/>
        <w:tblLayout w:type="fixed"/>
        <w:tblCellMar>
          <w:top w:w="0" w:type="dxa"/>
          <w:left w:w="0" w:type="dxa"/>
          <w:bottom w:w="0" w:type="dxa"/>
          <w:right w:w="0" w:type="dxa"/>
        </w:tblCellMar>
        <w:tblLook w:val="01E0"/>
      </w:tblPr>
      <w:tblGrid>
        <w:gridCol w:w="3031"/>
        <w:gridCol w:w="6511"/>
      </w:tblGrid>
      <w:tr>
        <w:trPr>
          <w:trHeight w:val="186" w:hRule="exact"/>
        </w:trPr>
        <w:tc>
          <w:tcPr>
            <w:tcW w:w="9541" w:type="dxa"/>
            <w:gridSpan w:val="2"/>
            <w:tcBorders>
              <w:top w:val="single" w:sz="4" w:space="0" w:color="5B9BD4"/>
              <w:left w:val="nil" w:sz="6" w:space="0" w:color="auto"/>
              <w:bottom w:val="nil" w:sz="6" w:space="0" w:color="auto"/>
              <w:right w:val="nil" w:sz="6" w:space="0" w:color="auto"/>
            </w:tcBorders>
            <w:shd w:val="clear" w:color="auto" w:fill="DEEAF6"/>
          </w:tcPr>
          <w:p>
            <w:pPr/>
          </w:p>
        </w:tc>
      </w:tr>
      <w:tr>
        <w:trPr>
          <w:trHeight w:val="391" w:hRule="exact"/>
        </w:trPr>
        <w:tc>
          <w:tcPr>
            <w:tcW w:w="3031"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right="5"/>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1"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21"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9541" w:type="dxa"/>
            <w:gridSpan w:val="2"/>
            <w:tcBorders>
              <w:top w:val="nil" w:sz="6" w:space="0" w:color="auto"/>
              <w:left w:val="nil" w:sz="6" w:space="0" w:color="auto"/>
              <w:bottom w:val="single" w:sz="4" w:space="0" w:color="5B9BD4"/>
              <w:right w:val="nil" w:sz="6" w:space="0" w:color="auto"/>
            </w:tcBorders>
            <w:shd w:val="clear" w:color="auto" w:fill="DEEAF6"/>
          </w:tcPr>
          <w:p>
            <w:pPr/>
          </w:p>
        </w:tc>
      </w:tr>
      <w:tr>
        <w:trPr>
          <w:trHeight w:val="403" w:hRule="exact"/>
        </w:trPr>
        <w:tc>
          <w:tcPr>
            <w:tcW w:w="303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1" w:type="dxa"/>
            <w:tcBorders>
              <w:top w:val="single" w:sz="4" w:space="0" w:color="5B9BD4"/>
              <w:left w:val="single" w:sz="12" w:space="0" w:color="DEEAF6"/>
              <w:bottom w:val="single" w:sz="4" w:space="0" w:color="5B9BD4"/>
              <w:right w:val="nil" w:sz="6" w:space="0" w:color="auto"/>
            </w:tcBorders>
          </w:tcPr>
          <w:p>
            <w:pPr>
              <w:pStyle w:val="TableParagraph"/>
              <w:spacing w:line="240" w:lineRule="auto" w:before="47"/>
              <w:ind w:left="20" w:right="0"/>
              <w:jc w:val="left"/>
              <w:rPr>
                <w:rFonts w:ascii="宋体" w:hAnsi="宋体" w:cs="宋体" w:eastAsia="宋体" w:hint="default"/>
                <w:sz w:val="18"/>
                <w:szCs w:val="18"/>
              </w:rPr>
            </w:pPr>
            <w:r>
              <w:rPr>
                <w:rFonts w:ascii="宋体" w:hAnsi="宋体" w:cs="宋体" w:eastAsia="宋体" w:hint="default"/>
                <w:sz w:val="18"/>
                <w:szCs w:val="18"/>
              </w:rPr>
              <w:t>公司股权资产未发生重大变化。</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402" w:hRule="exact"/>
        </w:trPr>
        <w:tc>
          <w:tcPr>
            <w:tcW w:w="305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5B9BD4"/>
              <w:left w:val="nil" w:sz="6" w:space="0" w:color="auto"/>
              <w:bottom w:val="single" w:sz="4" w:space="0" w:color="5B9BD4"/>
              <w:right w:val="nil" w:sz="6" w:space="0" w:color="auto"/>
            </w:tcBorders>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公司固定资产未发生重大变化。</w:t>
            </w:r>
          </w:p>
        </w:tc>
      </w:tr>
      <w:tr>
        <w:trPr>
          <w:trHeight w:val="402" w:hRule="exact"/>
        </w:trPr>
        <w:tc>
          <w:tcPr>
            <w:tcW w:w="305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5B9BD4"/>
              <w:left w:val="nil" w:sz="6" w:space="0" w:color="auto"/>
              <w:bottom w:val="single" w:sz="4" w:space="0" w:color="5B9BD4"/>
              <w:right w:val="nil" w:sz="6" w:space="0" w:color="auto"/>
            </w:tcBorders>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公司无形资产未发生重大变化。</w:t>
            </w:r>
          </w:p>
        </w:tc>
      </w:tr>
      <w:tr>
        <w:trPr>
          <w:trHeight w:val="402" w:hRule="exact"/>
        </w:trPr>
        <w:tc>
          <w:tcPr>
            <w:tcW w:w="305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7" w:type="dxa"/>
            <w:tcBorders>
              <w:top w:val="single" w:sz="4" w:space="0" w:color="5B9BD4"/>
              <w:left w:val="nil" w:sz="6" w:space="0" w:color="auto"/>
              <w:bottom w:val="single" w:sz="4" w:space="0" w:color="5B9BD4"/>
              <w:right w:val="nil" w:sz="6" w:space="0" w:color="auto"/>
            </w:tcBorders>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下属子公司购入中国信贷可转债及股票、新增投资。</w:t>
            </w:r>
          </w:p>
        </w:tc>
      </w:tr>
      <w:tr>
        <w:trPr>
          <w:trHeight w:val="402" w:hRule="exact"/>
        </w:trPr>
        <w:tc>
          <w:tcPr>
            <w:tcW w:w="305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2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7"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27" w:right="0"/>
              <w:jc w:val="left"/>
              <w:rPr>
                <w:rFonts w:ascii="宋体" w:hAnsi="宋体" w:cs="宋体" w:eastAsia="宋体" w:hint="default"/>
                <w:sz w:val="18"/>
                <w:szCs w:val="18"/>
              </w:rPr>
            </w:pPr>
            <w:r>
              <w:rPr>
                <w:rFonts w:ascii="宋体" w:hAnsi="宋体" w:cs="宋体" w:eastAsia="宋体" w:hint="default"/>
                <w:sz w:val="18"/>
                <w:szCs w:val="18"/>
              </w:rPr>
              <w:t>较上期下降</w:t>
            </w:r>
            <w:r>
              <w:rPr>
                <w:rFonts w:ascii="宋体" w:hAnsi="宋体" w:cs="宋体" w:eastAsia="宋体" w:hint="default"/>
                <w:spacing w:val="-70"/>
                <w:sz w:val="18"/>
                <w:szCs w:val="18"/>
              </w:rPr>
              <w:t> </w:t>
            </w:r>
            <w:r>
              <w:rPr>
                <w:rFonts w:ascii="Arial" w:hAnsi="Arial" w:cs="Arial" w:eastAsia="Arial" w:hint="default"/>
                <w:sz w:val="18"/>
                <w:szCs w:val="18"/>
              </w:rPr>
              <w:t>68.75%</w:t>
            </w:r>
            <w:r>
              <w:rPr>
                <w:rFonts w:ascii="宋体" w:hAnsi="宋体" w:cs="宋体" w:eastAsia="宋体" w:hint="default"/>
                <w:sz w:val="18"/>
                <w:szCs w:val="18"/>
              </w:rPr>
              <w:t>，主要系客户以银行承兑汇票结算货款减少所致。</w:t>
            </w:r>
          </w:p>
        </w:tc>
      </w:tr>
      <w:tr>
        <w:trPr>
          <w:trHeight w:val="402" w:hRule="exact"/>
        </w:trPr>
        <w:tc>
          <w:tcPr>
            <w:tcW w:w="305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7" w:type="dxa"/>
            <w:tcBorders>
              <w:top w:val="single" w:sz="4" w:space="0" w:color="5B9BD4"/>
              <w:left w:val="nil" w:sz="6" w:space="0" w:color="auto"/>
              <w:bottom w:val="single" w:sz="4" w:space="0" w:color="5B9BD4"/>
              <w:right w:val="nil" w:sz="6" w:space="0" w:color="auto"/>
            </w:tcBorders>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较上期下降</w:t>
            </w:r>
            <w:r>
              <w:rPr>
                <w:rFonts w:ascii="宋体" w:hAnsi="宋体" w:cs="宋体" w:eastAsia="宋体" w:hint="default"/>
                <w:spacing w:val="-70"/>
                <w:sz w:val="18"/>
                <w:szCs w:val="18"/>
              </w:rPr>
              <w:t> </w:t>
            </w:r>
            <w:r>
              <w:rPr>
                <w:rFonts w:ascii="Arial" w:hAnsi="Arial" w:cs="Arial" w:eastAsia="Arial" w:hint="default"/>
                <w:sz w:val="18"/>
                <w:szCs w:val="18"/>
              </w:rPr>
              <w:t>38.79%</w:t>
            </w:r>
            <w:r>
              <w:rPr>
                <w:rFonts w:ascii="宋体" w:hAnsi="宋体" w:cs="宋体" w:eastAsia="宋体" w:hint="default"/>
                <w:sz w:val="18"/>
                <w:szCs w:val="18"/>
              </w:rPr>
              <w:t>，系加强应收账款管理，加快销售回款。</w:t>
            </w:r>
          </w:p>
        </w:tc>
      </w:tr>
      <w:tr>
        <w:trPr>
          <w:trHeight w:val="402" w:hRule="exact"/>
        </w:trPr>
        <w:tc>
          <w:tcPr>
            <w:tcW w:w="305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5B9BD4"/>
              <w:left w:val="nil" w:sz="6" w:space="0" w:color="auto"/>
              <w:bottom w:val="single" w:sz="4" w:space="0" w:color="5B9BD4"/>
              <w:right w:val="nil" w:sz="6" w:space="0" w:color="auto"/>
            </w:tcBorders>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较上期增长</w:t>
            </w:r>
            <w:r>
              <w:rPr>
                <w:rFonts w:ascii="宋体" w:hAnsi="宋体" w:cs="宋体" w:eastAsia="宋体" w:hint="default"/>
                <w:spacing w:val="-70"/>
                <w:sz w:val="18"/>
                <w:szCs w:val="18"/>
              </w:rPr>
              <w:t> </w:t>
            </w:r>
            <w:r>
              <w:rPr>
                <w:rFonts w:ascii="Arial" w:hAnsi="Arial" w:cs="Arial" w:eastAsia="Arial" w:hint="default"/>
                <w:sz w:val="18"/>
                <w:szCs w:val="18"/>
              </w:rPr>
              <w:t>30.97%</w:t>
            </w:r>
            <w:r>
              <w:rPr>
                <w:rFonts w:ascii="宋体" w:hAnsi="宋体" w:cs="宋体" w:eastAsia="宋体" w:hint="default"/>
                <w:sz w:val="18"/>
                <w:szCs w:val="18"/>
              </w:rPr>
              <w:t>，系产品结构发生变化，单位价格较高的存货增加。</w:t>
            </w:r>
          </w:p>
        </w:tc>
      </w:tr>
    </w:tbl>
    <w:p>
      <w:pPr>
        <w:spacing w:line="240" w:lineRule="auto" w:before="4"/>
        <w:rPr>
          <w:rFonts w:ascii="Microsoft JhengHei" w:hAnsi="Microsoft JhengHei" w:cs="Microsoft JhengHei" w:eastAsia="Microsoft JhengHei" w:hint="default"/>
          <w:b/>
          <w:bCs/>
          <w:sz w:val="23"/>
          <w:szCs w:val="23"/>
        </w:rPr>
      </w:pPr>
    </w:p>
    <w:p>
      <w:pPr>
        <w:spacing w:line="348" w:lineRule="exact" w:before="0"/>
        <w:ind w:left="154" w:right="0" w:firstLine="0"/>
        <w:jc w:val="left"/>
        <w:rPr>
          <w:rFonts w:ascii="Microsoft JhengHei" w:hAnsi="Microsoft JhengHei" w:cs="Microsoft JhengHei" w:eastAsia="Microsoft JhengHei" w:hint="default"/>
          <w:sz w:val="24"/>
          <w:szCs w:val="24"/>
        </w:rPr>
      </w:pPr>
      <w:bookmarkStart w:name="3.2.2 主要境外资产情况" w:id="41"/>
      <w:bookmarkEnd w:id="41"/>
      <w:r>
        <w:rPr/>
      </w:r>
      <w:r>
        <w:rPr>
          <w:rFonts w:ascii="Trebuchet MS" w:hAnsi="Trebuchet MS" w:cs="Trebuchet MS" w:eastAsia="Trebuchet MS" w:hint="default"/>
          <w:b/>
          <w:bCs/>
          <w:sz w:val="24"/>
          <w:szCs w:val="24"/>
        </w:rPr>
        <w:t>3.2.2</w:t>
      </w:r>
      <w:r>
        <w:rPr>
          <w:rFonts w:ascii="Trebuchet MS" w:hAnsi="Trebuchet MS" w:cs="Trebuchet MS" w:eastAsia="Trebuchet MS" w:hint="default"/>
          <w:b/>
          <w:bCs/>
          <w:spacing w:val="-18"/>
          <w:sz w:val="24"/>
          <w:szCs w:val="24"/>
        </w:rPr>
        <w:t> </w:t>
      </w:r>
      <w:r>
        <w:rPr>
          <w:rFonts w:ascii="Microsoft JhengHei" w:hAnsi="Microsoft JhengHei" w:cs="Microsoft JhengHei" w:eastAsia="Microsoft JhengHei" w:hint="default"/>
          <w:b/>
          <w:bCs/>
          <w:sz w:val="24"/>
          <w:szCs w:val="24"/>
        </w:rPr>
        <w:t>主要境外资产情况</w:t>
      </w:r>
      <w:r>
        <w:rPr>
          <w:rFonts w:ascii="Microsoft JhengHei" w:hAnsi="Microsoft JhengHei" w:cs="Microsoft JhengHei" w:eastAsia="Microsoft JhengHei" w:hint="default"/>
          <w:sz w:val="24"/>
          <w:szCs w:val="24"/>
        </w:rPr>
      </w:r>
    </w:p>
    <w:p>
      <w:pPr>
        <w:spacing w:line="240" w:lineRule="auto" w:before="9"/>
        <w:rPr>
          <w:rFonts w:ascii="Microsoft JhengHei" w:hAnsi="Microsoft JhengHei" w:cs="Microsoft JhengHei" w:eastAsia="Microsoft JhengHei"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037"/>
        <w:gridCol w:w="1083"/>
        <w:gridCol w:w="1050"/>
        <w:gridCol w:w="1078"/>
        <w:gridCol w:w="1071"/>
        <w:gridCol w:w="1050"/>
        <w:gridCol w:w="1078"/>
        <w:gridCol w:w="1048"/>
        <w:gridCol w:w="1047"/>
      </w:tblGrid>
      <w:tr>
        <w:trPr>
          <w:trHeight w:val="161" w:hRule="exact"/>
        </w:trPr>
        <w:tc>
          <w:tcPr>
            <w:tcW w:w="1037" w:type="dxa"/>
            <w:tcBorders>
              <w:top w:val="single" w:sz="4" w:space="0" w:color="5B9BD4"/>
              <w:left w:val="nil" w:sz="6" w:space="0" w:color="auto"/>
              <w:bottom w:val="nil" w:sz="6" w:space="0" w:color="auto"/>
              <w:right w:val="nil" w:sz="6" w:space="0" w:color="auto"/>
            </w:tcBorders>
            <w:shd w:val="clear" w:color="auto" w:fill="DEEAF6"/>
          </w:tcPr>
          <w:p>
            <w:pPr/>
          </w:p>
        </w:tc>
        <w:tc>
          <w:tcPr>
            <w:tcW w:w="4283" w:type="dxa"/>
            <w:gridSpan w:val="4"/>
            <w:vMerge w:val="restart"/>
            <w:tcBorders>
              <w:top w:val="single" w:sz="4" w:space="0" w:color="5B9BD4"/>
              <w:left w:val="nil" w:sz="6" w:space="0" w:color="auto"/>
              <w:right w:val="nil" w:sz="6" w:space="0" w:color="auto"/>
            </w:tcBorders>
            <w:shd w:val="clear" w:color="auto" w:fill="DEEAF6"/>
          </w:tcPr>
          <w:p>
            <w:pPr/>
          </w:p>
        </w:tc>
        <w:tc>
          <w:tcPr>
            <w:tcW w:w="1050"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6"/>
              <w:ind w:left="67" w:right="80"/>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78" w:type="dxa"/>
            <w:vMerge w:val="restart"/>
            <w:tcBorders>
              <w:top w:val="single" w:sz="4" w:space="0" w:color="5B9BD4"/>
              <w:left w:val="nil" w:sz="6" w:space="0" w:color="auto"/>
              <w:right w:val="nil" w:sz="6" w:space="0" w:color="auto"/>
            </w:tcBorders>
            <w:shd w:val="clear" w:color="auto" w:fill="DEEAF6"/>
          </w:tcPr>
          <w:p>
            <w:pPr/>
          </w:p>
        </w:tc>
        <w:tc>
          <w:tcPr>
            <w:tcW w:w="1048"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6"/>
              <w:ind w:left="66" w:right="79"/>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47" w:type="dxa"/>
            <w:tcBorders>
              <w:top w:val="single" w:sz="4" w:space="0" w:color="5B9BD4"/>
              <w:left w:val="nil" w:sz="6" w:space="0" w:color="auto"/>
              <w:bottom w:val="nil" w:sz="6" w:space="0" w:color="auto"/>
              <w:right w:val="nil" w:sz="6" w:space="0" w:color="auto"/>
            </w:tcBorders>
            <w:shd w:val="clear" w:color="auto" w:fill="DEEAF6"/>
          </w:tcPr>
          <w:p>
            <w:pPr/>
          </w:p>
        </w:tc>
      </w:tr>
      <w:tr>
        <w:trPr>
          <w:trHeight w:val="156" w:hRule="exact"/>
        </w:trPr>
        <w:tc>
          <w:tcPr>
            <w:tcW w:w="1037"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337" w:right="66" w:hanging="270"/>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4283" w:type="dxa"/>
            <w:gridSpan w:val="4"/>
            <w:vMerge/>
            <w:tcBorders>
              <w:left w:val="nil" w:sz="6" w:space="0" w:color="auto"/>
              <w:bottom w:val="nil" w:sz="6" w:space="0" w:color="auto"/>
              <w:right w:val="nil" w:sz="6" w:space="0" w:color="auto"/>
            </w:tcBorders>
            <w:shd w:val="clear" w:color="auto" w:fill="DEEAF6"/>
          </w:tcPr>
          <w:p>
            <w:pPr/>
          </w:p>
        </w:tc>
        <w:tc>
          <w:tcPr>
            <w:tcW w:w="1050" w:type="dxa"/>
            <w:vMerge/>
            <w:tcBorders>
              <w:left w:val="nil" w:sz="6" w:space="0" w:color="auto"/>
              <w:right w:val="nil" w:sz="6" w:space="0" w:color="auto"/>
            </w:tcBorders>
            <w:shd w:val="clear" w:color="auto" w:fill="DEEAF6"/>
          </w:tcPr>
          <w:p>
            <w:pPr/>
          </w:p>
        </w:tc>
        <w:tc>
          <w:tcPr>
            <w:tcW w:w="1078" w:type="dxa"/>
            <w:vMerge/>
            <w:tcBorders>
              <w:left w:val="nil" w:sz="6" w:space="0" w:color="auto"/>
              <w:bottom w:val="nil" w:sz="6" w:space="0" w:color="auto"/>
              <w:right w:val="nil" w:sz="6" w:space="0" w:color="auto"/>
            </w:tcBorders>
            <w:shd w:val="clear" w:color="auto" w:fill="DEEAF6"/>
          </w:tcPr>
          <w:p>
            <w:pPr/>
          </w:p>
        </w:tc>
        <w:tc>
          <w:tcPr>
            <w:tcW w:w="1048" w:type="dxa"/>
            <w:vMerge/>
            <w:tcBorders>
              <w:left w:val="nil" w:sz="6" w:space="0" w:color="auto"/>
              <w:right w:val="nil" w:sz="6" w:space="0" w:color="auto"/>
            </w:tcBorders>
            <w:shd w:val="clear" w:color="auto" w:fill="DEEAF6"/>
          </w:tcPr>
          <w:p>
            <w:pPr/>
          </w:p>
        </w:tc>
        <w:tc>
          <w:tcPr>
            <w:tcW w:w="1047"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80" w:right="64"/>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392" w:hRule="exact"/>
        </w:trPr>
        <w:tc>
          <w:tcPr>
            <w:tcW w:w="1037" w:type="dxa"/>
            <w:vMerge/>
            <w:tcBorders>
              <w:left w:val="nil" w:sz="6" w:space="0" w:color="auto"/>
              <w:right w:val="nil" w:sz="6" w:space="0" w:color="auto"/>
            </w:tcBorders>
            <w:shd w:val="clear" w:color="auto" w:fill="DEEAF6"/>
          </w:tcPr>
          <w:p>
            <w:pPr/>
          </w:p>
        </w:tc>
        <w:tc>
          <w:tcPr>
            <w:tcW w:w="1083"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184"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50"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165"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078"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269"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71"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164"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50" w:type="dxa"/>
            <w:vMerge/>
            <w:tcBorders>
              <w:left w:val="nil" w:sz="6" w:space="0" w:color="auto"/>
              <w:right w:val="nil" w:sz="6" w:space="0" w:color="auto"/>
            </w:tcBorders>
            <w:shd w:val="clear" w:color="auto" w:fill="DEEAF6"/>
          </w:tcPr>
          <w:p>
            <w:pPr/>
          </w:p>
        </w:tc>
        <w:tc>
          <w:tcPr>
            <w:tcW w:w="1078"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172"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48" w:type="dxa"/>
            <w:vMerge/>
            <w:tcBorders>
              <w:left w:val="nil" w:sz="6" w:space="0" w:color="auto"/>
              <w:right w:val="nil" w:sz="6" w:space="0" w:color="auto"/>
            </w:tcBorders>
            <w:shd w:val="clear" w:color="auto" w:fill="DEEAF6"/>
          </w:tcPr>
          <w:p>
            <w:pPr/>
          </w:p>
        </w:tc>
        <w:tc>
          <w:tcPr>
            <w:tcW w:w="1047" w:type="dxa"/>
            <w:vMerge/>
            <w:tcBorders>
              <w:left w:val="nil" w:sz="6" w:space="0" w:color="auto"/>
              <w:right w:val="nil" w:sz="6" w:space="0" w:color="auto"/>
            </w:tcBorders>
            <w:shd w:val="clear" w:color="auto" w:fill="DEEAF6"/>
          </w:tcPr>
          <w:p>
            <w:pPr/>
          </w:p>
        </w:tc>
      </w:tr>
      <w:tr>
        <w:trPr>
          <w:trHeight w:val="156" w:hRule="exact"/>
        </w:trPr>
        <w:tc>
          <w:tcPr>
            <w:tcW w:w="1037" w:type="dxa"/>
            <w:vMerge/>
            <w:tcBorders>
              <w:left w:val="nil" w:sz="6" w:space="0" w:color="auto"/>
              <w:bottom w:val="nil" w:sz="6" w:space="0" w:color="auto"/>
              <w:right w:val="nil" w:sz="6" w:space="0" w:color="auto"/>
            </w:tcBorders>
            <w:shd w:val="clear" w:color="auto" w:fill="DEEAF6"/>
          </w:tcPr>
          <w:p>
            <w:pPr/>
          </w:p>
        </w:tc>
        <w:tc>
          <w:tcPr>
            <w:tcW w:w="4283" w:type="dxa"/>
            <w:gridSpan w:val="4"/>
            <w:vMerge w:val="restart"/>
            <w:tcBorders>
              <w:top w:val="nil" w:sz="6" w:space="0" w:color="auto"/>
              <w:left w:val="nil" w:sz="6" w:space="0" w:color="auto"/>
              <w:right w:val="nil" w:sz="6" w:space="0" w:color="auto"/>
            </w:tcBorders>
            <w:shd w:val="clear" w:color="auto" w:fill="DEEAF6"/>
          </w:tcPr>
          <w:p>
            <w:pPr/>
          </w:p>
        </w:tc>
        <w:tc>
          <w:tcPr>
            <w:tcW w:w="1050" w:type="dxa"/>
            <w:vMerge/>
            <w:tcBorders>
              <w:left w:val="nil" w:sz="6" w:space="0" w:color="auto"/>
              <w:right w:val="nil" w:sz="6" w:space="0" w:color="auto"/>
            </w:tcBorders>
            <w:shd w:val="clear" w:color="auto" w:fill="DEEAF6"/>
          </w:tcPr>
          <w:p>
            <w:pPr/>
          </w:p>
        </w:tc>
        <w:tc>
          <w:tcPr>
            <w:tcW w:w="1078" w:type="dxa"/>
            <w:vMerge w:val="restart"/>
            <w:tcBorders>
              <w:top w:val="nil" w:sz="6" w:space="0" w:color="auto"/>
              <w:left w:val="nil" w:sz="6" w:space="0" w:color="auto"/>
              <w:right w:val="nil" w:sz="6" w:space="0" w:color="auto"/>
            </w:tcBorders>
            <w:shd w:val="clear" w:color="auto" w:fill="DEEAF6"/>
          </w:tcPr>
          <w:p>
            <w:pPr/>
          </w:p>
        </w:tc>
        <w:tc>
          <w:tcPr>
            <w:tcW w:w="1048" w:type="dxa"/>
            <w:vMerge/>
            <w:tcBorders>
              <w:left w:val="nil" w:sz="6" w:space="0" w:color="auto"/>
              <w:right w:val="nil" w:sz="6" w:space="0" w:color="auto"/>
            </w:tcBorders>
            <w:shd w:val="clear" w:color="auto" w:fill="DEEAF6"/>
          </w:tcPr>
          <w:p>
            <w:pPr/>
          </w:p>
        </w:tc>
        <w:tc>
          <w:tcPr>
            <w:tcW w:w="1047" w:type="dxa"/>
            <w:vMerge/>
            <w:tcBorders>
              <w:left w:val="nil" w:sz="6" w:space="0" w:color="auto"/>
              <w:bottom w:val="nil" w:sz="6" w:space="0" w:color="auto"/>
              <w:right w:val="nil" w:sz="6" w:space="0" w:color="auto"/>
            </w:tcBorders>
            <w:shd w:val="clear" w:color="auto" w:fill="DEEAF6"/>
          </w:tcPr>
          <w:p>
            <w:pPr/>
          </w:p>
        </w:tc>
      </w:tr>
      <w:tr>
        <w:trPr>
          <w:trHeight w:val="156" w:hRule="exact"/>
        </w:trPr>
        <w:tc>
          <w:tcPr>
            <w:tcW w:w="1037" w:type="dxa"/>
            <w:tcBorders>
              <w:top w:val="nil" w:sz="6" w:space="0" w:color="auto"/>
              <w:left w:val="nil" w:sz="6" w:space="0" w:color="auto"/>
              <w:bottom w:val="single" w:sz="4" w:space="0" w:color="5B9BD4"/>
              <w:right w:val="nil" w:sz="6" w:space="0" w:color="auto"/>
            </w:tcBorders>
            <w:shd w:val="clear" w:color="auto" w:fill="DEEAF6"/>
          </w:tcPr>
          <w:p>
            <w:pPr/>
          </w:p>
        </w:tc>
        <w:tc>
          <w:tcPr>
            <w:tcW w:w="4283" w:type="dxa"/>
            <w:gridSpan w:val="4"/>
            <w:vMerge/>
            <w:tcBorders>
              <w:left w:val="nil" w:sz="6" w:space="0" w:color="auto"/>
              <w:bottom w:val="single" w:sz="4" w:space="0" w:color="5B9BD4"/>
              <w:right w:val="nil" w:sz="6" w:space="0" w:color="auto"/>
            </w:tcBorders>
            <w:shd w:val="clear" w:color="auto" w:fill="DEEAF6"/>
          </w:tcPr>
          <w:p>
            <w:pPr/>
          </w:p>
        </w:tc>
        <w:tc>
          <w:tcPr>
            <w:tcW w:w="1050" w:type="dxa"/>
            <w:vMerge/>
            <w:tcBorders>
              <w:left w:val="nil" w:sz="6" w:space="0" w:color="auto"/>
              <w:bottom w:val="single" w:sz="4" w:space="0" w:color="5B9BD4"/>
              <w:right w:val="nil" w:sz="6" w:space="0" w:color="auto"/>
            </w:tcBorders>
            <w:shd w:val="clear" w:color="auto" w:fill="DEEAF6"/>
          </w:tcPr>
          <w:p>
            <w:pPr/>
          </w:p>
        </w:tc>
        <w:tc>
          <w:tcPr>
            <w:tcW w:w="1078" w:type="dxa"/>
            <w:vMerge/>
            <w:tcBorders>
              <w:left w:val="nil" w:sz="6" w:space="0" w:color="auto"/>
              <w:bottom w:val="single" w:sz="4" w:space="0" w:color="5B9BD4"/>
              <w:right w:val="nil" w:sz="6" w:space="0" w:color="auto"/>
            </w:tcBorders>
            <w:shd w:val="clear" w:color="auto" w:fill="DEEAF6"/>
          </w:tcPr>
          <w:p>
            <w:pPr/>
          </w:p>
        </w:tc>
        <w:tc>
          <w:tcPr>
            <w:tcW w:w="1048" w:type="dxa"/>
            <w:vMerge/>
            <w:tcBorders>
              <w:left w:val="nil" w:sz="6" w:space="0" w:color="auto"/>
              <w:bottom w:val="single" w:sz="4" w:space="0" w:color="5B9BD4"/>
              <w:right w:val="nil" w:sz="6" w:space="0" w:color="auto"/>
            </w:tcBorders>
            <w:shd w:val="clear" w:color="auto" w:fill="DEEAF6"/>
          </w:tcPr>
          <w:p>
            <w:pPr/>
          </w:p>
        </w:tc>
        <w:tc>
          <w:tcPr>
            <w:tcW w:w="1047" w:type="dxa"/>
            <w:tcBorders>
              <w:top w:val="nil" w:sz="6" w:space="0" w:color="auto"/>
              <w:left w:val="nil" w:sz="6" w:space="0" w:color="auto"/>
              <w:bottom w:val="single" w:sz="4" w:space="0" w:color="5B9BD4"/>
              <w:right w:val="nil" w:sz="6" w:space="0" w:color="auto"/>
            </w:tcBorders>
            <w:shd w:val="clear" w:color="auto" w:fill="DEEAF6"/>
          </w:tcPr>
          <w:p>
            <w:pPr/>
          </w:p>
        </w:tc>
      </w:tr>
      <w:tr>
        <w:trPr>
          <w:trHeight w:val="166" w:hRule="exact"/>
        </w:trPr>
        <w:tc>
          <w:tcPr>
            <w:tcW w:w="1037"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51"/>
              <w:ind w:left="13" w:right="120"/>
              <w:jc w:val="left"/>
              <w:rPr>
                <w:rFonts w:ascii="宋体" w:hAnsi="宋体" w:cs="宋体" w:eastAsia="宋体" w:hint="default"/>
                <w:sz w:val="18"/>
                <w:szCs w:val="18"/>
              </w:rPr>
            </w:pPr>
            <w:r>
              <w:rPr>
                <w:rFonts w:ascii="宋体" w:hAnsi="宋体" w:cs="宋体" w:eastAsia="宋体" w:hint="default"/>
                <w:sz w:val="18"/>
                <w:szCs w:val="18"/>
              </w:rPr>
              <w:t>可供出售金 融资产</w:t>
            </w:r>
          </w:p>
        </w:tc>
        <w:tc>
          <w:tcPr>
            <w:tcW w:w="1083" w:type="dxa"/>
            <w:vMerge w:val="restart"/>
            <w:tcBorders>
              <w:top w:val="single" w:sz="4" w:space="0" w:color="5B9BD4"/>
              <w:left w:val="single" w:sz="12" w:space="0" w:color="DEEAF6"/>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50" w:type="dxa"/>
            <w:tcBorders>
              <w:top w:val="single" w:sz="4" w:space="0" w:color="5B9BD4"/>
              <w:left w:val="nil" w:sz="6" w:space="0" w:color="auto"/>
              <w:bottom w:val="nil" w:sz="6" w:space="0" w:color="auto"/>
              <w:right w:val="nil" w:sz="6" w:space="0" w:color="auto"/>
            </w:tcBorders>
            <w:shd w:val="clear" w:color="auto" w:fill="DEEAF6"/>
          </w:tcPr>
          <w:p>
            <w:pPr/>
          </w:p>
        </w:tc>
        <w:tc>
          <w:tcPr>
            <w:tcW w:w="1078" w:type="dxa"/>
            <w:vMerge w:val="restart"/>
            <w:tcBorders>
              <w:top w:val="single" w:sz="4" w:space="0" w:color="5B9BD4"/>
              <w:left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71" w:type="dxa"/>
            <w:tcBorders>
              <w:top w:val="single" w:sz="4" w:space="0" w:color="5B9BD4"/>
              <w:left w:val="nil" w:sz="6" w:space="0" w:color="auto"/>
              <w:bottom w:val="nil" w:sz="6" w:space="0" w:color="auto"/>
              <w:right w:val="nil" w:sz="6" w:space="0" w:color="auto"/>
            </w:tcBorders>
            <w:shd w:val="clear" w:color="auto" w:fill="DEEAF6"/>
          </w:tcPr>
          <w:p>
            <w:pPr/>
          </w:p>
        </w:tc>
        <w:tc>
          <w:tcPr>
            <w:tcW w:w="1050" w:type="dxa"/>
            <w:vMerge w:val="restart"/>
            <w:tcBorders>
              <w:top w:val="single" w:sz="4" w:space="0" w:color="5B9BD4"/>
              <w:left w:val="nil" w:sz="6" w:space="0" w:color="auto"/>
              <w:right w:val="nil" w:sz="6" w:space="0" w:color="auto"/>
            </w:tcBorders>
          </w:tcPr>
          <w:p>
            <w:pPr>
              <w:pStyle w:val="TableParagraph"/>
              <w:spacing w:line="316" w:lineRule="auto" w:before="51"/>
              <w:ind w:left="13" w:right="134"/>
              <w:jc w:val="left"/>
              <w:rPr>
                <w:rFonts w:ascii="宋体" w:hAnsi="宋体" w:cs="宋体" w:eastAsia="宋体" w:hint="default"/>
                <w:sz w:val="18"/>
                <w:szCs w:val="18"/>
              </w:rPr>
            </w:pPr>
            <w:r>
              <w:rPr>
                <w:rFonts w:ascii="宋体" w:hAnsi="宋体" w:cs="宋体" w:eastAsia="宋体" w:hint="default"/>
                <w:sz w:val="18"/>
                <w:szCs w:val="18"/>
              </w:rPr>
              <w:t>系统监控及 实时查询</w:t>
            </w:r>
          </w:p>
        </w:tc>
        <w:tc>
          <w:tcPr>
            <w:tcW w:w="1078" w:type="dxa"/>
            <w:tcBorders>
              <w:top w:val="single" w:sz="4" w:space="0" w:color="5B9BD4"/>
              <w:left w:val="nil" w:sz="6" w:space="0" w:color="auto"/>
              <w:bottom w:val="nil" w:sz="6" w:space="0" w:color="auto"/>
              <w:right w:val="nil" w:sz="6" w:space="0" w:color="auto"/>
            </w:tcBorders>
            <w:shd w:val="clear" w:color="auto" w:fill="DEEAF6"/>
          </w:tcPr>
          <w:p>
            <w:pPr/>
          </w:p>
        </w:tc>
        <w:tc>
          <w:tcPr>
            <w:tcW w:w="1048"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31" w:right="0"/>
              <w:jc w:val="left"/>
              <w:rPr>
                <w:rFonts w:ascii="Arial" w:hAnsi="Arial" w:cs="Arial" w:eastAsia="Arial" w:hint="default"/>
                <w:sz w:val="18"/>
                <w:szCs w:val="18"/>
              </w:rPr>
            </w:pPr>
            <w:r>
              <w:rPr>
                <w:rFonts w:ascii="Arial"/>
                <w:w w:val="95"/>
                <w:sz w:val="18"/>
              </w:rPr>
              <w:t>14.15%</w:t>
            </w:r>
            <w:r>
              <w:rPr>
                <w:rFonts w:ascii="Arial"/>
                <w:sz w:val="18"/>
              </w:rPr>
            </w:r>
          </w:p>
        </w:tc>
        <w:tc>
          <w:tcPr>
            <w:tcW w:w="1047" w:type="dxa"/>
            <w:tcBorders>
              <w:top w:val="single" w:sz="4" w:space="0" w:color="5B9BD4"/>
              <w:left w:val="nil" w:sz="6" w:space="0" w:color="auto"/>
              <w:bottom w:val="nil" w:sz="6" w:space="0" w:color="auto"/>
              <w:right w:val="nil" w:sz="6" w:space="0" w:color="auto"/>
            </w:tcBorders>
            <w:shd w:val="clear" w:color="auto" w:fill="DEEAF6"/>
          </w:tcPr>
          <w:p>
            <w:pPr/>
          </w:p>
        </w:tc>
      </w:tr>
      <w:tr>
        <w:trPr>
          <w:trHeight w:val="392" w:hRule="exact"/>
        </w:trPr>
        <w:tc>
          <w:tcPr>
            <w:tcW w:w="1037" w:type="dxa"/>
            <w:vMerge/>
            <w:tcBorders>
              <w:left w:val="nil" w:sz="6" w:space="0" w:color="auto"/>
              <w:right w:val="nil" w:sz="6" w:space="0" w:color="auto"/>
            </w:tcBorders>
            <w:shd w:val="clear" w:color="auto" w:fill="DEEAF6"/>
          </w:tcPr>
          <w:p>
            <w:pPr/>
          </w:p>
        </w:tc>
        <w:tc>
          <w:tcPr>
            <w:tcW w:w="1083" w:type="dxa"/>
            <w:vMerge/>
            <w:tcBorders>
              <w:left w:val="single" w:sz="12" w:space="0" w:color="DEEAF6"/>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199" w:right="0"/>
              <w:jc w:val="left"/>
              <w:rPr>
                <w:rFonts w:ascii="宋体" w:hAnsi="宋体" w:cs="宋体" w:eastAsia="宋体" w:hint="default"/>
                <w:sz w:val="18"/>
                <w:szCs w:val="18"/>
              </w:rPr>
            </w:pPr>
            <w:r>
              <w:rPr>
                <w:rFonts w:ascii="Arial" w:hAnsi="Arial" w:cs="Arial" w:eastAsia="Arial" w:hint="default"/>
                <w:sz w:val="18"/>
                <w:szCs w:val="18"/>
              </w:rPr>
              <w:t>6.32</w:t>
            </w:r>
            <w:r>
              <w:rPr>
                <w:rFonts w:ascii="Arial" w:hAnsi="Arial" w:cs="Arial" w:eastAsia="Arial" w:hint="default"/>
                <w:spacing w:val="-8"/>
                <w:sz w:val="18"/>
                <w:szCs w:val="18"/>
              </w:rPr>
              <w:t> </w:t>
            </w:r>
            <w:r>
              <w:rPr>
                <w:rFonts w:ascii="宋体" w:hAnsi="宋体" w:cs="宋体" w:eastAsia="宋体" w:hint="default"/>
                <w:sz w:val="18"/>
                <w:szCs w:val="18"/>
              </w:rPr>
              <w:t>亿元</w:t>
            </w:r>
          </w:p>
        </w:tc>
        <w:tc>
          <w:tcPr>
            <w:tcW w:w="1078" w:type="dxa"/>
            <w:vMerge/>
            <w:tcBorders>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20" w:right="0"/>
              <w:jc w:val="left"/>
              <w:rPr>
                <w:rFonts w:ascii="宋体" w:hAnsi="宋体" w:cs="宋体" w:eastAsia="宋体" w:hint="default"/>
                <w:sz w:val="18"/>
                <w:szCs w:val="18"/>
              </w:rPr>
            </w:pPr>
            <w:r>
              <w:rPr>
                <w:rFonts w:ascii="宋体" w:hAnsi="宋体" w:cs="宋体" w:eastAsia="宋体" w:hint="default"/>
                <w:sz w:val="18"/>
                <w:szCs w:val="18"/>
              </w:rPr>
              <w:t>持有</w:t>
            </w:r>
          </w:p>
        </w:tc>
        <w:tc>
          <w:tcPr>
            <w:tcW w:w="1050" w:type="dxa"/>
            <w:vMerge/>
            <w:tcBorders>
              <w:left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良好</w:t>
            </w:r>
          </w:p>
        </w:tc>
        <w:tc>
          <w:tcPr>
            <w:tcW w:w="1048" w:type="dxa"/>
            <w:vMerge/>
            <w:tcBorders>
              <w:left w:val="nil" w:sz="6" w:space="0" w:color="auto"/>
              <w:right w:val="nil" w:sz="6" w:space="0" w:color="auto"/>
            </w:tcBorders>
          </w:tcPr>
          <w:p>
            <w:pPr/>
          </w:p>
        </w:tc>
        <w:tc>
          <w:tcPr>
            <w:tcW w:w="1047"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037" w:type="dxa"/>
            <w:vMerge/>
            <w:tcBorders>
              <w:left w:val="nil" w:sz="6" w:space="0" w:color="auto"/>
              <w:bottom w:val="single" w:sz="4" w:space="0" w:color="5B9BD4"/>
              <w:right w:val="nil" w:sz="6" w:space="0" w:color="auto"/>
            </w:tcBorders>
            <w:shd w:val="clear" w:color="auto" w:fill="DEEAF6"/>
          </w:tcPr>
          <w:p>
            <w:pPr/>
          </w:p>
        </w:tc>
        <w:tc>
          <w:tcPr>
            <w:tcW w:w="1083" w:type="dxa"/>
            <w:vMerge/>
            <w:tcBorders>
              <w:left w:val="single" w:sz="12" w:space="0" w:color="DEEAF6"/>
              <w:bottom w:val="single" w:sz="4" w:space="0" w:color="5B9BD4"/>
              <w:right w:val="nil" w:sz="6" w:space="0" w:color="auto"/>
            </w:tcBorders>
          </w:tcPr>
          <w:p>
            <w:pPr/>
          </w:p>
        </w:tc>
        <w:tc>
          <w:tcPr>
            <w:tcW w:w="2128" w:type="dxa"/>
            <w:gridSpan w:val="2"/>
            <w:tcBorders>
              <w:top w:val="nil" w:sz="6" w:space="0" w:color="auto"/>
              <w:left w:val="nil" w:sz="6" w:space="0" w:color="auto"/>
              <w:bottom w:val="single" w:sz="4" w:space="0" w:color="5B9BD4"/>
              <w:right w:val="nil" w:sz="6" w:space="0" w:color="auto"/>
            </w:tcBorders>
            <w:shd w:val="clear" w:color="auto" w:fill="DEEAF6"/>
          </w:tcPr>
          <w:p>
            <w:pPr/>
          </w:p>
        </w:tc>
        <w:tc>
          <w:tcPr>
            <w:tcW w:w="1071" w:type="dxa"/>
            <w:tcBorders>
              <w:top w:val="nil" w:sz="6" w:space="0" w:color="auto"/>
              <w:left w:val="nil" w:sz="6" w:space="0" w:color="auto"/>
              <w:bottom w:val="single" w:sz="4" w:space="0" w:color="5B9BD4"/>
              <w:right w:val="nil" w:sz="6" w:space="0" w:color="auto"/>
            </w:tcBorders>
            <w:shd w:val="clear" w:color="auto" w:fill="DEEAF6"/>
          </w:tcPr>
          <w:p>
            <w:pPr/>
          </w:p>
        </w:tc>
        <w:tc>
          <w:tcPr>
            <w:tcW w:w="1050" w:type="dxa"/>
            <w:vMerge/>
            <w:tcBorders>
              <w:left w:val="nil" w:sz="6" w:space="0" w:color="auto"/>
              <w:bottom w:val="single" w:sz="4" w:space="0" w:color="5B9BD4"/>
              <w:right w:val="nil" w:sz="6" w:space="0" w:color="auto"/>
            </w:tcBorders>
          </w:tcPr>
          <w:p>
            <w:pPr/>
          </w:p>
        </w:tc>
        <w:tc>
          <w:tcPr>
            <w:tcW w:w="1078" w:type="dxa"/>
            <w:tcBorders>
              <w:top w:val="nil" w:sz="6" w:space="0" w:color="auto"/>
              <w:left w:val="nil" w:sz="6" w:space="0" w:color="auto"/>
              <w:bottom w:val="single" w:sz="4" w:space="0" w:color="5B9BD4"/>
              <w:right w:val="nil" w:sz="6" w:space="0" w:color="auto"/>
            </w:tcBorders>
            <w:shd w:val="clear" w:color="auto" w:fill="DEEAF6"/>
          </w:tcPr>
          <w:p>
            <w:pPr/>
          </w:p>
        </w:tc>
        <w:tc>
          <w:tcPr>
            <w:tcW w:w="1048" w:type="dxa"/>
            <w:vMerge/>
            <w:tcBorders>
              <w:left w:val="nil" w:sz="6" w:space="0" w:color="auto"/>
              <w:bottom w:val="single" w:sz="4" w:space="0" w:color="5B9BD4"/>
              <w:right w:val="nil" w:sz="6" w:space="0" w:color="auto"/>
            </w:tcBorders>
          </w:tcPr>
          <w:p>
            <w:pPr/>
          </w:p>
        </w:tc>
        <w:tc>
          <w:tcPr>
            <w:tcW w:w="1047" w:type="dxa"/>
            <w:tcBorders>
              <w:top w:val="nil" w:sz="6" w:space="0" w:color="auto"/>
              <w:left w:val="nil" w:sz="6" w:space="0" w:color="auto"/>
              <w:bottom w:val="single" w:sz="4" w:space="0" w:color="5B9BD4"/>
              <w:right w:val="nil" w:sz="6" w:space="0" w:color="auto"/>
            </w:tcBorders>
            <w:shd w:val="clear" w:color="auto" w:fill="DEEAF6"/>
          </w:tcPr>
          <w:p>
            <w:pPr/>
          </w:p>
        </w:tc>
      </w:tr>
      <w:tr>
        <w:trPr>
          <w:trHeight w:val="714" w:hRule="exact"/>
        </w:trPr>
        <w:tc>
          <w:tcPr>
            <w:tcW w:w="103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46"/>
              <w:ind w:left="13" w:right="120"/>
              <w:jc w:val="left"/>
              <w:rPr>
                <w:rFonts w:ascii="宋体" w:hAnsi="宋体" w:cs="宋体" w:eastAsia="宋体" w:hint="default"/>
                <w:sz w:val="18"/>
                <w:szCs w:val="18"/>
              </w:rPr>
            </w:pPr>
            <w:r>
              <w:rPr>
                <w:rFonts w:ascii="宋体" w:hAnsi="宋体" w:cs="宋体" w:eastAsia="宋体" w:hint="default"/>
                <w:sz w:val="18"/>
                <w:szCs w:val="18"/>
              </w:rPr>
              <w:t>其他情况说 明</w:t>
            </w:r>
          </w:p>
        </w:tc>
        <w:tc>
          <w:tcPr>
            <w:tcW w:w="8506" w:type="dxa"/>
            <w:gridSpan w:val="8"/>
            <w:tcBorders>
              <w:top w:val="single" w:sz="4" w:space="0" w:color="5B9BD4"/>
              <w:left w:val="single" w:sz="12" w:space="0" w:color="DEEAF6"/>
              <w:bottom w:val="single" w:sz="4" w:space="0" w:color="5B9BD4"/>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系报告期内下属子公司购入的中国信贷可转债及股票。</w:t>
            </w:r>
          </w:p>
        </w:tc>
      </w:tr>
    </w:tbl>
    <w:p>
      <w:pPr>
        <w:spacing w:line="240" w:lineRule="auto" w:before="11"/>
        <w:rPr>
          <w:rFonts w:ascii="宋体" w:hAnsi="宋体" w:cs="宋体" w:eastAsia="宋体" w:hint="default"/>
          <w:sz w:val="6"/>
          <w:szCs w:val="6"/>
        </w:rPr>
      </w:pPr>
    </w:p>
    <w:p>
      <w:pPr>
        <w:pStyle w:val="Heading1"/>
        <w:spacing w:line="409" w:lineRule="exact"/>
        <w:ind w:left="154" w:right="0"/>
        <w:jc w:val="left"/>
        <w:rPr>
          <w:b w:val="0"/>
          <w:bCs w:val="0"/>
        </w:rPr>
      </w:pPr>
      <w:bookmarkStart w:name="3.3 核心竞争力分析" w:id="42"/>
      <w:bookmarkEnd w:id="42"/>
      <w:r>
        <w:rPr>
          <w:b w:val="0"/>
          <w:bCs w:val="0"/>
        </w:rPr>
      </w:r>
      <w:bookmarkStart w:name="_bookmark17" w:id="43"/>
      <w:bookmarkEnd w:id="43"/>
      <w:r>
        <w:rPr>
          <w:b w:val="0"/>
          <w:bCs w:val="0"/>
        </w:rPr>
      </w:r>
      <w:r>
        <w:rPr>
          <w:rFonts w:ascii="Trebuchet MS" w:hAnsi="Trebuchet MS" w:cs="Trebuchet MS" w:eastAsia="Trebuchet MS" w:hint="default"/>
        </w:rPr>
        <w:t>3.3</w:t>
      </w:r>
      <w:r>
        <w:rPr>
          <w:rFonts w:ascii="Trebuchet MS" w:hAnsi="Trebuchet MS" w:cs="Trebuchet MS" w:eastAsia="Trebuchet MS" w:hint="default"/>
          <w:spacing w:val="14"/>
        </w:rPr>
        <w:t> </w:t>
      </w:r>
      <w:r>
        <w:rPr/>
        <w:t>核心竞争力分析</w:t>
      </w:r>
      <w:r>
        <w:rPr>
          <w:b w:val="0"/>
          <w:bCs w:val="0"/>
        </w:rPr>
      </w:r>
    </w:p>
    <w:p>
      <w:pPr>
        <w:spacing w:line="240" w:lineRule="auto" w:before="17"/>
        <w:rPr>
          <w:rFonts w:ascii="Microsoft JhengHei" w:hAnsi="Microsoft JhengHei" w:cs="Microsoft JhengHei" w:eastAsia="Microsoft JhengHei" w:hint="default"/>
          <w:b/>
          <w:bCs/>
          <w:sz w:val="26"/>
          <w:szCs w:val="26"/>
        </w:rPr>
      </w:pPr>
    </w:p>
    <w:p>
      <w:pPr>
        <w:pStyle w:val="Heading2"/>
        <w:spacing w:line="240" w:lineRule="auto"/>
        <w:ind w:left="154" w:right="0"/>
        <w:jc w:val="left"/>
        <w:rPr>
          <w:b w:val="0"/>
          <w:bCs w:val="0"/>
        </w:rPr>
      </w:pPr>
      <w:bookmarkStart w:name="3.3.1 规模及渠道优势" w:id="44"/>
      <w:bookmarkEnd w:id="44"/>
      <w:r>
        <w:rPr>
          <w:b w:val="0"/>
          <w:bCs w:val="0"/>
        </w:rPr>
      </w:r>
      <w:r>
        <w:rPr>
          <w:rFonts w:ascii="Trebuchet MS" w:hAnsi="Trebuchet MS" w:cs="Trebuchet MS" w:eastAsia="Trebuchet MS" w:hint="default"/>
        </w:rPr>
        <w:t>3.3.1</w:t>
      </w:r>
      <w:r>
        <w:rPr>
          <w:rFonts w:ascii="Trebuchet MS" w:hAnsi="Trebuchet MS" w:cs="Trebuchet MS" w:eastAsia="Trebuchet MS" w:hint="default"/>
          <w:spacing w:val="-18"/>
        </w:rPr>
        <w:t> </w:t>
      </w:r>
      <w:r>
        <w:rPr/>
        <w:t>规模及渠道优势</w:t>
      </w:r>
      <w:r>
        <w:rPr>
          <w:b w:val="0"/>
          <w:bCs w:val="0"/>
        </w:rPr>
      </w:r>
    </w:p>
    <w:p>
      <w:pPr>
        <w:spacing w:line="240" w:lineRule="auto" w:before="8"/>
        <w:rPr>
          <w:rFonts w:ascii="Microsoft JhengHei" w:hAnsi="Microsoft JhengHei" w:cs="Microsoft JhengHei" w:eastAsia="Microsoft JhengHei" w:hint="default"/>
          <w:b/>
          <w:bCs/>
          <w:sz w:val="30"/>
          <w:szCs w:val="30"/>
        </w:rPr>
      </w:pPr>
    </w:p>
    <w:p>
      <w:pPr>
        <w:pStyle w:val="BodyText"/>
        <w:spacing w:line="403" w:lineRule="auto"/>
        <w:ind w:right="1129" w:firstLine="420"/>
        <w:jc w:val="both"/>
      </w:pPr>
      <w:r>
        <w:rPr>
          <w:spacing w:val="3"/>
        </w:rPr>
        <w:t>公司作为国内领先的手机和数码电子产品销售渠道综合服务商，坚持构建最具价值的“产融结合的</w:t>
      </w:r>
      <w:r>
        <w:rPr/>
        <w:t> </w:t>
      </w:r>
      <w:r>
        <w:rPr>
          <w:rFonts w:ascii="Arial" w:hAnsi="Arial" w:cs="Arial" w:eastAsia="Arial" w:hint="default"/>
        </w:rPr>
        <w:t>B2b</w:t>
      </w:r>
      <w:r>
        <w:rPr>
          <w:rFonts w:ascii="Arial" w:hAnsi="Arial" w:cs="Arial" w:eastAsia="Arial" w:hint="default"/>
          <w:spacing w:val="-32"/>
        </w:rPr>
        <w:t> </w:t>
      </w:r>
      <w:r>
        <w:rPr>
          <w:spacing w:val="-3"/>
        </w:rPr>
        <w:t>销售服务平台”战略，拓展供应链服务，深入拓展（</w:t>
      </w:r>
      <w:r>
        <w:rPr>
          <w:rFonts w:ascii="Arial" w:hAnsi="Arial" w:cs="Arial" w:eastAsia="Arial" w:hint="default"/>
          <w:spacing w:val="-3"/>
        </w:rPr>
        <w:t>T1-T6</w:t>
      </w:r>
      <w:r>
        <w:rPr>
          <w:spacing w:val="-3"/>
        </w:rPr>
        <w:t>）级渠道，不断完善覆盖全国的线上、线下</w:t>
      </w:r>
      <w:r>
        <w:rPr/>
        <w:t> </w:t>
      </w:r>
      <w:r>
        <w:rPr>
          <w:spacing w:val="-1"/>
        </w:rPr>
        <w:t>销售服务网络，通过渠道销售服务模式的不断创新和完善，具备为手机厂家和零售渠道提供更加专业的服</w:t>
      </w:r>
      <w:r>
        <w:rPr>
          <w:spacing w:val="-81"/>
        </w:rPr>
        <w:t> </w:t>
      </w:r>
      <w:r>
        <w:rPr>
          <w:spacing w:val="-81"/>
        </w:rPr>
      </w:r>
      <w:r>
        <w:rPr>
          <w:spacing w:val="-1"/>
        </w:rPr>
        <w:t>务能力，产品生命周期的销售管理和运营效率持续领先，公司与国内外各大手机厂商以及三大运营商均建</w:t>
      </w:r>
      <w:r>
        <w:rPr>
          <w:spacing w:val="-81"/>
        </w:rPr>
        <w:t> </w:t>
      </w:r>
      <w:r>
        <w:rPr>
          <w:spacing w:val="-81"/>
        </w:rPr>
      </w:r>
      <w:r>
        <w:rPr/>
        <w:t>立了长期稳定的合作伙伴关系。</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3.3.2 强大的信息支撑系统" w:id="45"/>
      <w:bookmarkEnd w:id="45"/>
      <w:r>
        <w:rPr>
          <w:b w:val="0"/>
          <w:bCs w:val="0"/>
        </w:rPr>
      </w:r>
      <w:r>
        <w:rPr>
          <w:rFonts w:ascii="Trebuchet MS" w:hAnsi="Trebuchet MS" w:cs="Trebuchet MS" w:eastAsia="Trebuchet MS" w:hint="default"/>
        </w:rPr>
        <w:t>3.3.2</w:t>
      </w:r>
      <w:r>
        <w:rPr>
          <w:rFonts w:ascii="Trebuchet MS" w:hAnsi="Trebuchet MS" w:cs="Trebuchet MS" w:eastAsia="Trebuchet MS" w:hint="default"/>
          <w:spacing w:val="-18"/>
        </w:rPr>
        <w:t> </w:t>
      </w:r>
      <w:r>
        <w:rPr/>
        <w:t>强大的信息支撑系统</w:t>
      </w:r>
      <w:r>
        <w:rPr>
          <w:b w:val="0"/>
          <w:bCs w:val="0"/>
        </w:rPr>
      </w:r>
    </w:p>
    <w:p>
      <w:pPr>
        <w:spacing w:line="240" w:lineRule="auto" w:before="8"/>
        <w:rPr>
          <w:rFonts w:ascii="Microsoft JhengHei" w:hAnsi="Microsoft JhengHei" w:cs="Microsoft JhengHei" w:eastAsia="Microsoft JhengHei" w:hint="default"/>
          <w:b/>
          <w:bCs/>
          <w:sz w:val="30"/>
          <w:szCs w:val="30"/>
        </w:rPr>
      </w:pPr>
    </w:p>
    <w:p>
      <w:pPr>
        <w:pStyle w:val="BodyText"/>
        <w:spacing w:line="393" w:lineRule="auto"/>
        <w:ind w:right="1130" w:firstLine="420"/>
        <w:jc w:val="both"/>
      </w:pPr>
      <w:r>
        <w:rPr/>
        <w:t>在国内手机分销行业，公司率先引入了世界先进的</w:t>
      </w:r>
      <w:r>
        <w:rPr>
          <w:spacing w:val="-62"/>
        </w:rPr>
        <w:t> </w:t>
      </w:r>
      <w:r>
        <w:rPr>
          <w:rFonts w:ascii="Arial" w:hAnsi="Arial" w:cs="Arial" w:eastAsia="Arial" w:hint="default"/>
        </w:rPr>
        <w:t>SAP-ERP</w:t>
      </w:r>
      <w:r>
        <w:rPr>
          <w:rFonts w:ascii="Arial" w:hAnsi="Arial" w:cs="Arial" w:eastAsia="Arial" w:hint="default"/>
          <w:spacing w:val="-16"/>
        </w:rPr>
        <w:t> </w:t>
      </w:r>
      <w:r>
        <w:rPr/>
        <w:t>和</w:t>
      </w:r>
      <w:r>
        <w:rPr>
          <w:spacing w:val="-63"/>
        </w:rPr>
        <w:t> </w:t>
      </w:r>
      <w:r>
        <w:rPr>
          <w:rFonts w:ascii="Arial" w:hAnsi="Arial" w:cs="Arial" w:eastAsia="Arial" w:hint="default"/>
        </w:rPr>
        <w:t>CRM</w:t>
      </w:r>
      <w:r>
        <w:rPr>
          <w:rFonts w:ascii="Arial" w:hAnsi="Arial" w:cs="Arial" w:eastAsia="Arial" w:hint="default"/>
          <w:spacing w:val="-16"/>
        </w:rPr>
        <w:t> </w:t>
      </w:r>
      <w:r>
        <w:rPr/>
        <w:t>管理系统，基于</w:t>
      </w:r>
      <w:r>
        <w:rPr>
          <w:spacing w:val="-62"/>
        </w:rPr>
        <w:t> </w:t>
      </w:r>
      <w:r>
        <w:rPr>
          <w:rFonts w:ascii="Arial" w:hAnsi="Arial" w:cs="Arial" w:eastAsia="Arial" w:hint="default"/>
        </w:rPr>
        <w:t>SAP</w:t>
      </w:r>
      <w:r>
        <w:rPr>
          <w:rFonts w:ascii="Arial" w:hAnsi="Arial" w:cs="Arial" w:eastAsia="Arial" w:hint="default"/>
          <w:spacing w:val="-15"/>
        </w:rPr>
        <w:t> </w:t>
      </w:r>
      <w:r>
        <w:rPr/>
        <w:t>系统打造 </w:t>
      </w:r>
      <w:r>
        <w:rPr>
          <w:spacing w:val="-1"/>
        </w:rPr>
        <w:t>独特的管理体系，通过流程的不断优化，改善内部协同，提升运营效率，确保了公司业务运营的高效和安</w:t>
      </w:r>
      <w:r>
        <w:rPr>
          <w:spacing w:val="-86"/>
        </w:rPr>
        <w:t> </w:t>
      </w:r>
      <w:r>
        <w:rPr>
          <w:spacing w:val="-86"/>
        </w:rPr>
      </w:r>
      <w:r>
        <w:rPr>
          <w:w w:val="95"/>
        </w:rPr>
        <w:t>全。</w:t>
      </w:r>
      <w:r>
        <w:rPr>
          <w:rFonts w:ascii="Arial" w:hAnsi="Arial" w:cs="Arial" w:eastAsia="Arial" w:hint="default"/>
          <w:w w:val="95"/>
        </w:rPr>
        <w:t>SFA</w:t>
      </w:r>
      <w:r>
        <w:rPr>
          <w:w w:val="95"/>
        </w:rPr>
        <w:t>（终端作业管理系统）系统的上线，为线下作业人员提供了便捷的实时线上信息支撑和有效的线</w:t>
      </w:r>
      <w:r>
        <w:rPr>
          <w:spacing w:val="66"/>
          <w:w w:val="95"/>
        </w:rPr>
        <w:t> </w:t>
      </w:r>
      <w:r>
        <w:rPr>
          <w:spacing w:val="66"/>
          <w:w w:val="95"/>
        </w:rPr>
      </w:r>
      <w:r>
        <w:rPr/>
        <w:t>下作业管理工具，扩大了对厂家和线下零售门店的管理服务范围，提高了管理、服务的能力和效率。</w:t>
      </w:r>
    </w:p>
    <w:p>
      <w:pPr>
        <w:spacing w:after="0" w:line="393" w:lineRule="auto"/>
        <w:jc w:val="both"/>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2"/>
        <w:spacing w:line="348" w:lineRule="exact"/>
        <w:ind w:right="0"/>
        <w:jc w:val="left"/>
        <w:rPr>
          <w:b w:val="0"/>
          <w:bCs w:val="0"/>
        </w:rPr>
      </w:pPr>
      <w:bookmarkStart w:name="3.3.3 高效专业的团队" w:id="46"/>
      <w:bookmarkEnd w:id="46"/>
      <w:r>
        <w:rPr>
          <w:b w:val="0"/>
          <w:bCs w:val="0"/>
        </w:rPr>
      </w:r>
      <w:r>
        <w:rPr>
          <w:rFonts w:ascii="Trebuchet MS" w:hAnsi="Trebuchet MS" w:cs="Trebuchet MS" w:eastAsia="Trebuchet MS" w:hint="default"/>
        </w:rPr>
        <w:t>3.3.3</w:t>
      </w:r>
      <w:r>
        <w:rPr>
          <w:rFonts w:ascii="Trebuchet MS" w:hAnsi="Trebuchet MS" w:cs="Trebuchet MS" w:eastAsia="Trebuchet MS" w:hint="default"/>
          <w:spacing w:val="-18"/>
        </w:rPr>
        <w:t> </w:t>
      </w:r>
      <w:r>
        <w:rPr/>
        <w:t>高效专业的团队</w:t>
      </w:r>
      <w:r>
        <w:rPr>
          <w:b w:val="0"/>
          <w:bCs w:val="0"/>
        </w:rPr>
      </w:r>
    </w:p>
    <w:p>
      <w:pPr>
        <w:spacing w:line="240" w:lineRule="auto" w:before="8"/>
        <w:rPr>
          <w:rFonts w:ascii="Microsoft JhengHei" w:hAnsi="Microsoft JhengHei" w:cs="Microsoft JhengHei" w:eastAsia="Microsoft JhengHei" w:hint="default"/>
          <w:b/>
          <w:bCs/>
          <w:sz w:val="30"/>
          <w:szCs w:val="30"/>
        </w:rPr>
      </w:pPr>
    </w:p>
    <w:p>
      <w:pPr>
        <w:pStyle w:val="BodyText"/>
        <w:spacing w:line="408" w:lineRule="auto"/>
        <w:ind w:right="1131" w:firstLine="420"/>
        <w:jc w:val="both"/>
      </w:pPr>
      <w:r>
        <w:rPr>
          <w:spacing w:val="-1"/>
        </w:rPr>
        <w:t>优秀的管理团队，具备丰富的行业经验及全国性销售网络的管理经验；优秀的产品运作团队，具有业</w:t>
      </w:r>
      <w:r>
        <w:rPr/>
        <w:t> </w:t>
      </w:r>
      <w:r>
        <w:rPr>
          <w:spacing w:val="-1"/>
        </w:rPr>
        <w:t>内领先的产品运营力、渠道管控能力，有着敏锐的市场判断力；优秀的零售管理团队，具备系统的零售终</w:t>
      </w:r>
      <w:r>
        <w:rPr>
          <w:spacing w:val="-86"/>
        </w:rPr>
        <w:t> </w:t>
      </w:r>
      <w:r>
        <w:rPr>
          <w:spacing w:val="-86"/>
        </w:rPr>
      </w:r>
      <w:r>
        <w:rPr>
          <w:spacing w:val="-1"/>
        </w:rPr>
        <w:t>端管理能力，为消费者提供更具个性化和功能化的服务。优秀的创新业务团队，具备通信业务知识、互联</w:t>
      </w:r>
    </w:p>
    <w:p>
      <w:pPr>
        <w:pStyle w:val="BodyText"/>
        <w:spacing w:line="398" w:lineRule="auto" w:before="46"/>
        <w:ind w:right="1017"/>
        <w:jc w:val="left"/>
      </w:pPr>
      <w:r>
        <w:rPr/>
        <w:t>网专业背景、金融服务知识、</w:t>
      </w:r>
      <w:r>
        <w:rPr>
          <w:rFonts w:ascii="Arial" w:hAnsi="Arial" w:cs="Arial" w:eastAsia="Arial" w:hint="default"/>
        </w:rPr>
        <w:t>IT</w:t>
      </w:r>
      <w:r>
        <w:rPr>
          <w:rFonts w:ascii="Arial" w:hAnsi="Arial" w:cs="Arial" w:eastAsia="Arial" w:hint="default"/>
          <w:spacing w:val="41"/>
        </w:rPr>
        <w:t> </w:t>
      </w:r>
      <w:r>
        <w:rPr/>
        <w:t>化运营能力，为公司创新业务发展提供了保障。公司为团队提供多渠道、 全方位的持续学习和培训，不断增强团队的专业技能和运营管理能力。良好的团队氛围造就了团队的凝聚 力、协作力、创新力以及负责任的能力。</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bookmarkStart w:name="3.3.4 快速应变能力与持续创新能力" w:id="47"/>
      <w:bookmarkEnd w:id="47"/>
      <w:r>
        <w:rPr>
          <w:b w:val="0"/>
          <w:bCs w:val="0"/>
        </w:rPr>
      </w:r>
      <w:r>
        <w:rPr>
          <w:rFonts w:ascii="Trebuchet MS" w:hAnsi="Trebuchet MS" w:cs="Trebuchet MS" w:eastAsia="Trebuchet MS" w:hint="default"/>
        </w:rPr>
        <w:t>3.3.4</w:t>
      </w:r>
      <w:r>
        <w:rPr>
          <w:rFonts w:ascii="Trebuchet MS" w:hAnsi="Trebuchet MS" w:cs="Trebuchet MS" w:eastAsia="Trebuchet MS" w:hint="default"/>
          <w:spacing w:val="-18"/>
        </w:rPr>
        <w:t> </w:t>
      </w:r>
      <w:r>
        <w:rPr/>
        <w:t>快速应变能力与持续创新能力</w:t>
      </w:r>
      <w:r>
        <w:rPr>
          <w:b w:val="0"/>
          <w:bCs w:val="0"/>
        </w:rPr>
      </w:r>
    </w:p>
    <w:p>
      <w:pPr>
        <w:spacing w:line="240" w:lineRule="auto" w:before="8"/>
        <w:rPr>
          <w:rFonts w:ascii="Microsoft JhengHei" w:hAnsi="Microsoft JhengHei" w:cs="Microsoft JhengHei" w:eastAsia="Microsoft JhengHei" w:hint="default"/>
          <w:b/>
          <w:bCs/>
          <w:sz w:val="30"/>
          <w:szCs w:val="30"/>
        </w:rPr>
      </w:pPr>
    </w:p>
    <w:p>
      <w:pPr>
        <w:pStyle w:val="BodyText"/>
        <w:spacing w:line="405" w:lineRule="auto"/>
        <w:ind w:right="1130" w:firstLine="420"/>
        <w:jc w:val="both"/>
      </w:pPr>
      <w:r>
        <w:rPr>
          <w:spacing w:val="-1"/>
        </w:rPr>
        <w:t>行业的整合速度持续加快，公司主动求变，不断提升快速应变能力及持续创新能力。以智能终端产品</w:t>
      </w:r>
      <w:r>
        <w:rPr/>
        <w:t> </w:t>
      </w:r>
      <w:r>
        <w:rPr>
          <w:spacing w:val="-3"/>
        </w:rPr>
        <w:t>的渠道运营服务为基础，培育了</w:t>
      </w:r>
      <w:r>
        <w:rPr>
          <w:spacing w:val="-46"/>
        </w:rPr>
        <w:t> </w:t>
      </w:r>
      <w:r>
        <w:rPr>
          <w:rFonts w:ascii="Arial" w:hAnsi="Arial" w:cs="Arial" w:eastAsia="Arial" w:hint="default"/>
        </w:rPr>
        <w:t>1 </w:t>
      </w:r>
      <w:r>
        <w:rPr/>
        <w:t>号机</w:t>
      </w:r>
      <w:r>
        <w:rPr>
          <w:spacing w:val="-47"/>
        </w:rPr>
        <w:t> </w:t>
      </w:r>
      <w:r>
        <w:rPr>
          <w:rFonts w:ascii="Arial" w:hAnsi="Arial" w:cs="Arial" w:eastAsia="Arial" w:hint="default"/>
        </w:rPr>
        <w:t>B2b</w:t>
      </w:r>
      <w:r>
        <w:rPr>
          <w:rFonts w:ascii="Arial" w:hAnsi="Arial" w:cs="Arial" w:eastAsia="Arial" w:hint="default"/>
          <w:spacing w:val="-1"/>
        </w:rPr>
        <w:t> </w:t>
      </w:r>
      <w:r>
        <w:rPr>
          <w:spacing w:val="-3"/>
        </w:rPr>
        <w:t>销售服务平台，进一步提升智能终端线上、线下的销售服务能</w:t>
      </w:r>
      <w:r>
        <w:rPr/>
        <w:t> </w:t>
      </w:r>
      <w:r>
        <w:rPr>
          <w:spacing w:val="-1"/>
        </w:rPr>
        <w:t>力，强化公司核心业务的持续健康发展，顺应互联网发展带来的市场新变化。深化产业布局，构建未来成</w:t>
      </w:r>
      <w:r>
        <w:rPr>
          <w:spacing w:val="-86"/>
        </w:rPr>
        <w:t> </w:t>
      </w:r>
      <w:r>
        <w:rPr>
          <w:spacing w:val="-86"/>
        </w:rPr>
      </w:r>
      <w:r>
        <w:rPr>
          <w:spacing w:val="-1"/>
        </w:rPr>
        <w:t>长动力，公司开展了移动转售、金融服务及移动互联网等业务，实现创新发展。同时公司通过成立产业基</w:t>
      </w:r>
      <w:r>
        <w:rPr>
          <w:spacing w:val="-86"/>
        </w:rPr>
        <w:t> </w:t>
      </w:r>
      <w:r>
        <w:rPr>
          <w:spacing w:val="-86"/>
        </w:rPr>
      </w:r>
      <w:r>
        <w:rPr>
          <w:spacing w:val="-1"/>
        </w:rPr>
        <w:t>金，为公司的外延式并购提供了未来战略发展和布局的孵化器；在管理创新方面，组建更科学、更有效率</w:t>
      </w:r>
      <w:r>
        <w:rPr>
          <w:spacing w:val="-86"/>
        </w:rPr>
        <w:t> </w:t>
      </w:r>
      <w:r>
        <w:rPr>
          <w:spacing w:val="-86"/>
        </w:rPr>
      </w:r>
      <w:r>
        <w:rPr/>
        <w:t>的合伙人机制，以激发核心团队的战斗力。</w:t>
      </w:r>
    </w:p>
    <w:p>
      <w:pPr>
        <w:spacing w:line="240" w:lineRule="auto" w:before="10"/>
        <w:rPr>
          <w:rFonts w:ascii="宋体" w:hAnsi="宋体" w:cs="宋体" w:eastAsia="宋体" w:hint="default"/>
          <w:sz w:val="24"/>
          <w:szCs w:val="24"/>
        </w:rPr>
      </w:pPr>
    </w:p>
    <w:p>
      <w:pPr>
        <w:pStyle w:val="Heading2"/>
        <w:spacing w:line="240" w:lineRule="auto"/>
        <w:ind w:right="0"/>
        <w:jc w:val="left"/>
        <w:rPr>
          <w:b w:val="0"/>
          <w:bCs w:val="0"/>
        </w:rPr>
      </w:pPr>
      <w:bookmarkStart w:name="3.3.5 上下游供应链服务能力" w:id="48"/>
      <w:bookmarkEnd w:id="48"/>
      <w:r>
        <w:rPr>
          <w:b w:val="0"/>
          <w:bCs w:val="0"/>
        </w:rPr>
      </w:r>
      <w:r>
        <w:rPr>
          <w:rFonts w:ascii="Trebuchet MS" w:hAnsi="Trebuchet MS" w:cs="Trebuchet MS" w:eastAsia="Trebuchet MS" w:hint="default"/>
        </w:rPr>
        <w:t>3.3.5</w:t>
      </w:r>
      <w:r>
        <w:rPr>
          <w:rFonts w:ascii="Trebuchet MS" w:hAnsi="Trebuchet MS" w:cs="Trebuchet MS" w:eastAsia="Trebuchet MS" w:hint="default"/>
          <w:spacing w:val="-18"/>
        </w:rPr>
        <w:t> </w:t>
      </w:r>
      <w:r>
        <w:rPr/>
        <w:t>上下游供应链服务能力</w:t>
      </w:r>
      <w:r>
        <w:rPr>
          <w:b w:val="0"/>
          <w:bCs w:val="0"/>
        </w:rPr>
      </w:r>
    </w:p>
    <w:p>
      <w:pPr>
        <w:spacing w:line="240" w:lineRule="auto" w:before="8"/>
        <w:rPr>
          <w:rFonts w:ascii="Microsoft JhengHei" w:hAnsi="Microsoft JhengHei" w:cs="Microsoft JhengHei" w:eastAsia="Microsoft JhengHei" w:hint="default"/>
          <w:b/>
          <w:bCs/>
          <w:sz w:val="30"/>
          <w:szCs w:val="30"/>
        </w:rPr>
      </w:pPr>
    </w:p>
    <w:p>
      <w:pPr>
        <w:pStyle w:val="BodyText"/>
        <w:spacing w:line="408" w:lineRule="auto"/>
        <w:ind w:right="1130" w:firstLine="420"/>
        <w:jc w:val="both"/>
      </w:pPr>
      <w:r>
        <w:rPr>
          <w:spacing w:val="-1"/>
        </w:rPr>
        <w:t>公司发挥资金、物流及风险控制的优势，创新供应链金融服务，满足上下游客户的多元化需求，构建</w:t>
      </w:r>
      <w:r>
        <w:rPr/>
        <w:t> </w:t>
      </w:r>
      <w:r>
        <w:rPr>
          <w:spacing w:val="-1"/>
        </w:rPr>
        <w:t>专业化的供应链管理和服务能力，以标准化的服务体系及大数据运营为支撑，发展供应链金融业务，打造</w:t>
      </w:r>
      <w:r>
        <w:rPr>
          <w:spacing w:val="-83"/>
        </w:rPr>
        <w:t> </w:t>
      </w:r>
      <w:r>
        <w:rPr>
          <w:spacing w:val="-83"/>
        </w:rPr>
      </w:r>
      <w:r>
        <w:rPr>
          <w:rFonts w:ascii="Arial" w:hAnsi="Arial" w:cs="Arial" w:eastAsia="Arial" w:hint="default"/>
        </w:rPr>
        <w:t>B2b</w:t>
      </w:r>
      <w:r>
        <w:rPr>
          <w:rFonts w:ascii="Arial" w:hAnsi="Arial" w:cs="Arial" w:eastAsia="Arial" w:hint="default"/>
          <w:spacing w:val="-1"/>
        </w:rPr>
        <w:t> </w:t>
      </w:r>
      <w:r>
        <w:rPr/>
        <w:t>的销售服务和互联网金融服务平台，为上下游客户提供可持续的全方位的服务。</w:t>
      </w:r>
    </w:p>
    <w:p>
      <w:pPr>
        <w:spacing w:after="0" w:line="408" w:lineRule="auto"/>
        <w:jc w:val="both"/>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Heading1"/>
        <w:spacing w:line="409" w:lineRule="exact"/>
        <w:ind w:left="3246" w:right="0"/>
        <w:jc w:val="left"/>
        <w:rPr>
          <w:b w:val="0"/>
          <w:bCs w:val="0"/>
        </w:rPr>
      </w:pPr>
      <w:bookmarkStart w:name="第四节 管理层讨论与分析" w:id="49"/>
      <w:bookmarkEnd w:id="49"/>
      <w:r>
        <w:rPr>
          <w:b w:val="0"/>
          <w:bCs w:val="0"/>
        </w:rPr>
      </w:r>
      <w:bookmarkStart w:name="_bookmark18" w:id="50"/>
      <w:bookmarkEnd w:id="50"/>
      <w:r>
        <w:rPr>
          <w:b w:val="0"/>
          <w:bCs w:val="0"/>
        </w:rPr>
      </w:r>
      <w:r>
        <w:rPr>
          <w:color w:val="2D74B5"/>
        </w:rPr>
        <w:t>第四节  管理层讨论与分析</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7"/>
        <w:rPr>
          <w:rFonts w:ascii="Microsoft JhengHei" w:hAnsi="Microsoft JhengHei" w:cs="Microsoft JhengHei" w:eastAsia="Microsoft JhengHei" w:hint="default"/>
          <w:b/>
          <w:bCs/>
          <w:sz w:val="14"/>
          <w:szCs w:val="14"/>
        </w:rPr>
      </w:pPr>
    </w:p>
    <w:p>
      <w:pPr>
        <w:pStyle w:val="Heading1"/>
        <w:spacing w:line="409" w:lineRule="exact"/>
        <w:ind w:right="0"/>
        <w:jc w:val="left"/>
        <w:rPr>
          <w:b w:val="0"/>
          <w:bCs w:val="0"/>
        </w:rPr>
      </w:pPr>
      <w:bookmarkStart w:name="4.1 概述" w:id="51"/>
      <w:bookmarkEnd w:id="51"/>
      <w:r>
        <w:rPr>
          <w:b w:val="0"/>
          <w:bCs w:val="0"/>
        </w:rPr>
      </w:r>
      <w:bookmarkStart w:name="_bookmark19" w:id="52"/>
      <w:bookmarkEnd w:id="52"/>
      <w:r>
        <w:rPr>
          <w:b w:val="0"/>
          <w:bCs w:val="0"/>
        </w:rPr>
      </w:r>
      <w:r>
        <w:rPr>
          <w:rFonts w:ascii="Trebuchet MS" w:hAnsi="Trebuchet MS" w:cs="Trebuchet MS" w:eastAsia="Trebuchet MS" w:hint="default"/>
        </w:rPr>
        <w:t>4.1</w:t>
      </w:r>
      <w:r>
        <w:rPr>
          <w:rFonts w:ascii="Trebuchet MS" w:hAnsi="Trebuchet MS" w:cs="Trebuchet MS" w:eastAsia="Trebuchet MS" w:hint="default"/>
          <w:spacing w:val="16"/>
        </w:rPr>
        <w:t> </w:t>
      </w:r>
      <w:r>
        <w:rPr/>
        <w:t>概述</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93" w:lineRule="auto"/>
        <w:ind w:right="0" w:firstLine="420"/>
        <w:jc w:val="left"/>
      </w:pPr>
      <w:r>
        <w:rPr>
          <w:rFonts w:ascii="Arial" w:hAnsi="Arial" w:cs="Arial" w:eastAsia="Arial" w:hint="default"/>
          <w:spacing w:val="-2"/>
        </w:rPr>
        <w:t>2015</w:t>
      </w:r>
      <w:r>
        <w:rPr>
          <w:spacing w:val="-2"/>
        </w:rPr>
        <w:t>年，公司营业收入得到稳步增长，虽然行业整体毛利率持续下降，但公司加强运营管理，提升组</w:t>
      </w:r>
      <w:r>
        <w:rPr/>
        <w:t> 织效率和人工效率，有效控制运营成本，加强应收账款及存货管理，减少资金占用。公司实现营业利润 </w:t>
      </w:r>
      <w:r>
        <w:rPr>
          <w:rFonts w:ascii="Arial" w:hAnsi="Arial" w:cs="Arial" w:eastAsia="Arial" w:hint="default"/>
          <w:spacing w:val="-2"/>
        </w:rPr>
        <w:t>13,312.61</w:t>
      </w:r>
      <w:r>
        <w:rPr>
          <w:spacing w:val="-2"/>
        </w:rPr>
        <w:t>万元，利润总额</w:t>
      </w:r>
      <w:r>
        <w:rPr>
          <w:rFonts w:ascii="Arial" w:hAnsi="Arial" w:cs="Arial" w:eastAsia="Arial" w:hint="default"/>
          <w:spacing w:val="-2"/>
        </w:rPr>
        <w:t>16,552.28</w:t>
      </w:r>
      <w:r>
        <w:rPr>
          <w:spacing w:val="-2"/>
        </w:rPr>
        <w:t>万元，归属上市公司股东的净利润</w:t>
      </w:r>
      <w:r>
        <w:rPr>
          <w:rFonts w:ascii="Arial" w:hAnsi="Arial" w:cs="Arial" w:eastAsia="Arial" w:hint="default"/>
          <w:spacing w:val="-2"/>
        </w:rPr>
        <w:t>14,063.13</w:t>
      </w:r>
      <w:r>
        <w:rPr>
          <w:spacing w:val="-2"/>
        </w:rPr>
        <w:t>万元，较上年同期分别上</w:t>
      </w:r>
      <w:r>
        <w:rPr>
          <w:spacing w:val="-82"/>
        </w:rPr>
        <w:t> </w:t>
      </w:r>
      <w:r>
        <w:rPr>
          <w:spacing w:val="-82"/>
        </w:rPr>
      </w:r>
      <w:r>
        <w:rPr/>
        <w:t>升</w:t>
      </w:r>
      <w:r>
        <w:rPr>
          <w:rFonts w:ascii="Arial" w:hAnsi="Arial" w:cs="Arial" w:eastAsia="Arial" w:hint="default"/>
        </w:rPr>
        <w:t>344.91%</w:t>
      </w:r>
      <w:r>
        <w:rPr/>
        <w:t>、</w:t>
      </w:r>
      <w:r>
        <w:rPr>
          <w:rFonts w:ascii="Arial" w:hAnsi="Arial" w:cs="Arial" w:eastAsia="Arial" w:hint="default"/>
        </w:rPr>
        <w:t>430.31%</w:t>
      </w:r>
      <w:r>
        <w:rPr/>
        <w:t>、</w:t>
      </w:r>
      <w:r>
        <w:rPr>
          <w:rFonts w:ascii="Arial" w:hAnsi="Arial" w:cs="Arial" w:eastAsia="Arial" w:hint="default"/>
        </w:rPr>
        <w:t>382.54%</w:t>
      </w:r>
      <w:r>
        <w:rPr/>
        <w:t>。</w:t>
      </w:r>
    </w:p>
    <w:p>
      <w:pPr>
        <w:pStyle w:val="Heading1"/>
        <w:spacing w:line="468" w:lineRule="exact"/>
        <w:ind w:right="0"/>
        <w:jc w:val="left"/>
        <w:rPr>
          <w:b w:val="0"/>
          <w:bCs w:val="0"/>
        </w:rPr>
      </w:pPr>
      <w:bookmarkStart w:name="4.2 主营业务分析" w:id="53"/>
      <w:bookmarkEnd w:id="53"/>
      <w:r>
        <w:rPr>
          <w:b w:val="0"/>
          <w:bCs w:val="0"/>
        </w:rPr>
      </w:r>
      <w:bookmarkStart w:name="_bookmark20" w:id="54"/>
      <w:bookmarkEnd w:id="54"/>
      <w:r>
        <w:rPr>
          <w:b w:val="0"/>
          <w:bCs w:val="0"/>
        </w:rPr>
      </w:r>
      <w:r>
        <w:rPr>
          <w:rFonts w:ascii="Trebuchet MS" w:hAnsi="Trebuchet MS" w:cs="Trebuchet MS" w:eastAsia="Trebuchet MS" w:hint="default"/>
        </w:rPr>
        <w:t>4.2</w:t>
      </w:r>
      <w:r>
        <w:rPr>
          <w:rFonts w:ascii="Trebuchet MS" w:hAnsi="Trebuchet MS" w:cs="Trebuchet MS" w:eastAsia="Trebuchet MS" w:hint="default"/>
          <w:spacing w:val="14"/>
        </w:rPr>
        <w:t> </w:t>
      </w:r>
      <w:r>
        <w:rPr/>
        <w:t>主营业务分析</w:t>
      </w:r>
      <w:r>
        <w:rPr>
          <w:b w:val="0"/>
          <w:bCs w:val="0"/>
        </w:rPr>
      </w:r>
    </w:p>
    <w:p>
      <w:pPr>
        <w:spacing w:line="240" w:lineRule="auto" w:before="17"/>
        <w:rPr>
          <w:rFonts w:ascii="Microsoft JhengHei" w:hAnsi="Microsoft JhengHei" w:cs="Microsoft JhengHei" w:eastAsia="Microsoft JhengHei" w:hint="default"/>
          <w:b/>
          <w:bCs/>
          <w:sz w:val="26"/>
          <w:szCs w:val="26"/>
        </w:rPr>
      </w:pPr>
    </w:p>
    <w:p>
      <w:pPr>
        <w:pStyle w:val="Heading2"/>
        <w:spacing w:line="240" w:lineRule="auto"/>
        <w:ind w:left="154" w:right="0"/>
        <w:jc w:val="left"/>
        <w:rPr>
          <w:b w:val="0"/>
          <w:bCs w:val="0"/>
        </w:rPr>
      </w:pPr>
      <w:bookmarkStart w:name="4.2.1 概述" w:id="55"/>
      <w:bookmarkEnd w:id="55"/>
      <w:r>
        <w:rPr>
          <w:b w:val="0"/>
          <w:bCs w:val="0"/>
        </w:rPr>
      </w:r>
      <w:r>
        <w:rPr>
          <w:rFonts w:ascii="Trebuchet MS" w:hAnsi="Trebuchet MS" w:cs="Trebuchet MS" w:eastAsia="Trebuchet MS" w:hint="default"/>
        </w:rPr>
        <w:t>4.2.1</w:t>
      </w:r>
      <w:r>
        <w:rPr>
          <w:rFonts w:ascii="Trebuchet MS" w:hAnsi="Trebuchet MS" w:cs="Trebuchet MS" w:eastAsia="Trebuchet MS" w:hint="default"/>
          <w:spacing w:val="-16"/>
        </w:rPr>
        <w:t> </w:t>
      </w:r>
      <w:r>
        <w:rPr/>
        <w:t>概述</w:t>
      </w:r>
      <w:r>
        <w:rPr>
          <w:b w:val="0"/>
          <w:bCs w:val="0"/>
        </w:rPr>
      </w:r>
    </w:p>
    <w:p>
      <w:pPr>
        <w:spacing w:line="240" w:lineRule="auto" w:before="1"/>
        <w:rPr>
          <w:rFonts w:ascii="Microsoft JhengHei" w:hAnsi="Microsoft JhengHei" w:cs="Microsoft JhengHei" w:eastAsia="Microsoft JhengHei" w:hint="default"/>
          <w:b/>
          <w:bCs/>
          <w:sz w:val="26"/>
          <w:szCs w:val="26"/>
        </w:rPr>
      </w:pPr>
    </w:p>
    <w:p>
      <w:pPr>
        <w:pStyle w:val="BodyText"/>
        <w:spacing w:line="240" w:lineRule="auto"/>
        <w:ind w:left="154" w:right="0"/>
        <w:jc w:val="left"/>
      </w:pPr>
      <w:r>
        <w:rPr/>
        <w:t>与管理层讨论与分析中的概述披露相同</w:t>
      </w:r>
    </w:p>
    <w:p>
      <w:pPr>
        <w:spacing w:line="240" w:lineRule="auto" w:before="12"/>
        <w:rPr>
          <w:rFonts w:ascii="宋体" w:hAnsi="宋体" w:cs="宋体" w:eastAsia="宋体" w:hint="default"/>
          <w:sz w:val="29"/>
          <w:szCs w:val="29"/>
        </w:rPr>
      </w:pPr>
    </w:p>
    <w:p>
      <w:pPr>
        <w:pStyle w:val="Heading2"/>
        <w:spacing w:line="240" w:lineRule="auto"/>
        <w:ind w:left="154" w:right="0"/>
        <w:jc w:val="left"/>
        <w:rPr>
          <w:b w:val="0"/>
          <w:bCs w:val="0"/>
        </w:rPr>
      </w:pPr>
      <w:bookmarkStart w:name="4.2.2 收入与成本" w:id="56"/>
      <w:bookmarkEnd w:id="56"/>
      <w:r>
        <w:rPr>
          <w:b w:val="0"/>
          <w:bCs w:val="0"/>
        </w:rPr>
      </w:r>
      <w:r>
        <w:rPr>
          <w:rFonts w:ascii="Trebuchet MS" w:hAnsi="Trebuchet MS" w:cs="Trebuchet MS" w:eastAsia="Trebuchet MS" w:hint="default"/>
        </w:rPr>
        <w:t>4.2.2</w:t>
      </w:r>
      <w:r>
        <w:rPr>
          <w:rFonts w:ascii="Trebuchet MS" w:hAnsi="Trebuchet MS" w:cs="Trebuchet MS" w:eastAsia="Trebuchet MS" w:hint="default"/>
          <w:spacing w:val="-18"/>
        </w:rPr>
        <w:t> </w:t>
      </w:r>
      <w:r>
        <w:rPr/>
        <w:t>收入与成本</w:t>
      </w:r>
      <w:r>
        <w:rPr>
          <w:b w:val="0"/>
          <w:bCs w:val="0"/>
        </w:rPr>
      </w:r>
    </w:p>
    <w:p>
      <w:pPr>
        <w:spacing w:line="240" w:lineRule="auto" w:before="3"/>
        <w:rPr>
          <w:rFonts w:ascii="Microsoft JhengHei" w:hAnsi="Microsoft JhengHei" w:cs="Microsoft JhengHei" w:eastAsia="Microsoft JhengHei" w:hint="default"/>
          <w:b/>
          <w:bCs/>
          <w:sz w:val="22"/>
          <w:szCs w:val="22"/>
        </w:rPr>
      </w:pPr>
    </w:p>
    <w:p>
      <w:pPr>
        <w:pStyle w:val="Heading5"/>
        <w:spacing w:line="240" w:lineRule="auto" w:before="0"/>
        <w:ind w:left="154" w:right="0"/>
        <w:jc w:val="left"/>
        <w:rPr>
          <w:rFonts w:ascii="Microsoft JhengHei" w:hAnsi="Microsoft JhengHei" w:cs="Microsoft JhengHei" w:eastAsia="Microsoft JhengHei" w:hint="default"/>
          <w:b w:val="0"/>
          <w:bCs w:val="0"/>
        </w:rPr>
      </w:pPr>
      <w:bookmarkStart w:name="（1）营业收入构成" w:id="57"/>
      <w:bookmarkEnd w:id="57"/>
      <w:r>
        <w:rPr>
          <w:b w:val="0"/>
          <w:bCs w:val="0"/>
        </w:rPr>
      </w:r>
      <w:r>
        <w:rPr>
          <w:rFonts w:ascii="Microsoft JhengHei" w:hAnsi="Microsoft JhengHei" w:cs="Microsoft JhengHei" w:eastAsia="Microsoft JhengHei" w:hint="default"/>
        </w:rPr>
        <w:t>（</w:t>
      </w:r>
      <w:r>
        <w:rPr>
          <w:rFonts w:ascii="Trebuchet MS" w:hAnsi="Trebuchet MS" w:cs="Trebuchet MS" w:eastAsia="Trebuchet MS" w:hint="default"/>
        </w:rPr>
        <w:t>1</w:t>
      </w:r>
      <w:r>
        <w:rPr>
          <w:rFonts w:ascii="Microsoft JhengHei" w:hAnsi="Microsoft JhengHei" w:cs="Microsoft JhengHei" w:eastAsia="Microsoft JhengHei" w:hint="default"/>
        </w:rPr>
        <w:t>）营业收入构成</w:t>
      </w:r>
      <w:r>
        <w:rPr>
          <w:rFonts w:ascii="Microsoft JhengHei" w:hAnsi="Microsoft JhengHei" w:cs="Microsoft JhengHei" w:eastAsia="Microsoft JhengHei" w:hint="default"/>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573"/>
        <w:gridCol w:w="1617"/>
        <w:gridCol w:w="1571"/>
        <w:gridCol w:w="1617"/>
        <w:gridCol w:w="1571"/>
        <w:gridCol w:w="1589"/>
      </w:tblGrid>
      <w:tr>
        <w:trPr>
          <w:trHeight w:val="206" w:hRule="exact"/>
        </w:trPr>
        <w:tc>
          <w:tcPr>
            <w:tcW w:w="1573" w:type="dxa"/>
            <w:tcBorders>
              <w:top w:val="single" w:sz="4" w:space="0" w:color="5B9BD4"/>
              <w:left w:val="nil" w:sz="6" w:space="0" w:color="auto"/>
              <w:bottom w:val="nil" w:sz="6" w:space="0" w:color="auto"/>
              <w:right w:val="nil" w:sz="6" w:space="0" w:color="auto"/>
            </w:tcBorders>
            <w:shd w:val="clear" w:color="auto" w:fill="DEEAF6"/>
          </w:tcPr>
          <w:p>
            <w:pPr/>
          </w:p>
        </w:tc>
        <w:tc>
          <w:tcPr>
            <w:tcW w:w="3188" w:type="dxa"/>
            <w:gridSpan w:val="2"/>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46"/>
              <w:ind w:left="16" w:right="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w:t>
            </w:r>
          </w:p>
        </w:tc>
        <w:tc>
          <w:tcPr>
            <w:tcW w:w="3188" w:type="dxa"/>
            <w:gridSpan w:val="2"/>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46"/>
              <w:ind w:left="17" w:right="0"/>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1"/>
                <w:sz w:val="18"/>
                <w:szCs w:val="18"/>
              </w:rPr>
              <w:t> </w:t>
            </w:r>
            <w:r>
              <w:rPr>
                <w:rFonts w:ascii="宋体" w:hAnsi="宋体" w:cs="宋体" w:eastAsia="宋体" w:hint="default"/>
                <w:sz w:val="18"/>
                <w:szCs w:val="18"/>
              </w:rPr>
              <w:t>年</w:t>
            </w:r>
          </w:p>
        </w:tc>
        <w:tc>
          <w:tcPr>
            <w:tcW w:w="1589" w:type="dxa"/>
            <w:tcBorders>
              <w:top w:val="single" w:sz="4" w:space="0" w:color="5B9BD4"/>
              <w:left w:val="nil" w:sz="6" w:space="0" w:color="auto"/>
              <w:bottom w:val="nil" w:sz="6" w:space="0" w:color="auto"/>
              <w:right w:val="nil" w:sz="6" w:space="0" w:color="auto"/>
            </w:tcBorders>
            <w:shd w:val="clear" w:color="auto" w:fill="DEEAF6"/>
          </w:tcPr>
          <w:p>
            <w:pPr/>
          </w:p>
        </w:tc>
      </w:tr>
      <w:tr>
        <w:trPr>
          <w:trHeight w:val="191" w:hRule="exact"/>
        </w:trPr>
        <w:tc>
          <w:tcPr>
            <w:tcW w:w="1573" w:type="dxa"/>
            <w:vMerge w:val="restart"/>
            <w:tcBorders>
              <w:top w:val="nil" w:sz="6" w:space="0" w:color="auto"/>
              <w:left w:val="nil" w:sz="6" w:space="0" w:color="auto"/>
              <w:right w:val="nil" w:sz="6" w:space="0" w:color="auto"/>
            </w:tcBorders>
            <w:shd w:val="clear" w:color="auto" w:fill="DEEAF6"/>
          </w:tcPr>
          <w:p>
            <w:pPr/>
          </w:p>
        </w:tc>
        <w:tc>
          <w:tcPr>
            <w:tcW w:w="3188" w:type="dxa"/>
            <w:gridSpan w:val="2"/>
            <w:vMerge/>
            <w:tcBorders>
              <w:left w:val="nil" w:sz="6" w:space="0" w:color="auto"/>
              <w:bottom w:val="single" w:sz="4" w:space="0" w:color="5B9BD4"/>
              <w:right w:val="nil" w:sz="6" w:space="0" w:color="auto"/>
            </w:tcBorders>
            <w:shd w:val="clear" w:color="auto" w:fill="DEEAF6"/>
          </w:tcPr>
          <w:p>
            <w:pPr/>
          </w:p>
        </w:tc>
        <w:tc>
          <w:tcPr>
            <w:tcW w:w="3188" w:type="dxa"/>
            <w:gridSpan w:val="2"/>
            <w:vMerge/>
            <w:tcBorders>
              <w:left w:val="nil" w:sz="6" w:space="0" w:color="auto"/>
              <w:bottom w:val="single" w:sz="4" w:space="0" w:color="5B9BD4"/>
              <w:right w:val="nil" w:sz="6" w:space="0" w:color="auto"/>
            </w:tcBorders>
            <w:shd w:val="clear" w:color="auto" w:fill="DEEAF6"/>
          </w:tcPr>
          <w:p>
            <w:pPr/>
          </w:p>
        </w:tc>
        <w:tc>
          <w:tcPr>
            <w:tcW w:w="1589" w:type="dxa"/>
            <w:vMerge w:val="restart"/>
            <w:tcBorders>
              <w:top w:val="nil" w:sz="6" w:space="0" w:color="auto"/>
              <w:left w:val="nil" w:sz="6" w:space="0" w:color="auto"/>
              <w:right w:val="nil" w:sz="6" w:space="0" w:color="auto"/>
            </w:tcBorders>
            <w:shd w:val="clear" w:color="auto" w:fill="DEEAF6"/>
          </w:tcPr>
          <w:p>
            <w:pPr>
              <w:pStyle w:val="TableParagraph"/>
              <w:spacing w:line="240" w:lineRule="auto" w:before="46"/>
              <w:ind w:left="44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73" w:type="dxa"/>
            <w:vMerge/>
            <w:tcBorders>
              <w:left w:val="nil" w:sz="6" w:space="0" w:color="auto"/>
              <w:bottom w:val="nil" w:sz="6" w:space="0" w:color="auto"/>
              <w:right w:val="nil" w:sz="6" w:space="0" w:color="auto"/>
            </w:tcBorders>
            <w:shd w:val="clear" w:color="auto" w:fill="DEEAF6"/>
          </w:tcPr>
          <w:p>
            <w:pPr/>
          </w:p>
        </w:tc>
        <w:tc>
          <w:tcPr>
            <w:tcW w:w="1617"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71"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51"/>
              <w:ind w:left="15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17"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71"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51"/>
              <w:ind w:left="15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89" w:type="dxa"/>
            <w:vMerge/>
            <w:tcBorders>
              <w:left w:val="nil" w:sz="6" w:space="0" w:color="auto"/>
              <w:bottom w:val="nil" w:sz="6" w:space="0" w:color="auto"/>
              <w:right w:val="nil" w:sz="6" w:space="0" w:color="auto"/>
            </w:tcBorders>
            <w:shd w:val="clear" w:color="auto" w:fill="DEEAF6"/>
          </w:tcPr>
          <w:p>
            <w:pPr/>
          </w:p>
        </w:tc>
      </w:tr>
      <w:tr>
        <w:trPr>
          <w:trHeight w:val="206" w:hRule="exact"/>
        </w:trPr>
        <w:tc>
          <w:tcPr>
            <w:tcW w:w="1573" w:type="dxa"/>
            <w:tcBorders>
              <w:top w:val="nil" w:sz="6" w:space="0" w:color="auto"/>
              <w:left w:val="nil" w:sz="6" w:space="0" w:color="auto"/>
              <w:bottom w:val="single" w:sz="4" w:space="0" w:color="5B9BD4"/>
              <w:right w:val="nil" w:sz="6" w:space="0" w:color="auto"/>
            </w:tcBorders>
            <w:shd w:val="clear" w:color="auto" w:fill="DEEAF6"/>
          </w:tcPr>
          <w:p>
            <w:pPr/>
          </w:p>
        </w:tc>
        <w:tc>
          <w:tcPr>
            <w:tcW w:w="1617" w:type="dxa"/>
            <w:vMerge/>
            <w:tcBorders>
              <w:left w:val="nil" w:sz="6" w:space="0" w:color="auto"/>
              <w:bottom w:val="single" w:sz="4" w:space="0" w:color="5B9BD4"/>
              <w:right w:val="nil" w:sz="6" w:space="0" w:color="auto"/>
            </w:tcBorders>
            <w:shd w:val="clear" w:color="auto" w:fill="DEEAF6"/>
          </w:tcPr>
          <w:p>
            <w:pPr/>
          </w:p>
        </w:tc>
        <w:tc>
          <w:tcPr>
            <w:tcW w:w="1571" w:type="dxa"/>
            <w:vMerge/>
            <w:tcBorders>
              <w:left w:val="nil" w:sz="6" w:space="0" w:color="auto"/>
              <w:bottom w:val="single" w:sz="4" w:space="0" w:color="5B9BD4"/>
              <w:right w:val="nil" w:sz="6" w:space="0" w:color="auto"/>
            </w:tcBorders>
            <w:shd w:val="clear" w:color="auto" w:fill="DEEAF6"/>
          </w:tcPr>
          <w:p>
            <w:pPr/>
          </w:p>
        </w:tc>
        <w:tc>
          <w:tcPr>
            <w:tcW w:w="1617" w:type="dxa"/>
            <w:vMerge/>
            <w:tcBorders>
              <w:left w:val="nil" w:sz="6" w:space="0" w:color="auto"/>
              <w:bottom w:val="single" w:sz="4" w:space="0" w:color="5B9BD4"/>
              <w:right w:val="nil" w:sz="6" w:space="0" w:color="auto"/>
            </w:tcBorders>
            <w:shd w:val="clear" w:color="auto" w:fill="DEEAF6"/>
          </w:tcPr>
          <w:p>
            <w:pPr/>
          </w:p>
        </w:tc>
        <w:tc>
          <w:tcPr>
            <w:tcW w:w="1571" w:type="dxa"/>
            <w:vMerge/>
            <w:tcBorders>
              <w:left w:val="nil" w:sz="6" w:space="0" w:color="auto"/>
              <w:bottom w:val="single" w:sz="4" w:space="0" w:color="5B9BD4"/>
              <w:right w:val="nil" w:sz="6" w:space="0" w:color="auto"/>
            </w:tcBorders>
            <w:shd w:val="clear" w:color="auto" w:fill="DEEAF6"/>
          </w:tcPr>
          <w:p>
            <w:pPr/>
          </w:p>
        </w:tc>
        <w:tc>
          <w:tcPr>
            <w:tcW w:w="1589" w:type="dxa"/>
            <w:tcBorders>
              <w:top w:val="nil" w:sz="6" w:space="0" w:color="auto"/>
              <w:left w:val="nil" w:sz="6" w:space="0" w:color="auto"/>
              <w:bottom w:val="single" w:sz="4" w:space="0" w:color="5B9BD4"/>
              <w:right w:val="nil" w:sz="6" w:space="0" w:color="auto"/>
            </w:tcBorders>
            <w:shd w:val="clear" w:color="auto" w:fill="DEEAF6"/>
          </w:tcPr>
          <w:p>
            <w:pPr/>
          </w:p>
        </w:tc>
      </w:tr>
      <w:tr>
        <w:trPr>
          <w:trHeight w:val="407" w:hRule="exact"/>
        </w:trPr>
        <w:tc>
          <w:tcPr>
            <w:tcW w:w="157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17"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49,569,028,331.67</w:t>
            </w:r>
            <w:r>
              <w:rPr>
                <w:rFonts w:ascii="Arial"/>
                <w:sz w:val="18"/>
              </w:rPr>
            </w:r>
          </w:p>
        </w:tc>
        <w:tc>
          <w:tcPr>
            <w:tcW w:w="157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6"/>
              <w:jc w:val="right"/>
              <w:rPr>
                <w:rFonts w:ascii="Arial" w:hAnsi="Arial" w:cs="Arial" w:eastAsia="Arial" w:hint="default"/>
                <w:sz w:val="18"/>
                <w:szCs w:val="18"/>
              </w:rPr>
            </w:pPr>
            <w:r>
              <w:rPr>
                <w:rFonts w:ascii="Arial"/>
                <w:spacing w:val="-2"/>
                <w:w w:val="95"/>
                <w:sz w:val="18"/>
              </w:rPr>
              <w:t>100%</w:t>
            </w:r>
            <w:r>
              <w:rPr>
                <w:rFonts w:ascii="Arial"/>
                <w:sz w:val="18"/>
              </w:rPr>
            </w:r>
          </w:p>
        </w:tc>
        <w:tc>
          <w:tcPr>
            <w:tcW w:w="1617"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48,320,567,496.53</w:t>
            </w:r>
            <w:r>
              <w:rPr>
                <w:rFonts w:ascii="Arial"/>
                <w:sz w:val="18"/>
              </w:rPr>
            </w:r>
          </w:p>
        </w:tc>
        <w:tc>
          <w:tcPr>
            <w:tcW w:w="157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7"/>
              <w:jc w:val="right"/>
              <w:rPr>
                <w:rFonts w:ascii="Arial" w:hAnsi="Arial" w:cs="Arial" w:eastAsia="Arial" w:hint="default"/>
                <w:sz w:val="18"/>
                <w:szCs w:val="18"/>
              </w:rPr>
            </w:pPr>
            <w:r>
              <w:rPr>
                <w:rFonts w:ascii="Arial"/>
                <w:spacing w:val="-2"/>
                <w:w w:val="95"/>
                <w:sz w:val="18"/>
              </w:rPr>
              <w:t>100%</w:t>
            </w:r>
            <w:r>
              <w:rPr>
                <w:rFonts w:ascii="Arial"/>
                <w:sz w:val="18"/>
              </w:rPr>
            </w:r>
          </w:p>
        </w:tc>
        <w:tc>
          <w:tcPr>
            <w:tcW w:w="1589"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88"/>
              <w:ind w:right="11"/>
              <w:jc w:val="right"/>
              <w:rPr>
                <w:rFonts w:ascii="Arial" w:hAnsi="Arial" w:cs="Arial" w:eastAsia="Arial" w:hint="default"/>
                <w:sz w:val="18"/>
                <w:szCs w:val="18"/>
              </w:rPr>
            </w:pPr>
            <w:r>
              <w:rPr>
                <w:rFonts w:ascii="Arial"/>
                <w:w w:val="95"/>
                <w:sz w:val="18"/>
              </w:rPr>
              <w:t>2.58%</w:t>
            </w:r>
            <w:r>
              <w:rPr>
                <w:rFonts w:ascii="Arial"/>
                <w:sz w:val="18"/>
              </w:rPr>
            </w:r>
          </w:p>
        </w:tc>
      </w:tr>
      <w:tr>
        <w:trPr>
          <w:trHeight w:val="392" w:hRule="exact"/>
        </w:trPr>
        <w:tc>
          <w:tcPr>
            <w:tcW w:w="9539" w:type="dxa"/>
            <w:gridSpan w:val="6"/>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1"/>
              <w:ind w:left="1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7" w:hRule="exact"/>
        </w:trPr>
        <w:tc>
          <w:tcPr>
            <w:tcW w:w="157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公开市场分销</w:t>
            </w:r>
          </w:p>
        </w:tc>
        <w:tc>
          <w:tcPr>
            <w:tcW w:w="1617"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92"/>
              <w:ind w:right="25"/>
              <w:jc w:val="right"/>
              <w:rPr>
                <w:rFonts w:ascii="Arial" w:hAnsi="Arial" w:cs="Arial" w:eastAsia="Arial" w:hint="default"/>
                <w:sz w:val="18"/>
                <w:szCs w:val="18"/>
              </w:rPr>
            </w:pPr>
            <w:r>
              <w:rPr>
                <w:rFonts w:ascii="Arial"/>
                <w:w w:val="95"/>
                <w:sz w:val="18"/>
              </w:rPr>
              <w:t>42,311,951,197.14</w:t>
            </w:r>
            <w:r>
              <w:rPr>
                <w:rFonts w:ascii="Arial"/>
                <w:sz w:val="18"/>
              </w:rPr>
            </w:r>
          </w:p>
        </w:tc>
        <w:tc>
          <w:tcPr>
            <w:tcW w:w="157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92"/>
              <w:ind w:right="15"/>
              <w:jc w:val="right"/>
              <w:rPr>
                <w:rFonts w:ascii="Arial" w:hAnsi="Arial" w:cs="Arial" w:eastAsia="Arial" w:hint="default"/>
                <w:sz w:val="18"/>
                <w:szCs w:val="18"/>
              </w:rPr>
            </w:pPr>
            <w:r>
              <w:rPr>
                <w:rFonts w:ascii="Arial"/>
                <w:w w:val="95"/>
                <w:sz w:val="18"/>
              </w:rPr>
              <w:t>85.36%</w:t>
            </w:r>
            <w:r>
              <w:rPr>
                <w:rFonts w:ascii="Arial"/>
                <w:sz w:val="18"/>
              </w:rPr>
            </w:r>
          </w:p>
        </w:tc>
        <w:tc>
          <w:tcPr>
            <w:tcW w:w="1617"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92"/>
              <w:ind w:right="25"/>
              <w:jc w:val="right"/>
              <w:rPr>
                <w:rFonts w:ascii="Arial" w:hAnsi="Arial" w:cs="Arial" w:eastAsia="Arial" w:hint="default"/>
                <w:sz w:val="18"/>
                <w:szCs w:val="18"/>
              </w:rPr>
            </w:pPr>
            <w:r>
              <w:rPr>
                <w:rFonts w:ascii="Arial"/>
                <w:w w:val="95"/>
                <w:sz w:val="18"/>
              </w:rPr>
              <w:t>38,375,994,451.22</w:t>
            </w:r>
            <w:r>
              <w:rPr>
                <w:rFonts w:ascii="Arial"/>
                <w:sz w:val="18"/>
              </w:rPr>
            </w:r>
          </w:p>
        </w:tc>
        <w:tc>
          <w:tcPr>
            <w:tcW w:w="157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92"/>
              <w:ind w:right="16"/>
              <w:jc w:val="right"/>
              <w:rPr>
                <w:rFonts w:ascii="Arial" w:hAnsi="Arial" w:cs="Arial" w:eastAsia="Arial" w:hint="default"/>
                <w:sz w:val="18"/>
                <w:szCs w:val="18"/>
              </w:rPr>
            </w:pPr>
            <w:r>
              <w:rPr>
                <w:rFonts w:ascii="Arial"/>
                <w:w w:val="95"/>
                <w:sz w:val="18"/>
              </w:rPr>
              <w:t>79.42%</w:t>
            </w:r>
            <w:r>
              <w:rPr>
                <w:rFonts w:ascii="Arial"/>
                <w:sz w:val="18"/>
              </w:rPr>
            </w:r>
          </w:p>
        </w:tc>
        <w:tc>
          <w:tcPr>
            <w:tcW w:w="1589"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92"/>
              <w:ind w:right="10"/>
              <w:jc w:val="right"/>
              <w:rPr>
                <w:rFonts w:ascii="Arial" w:hAnsi="Arial" w:cs="Arial" w:eastAsia="Arial" w:hint="default"/>
                <w:sz w:val="18"/>
                <w:szCs w:val="18"/>
              </w:rPr>
            </w:pPr>
            <w:r>
              <w:rPr>
                <w:rFonts w:ascii="Arial"/>
                <w:w w:val="95"/>
                <w:sz w:val="18"/>
              </w:rPr>
              <w:t>10.26%</w:t>
            </w:r>
            <w:r>
              <w:rPr>
                <w:rFonts w:ascii="Arial"/>
                <w:sz w:val="18"/>
              </w:rPr>
            </w:r>
          </w:p>
        </w:tc>
      </w:tr>
      <w:tr>
        <w:trPr>
          <w:trHeight w:val="402" w:hRule="exact"/>
        </w:trPr>
        <w:tc>
          <w:tcPr>
            <w:tcW w:w="157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平台分销</w:t>
            </w:r>
          </w:p>
        </w:tc>
        <w:tc>
          <w:tcPr>
            <w:tcW w:w="1617"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spacing w:val="-1"/>
                <w:sz w:val="18"/>
              </w:rPr>
              <w:t>1,838,069,662.95</w:t>
            </w:r>
          </w:p>
        </w:tc>
        <w:tc>
          <w:tcPr>
            <w:tcW w:w="157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5"/>
              <w:jc w:val="right"/>
              <w:rPr>
                <w:rFonts w:ascii="Arial" w:hAnsi="Arial" w:cs="Arial" w:eastAsia="Arial" w:hint="default"/>
                <w:sz w:val="18"/>
                <w:szCs w:val="18"/>
              </w:rPr>
            </w:pPr>
            <w:r>
              <w:rPr>
                <w:rFonts w:ascii="Arial"/>
                <w:w w:val="95"/>
                <w:sz w:val="18"/>
              </w:rPr>
              <w:t>3.71%</w:t>
            </w:r>
            <w:r>
              <w:rPr>
                <w:rFonts w:ascii="Arial"/>
                <w:sz w:val="18"/>
              </w:rPr>
            </w:r>
          </w:p>
        </w:tc>
        <w:tc>
          <w:tcPr>
            <w:tcW w:w="1617"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spacing w:val="-1"/>
                <w:sz w:val="18"/>
              </w:rPr>
              <w:t>2,829,489,359.00</w:t>
            </w:r>
          </w:p>
        </w:tc>
        <w:tc>
          <w:tcPr>
            <w:tcW w:w="157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6"/>
              <w:jc w:val="right"/>
              <w:rPr>
                <w:rFonts w:ascii="Arial" w:hAnsi="Arial" w:cs="Arial" w:eastAsia="Arial" w:hint="default"/>
                <w:sz w:val="18"/>
                <w:szCs w:val="18"/>
              </w:rPr>
            </w:pPr>
            <w:r>
              <w:rPr>
                <w:rFonts w:ascii="Arial"/>
                <w:w w:val="95"/>
                <w:sz w:val="18"/>
              </w:rPr>
              <w:t>5.86%</w:t>
            </w:r>
            <w:r>
              <w:rPr>
                <w:rFonts w:ascii="Arial"/>
                <w:sz w:val="18"/>
              </w:rPr>
            </w:r>
          </w:p>
        </w:tc>
        <w:tc>
          <w:tcPr>
            <w:tcW w:w="1589"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88"/>
              <w:ind w:right="10"/>
              <w:jc w:val="right"/>
              <w:rPr>
                <w:rFonts w:ascii="Arial" w:hAnsi="Arial" w:cs="Arial" w:eastAsia="Arial" w:hint="default"/>
                <w:sz w:val="18"/>
                <w:szCs w:val="18"/>
              </w:rPr>
            </w:pPr>
            <w:r>
              <w:rPr>
                <w:rFonts w:ascii="Arial"/>
                <w:w w:val="95"/>
                <w:sz w:val="18"/>
              </w:rPr>
              <w:t>-35.04%</w:t>
            </w:r>
            <w:r>
              <w:rPr>
                <w:rFonts w:ascii="Arial"/>
                <w:sz w:val="18"/>
              </w:rPr>
            </w:r>
          </w:p>
        </w:tc>
      </w:tr>
      <w:tr>
        <w:trPr>
          <w:trHeight w:val="161" w:hRule="exact"/>
        </w:trPr>
        <w:tc>
          <w:tcPr>
            <w:tcW w:w="1573" w:type="dxa"/>
            <w:vMerge w:val="restart"/>
            <w:tcBorders>
              <w:top w:val="single" w:sz="4" w:space="0" w:color="5B9BD4"/>
              <w:left w:val="nil" w:sz="6" w:space="0" w:color="auto"/>
              <w:right w:val="nil" w:sz="6" w:space="0" w:color="auto"/>
            </w:tcBorders>
            <w:shd w:val="clear" w:color="auto" w:fill="DEEAF6"/>
          </w:tcPr>
          <w:p>
            <w:pPr>
              <w:pStyle w:val="TableParagraph"/>
              <w:spacing w:line="319" w:lineRule="auto" w:before="46"/>
              <w:ind w:left="13" w:right="117"/>
              <w:jc w:val="left"/>
              <w:rPr>
                <w:rFonts w:ascii="宋体" w:hAnsi="宋体" w:cs="宋体" w:eastAsia="宋体" w:hint="default"/>
                <w:sz w:val="18"/>
                <w:szCs w:val="18"/>
              </w:rPr>
            </w:pPr>
            <w:r>
              <w:rPr>
                <w:rFonts w:ascii="宋体" w:hAnsi="宋体" w:cs="宋体" w:eastAsia="宋体" w:hint="default"/>
                <w:sz w:val="18"/>
                <w:szCs w:val="18"/>
              </w:rPr>
              <w:t>数码电子产品连锁 零售</w:t>
            </w:r>
          </w:p>
        </w:tc>
        <w:tc>
          <w:tcPr>
            <w:tcW w:w="1617" w:type="dxa"/>
            <w:vMerge w:val="restart"/>
            <w:tcBorders>
              <w:top w:val="single" w:sz="4" w:space="0" w:color="5B9BD4"/>
              <w:left w:val="single" w:sz="11" w:space="0" w:color="DEEAF6"/>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65" w:right="0"/>
              <w:jc w:val="left"/>
              <w:rPr>
                <w:rFonts w:ascii="Arial" w:hAnsi="Arial" w:cs="Arial" w:eastAsia="Arial" w:hint="default"/>
                <w:sz w:val="18"/>
                <w:szCs w:val="18"/>
              </w:rPr>
            </w:pPr>
            <w:r>
              <w:rPr>
                <w:rFonts w:ascii="Arial"/>
                <w:sz w:val="18"/>
              </w:rPr>
              <w:t>2,054,678,809.08</w:t>
            </w:r>
          </w:p>
        </w:tc>
        <w:tc>
          <w:tcPr>
            <w:tcW w:w="1571" w:type="dxa"/>
            <w:tcBorders>
              <w:top w:val="single" w:sz="4" w:space="0" w:color="5B9BD4"/>
              <w:left w:val="nil" w:sz="6" w:space="0" w:color="auto"/>
              <w:bottom w:val="nil" w:sz="6" w:space="0" w:color="auto"/>
              <w:right w:val="nil" w:sz="6" w:space="0" w:color="auto"/>
            </w:tcBorders>
            <w:shd w:val="clear" w:color="auto" w:fill="DEEAF6"/>
          </w:tcPr>
          <w:p>
            <w:pPr/>
          </w:p>
        </w:tc>
        <w:tc>
          <w:tcPr>
            <w:tcW w:w="1617" w:type="dxa"/>
            <w:vMerge w:val="restart"/>
            <w:tcBorders>
              <w:top w:val="single" w:sz="4" w:space="0" w:color="5B9BD4"/>
              <w:left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80" w:right="0"/>
              <w:jc w:val="left"/>
              <w:rPr>
                <w:rFonts w:ascii="Arial" w:hAnsi="Arial" w:cs="Arial" w:eastAsia="Arial" w:hint="default"/>
                <w:sz w:val="18"/>
                <w:szCs w:val="18"/>
              </w:rPr>
            </w:pPr>
            <w:r>
              <w:rPr>
                <w:rFonts w:ascii="Arial"/>
                <w:sz w:val="18"/>
              </w:rPr>
              <w:t>1,566,275,930.19</w:t>
            </w:r>
          </w:p>
        </w:tc>
        <w:tc>
          <w:tcPr>
            <w:tcW w:w="1571" w:type="dxa"/>
            <w:tcBorders>
              <w:top w:val="single" w:sz="4" w:space="0" w:color="5B9BD4"/>
              <w:left w:val="nil" w:sz="6" w:space="0" w:color="auto"/>
              <w:bottom w:val="nil" w:sz="6" w:space="0" w:color="auto"/>
              <w:right w:val="nil" w:sz="6" w:space="0" w:color="auto"/>
            </w:tcBorders>
            <w:shd w:val="clear" w:color="auto" w:fill="DEEAF6"/>
          </w:tcPr>
          <w:p>
            <w:pPr/>
          </w:p>
        </w:tc>
        <w:tc>
          <w:tcPr>
            <w:tcW w:w="1589" w:type="dxa"/>
            <w:vMerge w:val="restart"/>
            <w:tcBorders>
              <w:top w:val="single" w:sz="4" w:space="0" w:color="5B9BD4"/>
              <w:left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988" w:right="0"/>
              <w:jc w:val="left"/>
              <w:rPr>
                <w:rFonts w:ascii="Arial" w:hAnsi="Arial" w:cs="Arial" w:eastAsia="Arial" w:hint="default"/>
                <w:sz w:val="18"/>
                <w:szCs w:val="18"/>
              </w:rPr>
            </w:pPr>
            <w:r>
              <w:rPr>
                <w:rFonts w:ascii="Arial"/>
                <w:w w:val="95"/>
                <w:sz w:val="18"/>
              </w:rPr>
              <w:t>31.18%</w:t>
            </w:r>
            <w:r>
              <w:rPr>
                <w:rFonts w:ascii="Arial"/>
                <w:sz w:val="18"/>
              </w:rPr>
            </w:r>
          </w:p>
        </w:tc>
      </w:tr>
      <w:tr>
        <w:trPr>
          <w:trHeight w:val="392" w:hRule="exact"/>
        </w:trPr>
        <w:tc>
          <w:tcPr>
            <w:tcW w:w="1573" w:type="dxa"/>
            <w:vMerge/>
            <w:tcBorders>
              <w:left w:val="nil" w:sz="6" w:space="0" w:color="auto"/>
              <w:right w:val="nil" w:sz="6" w:space="0" w:color="auto"/>
            </w:tcBorders>
            <w:shd w:val="clear" w:color="auto" w:fill="DEEAF6"/>
          </w:tcPr>
          <w:p>
            <w:pPr/>
          </w:p>
        </w:tc>
        <w:tc>
          <w:tcPr>
            <w:tcW w:w="1617" w:type="dxa"/>
            <w:vMerge/>
            <w:tcBorders>
              <w:left w:val="single" w:sz="11" w:space="0" w:color="DEEAF6"/>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15"/>
              <w:jc w:val="right"/>
              <w:rPr>
                <w:rFonts w:ascii="Arial" w:hAnsi="Arial" w:cs="Arial" w:eastAsia="Arial" w:hint="default"/>
                <w:sz w:val="18"/>
                <w:szCs w:val="18"/>
              </w:rPr>
            </w:pPr>
            <w:r>
              <w:rPr>
                <w:rFonts w:ascii="Arial"/>
                <w:w w:val="95"/>
                <w:sz w:val="18"/>
              </w:rPr>
              <w:t>4.15%</w:t>
            </w:r>
            <w:r>
              <w:rPr>
                <w:rFonts w:ascii="Arial"/>
                <w:sz w:val="18"/>
              </w:rPr>
            </w:r>
          </w:p>
        </w:tc>
        <w:tc>
          <w:tcPr>
            <w:tcW w:w="1617" w:type="dxa"/>
            <w:vMerge/>
            <w:tcBorders>
              <w:left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16"/>
              <w:jc w:val="right"/>
              <w:rPr>
                <w:rFonts w:ascii="Arial" w:hAnsi="Arial" w:cs="Arial" w:eastAsia="Arial" w:hint="default"/>
                <w:sz w:val="18"/>
                <w:szCs w:val="18"/>
              </w:rPr>
            </w:pPr>
            <w:r>
              <w:rPr>
                <w:rFonts w:ascii="Arial"/>
                <w:w w:val="95"/>
                <w:sz w:val="18"/>
              </w:rPr>
              <w:t>3.24%</w:t>
            </w:r>
            <w:r>
              <w:rPr>
                <w:rFonts w:ascii="Arial"/>
                <w:sz w:val="18"/>
              </w:rPr>
            </w:r>
          </w:p>
        </w:tc>
        <w:tc>
          <w:tcPr>
            <w:tcW w:w="1589" w:type="dxa"/>
            <w:vMerge/>
            <w:tcBorders>
              <w:left w:val="nil" w:sz="6" w:space="0" w:color="auto"/>
              <w:right w:val="nil" w:sz="6" w:space="0" w:color="auto"/>
            </w:tcBorders>
          </w:tcPr>
          <w:p>
            <w:pPr/>
          </w:p>
        </w:tc>
      </w:tr>
      <w:tr>
        <w:trPr>
          <w:trHeight w:val="161" w:hRule="exact"/>
        </w:trPr>
        <w:tc>
          <w:tcPr>
            <w:tcW w:w="1573" w:type="dxa"/>
            <w:vMerge/>
            <w:tcBorders>
              <w:left w:val="nil" w:sz="6" w:space="0" w:color="auto"/>
              <w:bottom w:val="single" w:sz="4" w:space="0" w:color="5B9BD4"/>
              <w:right w:val="nil" w:sz="6" w:space="0" w:color="auto"/>
            </w:tcBorders>
            <w:shd w:val="clear" w:color="auto" w:fill="DEEAF6"/>
          </w:tcPr>
          <w:p>
            <w:pPr/>
          </w:p>
        </w:tc>
        <w:tc>
          <w:tcPr>
            <w:tcW w:w="1617" w:type="dxa"/>
            <w:vMerge/>
            <w:tcBorders>
              <w:left w:val="single" w:sz="11" w:space="0" w:color="DEEAF6"/>
              <w:bottom w:val="single" w:sz="4" w:space="0" w:color="5B9BD4"/>
              <w:right w:val="nil" w:sz="6" w:space="0" w:color="auto"/>
            </w:tcBorders>
          </w:tcPr>
          <w:p>
            <w:pPr/>
          </w:p>
        </w:tc>
        <w:tc>
          <w:tcPr>
            <w:tcW w:w="1571" w:type="dxa"/>
            <w:tcBorders>
              <w:top w:val="nil" w:sz="6" w:space="0" w:color="auto"/>
              <w:left w:val="nil" w:sz="6" w:space="0" w:color="auto"/>
              <w:bottom w:val="single" w:sz="4" w:space="0" w:color="5B9BD4"/>
              <w:right w:val="nil" w:sz="6" w:space="0" w:color="auto"/>
            </w:tcBorders>
            <w:shd w:val="clear" w:color="auto" w:fill="DEEAF6"/>
          </w:tcPr>
          <w:p>
            <w:pPr/>
          </w:p>
        </w:tc>
        <w:tc>
          <w:tcPr>
            <w:tcW w:w="1617" w:type="dxa"/>
            <w:vMerge/>
            <w:tcBorders>
              <w:left w:val="nil" w:sz="6" w:space="0" w:color="auto"/>
              <w:bottom w:val="single" w:sz="4" w:space="0" w:color="5B9BD4"/>
              <w:right w:val="nil" w:sz="6" w:space="0" w:color="auto"/>
            </w:tcBorders>
          </w:tcPr>
          <w:p>
            <w:pPr/>
          </w:p>
        </w:tc>
        <w:tc>
          <w:tcPr>
            <w:tcW w:w="1571" w:type="dxa"/>
            <w:tcBorders>
              <w:top w:val="nil" w:sz="6" w:space="0" w:color="auto"/>
              <w:left w:val="nil" w:sz="6" w:space="0" w:color="auto"/>
              <w:bottom w:val="single" w:sz="4" w:space="0" w:color="5B9BD4"/>
              <w:right w:val="nil" w:sz="6" w:space="0" w:color="auto"/>
            </w:tcBorders>
            <w:shd w:val="clear" w:color="auto" w:fill="DEEAF6"/>
          </w:tcPr>
          <w:p>
            <w:pPr/>
          </w:p>
        </w:tc>
        <w:tc>
          <w:tcPr>
            <w:tcW w:w="1589" w:type="dxa"/>
            <w:vMerge/>
            <w:tcBorders>
              <w:left w:val="nil" w:sz="6" w:space="0" w:color="auto"/>
              <w:bottom w:val="single" w:sz="4" w:space="0" w:color="5B9BD4"/>
              <w:right w:val="nil" w:sz="6" w:space="0" w:color="auto"/>
            </w:tcBorders>
          </w:tcPr>
          <w:p>
            <w:pPr/>
          </w:p>
        </w:tc>
      </w:tr>
      <w:tr>
        <w:trPr>
          <w:trHeight w:val="402" w:hRule="exact"/>
        </w:trPr>
        <w:tc>
          <w:tcPr>
            <w:tcW w:w="157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运营商分销</w:t>
            </w:r>
          </w:p>
        </w:tc>
        <w:tc>
          <w:tcPr>
            <w:tcW w:w="1617"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spacing w:val="-1"/>
                <w:sz w:val="18"/>
              </w:rPr>
              <w:t>3,069,479,858.33</w:t>
            </w:r>
          </w:p>
        </w:tc>
        <w:tc>
          <w:tcPr>
            <w:tcW w:w="157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5"/>
              <w:jc w:val="right"/>
              <w:rPr>
                <w:rFonts w:ascii="Arial" w:hAnsi="Arial" w:cs="Arial" w:eastAsia="Arial" w:hint="default"/>
                <w:sz w:val="18"/>
                <w:szCs w:val="18"/>
              </w:rPr>
            </w:pPr>
            <w:r>
              <w:rPr>
                <w:rFonts w:ascii="Arial"/>
                <w:w w:val="95"/>
                <w:sz w:val="18"/>
              </w:rPr>
              <w:t>6.19%</w:t>
            </w:r>
            <w:r>
              <w:rPr>
                <w:rFonts w:ascii="Arial"/>
                <w:sz w:val="18"/>
              </w:rPr>
            </w:r>
          </w:p>
        </w:tc>
        <w:tc>
          <w:tcPr>
            <w:tcW w:w="1617"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spacing w:val="-1"/>
                <w:sz w:val="18"/>
              </w:rPr>
              <w:t>5,352,051,807.32</w:t>
            </w:r>
          </w:p>
        </w:tc>
        <w:tc>
          <w:tcPr>
            <w:tcW w:w="157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6"/>
              <w:jc w:val="right"/>
              <w:rPr>
                <w:rFonts w:ascii="Arial" w:hAnsi="Arial" w:cs="Arial" w:eastAsia="Arial" w:hint="default"/>
                <w:sz w:val="18"/>
                <w:szCs w:val="18"/>
              </w:rPr>
            </w:pPr>
            <w:r>
              <w:rPr>
                <w:rFonts w:ascii="Arial"/>
                <w:w w:val="95"/>
                <w:sz w:val="18"/>
              </w:rPr>
              <w:t>11.07%</w:t>
            </w:r>
            <w:r>
              <w:rPr>
                <w:rFonts w:ascii="Arial"/>
                <w:sz w:val="18"/>
              </w:rPr>
            </w:r>
          </w:p>
        </w:tc>
        <w:tc>
          <w:tcPr>
            <w:tcW w:w="1589"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88"/>
              <w:ind w:right="10"/>
              <w:jc w:val="right"/>
              <w:rPr>
                <w:rFonts w:ascii="Arial" w:hAnsi="Arial" w:cs="Arial" w:eastAsia="Arial" w:hint="default"/>
                <w:sz w:val="18"/>
                <w:szCs w:val="18"/>
              </w:rPr>
            </w:pPr>
            <w:r>
              <w:rPr>
                <w:rFonts w:ascii="Arial"/>
                <w:w w:val="95"/>
                <w:sz w:val="18"/>
              </w:rPr>
              <w:t>-42.65%</w:t>
            </w:r>
            <w:r>
              <w:rPr>
                <w:rFonts w:ascii="Arial"/>
                <w:sz w:val="18"/>
              </w:rPr>
            </w:r>
          </w:p>
        </w:tc>
      </w:tr>
      <w:tr>
        <w:trPr>
          <w:trHeight w:val="402" w:hRule="exact"/>
        </w:trPr>
        <w:tc>
          <w:tcPr>
            <w:tcW w:w="157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617"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249,561,695.60</w:t>
            </w:r>
            <w:r>
              <w:rPr>
                <w:rFonts w:ascii="Arial"/>
                <w:sz w:val="18"/>
              </w:rPr>
            </w:r>
          </w:p>
        </w:tc>
        <w:tc>
          <w:tcPr>
            <w:tcW w:w="157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5"/>
              <w:jc w:val="right"/>
              <w:rPr>
                <w:rFonts w:ascii="Arial" w:hAnsi="Arial" w:cs="Arial" w:eastAsia="Arial" w:hint="default"/>
                <w:sz w:val="18"/>
                <w:szCs w:val="18"/>
              </w:rPr>
            </w:pPr>
            <w:r>
              <w:rPr>
                <w:rFonts w:ascii="Arial"/>
                <w:w w:val="95"/>
                <w:sz w:val="18"/>
              </w:rPr>
              <w:t>0.50%</w:t>
            </w:r>
            <w:r>
              <w:rPr>
                <w:rFonts w:ascii="Arial"/>
                <w:sz w:val="18"/>
              </w:rPr>
            </w:r>
          </w:p>
        </w:tc>
        <w:tc>
          <w:tcPr>
            <w:tcW w:w="1617"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129,808,233.39</w:t>
            </w:r>
            <w:r>
              <w:rPr>
                <w:rFonts w:ascii="Arial"/>
                <w:sz w:val="18"/>
              </w:rPr>
            </w:r>
          </w:p>
        </w:tc>
        <w:tc>
          <w:tcPr>
            <w:tcW w:w="157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6"/>
              <w:jc w:val="right"/>
              <w:rPr>
                <w:rFonts w:ascii="Arial" w:hAnsi="Arial" w:cs="Arial" w:eastAsia="Arial" w:hint="default"/>
                <w:sz w:val="18"/>
                <w:szCs w:val="18"/>
              </w:rPr>
            </w:pPr>
            <w:r>
              <w:rPr>
                <w:rFonts w:ascii="Arial"/>
                <w:w w:val="95"/>
                <w:sz w:val="18"/>
              </w:rPr>
              <w:t>0.27%</w:t>
            </w:r>
            <w:r>
              <w:rPr>
                <w:rFonts w:ascii="Arial"/>
                <w:sz w:val="18"/>
              </w:rPr>
            </w:r>
          </w:p>
        </w:tc>
        <w:tc>
          <w:tcPr>
            <w:tcW w:w="1589"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88"/>
              <w:ind w:right="10"/>
              <w:jc w:val="right"/>
              <w:rPr>
                <w:rFonts w:ascii="Arial" w:hAnsi="Arial" w:cs="Arial" w:eastAsia="Arial" w:hint="default"/>
                <w:sz w:val="18"/>
                <w:szCs w:val="18"/>
              </w:rPr>
            </w:pPr>
            <w:r>
              <w:rPr>
                <w:rFonts w:ascii="Arial"/>
                <w:w w:val="95"/>
                <w:sz w:val="18"/>
              </w:rPr>
              <w:t>92.25%</w:t>
            </w:r>
            <w:r>
              <w:rPr>
                <w:rFonts w:ascii="Arial"/>
                <w:sz w:val="18"/>
              </w:rPr>
            </w:r>
          </w:p>
        </w:tc>
      </w:tr>
      <w:tr>
        <w:trPr>
          <w:trHeight w:val="407" w:hRule="exact"/>
        </w:trPr>
        <w:tc>
          <w:tcPr>
            <w:tcW w:w="157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617"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45,287,108.57</w:t>
            </w:r>
            <w:r>
              <w:rPr>
                <w:rFonts w:ascii="Arial"/>
                <w:sz w:val="18"/>
              </w:rPr>
            </w:r>
          </w:p>
        </w:tc>
        <w:tc>
          <w:tcPr>
            <w:tcW w:w="157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5"/>
              <w:jc w:val="right"/>
              <w:rPr>
                <w:rFonts w:ascii="Arial" w:hAnsi="Arial" w:cs="Arial" w:eastAsia="Arial" w:hint="default"/>
                <w:sz w:val="18"/>
                <w:szCs w:val="18"/>
              </w:rPr>
            </w:pPr>
            <w:r>
              <w:rPr>
                <w:rFonts w:ascii="Arial"/>
                <w:w w:val="95"/>
                <w:sz w:val="18"/>
              </w:rPr>
              <w:t>0.09%</w:t>
            </w:r>
            <w:r>
              <w:rPr>
                <w:rFonts w:ascii="Arial"/>
                <w:sz w:val="18"/>
              </w:rPr>
            </w:r>
          </w:p>
        </w:tc>
        <w:tc>
          <w:tcPr>
            <w:tcW w:w="1617"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66,947,715.41</w:t>
            </w:r>
            <w:r>
              <w:rPr>
                <w:rFonts w:ascii="Arial"/>
                <w:sz w:val="18"/>
              </w:rPr>
            </w:r>
          </w:p>
        </w:tc>
        <w:tc>
          <w:tcPr>
            <w:tcW w:w="157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6"/>
              <w:jc w:val="right"/>
              <w:rPr>
                <w:rFonts w:ascii="Arial" w:hAnsi="Arial" w:cs="Arial" w:eastAsia="Arial" w:hint="default"/>
                <w:sz w:val="18"/>
                <w:szCs w:val="18"/>
              </w:rPr>
            </w:pPr>
            <w:r>
              <w:rPr>
                <w:rFonts w:ascii="Arial"/>
                <w:w w:val="95"/>
                <w:sz w:val="18"/>
              </w:rPr>
              <w:t>0.14%</w:t>
            </w:r>
            <w:r>
              <w:rPr>
                <w:rFonts w:ascii="Arial"/>
                <w:sz w:val="18"/>
              </w:rPr>
            </w:r>
          </w:p>
        </w:tc>
        <w:tc>
          <w:tcPr>
            <w:tcW w:w="1589"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88"/>
              <w:ind w:right="10"/>
              <w:jc w:val="right"/>
              <w:rPr>
                <w:rFonts w:ascii="Arial" w:hAnsi="Arial" w:cs="Arial" w:eastAsia="Arial" w:hint="default"/>
                <w:sz w:val="18"/>
                <w:szCs w:val="18"/>
              </w:rPr>
            </w:pPr>
            <w:r>
              <w:rPr>
                <w:rFonts w:ascii="Arial"/>
                <w:w w:val="95"/>
                <w:sz w:val="18"/>
              </w:rPr>
              <w:t>-32.35%</w:t>
            </w:r>
            <w:r>
              <w:rPr>
                <w:rFonts w:ascii="Arial"/>
                <w:sz w:val="18"/>
              </w:rPr>
            </w:r>
          </w:p>
        </w:tc>
      </w:tr>
      <w:tr>
        <w:trPr>
          <w:trHeight w:val="392" w:hRule="exact"/>
        </w:trPr>
        <w:tc>
          <w:tcPr>
            <w:tcW w:w="9539" w:type="dxa"/>
            <w:gridSpan w:val="6"/>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1"/>
              <w:ind w:left="1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7" w:hRule="exact"/>
        </w:trPr>
        <w:tc>
          <w:tcPr>
            <w:tcW w:w="157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移动通信产品销售</w:t>
            </w:r>
          </w:p>
        </w:tc>
        <w:tc>
          <w:tcPr>
            <w:tcW w:w="1617"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92"/>
              <w:ind w:right="25"/>
              <w:jc w:val="right"/>
              <w:rPr>
                <w:rFonts w:ascii="Arial" w:hAnsi="Arial" w:cs="Arial" w:eastAsia="Arial" w:hint="default"/>
                <w:sz w:val="18"/>
                <w:szCs w:val="18"/>
              </w:rPr>
            </w:pPr>
            <w:r>
              <w:rPr>
                <w:rFonts w:ascii="Arial"/>
                <w:w w:val="95"/>
                <w:sz w:val="18"/>
              </w:rPr>
              <w:t>47,219,500,718.42</w:t>
            </w:r>
            <w:r>
              <w:rPr>
                <w:rFonts w:ascii="Arial"/>
                <w:sz w:val="18"/>
              </w:rPr>
            </w:r>
          </w:p>
        </w:tc>
        <w:tc>
          <w:tcPr>
            <w:tcW w:w="157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92"/>
              <w:ind w:right="15"/>
              <w:jc w:val="right"/>
              <w:rPr>
                <w:rFonts w:ascii="Arial" w:hAnsi="Arial" w:cs="Arial" w:eastAsia="Arial" w:hint="default"/>
                <w:sz w:val="18"/>
                <w:szCs w:val="18"/>
              </w:rPr>
            </w:pPr>
            <w:r>
              <w:rPr>
                <w:rFonts w:ascii="Arial"/>
                <w:w w:val="95"/>
                <w:sz w:val="18"/>
              </w:rPr>
              <w:t>95.26%</w:t>
            </w:r>
            <w:r>
              <w:rPr>
                <w:rFonts w:ascii="Arial"/>
                <w:sz w:val="18"/>
              </w:rPr>
            </w:r>
          </w:p>
        </w:tc>
        <w:tc>
          <w:tcPr>
            <w:tcW w:w="1617"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92"/>
              <w:ind w:right="25"/>
              <w:jc w:val="right"/>
              <w:rPr>
                <w:rFonts w:ascii="Arial" w:hAnsi="Arial" w:cs="Arial" w:eastAsia="Arial" w:hint="default"/>
                <w:sz w:val="18"/>
                <w:szCs w:val="18"/>
              </w:rPr>
            </w:pPr>
            <w:r>
              <w:rPr>
                <w:rFonts w:ascii="Arial"/>
                <w:w w:val="95"/>
                <w:sz w:val="18"/>
              </w:rPr>
              <w:t>46,557,535,617.54</w:t>
            </w:r>
            <w:r>
              <w:rPr>
                <w:rFonts w:ascii="Arial"/>
                <w:sz w:val="18"/>
              </w:rPr>
            </w:r>
          </w:p>
        </w:tc>
        <w:tc>
          <w:tcPr>
            <w:tcW w:w="157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92"/>
              <w:ind w:right="16"/>
              <w:jc w:val="right"/>
              <w:rPr>
                <w:rFonts w:ascii="Arial" w:hAnsi="Arial" w:cs="Arial" w:eastAsia="Arial" w:hint="default"/>
                <w:sz w:val="18"/>
                <w:szCs w:val="18"/>
              </w:rPr>
            </w:pPr>
            <w:r>
              <w:rPr>
                <w:rFonts w:ascii="Arial"/>
                <w:w w:val="95"/>
                <w:sz w:val="18"/>
              </w:rPr>
              <w:t>96.35%</w:t>
            </w:r>
            <w:r>
              <w:rPr>
                <w:rFonts w:ascii="Arial"/>
                <w:sz w:val="18"/>
              </w:rPr>
            </w:r>
          </w:p>
        </w:tc>
        <w:tc>
          <w:tcPr>
            <w:tcW w:w="1589"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92"/>
              <w:ind w:right="11"/>
              <w:jc w:val="right"/>
              <w:rPr>
                <w:rFonts w:ascii="Arial" w:hAnsi="Arial" w:cs="Arial" w:eastAsia="Arial" w:hint="default"/>
                <w:sz w:val="18"/>
                <w:szCs w:val="18"/>
              </w:rPr>
            </w:pPr>
            <w:r>
              <w:rPr>
                <w:rFonts w:ascii="Arial"/>
                <w:w w:val="95"/>
                <w:sz w:val="18"/>
              </w:rPr>
              <w:t>1.42%</w:t>
            </w:r>
            <w:r>
              <w:rPr>
                <w:rFonts w:ascii="Arial"/>
                <w:sz w:val="18"/>
              </w:rPr>
            </w:r>
          </w:p>
        </w:tc>
      </w:tr>
      <w:tr>
        <w:trPr>
          <w:trHeight w:val="402" w:hRule="exact"/>
        </w:trPr>
        <w:tc>
          <w:tcPr>
            <w:tcW w:w="157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数码产品销售</w:t>
            </w:r>
          </w:p>
        </w:tc>
        <w:tc>
          <w:tcPr>
            <w:tcW w:w="1617"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spacing w:val="-1"/>
                <w:sz w:val="18"/>
              </w:rPr>
              <w:t>2,054,678,809.08</w:t>
            </w:r>
          </w:p>
        </w:tc>
        <w:tc>
          <w:tcPr>
            <w:tcW w:w="157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5"/>
              <w:jc w:val="right"/>
              <w:rPr>
                <w:rFonts w:ascii="Arial" w:hAnsi="Arial" w:cs="Arial" w:eastAsia="Arial" w:hint="default"/>
                <w:sz w:val="18"/>
                <w:szCs w:val="18"/>
              </w:rPr>
            </w:pPr>
            <w:r>
              <w:rPr>
                <w:rFonts w:ascii="Arial"/>
                <w:w w:val="95"/>
                <w:sz w:val="18"/>
              </w:rPr>
              <w:t>4.15%</w:t>
            </w:r>
            <w:r>
              <w:rPr>
                <w:rFonts w:ascii="Arial"/>
                <w:sz w:val="18"/>
              </w:rPr>
            </w:r>
          </w:p>
        </w:tc>
        <w:tc>
          <w:tcPr>
            <w:tcW w:w="1617"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spacing w:val="-1"/>
                <w:sz w:val="18"/>
              </w:rPr>
              <w:t>1,566,275,930.19</w:t>
            </w:r>
          </w:p>
        </w:tc>
        <w:tc>
          <w:tcPr>
            <w:tcW w:w="157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6"/>
              <w:jc w:val="right"/>
              <w:rPr>
                <w:rFonts w:ascii="Arial" w:hAnsi="Arial" w:cs="Arial" w:eastAsia="Arial" w:hint="default"/>
                <w:sz w:val="18"/>
                <w:szCs w:val="18"/>
              </w:rPr>
            </w:pPr>
            <w:r>
              <w:rPr>
                <w:rFonts w:ascii="Arial"/>
                <w:w w:val="95"/>
                <w:sz w:val="18"/>
              </w:rPr>
              <w:t>3.24%</w:t>
            </w:r>
            <w:r>
              <w:rPr>
                <w:rFonts w:ascii="Arial"/>
                <w:sz w:val="18"/>
              </w:rPr>
            </w:r>
          </w:p>
        </w:tc>
        <w:tc>
          <w:tcPr>
            <w:tcW w:w="1589"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88"/>
              <w:ind w:right="10"/>
              <w:jc w:val="right"/>
              <w:rPr>
                <w:rFonts w:ascii="Arial" w:hAnsi="Arial" w:cs="Arial" w:eastAsia="Arial" w:hint="default"/>
                <w:sz w:val="18"/>
                <w:szCs w:val="18"/>
              </w:rPr>
            </w:pPr>
            <w:r>
              <w:rPr>
                <w:rFonts w:ascii="Arial"/>
                <w:w w:val="95"/>
                <w:sz w:val="18"/>
              </w:rPr>
              <w:t>31.18%</w:t>
            </w:r>
            <w:r>
              <w:rPr>
                <w:rFonts w:ascii="Arial"/>
                <w:sz w:val="18"/>
              </w:rPr>
            </w:r>
          </w:p>
        </w:tc>
      </w:tr>
    </w:tbl>
    <w:p>
      <w:pPr>
        <w:spacing w:after="0" w:line="240" w:lineRule="auto"/>
        <w:jc w:val="right"/>
        <w:rPr>
          <w:rFonts w:ascii="Arial" w:hAnsi="Arial" w:cs="Arial" w:eastAsia="Arial"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2" w:type="dxa"/>
        <w:tblLayout w:type="fixed"/>
        <w:tblCellMar>
          <w:top w:w="0" w:type="dxa"/>
          <w:left w:w="0" w:type="dxa"/>
          <w:bottom w:w="0" w:type="dxa"/>
          <w:right w:w="0" w:type="dxa"/>
        </w:tblCellMar>
        <w:tblLook w:val="01E0"/>
      </w:tblPr>
      <w:tblGrid>
        <w:gridCol w:w="1569"/>
        <w:gridCol w:w="1622"/>
        <w:gridCol w:w="1566"/>
        <w:gridCol w:w="1622"/>
        <w:gridCol w:w="1566"/>
        <w:gridCol w:w="1594"/>
      </w:tblGrid>
      <w:tr>
        <w:trPr>
          <w:trHeight w:val="402" w:hRule="exact"/>
        </w:trPr>
        <w:tc>
          <w:tcPr>
            <w:tcW w:w="156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622"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249,561,695.60</w:t>
            </w:r>
            <w:r>
              <w:rPr>
                <w:rFonts w:ascii="Arial"/>
                <w:sz w:val="18"/>
              </w:rPr>
            </w:r>
          </w:p>
        </w:tc>
        <w:tc>
          <w:tcPr>
            <w:tcW w:w="15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1"/>
              <w:jc w:val="right"/>
              <w:rPr>
                <w:rFonts w:ascii="Arial" w:hAnsi="Arial" w:cs="Arial" w:eastAsia="Arial" w:hint="default"/>
                <w:sz w:val="18"/>
                <w:szCs w:val="18"/>
              </w:rPr>
            </w:pPr>
            <w:r>
              <w:rPr>
                <w:rFonts w:ascii="Arial"/>
                <w:w w:val="95"/>
                <w:sz w:val="18"/>
              </w:rPr>
              <w:t>0.50%</w:t>
            </w:r>
            <w:r>
              <w:rPr>
                <w:rFonts w:ascii="Arial"/>
                <w:sz w:val="18"/>
              </w:rPr>
            </w:r>
          </w:p>
        </w:tc>
        <w:tc>
          <w:tcPr>
            <w:tcW w:w="1622"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129,808,233.39</w:t>
            </w:r>
            <w:r>
              <w:rPr>
                <w:rFonts w:ascii="Arial"/>
                <w:sz w:val="18"/>
              </w:rPr>
            </w:r>
          </w:p>
        </w:tc>
        <w:tc>
          <w:tcPr>
            <w:tcW w:w="15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1"/>
              <w:jc w:val="right"/>
              <w:rPr>
                <w:rFonts w:ascii="Arial" w:hAnsi="Arial" w:cs="Arial" w:eastAsia="Arial" w:hint="default"/>
                <w:sz w:val="18"/>
                <w:szCs w:val="18"/>
              </w:rPr>
            </w:pPr>
            <w:r>
              <w:rPr>
                <w:rFonts w:ascii="Arial"/>
                <w:w w:val="95"/>
                <w:sz w:val="18"/>
              </w:rPr>
              <w:t>0.27%</w:t>
            </w:r>
            <w:r>
              <w:rPr>
                <w:rFonts w:ascii="Arial"/>
                <w:sz w:val="18"/>
              </w:rPr>
            </w:r>
          </w:p>
        </w:tc>
        <w:tc>
          <w:tcPr>
            <w:tcW w:w="1594"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88"/>
              <w:ind w:right="10"/>
              <w:jc w:val="right"/>
              <w:rPr>
                <w:rFonts w:ascii="Arial" w:hAnsi="Arial" w:cs="Arial" w:eastAsia="Arial" w:hint="default"/>
                <w:sz w:val="18"/>
                <w:szCs w:val="18"/>
              </w:rPr>
            </w:pPr>
            <w:r>
              <w:rPr>
                <w:rFonts w:ascii="Arial"/>
                <w:w w:val="95"/>
                <w:sz w:val="18"/>
              </w:rPr>
              <w:t>92.25%</w:t>
            </w:r>
            <w:r>
              <w:rPr>
                <w:rFonts w:ascii="Arial"/>
                <w:sz w:val="18"/>
              </w:rPr>
            </w:r>
          </w:p>
        </w:tc>
      </w:tr>
      <w:tr>
        <w:trPr>
          <w:trHeight w:val="407" w:hRule="exact"/>
        </w:trPr>
        <w:tc>
          <w:tcPr>
            <w:tcW w:w="156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622"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45,287,108.57</w:t>
            </w:r>
            <w:r>
              <w:rPr>
                <w:rFonts w:ascii="Arial"/>
                <w:sz w:val="18"/>
              </w:rPr>
            </w:r>
          </w:p>
        </w:tc>
        <w:tc>
          <w:tcPr>
            <w:tcW w:w="15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1"/>
              <w:jc w:val="right"/>
              <w:rPr>
                <w:rFonts w:ascii="Arial" w:hAnsi="Arial" w:cs="Arial" w:eastAsia="Arial" w:hint="default"/>
                <w:sz w:val="18"/>
                <w:szCs w:val="18"/>
              </w:rPr>
            </w:pPr>
            <w:r>
              <w:rPr>
                <w:rFonts w:ascii="Arial"/>
                <w:w w:val="95"/>
                <w:sz w:val="18"/>
              </w:rPr>
              <w:t>0.09%</w:t>
            </w:r>
            <w:r>
              <w:rPr>
                <w:rFonts w:ascii="Arial"/>
                <w:sz w:val="18"/>
              </w:rPr>
            </w:r>
          </w:p>
        </w:tc>
        <w:tc>
          <w:tcPr>
            <w:tcW w:w="1622"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66,947,715.41</w:t>
            </w:r>
            <w:r>
              <w:rPr>
                <w:rFonts w:ascii="Arial"/>
                <w:sz w:val="18"/>
              </w:rPr>
            </w:r>
          </w:p>
        </w:tc>
        <w:tc>
          <w:tcPr>
            <w:tcW w:w="15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1"/>
              <w:jc w:val="right"/>
              <w:rPr>
                <w:rFonts w:ascii="Arial" w:hAnsi="Arial" w:cs="Arial" w:eastAsia="Arial" w:hint="default"/>
                <w:sz w:val="18"/>
                <w:szCs w:val="18"/>
              </w:rPr>
            </w:pPr>
            <w:r>
              <w:rPr>
                <w:rFonts w:ascii="Arial"/>
                <w:w w:val="95"/>
                <w:sz w:val="18"/>
              </w:rPr>
              <w:t>0.14%</w:t>
            </w:r>
            <w:r>
              <w:rPr>
                <w:rFonts w:ascii="Arial"/>
                <w:sz w:val="18"/>
              </w:rPr>
            </w:r>
          </w:p>
        </w:tc>
        <w:tc>
          <w:tcPr>
            <w:tcW w:w="1594"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88"/>
              <w:ind w:right="10"/>
              <w:jc w:val="right"/>
              <w:rPr>
                <w:rFonts w:ascii="Arial" w:hAnsi="Arial" w:cs="Arial" w:eastAsia="Arial" w:hint="default"/>
                <w:sz w:val="18"/>
                <w:szCs w:val="18"/>
              </w:rPr>
            </w:pPr>
            <w:r>
              <w:rPr>
                <w:rFonts w:ascii="Arial"/>
                <w:w w:val="95"/>
                <w:sz w:val="18"/>
              </w:rPr>
              <w:t>-32.35%</w:t>
            </w:r>
            <w:r>
              <w:rPr>
                <w:rFonts w:ascii="Arial"/>
                <w:sz w:val="18"/>
              </w:rPr>
            </w:r>
          </w:p>
        </w:tc>
      </w:tr>
      <w:tr>
        <w:trPr>
          <w:trHeight w:val="392" w:hRule="exact"/>
        </w:trPr>
        <w:tc>
          <w:tcPr>
            <w:tcW w:w="9539" w:type="dxa"/>
            <w:gridSpan w:val="6"/>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1"/>
              <w:ind w:left="1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7" w:hRule="exact"/>
        </w:trPr>
        <w:tc>
          <w:tcPr>
            <w:tcW w:w="156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622"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93"/>
              <w:ind w:right="25"/>
              <w:jc w:val="right"/>
              <w:rPr>
                <w:rFonts w:ascii="Arial" w:hAnsi="Arial" w:cs="Arial" w:eastAsia="Arial" w:hint="default"/>
                <w:sz w:val="18"/>
                <w:szCs w:val="18"/>
              </w:rPr>
            </w:pPr>
            <w:r>
              <w:rPr>
                <w:rFonts w:ascii="Arial"/>
                <w:w w:val="95"/>
                <w:sz w:val="18"/>
              </w:rPr>
              <w:t>13,393,551,455.22</w:t>
            </w:r>
            <w:r>
              <w:rPr>
                <w:rFonts w:ascii="Arial"/>
                <w:sz w:val="18"/>
              </w:rPr>
            </w:r>
          </w:p>
        </w:tc>
        <w:tc>
          <w:tcPr>
            <w:tcW w:w="15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93"/>
              <w:ind w:right="10"/>
              <w:jc w:val="right"/>
              <w:rPr>
                <w:rFonts w:ascii="Arial" w:hAnsi="Arial" w:cs="Arial" w:eastAsia="Arial" w:hint="default"/>
                <w:sz w:val="18"/>
                <w:szCs w:val="18"/>
              </w:rPr>
            </w:pPr>
            <w:r>
              <w:rPr>
                <w:rFonts w:ascii="Arial"/>
                <w:w w:val="95"/>
                <w:sz w:val="18"/>
              </w:rPr>
              <w:t>27.02%</w:t>
            </w:r>
            <w:r>
              <w:rPr>
                <w:rFonts w:ascii="Arial"/>
                <w:sz w:val="18"/>
              </w:rPr>
            </w:r>
          </w:p>
        </w:tc>
        <w:tc>
          <w:tcPr>
            <w:tcW w:w="1622"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93"/>
              <w:ind w:right="25"/>
              <w:jc w:val="right"/>
              <w:rPr>
                <w:rFonts w:ascii="Arial" w:hAnsi="Arial" w:cs="Arial" w:eastAsia="Arial" w:hint="default"/>
                <w:sz w:val="18"/>
                <w:szCs w:val="18"/>
              </w:rPr>
            </w:pPr>
            <w:r>
              <w:rPr>
                <w:rFonts w:ascii="Arial"/>
                <w:w w:val="95"/>
                <w:sz w:val="18"/>
              </w:rPr>
              <w:t>10,854,918,793.02</w:t>
            </w:r>
            <w:r>
              <w:rPr>
                <w:rFonts w:ascii="Arial"/>
                <w:sz w:val="18"/>
              </w:rPr>
            </w:r>
          </w:p>
        </w:tc>
        <w:tc>
          <w:tcPr>
            <w:tcW w:w="15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93"/>
              <w:ind w:right="11"/>
              <w:jc w:val="right"/>
              <w:rPr>
                <w:rFonts w:ascii="Arial" w:hAnsi="Arial" w:cs="Arial" w:eastAsia="Arial" w:hint="default"/>
                <w:sz w:val="18"/>
                <w:szCs w:val="18"/>
              </w:rPr>
            </w:pPr>
            <w:r>
              <w:rPr>
                <w:rFonts w:ascii="Arial"/>
                <w:w w:val="95"/>
                <w:sz w:val="18"/>
              </w:rPr>
              <w:t>22.46%</w:t>
            </w:r>
            <w:r>
              <w:rPr>
                <w:rFonts w:ascii="Arial"/>
                <w:sz w:val="18"/>
              </w:rPr>
            </w:r>
          </w:p>
        </w:tc>
        <w:tc>
          <w:tcPr>
            <w:tcW w:w="1594"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93"/>
              <w:ind w:right="10"/>
              <w:jc w:val="right"/>
              <w:rPr>
                <w:rFonts w:ascii="Arial" w:hAnsi="Arial" w:cs="Arial" w:eastAsia="Arial" w:hint="default"/>
                <w:sz w:val="18"/>
                <w:szCs w:val="18"/>
              </w:rPr>
            </w:pPr>
            <w:r>
              <w:rPr>
                <w:rFonts w:ascii="Arial"/>
                <w:w w:val="95"/>
                <w:sz w:val="18"/>
              </w:rPr>
              <w:t>23.39%</w:t>
            </w:r>
            <w:r>
              <w:rPr>
                <w:rFonts w:ascii="Arial"/>
                <w:sz w:val="18"/>
              </w:rPr>
            </w:r>
          </w:p>
        </w:tc>
      </w:tr>
      <w:tr>
        <w:trPr>
          <w:trHeight w:val="402" w:hRule="exact"/>
        </w:trPr>
        <w:tc>
          <w:tcPr>
            <w:tcW w:w="156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622"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17,205,409,733.92</w:t>
            </w:r>
            <w:r>
              <w:rPr>
                <w:rFonts w:ascii="Arial"/>
                <w:sz w:val="18"/>
              </w:rPr>
            </w:r>
          </w:p>
        </w:tc>
        <w:tc>
          <w:tcPr>
            <w:tcW w:w="15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0"/>
              <w:jc w:val="right"/>
              <w:rPr>
                <w:rFonts w:ascii="Arial" w:hAnsi="Arial" w:cs="Arial" w:eastAsia="Arial" w:hint="default"/>
                <w:sz w:val="18"/>
                <w:szCs w:val="18"/>
              </w:rPr>
            </w:pPr>
            <w:r>
              <w:rPr>
                <w:rFonts w:ascii="Arial"/>
                <w:w w:val="95"/>
                <w:sz w:val="18"/>
              </w:rPr>
              <w:t>34.71%</w:t>
            </w:r>
            <w:r>
              <w:rPr>
                <w:rFonts w:ascii="Arial"/>
                <w:sz w:val="18"/>
              </w:rPr>
            </w:r>
          </w:p>
        </w:tc>
        <w:tc>
          <w:tcPr>
            <w:tcW w:w="1622"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14,604,147,362.40</w:t>
            </w:r>
            <w:r>
              <w:rPr>
                <w:rFonts w:ascii="Arial"/>
                <w:sz w:val="18"/>
              </w:rPr>
            </w:r>
          </w:p>
        </w:tc>
        <w:tc>
          <w:tcPr>
            <w:tcW w:w="15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1"/>
              <w:jc w:val="right"/>
              <w:rPr>
                <w:rFonts w:ascii="Arial" w:hAnsi="Arial" w:cs="Arial" w:eastAsia="Arial" w:hint="default"/>
                <w:sz w:val="18"/>
                <w:szCs w:val="18"/>
              </w:rPr>
            </w:pPr>
            <w:r>
              <w:rPr>
                <w:rFonts w:ascii="Arial"/>
                <w:w w:val="95"/>
                <w:sz w:val="18"/>
              </w:rPr>
              <w:t>30.22%</w:t>
            </w:r>
            <w:r>
              <w:rPr>
                <w:rFonts w:ascii="Arial"/>
                <w:sz w:val="18"/>
              </w:rPr>
            </w:r>
          </w:p>
        </w:tc>
        <w:tc>
          <w:tcPr>
            <w:tcW w:w="1594"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88"/>
              <w:ind w:right="10"/>
              <w:jc w:val="right"/>
              <w:rPr>
                <w:rFonts w:ascii="Arial" w:hAnsi="Arial" w:cs="Arial" w:eastAsia="Arial" w:hint="default"/>
                <w:sz w:val="18"/>
                <w:szCs w:val="18"/>
              </w:rPr>
            </w:pPr>
            <w:r>
              <w:rPr>
                <w:rFonts w:ascii="Arial"/>
                <w:w w:val="95"/>
                <w:sz w:val="18"/>
              </w:rPr>
              <w:t>17.81%</w:t>
            </w:r>
            <w:r>
              <w:rPr>
                <w:rFonts w:ascii="Arial"/>
                <w:sz w:val="18"/>
              </w:rPr>
            </w:r>
          </w:p>
        </w:tc>
      </w:tr>
      <w:tr>
        <w:trPr>
          <w:trHeight w:val="402" w:hRule="exact"/>
        </w:trPr>
        <w:tc>
          <w:tcPr>
            <w:tcW w:w="156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华西地区</w:t>
            </w:r>
          </w:p>
        </w:tc>
        <w:tc>
          <w:tcPr>
            <w:tcW w:w="1622"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spacing w:val="-1"/>
                <w:sz w:val="18"/>
              </w:rPr>
              <w:t>6,582,766,962.45</w:t>
            </w:r>
          </w:p>
        </w:tc>
        <w:tc>
          <w:tcPr>
            <w:tcW w:w="15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0"/>
              <w:jc w:val="right"/>
              <w:rPr>
                <w:rFonts w:ascii="Arial" w:hAnsi="Arial" w:cs="Arial" w:eastAsia="Arial" w:hint="default"/>
                <w:sz w:val="18"/>
                <w:szCs w:val="18"/>
              </w:rPr>
            </w:pPr>
            <w:r>
              <w:rPr>
                <w:rFonts w:ascii="Arial"/>
                <w:w w:val="95"/>
                <w:sz w:val="18"/>
              </w:rPr>
              <w:t>13.28%</w:t>
            </w:r>
            <w:r>
              <w:rPr>
                <w:rFonts w:ascii="Arial"/>
                <w:sz w:val="18"/>
              </w:rPr>
            </w:r>
          </w:p>
        </w:tc>
        <w:tc>
          <w:tcPr>
            <w:tcW w:w="1622"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spacing w:val="-1"/>
                <w:sz w:val="18"/>
              </w:rPr>
              <w:t>6,743,188,148.34</w:t>
            </w:r>
          </w:p>
        </w:tc>
        <w:tc>
          <w:tcPr>
            <w:tcW w:w="15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1"/>
              <w:jc w:val="right"/>
              <w:rPr>
                <w:rFonts w:ascii="Arial" w:hAnsi="Arial" w:cs="Arial" w:eastAsia="Arial" w:hint="default"/>
                <w:sz w:val="18"/>
                <w:szCs w:val="18"/>
              </w:rPr>
            </w:pPr>
            <w:r>
              <w:rPr>
                <w:rFonts w:ascii="Arial"/>
                <w:w w:val="95"/>
                <w:sz w:val="18"/>
              </w:rPr>
              <w:t>13.96%</w:t>
            </w:r>
            <w:r>
              <w:rPr>
                <w:rFonts w:ascii="Arial"/>
                <w:sz w:val="18"/>
              </w:rPr>
            </w:r>
          </w:p>
        </w:tc>
        <w:tc>
          <w:tcPr>
            <w:tcW w:w="1594"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88"/>
              <w:ind w:right="11"/>
              <w:jc w:val="right"/>
              <w:rPr>
                <w:rFonts w:ascii="Arial" w:hAnsi="Arial" w:cs="Arial" w:eastAsia="Arial" w:hint="default"/>
                <w:sz w:val="18"/>
                <w:szCs w:val="18"/>
              </w:rPr>
            </w:pPr>
            <w:r>
              <w:rPr>
                <w:rFonts w:ascii="Arial"/>
                <w:w w:val="95"/>
                <w:sz w:val="18"/>
              </w:rPr>
              <w:t>-2.38%</w:t>
            </w:r>
            <w:r>
              <w:rPr>
                <w:rFonts w:ascii="Arial"/>
                <w:sz w:val="18"/>
              </w:rPr>
            </w:r>
          </w:p>
        </w:tc>
      </w:tr>
      <w:tr>
        <w:trPr>
          <w:trHeight w:val="402" w:hRule="exact"/>
        </w:trPr>
        <w:tc>
          <w:tcPr>
            <w:tcW w:w="156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华北东北地区</w:t>
            </w:r>
          </w:p>
        </w:tc>
        <w:tc>
          <w:tcPr>
            <w:tcW w:w="1622"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12,387,300,180.08</w:t>
            </w:r>
            <w:r>
              <w:rPr>
                <w:rFonts w:ascii="Arial"/>
                <w:sz w:val="18"/>
              </w:rPr>
            </w:r>
          </w:p>
        </w:tc>
        <w:tc>
          <w:tcPr>
            <w:tcW w:w="15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0"/>
              <w:jc w:val="right"/>
              <w:rPr>
                <w:rFonts w:ascii="Arial" w:hAnsi="Arial" w:cs="Arial" w:eastAsia="Arial" w:hint="default"/>
                <w:sz w:val="18"/>
                <w:szCs w:val="18"/>
              </w:rPr>
            </w:pPr>
            <w:r>
              <w:rPr>
                <w:rFonts w:ascii="Arial"/>
                <w:w w:val="95"/>
                <w:sz w:val="18"/>
              </w:rPr>
              <w:t>24.99%</w:t>
            </w:r>
            <w:r>
              <w:rPr>
                <w:rFonts w:ascii="Arial"/>
                <w:sz w:val="18"/>
              </w:rPr>
            </w:r>
          </w:p>
        </w:tc>
        <w:tc>
          <w:tcPr>
            <w:tcW w:w="1622"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16,118,313,192.77</w:t>
            </w:r>
            <w:r>
              <w:rPr>
                <w:rFonts w:ascii="Arial"/>
                <w:sz w:val="18"/>
              </w:rPr>
            </w:r>
          </w:p>
        </w:tc>
        <w:tc>
          <w:tcPr>
            <w:tcW w:w="15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1"/>
              <w:jc w:val="right"/>
              <w:rPr>
                <w:rFonts w:ascii="Arial" w:hAnsi="Arial" w:cs="Arial" w:eastAsia="Arial" w:hint="default"/>
                <w:sz w:val="18"/>
                <w:szCs w:val="18"/>
              </w:rPr>
            </w:pPr>
            <w:r>
              <w:rPr>
                <w:rFonts w:ascii="Arial"/>
                <w:w w:val="95"/>
                <w:sz w:val="18"/>
              </w:rPr>
              <w:t>33.36%</w:t>
            </w:r>
            <w:r>
              <w:rPr>
                <w:rFonts w:ascii="Arial"/>
                <w:sz w:val="18"/>
              </w:rPr>
            </w:r>
          </w:p>
        </w:tc>
        <w:tc>
          <w:tcPr>
            <w:tcW w:w="1594"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88"/>
              <w:ind w:right="10"/>
              <w:jc w:val="right"/>
              <w:rPr>
                <w:rFonts w:ascii="Arial" w:hAnsi="Arial" w:cs="Arial" w:eastAsia="Arial" w:hint="default"/>
                <w:sz w:val="18"/>
                <w:szCs w:val="18"/>
              </w:rPr>
            </w:pPr>
            <w:r>
              <w:rPr>
                <w:rFonts w:ascii="Arial"/>
                <w:w w:val="95"/>
                <w:sz w:val="18"/>
              </w:rPr>
              <w:t>-23.15%</w:t>
            </w:r>
            <w:r>
              <w:rPr>
                <w:rFonts w:ascii="Arial"/>
                <w:sz w:val="18"/>
              </w:rPr>
            </w:r>
          </w:p>
        </w:tc>
      </w:tr>
    </w:tbl>
    <w:p>
      <w:pPr>
        <w:spacing w:line="240" w:lineRule="auto" w:before="2"/>
        <w:rPr>
          <w:rFonts w:ascii="宋体" w:hAnsi="宋体" w:cs="宋体" w:eastAsia="宋体" w:hint="default"/>
          <w:sz w:val="20"/>
          <w:szCs w:val="20"/>
        </w:rPr>
      </w:pPr>
    </w:p>
    <w:p>
      <w:pPr>
        <w:pStyle w:val="Heading5"/>
        <w:spacing w:line="317" w:lineRule="exact" w:before="0"/>
        <w:ind w:left="154" w:right="0"/>
        <w:jc w:val="left"/>
        <w:rPr>
          <w:rFonts w:ascii="Microsoft JhengHei" w:hAnsi="Microsoft JhengHei" w:cs="Microsoft JhengHei" w:eastAsia="Microsoft JhengHei" w:hint="default"/>
          <w:b w:val="0"/>
          <w:bCs w:val="0"/>
        </w:rPr>
      </w:pPr>
      <w:bookmarkStart w:name="（2）占公司营业收入或营业利润10%以上的行业、产品或地区情况" w:id="58"/>
      <w:bookmarkEnd w:id="58"/>
      <w:r>
        <w:rPr>
          <w:b w:val="0"/>
          <w:bCs w:val="0"/>
        </w:rPr>
      </w:r>
      <w:r>
        <w:rPr>
          <w:rFonts w:ascii="Microsoft JhengHei" w:hAnsi="Microsoft JhengHei" w:cs="Microsoft JhengHei" w:eastAsia="Microsoft JhengHei" w:hint="default"/>
        </w:rPr>
        <w:t>（</w:t>
      </w:r>
      <w:r>
        <w:rPr>
          <w:rFonts w:ascii="Trebuchet MS" w:hAnsi="Trebuchet MS" w:cs="Trebuchet MS" w:eastAsia="Trebuchet MS" w:hint="default"/>
        </w:rPr>
        <w:t>2</w:t>
      </w:r>
      <w:r>
        <w:rPr>
          <w:rFonts w:ascii="Microsoft JhengHei" w:hAnsi="Microsoft JhengHei" w:cs="Microsoft JhengHei" w:eastAsia="Microsoft JhengHei" w:hint="default"/>
        </w:rPr>
        <w:t>）占公司营业收入或营业利润</w:t>
      </w:r>
      <w:r>
        <w:rPr>
          <w:rFonts w:ascii="Microsoft JhengHei" w:hAnsi="Microsoft JhengHei" w:cs="Microsoft JhengHei" w:eastAsia="Microsoft JhengHei" w:hint="default"/>
          <w:spacing w:val="5"/>
        </w:rPr>
        <w:t> </w:t>
      </w:r>
      <w:r>
        <w:rPr>
          <w:rFonts w:ascii="Trebuchet MS" w:hAnsi="Trebuchet MS" w:cs="Trebuchet MS" w:eastAsia="Trebuchet MS" w:hint="default"/>
        </w:rPr>
        <w:t>10%</w:t>
      </w:r>
      <w:r>
        <w:rPr>
          <w:rFonts w:ascii="Microsoft JhengHei" w:hAnsi="Microsoft JhengHei" w:cs="Microsoft JhengHei" w:eastAsia="Microsoft JhengHei" w:hint="default"/>
        </w:rPr>
        <w:t>以上的行业、产品或地区情况</w:t>
      </w:r>
      <w:r>
        <w:rPr>
          <w:rFonts w:ascii="Microsoft JhengHei" w:hAnsi="Microsoft JhengHei" w:cs="Microsoft JhengHei" w:eastAsia="Microsoft JhengHei" w:hint="default"/>
          <w:b w:val="0"/>
          <w:bCs w:val="0"/>
        </w:rPr>
      </w:r>
    </w:p>
    <w:p>
      <w:pPr>
        <w:spacing w:line="240" w:lineRule="auto" w:before="14"/>
        <w:rPr>
          <w:rFonts w:ascii="Microsoft JhengHei" w:hAnsi="Microsoft JhengHei" w:cs="Microsoft JhengHei" w:eastAsia="Microsoft JhengHei" w:hint="default"/>
          <w:b/>
          <w:bCs/>
          <w:sz w:val="17"/>
          <w:szCs w:val="17"/>
        </w:rPr>
      </w:pPr>
    </w:p>
    <w:p>
      <w:pPr>
        <w:spacing w:before="29"/>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343"/>
        <w:gridCol w:w="1631"/>
        <w:gridCol w:w="1680"/>
        <w:gridCol w:w="812"/>
        <w:gridCol w:w="1343"/>
        <w:gridCol w:w="1389"/>
        <w:gridCol w:w="1346"/>
      </w:tblGrid>
      <w:tr>
        <w:trPr>
          <w:trHeight w:val="161" w:hRule="exact"/>
        </w:trPr>
        <w:tc>
          <w:tcPr>
            <w:tcW w:w="5467" w:type="dxa"/>
            <w:gridSpan w:val="4"/>
            <w:tcBorders>
              <w:top w:val="single" w:sz="4" w:space="0" w:color="5B9BD4"/>
              <w:left w:val="nil" w:sz="6" w:space="0" w:color="auto"/>
              <w:bottom w:val="nil" w:sz="6" w:space="0" w:color="auto"/>
              <w:right w:val="nil" w:sz="6" w:space="0" w:color="auto"/>
            </w:tcBorders>
            <w:shd w:val="clear" w:color="auto" w:fill="DEEAF6"/>
          </w:tcPr>
          <w:p>
            <w:pPr/>
          </w:p>
        </w:tc>
        <w:tc>
          <w:tcPr>
            <w:tcW w:w="1343" w:type="dxa"/>
            <w:vMerge w:val="restart"/>
            <w:tcBorders>
              <w:top w:val="single" w:sz="4" w:space="0" w:color="5B9BD4"/>
              <w:left w:val="nil" w:sz="6" w:space="0" w:color="auto"/>
              <w:right w:val="nil" w:sz="6" w:space="0" w:color="auto"/>
            </w:tcBorders>
            <w:shd w:val="clear" w:color="auto" w:fill="DEEAF6"/>
          </w:tcPr>
          <w:p>
            <w:pPr>
              <w:pStyle w:val="TableParagraph"/>
              <w:spacing w:line="319" w:lineRule="auto" w:before="46"/>
              <w:ind w:left="308" w:right="41"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89" w:type="dxa"/>
            <w:vMerge w:val="restart"/>
            <w:tcBorders>
              <w:top w:val="single" w:sz="4" w:space="0" w:color="5B9BD4"/>
              <w:left w:val="nil" w:sz="6" w:space="0" w:color="auto"/>
              <w:right w:val="nil" w:sz="6" w:space="0" w:color="auto"/>
            </w:tcBorders>
            <w:shd w:val="clear" w:color="auto" w:fill="DEEAF6"/>
          </w:tcPr>
          <w:p>
            <w:pPr>
              <w:pStyle w:val="TableParagraph"/>
              <w:spacing w:line="319" w:lineRule="auto" w:before="46"/>
              <w:ind w:left="333" w:right="63"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46" w:type="dxa"/>
            <w:vMerge w:val="restart"/>
            <w:tcBorders>
              <w:top w:val="single" w:sz="4" w:space="0" w:color="5B9BD4"/>
              <w:left w:val="nil" w:sz="6" w:space="0" w:color="auto"/>
              <w:right w:val="nil" w:sz="6" w:space="0" w:color="auto"/>
            </w:tcBorders>
            <w:shd w:val="clear" w:color="auto" w:fill="DEEAF6"/>
          </w:tcPr>
          <w:p>
            <w:pPr>
              <w:pStyle w:val="TableParagraph"/>
              <w:spacing w:line="319" w:lineRule="auto" w:before="46"/>
              <w:ind w:left="405" w:right="3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392" w:hRule="exact"/>
        </w:trPr>
        <w:tc>
          <w:tcPr>
            <w:tcW w:w="1343" w:type="dxa"/>
            <w:tcBorders>
              <w:top w:val="nil" w:sz="6" w:space="0" w:color="auto"/>
              <w:left w:val="nil" w:sz="6" w:space="0" w:color="auto"/>
              <w:bottom w:val="nil" w:sz="6" w:space="0" w:color="auto"/>
              <w:right w:val="nil" w:sz="6" w:space="0" w:color="auto"/>
            </w:tcBorders>
            <w:shd w:val="clear" w:color="auto" w:fill="DEEAF6"/>
          </w:tcPr>
          <w:p>
            <w:pPr/>
          </w:p>
        </w:tc>
        <w:tc>
          <w:tcPr>
            <w:tcW w:w="1631"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45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80"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47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812"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135"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43" w:type="dxa"/>
            <w:vMerge/>
            <w:tcBorders>
              <w:left w:val="nil" w:sz="6" w:space="0" w:color="auto"/>
              <w:right w:val="nil" w:sz="6" w:space="0" w:color="auto"/>
            </w:tcBorders>
            <w:shd w:val="clear" w:color="auto" w:fill="DEEAF6"/>
          </w:tcPr>
          <w:p>
            <w:pPr/>
          </w:p>
        </w:tc>
        <w:tc>
          <w:tcPr>
            <w:tcW w:w="1389" w:type="dxa"/>
            <w:vMerge/>
            <w:tcBorders>
              <w:left w:val="nil" w:sz="6" w:space="0" w:color="auto"/>
              <w:right w:val="nil" w:sz="6" w:space="0" w:color="auto"/>
            </w:tcBorders>
            <w:shd w:val="clear" w:color="auto" w:fill="DEEAF6"/>
          </w:tcPr>
          <w:p>
            <w:pPr/>
          </w:p>
        </w:tc>
        <w:tc>
          <w:tcPr>
            <w:tcW w:w="1346" w:type="dxa"/>
            <w:vMerge/>
            <w:tcBorders>
              <w:left w:val="nil" w:sz="6" w:space="0" w:color="auto"/>
              <w:right w:val="nil" w:sz="6" w:space="0" w:color="auto"/>
            </w:tcBorders>
            <w:shd w:val="clear" w:color="auto" w:fill="DEEAF6"/>
          </w:tcPr>
          <w:p>
            <w:pPr/>
          </w:p>
        </w:tc>
      </w:tr>
      <w:tr>
        <w:trPr>
          <w:trHeight w:val="166" w:hRule="exact"/>
        </w:trPr>
        <w:tc>
          <w:tcPr>
            <w:tcW w:w="5467" w:type="dxa"/>
            <w:gridSpan w:val="4"/>
            <w:tcBorders>
              <w:top w:val="nil" w:sz="6" w:space="0" w:color="auto"/>
              <w:left w:val="nil" w:sz="6" w:space="0" w:color="auto"/>
              <w:bottom w:val="single" w:sz="4" w:space="0" w:color="5B9BD4"/>
              <w:right w:val="nil" w:sz="6" w:space="0" w:color="auto"/>
            </w:tcBorders>
            <w:shd w:val="clear" w:color="auto" w:fill="DEEAF6"/>
          </w:tcPr>
          <w:p>
            <w:pPr/>
          </w:p>
        </w:tc>
        <w:tc>
          <w:tcPr>
            <w:tcW w:w="1343" w:type="dxa"/>
            <w:vMerge/>
            <w:tcBorders>
              <w:left w:val="nil" w:sz="6" w:space="0" w:color="auto"/>
              <w:bottom w:val="single" w:sz="4" w:space="0" w:color="5B9BD4"/>
              <w:right w:val="nil" w:sz="6" w:space="0" w:color="auto"/>
            </w:tcBorders>
            <w:shd w:val="clear" w:color="auto" w:fill="DEEAF6"/>
          </w:tcPr>
          <w:p>
            <w:pPr/>
          </w:p>
        </w:tc>
        <w:tc>
          <w:tcPr>
            <w:tcW w:w="1389" w:type="dxa"/>
            <w:vMerge/>
            <w:tcBorders>
              <w:left w:val="nil" w:sz="6" w:space="0" w:color="auto"/>
              <w:bottom w:val="single" w:sz="4" w:space="0" w:color="5B9BD4"/>
              <w:right w:val="nil" w:sz="6" w:space="0" w:color="auto"/>
            </w:tcBorders>
            <w:shd w:val="clear" w:color="auto" w:fill="DEEAF6"/>
          </w:tcPr>
          <w:p>
            <w:pPr/>
          </w:p>
        </w:tc>
        <w:tc>
          <w:tcPr>
            <w:tcW w:w="1346" w:type="dxa"/>
            <w:vMerge/>
            <w:tcBorders>
              <w:left w:val="nil" w:sz="6" w:space="0" w:color="auto"/>
              <w:bottom w:val="single" w:sz="4" w:space="0" w:color="5B9BD4"/>
              <w:right w:val="nil" w:sz="6" w:space="0" w:color="auto"/>
            </w:tcBorders>
            <w:shd w:val="clear" w:color="auto" w:fill="DEEAF6"/>
          </w:tcPr>
          <w:p>
            <w:pPr/>
          </w:p>
        </w:tc>
      </w:tr>
      <w:tr>
        <w:trPr>
          <w:trHeight w:val="392" w:hRule="exact"/>
        </w:trPr>
        <w:tc>
          <w:tcPr>
            <w:tcW w:w="9544" w:type="dxa"/>
            <w:gridSpan w:val="7"/>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1"/>
              <w:ind w:left="1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12" w:hRule="exact"/>
        </w:trPr>
        <w:tc>
          <w:tcPr>
            <w:tcW w:w="134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公开市场分销</w:t>
            </w:r>
          </w:p>
        </w:tc>
        <w:tc>
          <w:tcPr>
            <w:tcW w:w="1631"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92"/>
              <w:ind w:right="23"/>
              <w:jc w:val="right"/>
              <w:rPr>
                <w:rFonts w:ascii="Arial" w:hAnsi="Arial" w:cs="Arial" w:eastAsia="Arial" w:hint="default"/>
                <w:sz w:val="18"/>
                <w:szCs w:val="18"/>
              </w:rPr>
            </w:pPr>
            <w:r>
              <w:rPr>
                <w:rFonts w:ascii="Arial"/>
                <w:w w:val="95"/>
                <w:sz w:val="18"/>
              </w:rPr>
              <w:t>42,311,951,197.14</w:t>
            </w:r>
            <w:r>
              <w:rPr>
                <w:rFonts w:ascii="Arial"/>
                <w:sz w:val="18"/>
              </w:rPr>
            </w:r>
          </w:p>
        </w:tc>
        <w:tc>
          <w:tcPr>
            <w:tcW w:w="168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92"/>
              <w:ind w:right="15"/>
              <w:jc w:val="right"/>
              <w:rPr>
                <w:rFonts w:ascii="Arial" w:hAnsi="Arial" w:cs="Arial" w:eastAsia="Arial" w:hint="default"/>
                <w:sz w:val="18"/>
                <w:szCs w:val="18"/>
              </w:rPr>
            </w:pPr>
            <w:r>
              <w:rPr>
                <w:rFonts w:ascii="Arial"/>
                <w:w w:val="95"/>
                <w:sz w:val="18"/>
              </w:rPr>
              <w:t>41,479,084,570.73</w:t>
            </w:r>
            <w:r>
              <w:rPr>
                <w:rFonts w:ascii="Arial"/>
                <w:sz w:val="18"/>
              </w:rPr>
            </w:r>
          </w:p>
        </w:tc>
        <w:tc>
          <w:tcPr>
            <w:tcW w:w="812"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92"/>
              <w:ind w:right="25"/>
              <w:jc w:val="right"/>
              <w:rPr>
                <w:rFonts w:ascii="Arial" w:hAnsi="Arial" w:cs="Arial" w:eastAsia="Arial" w:hint="default"/>
                <w:sz w:val="18"/>
                <w:szCs w:val="18"/>
              </w:rPr>
            </w:pPr>
            <w:r>
              <w:rPr>
                <w:rFonts w:ascii="Arial"/>
                <w:w w:val="95"/>
                <w:sz w:val="18"/>
              </w:rPr>
              <w:t>1.97%</w:t>
            </w:r>
            <w:r>
              <w:rPr>
                <w:rFonts w:ascii="Arial"/>
                <w:sz w:val="18"/>
              </w:rPr>
            </w:r>
          </w:p>
        </w:tc>
        <w:tc>
          <w:tcPr>
            <w:tcW w:w="134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92"/>
              <w:ind w:right="15"/>
              <w:jc w:val="right"/>
              <w:rPr>
                <w:rFonts w:ascii="Arial" w:hAnsi="Arial" w:cs="Arial" w:eastAsia="Arial" w:hint="default"/>
                <w:sz w:val="18"/>
                <w:szCs w:val="18"/>
              </w:rPr>
            </w:pPr>
            <w:r>
              <w:rPr>
                <w:rFonts w:ascii="Arial"/>
                <w:w w:val="95"/>
                <w:sz w:val="18"/>
              </w:rPr>
              <w:t>10.26%</w:t>
            </w:r>
            <w:r>
              <w:rPr>
                <w:rFonts w:ascii="Arial"/>
                <w:sz w:val="18"/>
              </w:rPr>
            </w:r>
          </w:p>
        </w:tc>
        <w:tc>
          <w:tcPr>
            <w:tcW w:w="1389"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92"/>
              <w:ind w:right="21"/>
              <w:jc w:val="right"/>
              <w:rPr>
                <w:rFonts w:ascii="Arial" w:hAnsi="Arial" w:cs="Arial" w:eastAsia="Arial" w:hint="default"/>
                <w:sz w:val="18"/>
                <w:szCs w:val="18"/>
              </w:rPr>
            </w:pPr>
            <w:r>
              <w:rPr>
                <w:rFonts w:ascii="Arial"/>
                <w:w w:val="95"/>
                <w:sz w:val="18"/>
              </w:rPr>
              <w:t>10.65%</w:t>
            </w:r>
            <w:r>
              <w:rPr>
                <w:rFonts w:ascii="Arial"/>
                <w:sz w:val="18"/>
              </w:rPr>
            </w:r>
          </w:p>
        </w:tc>
        <w:tc>
          <w:tcPr>
            <w:tcW w:w="134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92"/>
              <w:ind w:right="11"/>
              <w:jc w:val="right"/>
              <w:rPr>
                <w:rFonts w:ascii="Arial" w:hAnsi="Arial" w:cs="Arial" w:eastAsia="Arial" w:hint="default"/>
                <w:sz w:val="18"/>
                <w:szCs w:val="18"/>
              </w:rPr>
            </w:pPr>
            <w:r>
              <w:rPr>
                <w:rFonts w:ascii="Arial"/>
                <w:w w:val="95"/>
                <w:sz w:val="18"/>
              </w:rPr>
              <w:t>-0.35%</w:t>
            </w:r>
            <w:r>
              <w:rPr>
                <w:rFonts w:ascii="Arial"/>
                <w:sz w:val="18"/>
              </w:rPr>
            </w:r>
          </w:p>
        </w:tc>
      </w:tr>
      <w:tr>
        <w:trPr>
          <w:trHeight w:val="392" w:hRule="exact"/>
        </w:trPr>
        <w:tc>
          <w:tcPr>
            <w:tcW w:w="9544" w:type="dxa"/>
            <w:gridSpan w:val="7"/>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1"/>
              <w:ind w:left="1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166" w:hRule="exact"/>
        </w:trPr>
        <w:tc>
          <w:tcPr>
            <w:tcW w:w="1343" w:type="dxa"/>
            <w:vMerge w:val="restart"/>
            <w:tcBorders>
              <w:top w:val="single" w:sz="4" w:space="0" w:color="5B9BD4"/>
              <w:left w:val="nil" w:sz="6" w:space="0" w:color="auto"/>
              <w:right w:val="nil" w:sz="6" w:space="0" w:color="auto"/>
            </w:tcBorders>
            <w:shd w:val="clear" w:color="auto" w:fill="DEEAF6"/>
          </w:tcPr>
          <w:p>
            <w:pPr>
              <w:pStyle w:val="TableParagraph"/>
              <w:spacing w:line="319" w:lineRule="auto" w:before="51"/>
              <w:ind w:left="13" w:right="67"/>
              <w:jc w:val="left"/>
              <w:rPr>
                <w:rFonts w:ascii="宋体" w:hAnsi="宋体" w:cs="宋体" w:eastAsia="宋体" w:hint="default"/>
                <w:sz w:val="18"/>
                <w:szCs w:val="18"/>
              </w:rPr>
            </w:pPr>
            <w:r>
              <w:rPr>
                <w:rFonts w:ascii="宋体" w:hAnsi="宋体" w:cs="宋体" w:eastAsia="宋体" w:hint="default"/>
                <w:sz w:val="18"/>
                <w:szCs w:val="18"/>
              </w:rPr>
              <w:t>移动通信产品销 售</w:t>
            </w:r>
          </w:p>
        </w:tc>
        <w:tc>
          <w:tcPr>
            <w:tcW w:w="1631" w:type="dxa"/>
            <w:vMerge w:val="restart"/>
            <w:tcBorders>
              <w:top w:val="single" w:sz="4" w:space="0" w:color="5B9BD4"/>
              <w:left w:val="single" w:sz="11" w:space="0" w:color="DEEAF6"/>
              <w:right w:val="nil" w:sz="6" w:space="0" w:color="auto"/>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1" w:right="0"/>
              <w:jc w:val="left"/>
              <w:rPr>
                <w:rFonts w:ascii="Arial" w:hAnsi="Arial" w:cs="Arial" w:eastAsia="Arial" w:hint="default"/>
                <w:sz w:val="18"/>
                <w:szCs w:val="18"/>
              </w:rPr>
            </w:pPr>
            <w:r>
              <w:rPr>
                <w:rFonts w:ascii="Arial"/>
                <w:sz w:val="18"/>
              </w:rPr>
              <w:t>47,219,500,718.42</w:t>
            </w:r>
          </w:p>
        </w:tc>
        <w:tc>
          <w:tcPr>
            <w:tcW w:w="1680" w:type="dxa"/>
            <w:tcBorders>
              <w:top w:val="single" w:sz="4" w:space="0" w:color="5B9BD4"/>
              <w:left w:val="nil" w:sz="6" w:space="0" w:color="auto"/>
              <w:bottom w:val="nil" w:sz="6" w:space="0" w:color="auto"/>
              <w:right w:val="nil" w:sz="6" w:space="0" w:color="auto"/>
            </w:tcBorders>
            <w:shd w:val="clear" w:color="auto" w:fill="DEEAF6"/>
          </w:tcPr>
          <w:p>
            <w:pPr/>
          </w:p>
        </w:tc>
        <w:tc>
          <w:tcPr>
            <w:tcW w:w="812"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82" w:right="0"/>
              <w:jc w:val="left"/>
              <w:rPr>
                <w:rFonts w:ascii="Arial" w:hAnsi="Arial" w:cs="Arial" w:eastAsia="Arial" w:hint="default"/>
                <w:sz w:val="18"/>
                <w:szCs w:val="18"/>
              </w:rPr>
            </w:pPr>
            <w:r>
              <w:rPr>
                <w:rFonts w:ascii="Arial"/>
                <w:sz w:val="18"/>
              </w:rPr>
              <w:t>2.17%</w:t>
            </w:r>
          </w:p>
        </w:tc>
        <w:tc>
          <w:tcPr>
            <w:tcW w:w="1343" w:type="dxa"/>
            <w:tcBorders>
              <w:top w:val="single" w:sz="4" w:space="0" w:color="5B9BD4"/>
              <w:left w:val="nil" w:sz="6" w:space="0" w:color="auto"/>
              <w:bottom w:val="nil" w:sz="6" w:space="0" w:color="auto"/>
              <w:right w:val="nil" w:sz="6" w:space="0" w:color="auto"/>
            </w:tcBorders>
            <w:shd w:val="clear" w:color="auto" w:fill="DEEAF6"/>
          </w:tcPr>
          <w:p>
            <w:pPr/>
          </w:p>
        </w:tc>
        <w:tc>
          <w:tcPr>
            <w:tcW w:w="1389"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61" w:right="0"/>
              <w:jc w:val="left"/>
              <w:rPr>
                <w:rFonts w:ascii="Arial" w:hAnsi="Arial" w:cs="Arial" w:eastAsia="Arial" w:hint="default"/>
                <w:sz w:val="18"/>
                <w:szCs w:val="18"/>
              </w:rPr>
            </w:pPr>
            <w:r>
              <w:rPr>
                <w:rFonts w:ascii="Arial"/>
                <w:sz w:val="18"/>
              </w:rPr>
              <w:t>2.25%</w:t>
            </w:r>
          </w:p>
        </w:tc>
        <w:tc>
          <w:tcPr>
            <w:tcW w:w="1346" w:type="dxa"/>
            <w:tcBorders>
              <w:top w:val="single" w:sz="4" w:space="0" w:color="5B9BD4"/>
              <w:left w:val="nil" w:sz="6" w:space="0" w:color="auto"/>
              <w:bottom w:val="nil" w:sz="6" w:space="0" w:color="auto"/>
              <w:right w:val="nil" w:sz="6" w:space="0" w:color="auto"/>
            </w:tcBorders>
            <w:shd w:val="clear" w:color="auto" w:fill="DEEAF6"/>
          </w:tcPr>
          <w:p>
            <w:pPr/>
          </w:p>
        </w:tc>
      </w:tr>
      <w:tr>
        <w:trPr>
          <w:trHeight w:val="392" w:hRule="exact"/>
        </w:trPr>
        <w:tc>
          <w:tcPr>
            <w:tcW w:w="1343" w:type="dxa"/>
            <w:vMerge/>
            <w:tcBorders>
              <w:left w:val="nil" w:sz="6" w:space="0" w:color="auto"/>
              <w:right w:val="nil" w:sz="6" w:space="0" w:color="auto"/>
            </w:tcBorders>
            <w:shd w:val="clear" w:color="auto" w:fill="DEEAF6"/>
          </w:tcPr>
          <w:p>
            <w:pPr/>
          </w:p>
        </w:tc>
        <w:tc>
          <w:tcPr>
            <w:tcW w:w="1631" w:type="dxa"/>
            <w:vMerge/>
            <w:tcBorders>
              <w:left w:val="single" w:sz="11" w:space="0" w:color="DEEAF6"/>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15"/>
              <w:jc w:val="right"/>
              <w:rPr>
                <w:rFonts w:ascii="Arial" w:hAnsi="Arial" w:cs="Arial" w:eastAsia="Arial" w:hint="default"/>
                <w:sz w:val="18"/>
                <w:szCs w:val="18"/>
              </w:rPr>
            </w:pPr>
            <w:r>
              <w:rPr>
                <w:rFonts w:ascii="Arial"/>
                <w:w w:val="95"/>
                <w:sz w:val="18"/>
              </w:rPr>
              <w:t>46,192,847,448.70</w:t>
            </w:r>
            <w:r>
              <w:rPr>
                <w:rFonts w:ascii="Arial"/>
                <w:sz w:val="18"/>
              </w:rPr>
            </w:r>
          </w:p>
        </w:tc>
        <w:tc>
          <w:tcPr>
            <w:tcW w:w="812" w:type="dxa"/>
            <w:vMerge/>
            <w:tcBorders>
              <w:left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15"/>
              <w:jc w:val="right"/>
              <w:rPr>
                <w:rFonts w:ascii="Arial" w:hAnsi="Arial" w:cs="Arial" w:eastAsia="Arial" w:hint="default"/>
                <w:sz w:val="18"/>
                <w:szCs w:val="18"/>
              </w:rPr>
            </w:pPr>
            <w:r>
              <w:rPr>
                <w:rFonts w:ascii="Arial"/>
                <w:w w:val="95"/>
                <w:sz w:val="18"/>
              </w:rPr>
              <w:t>1.42%</w:t>
            </w:r>
            <w:r>
              <w:rPr>
                <w:rFonts w:ascii="Arial"/>
                <w:sz w:val="18"/>
              </w:rPr>
            </w:r>
          </w:p>
        </w:tc>
        <w:tc>
          <w:tcPr>
            <w:tcW w:w="1389" w:type="dxa"/>
            <w:vMerge/>
            <w:tcBorders>
              <w:left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11"/>
              <w:jc w:val="right"/>
              <w:rPr>
                <w:rFonts w:ascii="Arial" w:hAnsi="Arial" w:cs="Arial" w:eastAsia="Arial" w:hint="default"/>
                <w:sz w:val="18"/>
                <w:szCs w:val="18"/>
              </w:rPr>
            </w:pPr>
            <w:r>
              <w:rPr>
                <w:rFonts w:ascii="Arial"/>
                <w:w w:val="95"/>
                <w:sz w:val="18"/>
              </w:rPr>
              <w:t>-0.80%</w:t>
            </w:r>
            <w:r>
              <w:rPr>
                <w:rFonts w:ascii="Arial"/>
                <w:sz w:val="18"/>
              </w:rPr>
            </w:r>
          </w:p>
        </w:tc>
      </w:tr>
      <w:tr>
        <w:trPr>
          <w:trHeight w:val="166" w:hRule="exact"/>
        </w:trPr>
        <w:tc>
          <w:tcPr>
            <w:tcW w:w="1343" w:type="dxa"/>
            <w:vMerge/>
            <w:tcBorders>
              <w:left w:val="nil" w:sz="6" w:space="0" w:color="auto"/>
              <w:bottom w:val="single" w:sz="4" w:space="0" w:color="5B9BD4"/>
              <w:right w:val="nil" w:sz="6" w:space="0" w:color="auto"/>
            </w:tcBorders>
            <w:shd w:val="clear" w:color="auto" w:fill="DEEAF6"/>
          </w:tcPr>
          <w:p>
            <w:pPr/>
          </w:p>
        </w:tc>
        <w:tc>
          <w:tcPr>
            <w:tcW w:w="1631" w:type="dxa"/>
            <w:vMerge/>
            <w:tcBorders>
              <w:left w:val="single" w:sz="11" w:space="0" w:color="DEEAF6"/>
              <w:bottom w:val="single" w:sz="4" w:space="0" w:color="5B9BD4"/>
              <w:right w:val="nil" w:sz="6" w:space="0" w:color="auto"/>
            </w:tcBorders>
          </w:tcPr>
          <w:p>
            <w:pPr/>
          </w:p>
        </w:tc>
        <w:tc>
          <w:tcPr>
            <w:tcW w:w="1680" w:type="dxa"/>
            <w:tcBorders>
              <w:top w:val="nil" w:sz="6" w:space="0" w:color="auto"/>
              <w:left w:val="nil" w:sz="6" w:space="0" w:color="auto"/>
              <w:bottom w:val="single" w:sz="4" w:space="0" w:color="5B9BD4"/>
              <w:right w:val="nil" w:sz="6" w:space="0" w:color="auto"/>
            </w:tcBorders>
            <w:shd w:val="clear" w:color="auto" w:fill="DEEAF6"/>
          </w:tcPr>
          <w:p>
            <w:pPr/>
          </w:p>
        </w:tc>
        <w:tc>
          <w:tcPr>
            <w:tcW w:w="812" w:type="dxa"/>
            <w:vMerge/>
            <w:tcBorders>
              <w:left w:val="nil" w:sz="6" w:space="0" w:color="auto"/>
              <w:bottom w:val="single" w:sz="4" w:space="0" w:color="5B9BD4"/>
              <w:right w:val="nil" w:sz="6" w:space="0" w:color="auto"/>
            </w:tcBorders>
          </w:tcPr>
          <w:p>
            <w:pPr/>
          </w:p>
        </w:tc>
        <w:tc>
          <w:tcPr>
            <w:tcW w:w="1343" w:type="dxa"/>
            <w:tcBorders>
              <w:top w:val="nil" w:sz="6" w:space="0" w:color="auto"/>
              <w:left w:val="nil" w:sz="6" w:space="0" w:color="auto"/>
              <w:bottom w:val="single" w:sz="4" w:space="0" w:color="5B9BD4"/>
              <w:right w:val="nil" w:sz="6" w:space="0" w:color="auto"/>
            </w:tcBorders>
            <w:shd w:val="clear" w:color="auto" w:fill="DEEAF6"/>
          </w:tcPr>
          <w:p>
            <w:pPr/>
          </w:p>
        </w:tc>
        <w:tc>
          <w:tcPr>
            <w:tcW w:w="1389" w:type="dxa"/>
            <w:vMerge/>
            <w:tcBorders>
              <w:left w:val="nil" w:sz="6" w:space="0" w:color="auto"/>
              <w:bottom w:val="single" w:sz="4" w:space="0" w:color="5B9BD4"/>
              <w:right w:val="nil" w:sz="6" w:space="0" w:color="auto"/>
            </w:tcBorders>
          </w:tcPr>
          <w:p>
            <w:pPr/>
          </w:p>
        </w:tc>
        <w:tc>
          <w:tcPr>
            <w:tcW w:w="1346" w:type="dxa"/>
            <w:tcBorders>
              <w:top w:val="nil" w:sz="6" w:space="0" w:color="auto"/>
              <w:left w:val="nil" w:sz="6" w:space="0" w:color="auto"/>
              <w:bottom w:val="single" w:sz="4" w:space="0" w:color="5B9BD4"/>
              <w:right w:val="nil" w:sz="6" w:space="0" w:color="auto"/>
            </w:tcBorders>
            <w:shd w:val="clear" w:color="auto" w:fill="DEEAF6"/>
          </w:tcPr>
          <w:p>
            <w:pPr/>
          </w:p>
        </w:tc>
      </w:tr>
      <w:tr>
        <w:trPr>
          <w:trHeight w:val="392" w:hRule="exact"/>
        </w:trPr>
        <w:tc>
          <w:tcPr>
            <w:tcW w:w="9544" w:type="dxa"/>
            <w:gridSpan w:val="7"/>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1"/>
              <w:ind w:left="1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7" w:hRule="exact"/>
        </w:trPr>
        <w:tc>
          <w:tcPr>
            <w:tcW w:w="134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631"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92"/>
              <w:ind w:right="23"/>
              <w:jc w:val="right"/>
              <w:rPr>
                <w:rFonts w:ascii="Arial" w:hAnsi="Arial" w:cs="Arial" w:eastAsia="Arial" w:hint="default"/>
                <w:sz w:val="18"/>
                <w:szCs w:val="18"/>
              </w:rPr>
            </w:pPr>
            <w:r>
              <w:rPr>
                <w:rFonts w:ascii="Arial"/>
                <w:w w:val="95"/>
                <w:sz w:val="18"/>
              </w:rPr>
              <w:t>13,393,551,455.22</w:t>
            </w:r>
            <w:r>
              <w:rPr>
                <w:rFonts w:ascii="Arial"/>
                <w:sz w:val="18"/>
              </w:rPr>
            </w:r>
          </w:p>
        </w:tc>
        <w:tc>
          <w:tcPr>
            <w:tcW w:w="168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92"/>
              <w:ind w:right="15"/>
              <w:jc w:val="right"/>
              <w:rPr>
                <w:rFonts w:ascii="Arial" w:hAnsi="Arial" w:cs="Arial" w:eastAsia="Arial" w:hint="default"/>
                <w:sz w:val="18"/>
                <w:szCs w:val="18"/>
              </w:rPr>
            </w:pPr>
            <w:r>
              <w:rPr>
                <w:rFonts w:ascii="Arial"/>
                <w:w w:val="95"/>
                <w:sz w:val="18"/>
              </w:rPr>
              <w:t>13,030,532,792.37</w:t>
            </w:r>
            <w:r>
              <w:rPr>
                <w:rFonts w:ascii="Arial"/>
                <w:sz w:val="18"/>
              </w:rPr>
            </w:r>
          </w:p>
        </w:tc>
        <w:tc>
          <w:tcPr>
            <w:tcW w:w="812"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92"/>
              <w:ind w:right="25"/>
              <w:jc w:val="right"/>
              <w:rPr>
                <w:rFonts w:ascii="Arial" w:hAnsi="Arial" w:cs="Arial" w:eastAsia="Arial" w:hint="default"/>
                <w:sz w:val="18"/>
                <w:szCs w:val="18"/>
              </w:rPr>
            </w:pPr>
            <w:r>
              <w:rPr>
                <w:rFonts w:ascii="Arial"/>
                <w:w w:val="95"/>
                <w:sz w:val="18"/>
              </w:rPr>
              <w:t>2.71%</w:t>
            </w:r>
            <w:r>
              <w:rPr>
                <w:rFonts w:ascii="Arial"/>
                <w:sz w:val="18"/>
              </w:rPr>
            </w:r>
          </w:p>
        </w:tc>
        <w:tc>
          <w:tcPr>
            <w:tcW w:w="134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92"/>
              <w:ind w:right="15"/>
              <w:jc w:val="right"/>
              <w:rPr>
                <w:rFonts w:ascii="Arial" w:hAnsi="Arial" w:cs="Arial" w:eastAsia="Arial" w:hint="default"/>
                <w:sz w:val="18"/>
                <w:szCs w:val="18"/>
              </w:rPr>
            </w:pPr>
            <w:r>
              <w:rPr>
                <w:rFonts w:ascii="Arial"/>
                <w:w w:val="95"/>
                <w:sz w:val="18"/>
              </w:rPr>
              <w:t>23.39%</w:t>
            </w:r>
            <w:r>
              <w:rPr>
                <w:rFonts w:ascii="Arial"/>
                <w:sz w:val="18"/>
              </w:rPr>
            </w:r>
          </w:p>
        </w:tc>
        <w:tc>
          <w:tcPr>
            <w:tcW w:w="1389"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92"/>
              <w:ind w:right="21"/>
              <w:jc w:val="right"/>
              <w:rPr>
                <w:rFonts w:ascii="Arial" w:hAnsi="Arial" w:cs="Arial" w:eastAsia="Arial" w:hint="default"/>
                <w:sz w:val="18"/>
                <w:szCs w:val="18"/>
              </w:rPr>
            </w:pPr>
            <w:r>
              <w:rPr>
                <w:rFonts w:ascii="Arial"/>
                <w:w w:val="95"/>
                <w:sz w:val="18"/>
              </w:rPr>
              <w:t>24.23%</w:t>
            </w:r>
            <w:r>
              <w:rPr>
                <w:rFonts w:ascii="Arial"/>
                <w:sz w:val="18"/>
              </w:rPr>
            </w:r>
          </w:p>
        </w:tc>
        <w:tc>
          <w:tcPr>
            <w:tcW w:w="134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92"/>
              <w:ind w:right="11"/>
              <w:jc w:val="right"/>
              <w:rPr>
                <w:rFonts w:ascii="Arial" w:hAnsi="Arial" w:cs="Arial" w:eastAsia="Arial" w:hint="default"/>
                <w:sz w:val="18"/>
                <w:szCs w:val="18"/>
              </w:rPr>
            </w:pPr>
            <w:r>
              <w:rPr>
                <w:rFonts w:ascii="Arial"/>
                <w:w w:val="95"/>
                <w:sz w:val="18"/>
              </w:rPr>
              <w:t>-0.66%</w:t>
            </w:r>
            <w:r>
              <w:rPr>
                <w:rFonts w:ascii="Arial"/>
                <w:sz w:val="18"/>
              </w:rPr>
            </w:r>
          </w:p>
        </w:tc>
      </w:tr>
      <w:tr>
        <w:trPr>
          <w:trHeight w:val="402" w:hRule="exact"/>
        </w:trPr>
        <w:tc>
          <w:tcPr>
            <w:tcW w:w="134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631"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8"/>
              <w:ind w:right="23"/>
              <w:jc w:val="right"/>
              <w:rPr>
                <w:rFonts w:ascii="Arial" w:hAnsi="Arial" w:cs="Arial" w:eastAsia="Arial" w:hint="default"/>
                <w:sz w:val="18"/>
                <w:szCs w:val="18"/>
              </w:rPr>
            </w:pPr>
            <w:r>
              <w:rPr>
                <w:rFonts w:ascii="Arial"/>
                <w:w w:val="95"/>
                <w:sz w:val="18"/>
              </w:rPr>
              <w:t>17,205,409,733.92</w:t>
            </w:r>
            <w:r>
              <w:rPr>
                <w:rFonts w:ascii="Arial"/>
                <w:sz w:val="18"/>
              </w:rPr>
            </w:r>
          </w:p>
        </w:tc>
        <w:tc>
          <w:tcPr>
            <w:tcW w:w="168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5"/>
              <w:jc w:val="right"/>
              <w:rPr>
                <w:rFonts w:ascii="Arial" w:hAnsi="Arial" w:cs="Arial" w:eastAsia="Arial" w:hint="default"/>
                <w:sz w:val="18"/>
                <w:szCs w:val="18"/>
              </w:rPr>
            </w:pPr>
            <w:r>
              <w:rPr>
                <w:rFonts w:ascii="Arial"/>
                <w:w w:val="95"/>
                <w:sz w:val="18"/>
              </w:rPr>
              <w:t>16,716,328,322.81</w:t>
            </w:r>
            <w:r>
              <w:rPr>
                <w:rFonts w:ascii="Arial"/>
                <w:sz w:val="18"/>
              </w:rPr>
            </w:r>
          </w:p>
        </w:tc>
        <w:tc>
          <w:tcPr>
            <w:tcW w:w="812"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spacing w:val="-1"/>
                <w:w w:val="95"/>
                <w:sz w:val="18"/>
              </w:rPr>
              <w:t>2.84%</w:t>
            </w:r>
            <w:r>
              <w:rPr>
                <w:rFonts w:ascii="Arial"/>
                <w:spacing w:val="-1"/>
                <w:sz w:val="18"/>
              </w:rPr>
            </w:r>
          </w:p>
        </w:tc>
        <w:tc>
          <w:tcPr>
            <w:tcW w:w="134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5"/>
              <w:jc w:val="right"/>
              <w:rPr>
                <w:rFonts w:ascii="Arial" w:hAnsi="Arial" w:cs="Arial" w:eastAsia="Arial" w:hint="default"/>
                <w:sz w:val="18"/>
                <w:szCs w:val="18"/>
              </w:rPr>
            </w:pPr>
            <w:r>
              <w:rPr>
                <w:rFonts w:ascii="Arial"/>
                <w:w w:val="95"/>
                <w:sz w:val="18"/>
              </w:rPr>
              <w:t>17.81%</w:t>
            </w:r>
            <w:r>
              <w:rPr>
                <w:rFonts w:ascii="Arial"/>
                <w:sz w:val="18"/>
              </w:rPr>
            </w:r>
          </w:p>
        </w:tc>
        <w:tc>
          <w:tcPr>
            <w:tcW w:w="1389"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21"/>
              <w:jc w:val="right"/>
              <w:rPr>
                <w:rFonts w:ascii="Arial" w:hAnsi="Arial" w:cs="Arial" w:eastAsia="Arial" w:hint="default"/>
                <w:sz w:val="18"/>
                <w:szCs w:val="18"/>
              </w:rPr>
            </w:pPr>
            <w:r>
              <w:rPr>
                <w:rFonts w:ascii="Arial"/>
                <w:spacing w:val="-1"/>
                <w:w w:val="95"/>
                <w:sz w:val="18"/>
              </w:rPr>
              <w:t>19.48%</w:t>
            </w:r>
            <w:r>
              <w:rPr>
                <w:rFonts w:ascii="Arial"/>
                <w:spacing w:val="-1"/>
                <w:sz w:val="18"/>
              </w:rPr>
            </w:r>
          </w:p>
        </w:tc>
        <w:tc>
          <w:tcPr>
            <w:tcW w:w="134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0"/>
              <w:jc w:val="right"/>
              <w:rPr>
                <w:rFonts w:ascii="Arial" w:hAnsi="Arial" w:cs="Arial" w:eastAsia="Arial" w:hint="default"/>
                <w:sz w:val="18"/>
                <w:szCs w:val="18"/>
              </w:rPr>
            </w:pPr>
            <w:r>
              <w:rPr>
                <w:rFonts w:ascii="Arial"/>
                <w:spacing w:val="-1"/>
                <w:w w:val="95"/>
                <w:sz w:val="18"/>
              </w:rPr>
              <w:t>-1.36%</w:t>
            </w:r>
            <w:r>
              <w:rPr>
                <w:rFonts w:ascii="Arial"/>
                <w:spacing w:val="-1"/>
                <w:sz w:val="18"/>
              </w:rPr>
            </w:r>
          </w:p>
        </w:tc>
      </w:tr>
      <w:tr>
        <w:trPr>
          <w:trHeight w:val="402" w:hRule="exact"/>
        </w:trPr>
        <w:tc>
          <w:tcPr>
            <w:tcW w:w="134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华西地区</w:t>
            </w:r>
          </w:p>
        </w:tc>
        <w:tc>
          <w:tcPr>
            <w:tcW w:w="1631"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8"/>
              <w:ind w:right="23"/>
              <w:jc w:val="right"/>
              <w:rPr>
                <w:rFonts w:ascii="Arial" w:hAnsi="Arial" w:cs="Arial" w:eastAsia="Arial" w:hint="default"/>
                <w:sz w:val="18"/>
                <w:szCs w:val="18"/>
              </w:rPr>
            </w:pPr>
            <w:r>
              <w:rPr>
                <w:rFonts w:ascii="Arial"/>
                <w:spacing w:val="-1"/>
                <w:sz w:val="18"/>
              </w:rPr>
              <w:t>6,582,766,962.45</w:t>
            </w:r>
          </w:p>
        </w:tc>
        <w:tc>
          <w:tcPr>
            <w:tcW w:w="168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5"/>
              <w:jc w:val="right"/>
              <w:rPr>
                <w:rFonts w:ascii="Arial" w:hAnsi="Arial" w:cs="Arial" w:eastAsia="Arial" w:hint="default"/>
                <w:sz w:val="18"/>
                <w:szCs w:val="18"/>
              </w:rPr>
            </w:pPr>
            <w:r>
              <w:rPr>
                <w:rFonts w:ascii="Arial"/>
                <w:spacing w:val="-1"/>
                <w:sz w:val="18"/>
              </w:rPr>
              <w:t>6,440,433,769.92</w:t>
            </w:r>
          </w:p>
        </w:tc>
        <w:tc>
          <w:tcPr>
            <w:tcW w:w="812"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2.16%</w:t>
            </w:r>
            <w:r>
              <w:rPr>
                <w:rFonts w:ascii="Arial"/>
                <w:sz w:val="18"/>
              </w:rPr>
            </w:r>
          </w:p>
        </w:tc>
        <w:tc>
          <w:tcPr>
            <w:tcW w:w="134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5"/>
              <w:jc w:val="right"/>
              <w:rPr>
                <w:rFonts w:ascii="Arial" w:hAnsi="Arial" w:cs="Arial" w:eastAsia="Arial" w:hint="default"/>
                <w:sz w:val="18"/>
                <w:szCs w:val="18"/>
              </w:rPr>
            </w:pPr>
            <w:r>
              <w:rPr>
                <w:rFonts w:ascii="Arial"/>
                <w:w w:val="95"/>
                <w:sz w:val="18"/>
              </w:rPr>
              <w:t>-2.38%</w:t>
            </w:r>
            <w:r>
              <w:rPr>
                <w:rFonts w:ascii="Arial"/>
                <w:sz w:val="18"/>
              </w:rPr>
            </w:r>
          </w:p>
        </w:tc>
        <w:tc>
          <w:tcPr>
            <w:tcW w:w="1389"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22"/>
              <w:jc w:val="right"/>
              <w:rPr>
                <w:rFonts w:ascii="Arial" w:hAnsi="Arial" w:cs="Arial" w:eastAsia="Arial" w:hint="default"/>
                <w:sz w:val="18"/>
                <w:szCs w:val="18"/>
              </w:rPr>
            </w:pPr>
            <w:r>
              <w:rPr>
                <w:rFonts w:ascii="Arial"/>
                <w:w w:val="95"/>
                <w:sz w:val="18"/>
              </w:rPr>
              <w:t>-1.44%</w:t>
            </w:r>
            <w:r>
              <w:rPr>
                <w:rFonts w:ascii="Arial"/>
                <w:sz w:val="18"/>
              </w:rPr>
            </w:r>
          </w:p>
        </w:tc>
        <w:tc>
          <w:tcPr>
            <w:tcW w:w="134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1"/>
              <w:jc w:val="right"/>
              <w:rPr>
                <w:rFonts w:ascii="Arial" w:hAnsi="Arial" w:cs="Arial" w:eastAsia="Arial" w:hint="default"/>
                <w:sz w:val="18"/>
                <w:szCs w:val="18"/>
              </w:rPr>
            </w:pPr>
            <w:r>
              <w:rPr>
                <w:rFonts w:ascii="Arial"/>
                <w:w w:val="95"/>
                <w:sz w:val="18"/>
              </w:rPr>
              <w:t>-0.93%</w:t>
            </w:r>
            <w:r>
              <w:rPr>
                <w:rFonts w:ascii="Arial"/>
                <w:sz w:val="18"/>
              </w:rPr>
            </w:r>
          </w:p>
        </w:tc>
      </w:tr>
      <w:tr>
        <w:trPr>
          <w:trHeight w:val="402" w:hRule="exact"/>
        </w:trPr>
        <w:tc>
          <w:tcPr>
            <w:tcW w:w="134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华北东北地区</w:t>
            </w:r>
          </w:p>
        </w:tc>
        <w:tc>
          <w:tcPr>
            <w:tcW w:w="1631"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8"/>
              <w:ind w:right="23"/>
              <w:jc w:val="right"/>
              <w:rPr>
                <w:rFonts w:ascii="Arial" w:hAnsi="Arial" w:cs="Arial" w:eastAsia="Arial" w:hint="default"/>
                <w:sz w:val="18"/>
                <w:szCs w:val="18"/>
              </w:rPr>
            </w:pPr>
            <w:r>
              <w:rPr>
                <w:rFonts w:ascii="Arial"/>
                <w:w w:val="95"/>
                <w:sz w:val="18"/>
              </w:rPr>
              <w:t>12,387,300,180.08</w:t>
            </w:r>
            <w:r>
              <w:rPr>
                <w:rFonts w:ascii="Arial"/>
                <w:sz w:val="18"/>
              </w:rPr>
            </w:r>
          </w:p>
        </w:tc>
        <w:tc>
          <w:tcPr>
            <w:tcW w:w="168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5"/>
              <w:jc w:val="right"/>
              <w:rPr>
                <w:rFonts w:ascii="Arial" w:hAnsi="Arial" w:cs="Arial" w:eastAsia="Arial" w:hint="default"/>
                <w:sz w:val="18"/>
                <w:szCs w:val="18"/>
              </w:rPr>
            </w:pPr>
            <w:r>
              <w:rPr>
                <w:rFonts w:ascii="Arial"/>
                <w:w w:val="95"/>
                <w:sz w:val="18"/>
              </w:rPr>
              <w:t>12,093,917,986.25</w:t>
            </w:r>
            <w:r>
              <w:rPr>
                <w:rFonts w:ascii="Arial"/>
                <w:sz w:val="18"/>
              </w:rPr>
            </w:r>
          </w:p>
        </w:tc>
        <w:tc>
          <w:tcPr>
            <w:tcW w:w="812"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2.37%</w:t>
            </w:r>
            <w:r>
              <w:rPr>
                <w:rFonts w:ascii="Arial"/>
                <w:sz w:val="18"/>
              </w:rPr>
            </w:r>
          </w:p>
        </w:tc>
        <w:tc>
          <w:tcPr>
            <w:tcW w:w="134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5"/>
              <w:jc w:val="right"/>
              <w:rPr>
                <w:rFonts w:ascii="Arial" w:hAnsi="Arial" w:cs="Arial" w:eastAsia="Arial" w:hint="default"/>
                <w:sz w:val="18"/>
                <w:szCs w:val="18"/>
              </w:rPr>
            </w:pPr>
            <w:r>
              <w:rPr>
                <w:rFonts w:ascii="Arial"/>
                <w:w w:val="95"/>
                <w:sz w:val="18"/>
              </w:rPr>
              <w:t>-23.15%</w:t>
            </w:r>
            <w:r>
              <w:rPr>
                <w:rFonts w:ascii="Arial"/>
                <w:sz w:val="18"/>
              </w:rPr>
            </w:r>
          </w:p>
        </w:tc>
        <w:tc>
          <w:tcPr>
            <w:tcW w:w="1389"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21"/>
              <w:jc w:val="right"/>
              <w:rPr>
                <w:rFonts w:ascii="Arial" w:hAnsi="Arial" w:cs="Arial" w:eastAsia="Arial" w:hint="default"/>
                <w:sz w:val="18"/>
                <w:szCs w:val="18"/>
              </w:rPr>
            </w:pPr>
            <w:r>
              <w:rPr>
                <w:rFonts w:ascii="Arial"/>
                <w:w w:val="95"/>
                <w:sz w:val="18"/>
              </w:rPr>
              <w:t>-22.67%</w:t>
            </w:r>
            <w:r>
              <w:rPr>
                <w:rFonts w:ascii="Arial"/>
                <w:sz w:val="18"/>
              </w:rPr>
            </w:r>
          </w:p>
        </w:tc>
        <w:tc>
          <w:tcPr>
            <w:tcW w:w="134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1"/>
              <w:jc w:val="right"/>
              <w:rPr>
                <w:rFonts w:ascii="Arial" w:hAnsi="Arial" w:cs="Arial" w:eastAsia="Arial" w:hint="default"/>
                <w:sz w:val="18"/>
                <w:szCs w:val="18"/>
              </w:rPr>
            </w:pPr>
            <w:r>
              <w:rPr>
                <w:rFonts w:ascii="Arial"/>
                <w:w w:val="95"/>
                <w:sz w:val="18"/>
              </w:rPr>
              <w:t>-0.61%</w:t>
            </w:r>
            <w:r>
              <w:rPr>
                <w:rFonts w:ascii="Arial"/>
                <w:sz w:val="18"/>
              </w:rPr>
            </w:r>
          </w:p>
        </w:tc>
      </w:tr>
    </w:tbl>
    <w:p>
      <w:pPr>
        <w:spacing w:line="240" w:lineRule="auto" w:before="2"/>
        <w:rPr>
          <w:rFonts w:ascii="宋体" w:hAnsi="宋体" w:cs="宋体" w:eastAsia="宋体" w:hint="default"/>
          <w:sz w:val="20"/>
          <w:szCs w:val="20"/>
        </w:rPr>
      </w:pPr>
    </w:p>
    <w:p>
      <w:pPr>
        <w:pStyle w:val="Heading5"/>
        <w:spacing w:line="317" w:lineRule="exact" w:before="0"/>
        <w:ind w:left="154" w:right="0"/>
        <w:jc w:val="left"/>
        <w:rPr>
          <w:rFonts w:ascii="Microsoft JhengHei" w:hAnsi="Microsoft JhengHei" w:cs="Microsoft JhengHei" w:eastAsia="Microsoft JhengHei" w:hint="default"/>
          <w:b w:val="0"/>
          <w:bCs w:val="0"/>
        </w:rPr>
      </w:pPr>
      <w:bookmarkStart w:name="（3）公司实物销售收入是否大于劳务收入" w:id="59"/>
      <w:bookmarkEnd w:id="59"/>
      <w:r>
        <w:rPr>
          <w:b w:val="0"/>
          <w:bCs w:val="0"/>
        </w:rPr>
      </w:r>
      <w:r>
        <w:rPr>
          <w:rFonts w:ascii="Microsoft JhengHei" w:hAnsi="Microsoft JhengHei" w:cs="Microsoft JhengHei" w:eastAsia="Microsoft JhengHei" w:hint="default"/>
        </w:rPr>
        <w:t>（</w:t>
      </w:r>
      <w:r>
        <w:rPr>
          <w:rFonts w:ascii="Trebuchet MS" w:hAnsi="Trebuchet MS" w:cs="Trebuchet MS" w:eastAsia="Trebuchet MS" w:hint="default"/>
        </w:rPr>
        <w:t>3</w:t>
      </w:r>
      <w:r>
        <w:rPr>
          <w:rFonts w:ascii="Microsoft JhengHei" w:hAnsi="Microsoft JhengHei" w:cs="Microsoft JhengHei" w:eastAsia="Microsoft JhengHei" w:hint="default"/>
        </w:rPr>
        <w:t>）公司实物销售收入是否大于劳务收入</w:t>
      </w:r>
      <w:r>
        <w:rPr>
          <w:rFonts w:ascii="Microsoft JhengHei" w:hAnsi="Microsoft JhengHei" w:cs="Microsoft JhengHei" w:eastAsia="Microsoft JhengHei" w:hint="default"/>
          <w:b w:val="0"/>
          <w:bCs w:val="0"/>
        </w:rPr>
      </w:r>
    </w:p>
    <w:p>
      <w:pPr>
        <w:spacing w:line="240" w:lineRule="auto" w:before="9"/>
        <w:rPr>
          <w:rFonts w:ascii="Microsoft JhengHei" w:hAnsi="Microsoft JhengHei" w:cs="Microsoft JhengHei" w:eastAsia="Microsoft JhengHei" w:hint="default"/>
          <w:b/>
          <w:bCs/>
          <w:sz w:val="19"/>
          <w:szCs w:val="19"/>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6"/>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606"/>
        <w:gridCol w:w="1571"/>
        <w:gridCol w:w="1617"/>
        <w:gridCol w:w="1571"/>
        <w:gridCol w:w="1606"/>
      </w:tblGrid>
      <w:tr>
        <w:trPr>
          <w:trHeight w:val="402" w:hRule="exact"/>
        </w:trPr>
        <w:tc>
          <w:tcPr>
            <w:tcW w:w="1596" w:type="dxa"/>
            <w:tcBorders>
              <w:top w:val="single" w:sz="4" w:space="0" w:color="5B9BD4"/>
              <w:left w:val="single" w:sz="4" w:space="0" w:color="5B9BD4"/>
              <w:bottom w:val="single" w:sz="4" w:space="0" w:color="5B9BD4"/>
              <w:right w:val="single" w:sz="4" w:space="0" w:color="5B9BD4"/>
            </w:tcBorders>
            <w:shd w:val="clear" w:color="auto" w:fill="DEEAF6"/>
          </w:tcPr>
          <w:p>
            <w:pPr>
              <w:pStyle w:val="TableParagraph"/>
              <w:spacing w:line="240" w:lineRule="auto" w:before="46"/>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606" w:type="dxa"/>
            <w:tcBorders>
              <w:top w:val="single" w:sz="4" w:space="0" w:color="5B9BD4"/>
              <w:left w:val="single" w:sz="4" w:space="0" w:color="5B9BD4"/>
              <w:bottom w:val="single" w:sz="4" w:space="0" w:color="5B9BD4"/>
              <w:right w:val="single" w:sz="4" w:space="0" w:color="5B9BD4"/>
            </w:tcBorders>
            <w:shd w:val="clear" w:color="auto" w:fill="DEEAF6"/>
          </w:tcPr>
          <w:p>
            <w:pPr>
              <w:pStyle w:val="TableParagraph"/>
              <w:spacing w:line="240" w:lineRule="auto" w:before="46"/>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571" w:type="dxa"/>
            <w:tcBorders>
              <w:top w:val="single" w:sz="4" w:space="0" w:color="5B9BD4"/>
              <w:left w:val="single" w:sz="4" w:space="0" w:color="5B9BD4"/>
              <w:bottom w:val="single" w:sz="4" w:space="0" w:color="5B9BD4"/>
              <w:right w:val="single" w:sz="4" w:space="0" w:color="5B9BD4"/>
            </w:tcBorders>
            <w:shd w:val="clear" w:color="auto" w:fill="DEEAF6"/>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617" w:type="dxa"/>
            <w:tcBorders>
              <w:top w:val="single" w:sz="4" w:space="0" w:color="5B9BD4"/>
              <w:left w:val="single" w:sz="4" w:space="0" w:color="5B9BD4"/>
              <w:bottom w:val="single" w:sz="4" w:space="0" w:color="5B9BD4"/>
              <w:right w:val="single" w:sz="4" w:space="0" w:color="5B9BD4"/>
            </w:tcBorders>
            <w:shd w:val="clear" w:color="auto" w:fill="DEEAF6"/>
          </w:tcPr>
          <w:p>
            <w:pPr>
              <w:pStyle w:val="TableParagraph"/>
              <w:spacing w:line="240" w:lineRule="auto" w:before="46"/>
              <w:ind w:left="491"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w:t>
            </w:r>
          </w:p>
        </w:tc>
        <w:tc>
          <w:tcPr>
            <w:tcW w:w="1571" w:type="dxa"/>
            <w:tcBorders>
              <w:top w:val="single" w:sz="4" w:space="0" w:color="5B9BD4"/>
              <w:left w:val="single" w:sz="4" w:space="0" w:color="5B9BD4"/>
              <w:bottom w:val="single" w:sz="4" w:space="0" w:color="5B9BD4"/>
              <w:right w:val="single" w:sz="4" w:space="0" w:color="5B9BD4"/>
            </w:tcBorders>
            <w:shd w:val="clear" w:color="auto" w:fill="DEEAF6"/>
          </w:tcPr>
          <w:p>
            <w:pPr>
              <w:pStyle w:val="TableParagraph"/>
              <w:spacing w:line="240" w:lineRule="auto" w:before="46"/>
              <w:ind w:left="468"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1"/>
                <w:sz w:val="18"/>
                <w:szCs w:val="18"/>
              </w:rPr>
              <w:t> </w:t>
            </w:r>
            <w:r>
              <w:rPr>
                <w:rFonts w:ascii="宋体" w:hAnsi="宋体" w:cs="宋体" w:eastAsia="宋体" w:hint="default"/>
                <w:sz w:val="18"/>
                <w:szCs w:val="18"/>
              </w:rPr>
              <w:t>年</w:t>
            </w:r>
          </w:p>
        </w:tc>
        <w:tc>
          <w:tcPr>
            <w:tcW w:w="1606" w:type="dxa"/>
            <w:tcBorders>
              <w:top w:val="single" w:sz="4" w:space="0" w:color="5B9BD4"/>
              <w:left w:val="single" w:sz="4" w:space="0" w:color="5B9BD4"/>
              <w:bottom w:val="single" w:sz="4" w:space="0" w:color="5B9BD4"/>
              <w:right w:val="single" w:sz="4" w:space="0" w:color="5B9BD4"/>
            </w:tcBorders>
            <w:shd w:val="clear" w:color="auto" w:fill="DEEAF6"/>
          </w:tcPr>
          <w:p>
            <w:pPr>
              <w:pStyle w:val="TableParagraph"/>
              <w:spacing w:line="240" w:lineRule="auto" w:before="46"/>
              <w:ind w:left="44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tcBorders>
              <w:top w:val="single" w:sz="4" w:space="0" w:color="5B9BD4"/>
              <w:left w:val="single" w:sz="4" w:space="0" w:color="5B9BD4"/>
              <w:bottom w:val="nil" w:sz="6" w:space="0" w:color="auto"/>
              <w:right w:val="single" w:sz="4" w:space="0" w:color="5B9BD4"/>
            </w:tcBorders>
            <w:shd w:val="clear" w:color="auto" w:fill="DEEAF6"/>
          </w:tcPr>
          <w:p>
            <w:pPr/>
          </w:p>
        </w:tc>
        <w:tc>
          <w:tcPr>
            <w:tcW w:w="1606" w:type="dxa"/>
            <w:tcBorders>
              <w:top w:val="single" w:sz="4" w:space="0" w:color="5B9BD4"/>
              <w:left w:val="single" w:sz="4" w:space="0" w:color="5B9BD4"/>
              <w:bottom w:val="single" w:sz="4" w:space="0" w:color="5B9BD4"/>
              <w:right w:val="single" w:sz="13" w:space="0" w:color="DEEAF6"/>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71" w:type="dxa"/>
            <w:tcBorders>
              <w:top w:val="single" w:sz="4" w:space="0" w:color="5B9BD4"/>
              <w:left w:val="single" w:sz="4" w:space="0" w:color="5B9BD4"/>
              <w:bottom w:val="single" w:sz="4" w:space="0" w:color="5B9BD4"/>
              <w:right w:val="single" w:sz="4" w:space="0" w:color="5B9BD4"/>
            </w:tcBorders>
            <w:shd w:val="clear" w:color="auto" w:fill="DEEAF6"/>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617" w:type="dxa"/>
            <w:tcBorders>
              <w:top w:val="single" w:sz="4" w:space="0" w:color="5B9BD4"/>
              <w:left w:val="single" w:sz="13" w:space="0" w:color="DEEAF6"/>
              <w:bottom w:val="single" w:sz="4" w:space="0" w:color="5B9BD4"/>
              <w:right w:val="single" w:sz="13" w:space="0" w:color="DEEAF6"/>
            </w:tcBorders>
          </w:tcPr>
          <w:p>
            <w:pPr>
              <w:pStyle w:val="TableParagraph"/>
              <w:spacing w:line="240" w:lineRule="auto" w:before="88"/>
              <w:ind w:right="20"/>
              <w:jc w:val="right"/>
              <w:rPr>
                <w:rFonts w:ascii="Arial" w:hAnsi="Arial" w:cs="Arial" w:eastAsia="Arial" w:hint="default"/>
                <w:sz w:val="18"/>
                <w:szCs w:val="18"/>
              </w:rPr>
            </w:pPr>
            <w:r>
              <w:rPr>
                <w:rFonts w:ascii="Arial"/>
                <w:w w:val="95"/>
                <w:sz w:val="18"/>
              </w:rPr>
              <w:t>26,178,818</w:t>
            </w:r>
            <w:r>
              <w:rPr>
                <w:rFonts w:ascii="Arial"/>
                <w:sz w:val="18"/>
              </w:rPr>
            </w:r>
          </w:p>
        </w:tc>
        <w:tc>
          <w:tcPr>
            <w:tcW w:w="1571" w:type="dxa"/>
            <w:tcBorders>
              <w:top w:val="single" w:sz="4" w:space="0" w:color="5B9BD4"/>
              <w:left w:val="single" w:sz="4" w:space="0" w:color="5B9BD4"/>
              <w:bottom w:val="single" w:sz="4" w:space="0" w:color="5B9BD4"/>
              <w:right w:val="single" w:sz="4" w:space="0" w:color="5B9BD4"/>
            </w:tcBorders>
            <w:shd w:val="clear" w:color="auto" w:fill="DEEAF6"/>
          </w:tcPr>
          <w:p>
            <w:pPr>
              <w:pStyle w:val="TableParagraph"/>
              <w:spacing w:line="240" w:lineRule="auto" w:before="88"/>
              <w:ind w:right="9"/>
              <w:jc w:val="right"/>
              <w:rPr>
                <w:rFonts w:ascii="Arial" w:hAnsi="Arial" w:cs="Arial" w:eastAsia="Arial" w:hint="default"/>
                <w:sz w:val="18"/>
                <w:szCs w:val="18"/>
              </w:rPr>
            </w:pPr>
            <w:r>
              <w:rPr>
                <w:rFonts w:ascii="Arial"/>
                <w:w w:val="95"/>
                <w:sz w:val="18"/>
              </w:rPr>
              <w:t>38,396,440</w:t>
            </w:r>
            <w:r>
              <w:rPr>
                <w:rFonts w:ascii="Arial"/>
                <w:sz w:val="18"/>
              </w:rPr>
            </w:r>
          </w:p>
        </w:tc>
        <w:tc>
          <w:tcPr>
            <w:tcW w:w="1606" w:type="dxa"/>
            <w:tcBorders>
              <w:top w:val="single" w:sz="4" w:space="0" w:color="5B9BD4"/>
              <w:left w:val="single" w:sz="13" w:space="0" w:color="DEEAF6"/>
              <w:bottom w:val="single" w:sz="4" w:space="0" w:color="5B9BD4"/>
              <w:right w:val="single" w:sz="4" w:space="0" w:color="5B9BD4"/>
            </w:tcBorders>
          </w:tcPr>
          <w:p>
            <w:pPr>
              <w:pStyle w:val="TableParagraph"/>
              <w:spacing w:line="240" w:lineRule="auto" w:before="88"/>
              <w:ind w:right="20"/>
              <w:jc w:val="right"/>
              <w:rPr>
                <w:rFonts w:ascii="Arial" w:hAnsi="Arial" w:cs="Arial" w:eastAsia="Arial" w:hint="default"/>
                <w:sz w:val="18"/>
                <w:szCs w:val="18"/>
              </w:rPr>
            </w:pPr>
            <w:r>
              <w:rPr>
                <w:rFonts w:ascii="Arial"/>
                <w:w w:val="95"/>
                <w:sz w:val="18"/>
              </w:rPr>
              <w:t>-31.82%</w:t>
            </w:r>
            <w:r>
              <w:rPr>
                <w:rFonts w:ascii="Arial"/>
                <w:sz w:val="18"/>
              </w:rPr>
            </w:r>
          </w:p>
        </w:tc>
      </w:tr>
      <w:tr>
        <w:trPr>
          <w:trHeight w:val="402" w:hRule="exact"/>
        </w:trPr>
        <w:tc>
          <w:tcPr>
            <w:tcW w:w="1596" w:type="dxa"/>
            <w:tcBorders>
              <w:top w:val="nil" w:sz="6" w:space="0" w:color="auto"/>
              <w:left w:val="single" w:sz="4" w:space="0" w:color="5B9BD4"/>
              <w:bottom w:val="nil" w:sz="6" w:space="0" w:color="auto"/>
              <w:right w:val="single" w:sz="4" w:space="0" w:color="5B9BD4"/>
            </w:tcBorders>
            <w:shd w:val="clear" w:color="auto" w:fill="DEEAF6"/>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分销及零售</w:t>
            </w:r>
          </w:p>
        </w:tc>
        <w:tc>
          <w:tcPr>
            <w:tcW w:w="1606" w:type="dxa"/>
            <w:tcBorders>
              <w:top w:val="single" w:sz="4" w:space="0" w:color="5B9BD4"/>
              <w:left w:val="single" w:sz="13" w:space="0" w:color="DEEAF6"/>
              <w:bottom w:val="single" w:sz="4" w:space="0" w:color="5B9BD4"/>
              <w:right w:val="single" w:sz="13" w:space="0" w:color="DEEAF6"/>
            </w:tcBorders>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71" w:type="dxa"/>
            <w:tcBorders>
              <w:top w:val="single" w:sz="4" w:space="0" w:color="5B9BD4"/>
              <w:left w:val="single" w:sz="4" w:space="0" w:color="5B9BD4"/>
              <w:bottom w:val="single" w:sz="4" w:space="0" w:color="5B9BD4"/>
              <w:right w:val="single" w:sz="4" w:space="0" w:color="5B9BD4"/>
            </w:tcBorders>
            <w:shd w:val="clear" w:color="auto" w:fill="DEEAF6"/>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617" w:type="dxa"/>
            <w:tcBorders>
              <w:top w:val="single" w:sz="4" w:space="0" w:color="5B9BD4"/>
              <w:left w:val="single" w:sz="13" w:space="0" w:color="DEEAF6"/>
              <w:bottom w:val="single" w:sz="4" w:space="0" w:color="5B9BD4"/>
              <w:right w:val="single" w:sz="13" w:space="0" w:color="DEEAF6"/>
            </w:tcBorders>
          </w:tcPr>
          <w:p>
            <w:pPr>
              <w:pStyle w:val="TableParagraph"/>
              <w:spacing w:line="240" w:lineRule="auto" w:before="88"/>
              <w:ind w:right="20"/>
              <w:jc w:val="right"/>
              <w:rPr>
                <w:rFonts w:ascii="Arial" w:hAnsi="Arial" w:cs="Arial" w:eastAsia="Arial" w:hint="default"/>
                <w:sz w:val="18"/>
                <w:szCs w:val="18"/>
              </w:rPr>
            </w:pPr>
            <w:r>
              <w:rPr>
                <w:rFonts w:ascii="Arial"/>
                <w:w w:val="95"/>
                <w:sz w:val="18"/>
              </w:rPr>
              <w:t>1,863,654</w:t>
            </w:r>
            <w:r>
              <w:rPr>
                <w:rFonts w:ascii="Arial"/>
                <w:sz w:val="18"/>
              </w:rPr>
            </w:r>
          </w:p>
        </w:tc>
        <w:tc>
          <w:tcPr>
            <w:tcW w:w="1571" w:type="dxa"/>
            <w:tcBorders>
              <w:top w:val="single" w:sz="4" w:space="0" w:color="5B9BD4"/>
              <w:left w:val="single" w:sz="4" w:space="0" w:color="5B9BD4"/>
              <w:bottom w:val="single" w:sz="4" w:space="0" w:color="5B9BD4"/>
              <w:right w:val="single" w:sz="4" w:space="0" w:color="5B9BD4"/>
            </w:tcBorders>
            <w:shd w:val="clear" w:color="auto" w:fill="DEEAF6"/>
          </w:tcPr>
          <w:p>
            <w:pPr>
              <w:pStyle w:val="TableParagraph"/>
              <w:spacing w:line="240" w:lineRule="auto" w:before="88"/>
              <w:ind w:right="9"/>
              <w:jc w:val="right"/>
              <w:rPr>
                <w:rFonts w:ascii="Arial" w:hAnsi="Arial" w:cs="Arial" w:eastAsia="Arial" w:hint="default"/>
                <w:sz w:val="18"/>
                <w:szCs w:val="18"/>
              </w:rPr>
            </w:pPr>
            <w:r>
              <w:rPr>
                <w:rFonts w:ascii="Arial"/>
                <w:w w:val="95"/>
                <w:sz w:val="18"/>
              </w:rPr>
              <w:t>2,819,066</w:t>
            </w:r>
            <w:r>
              <w:rPr>
                <w:rFonts w:ascii="Arial"/>
                <w:sz w:val="18"/>
              </w:rPr>
            </w:r>
          </w:p>
        </w:tc>
        <w:tc>
          <w:tcPr>
            <w:tcW w:w="1606" w:type="dxa"/>
            <w:tcBorders>
              <w:top w:val="single" w:sz="4" w:space="0" w:color="5B9BD4"/>
              <w:left w:val="single" w:sz="13" w:space="0" w:color="DEEAF6"/>
              <w:bottom w:val="single" w:sz="4" w:space="0" w:color="5B9BD4"/>
              <w:right w:val="single" w:sz="4" w:space="0" w:color="5B9BD4"/>
            </w:tcBorders>
          </w:tcPr>
          <w:p>
            <w:pPr>
              <w:pStyle w:val="TableParagraph"/>
              <w:spacing w:line="240" w:lineRule="auto" w:before="88"/>
              <w:ind w:right="20"/>
              <w:jc w:val="right"/>
              <w:rPr>
                <w:rFonts w:ascii="Arial" w:hAnsi="Arial" w:cs="Arial" w:eastAsia="Arial" w:hint="default"/>
                <w:sz w:val="18"/>
                <w:szCs w:val="18"/>
              </w:rPr>
            </w:pPr>
            <w:r>
              <w:rPr>
                <w:rFonts w:ascii="Arial"/>
                <w:w w:val="95"/>
                <w:sz w:val="18"/>
              </w:rPr>
              <w:t>-33.89%</w:t>
            </w:r>
            <w:r>
              <w:rPr>
                <w:rFonts w:ascii="Arial"/>
                <w:sz w:val="18"/>
              </w:rPr>
            </w:r>
          </w:p>
        </w:tc>
      </w:tr>
      <w:tr>
        <w:trPr>
          <w:trHeight w:val="402" w:hRule="exact"/>
        </w:trPr>
        <w:tc>
          <w:tcPr>
            <w:tcW w:w="1596" w:type="dxa"/>
            <w:tcBorders>
              <w:top w:val="nil" w:sz="6" w:space="0" w:color="auto"/>
              <w:left w:val="single" w:sz="4" w:space="0" w:color="5B9BD4"/>
              <w:bottom w:val="single" w:sz="4" w:space="0" w:color="5B9BD4"/>
              <w:right w:val="single" w:sz="4" w:space="0" w:color="5B9BD4"/>
            </w:tcBorders>
            <w:shd w:val="clear" w:color="auto" w:fill="DEEAF6"/>
          </w:tcPr>
          <w:p>
            <w:pPr/>
          </w:p>
        </w:tc>
        <w:tc>
          <w:tcPr>
            <w:tcW w:w="1606" w:type="dxa"/>
            <w:tcBorders>
              <w:top w:val="single" w:sz="4" w:space="0" w:color="5B9BD4"/>
              <w:left w:val="single" w:sz="4" w:space="0" w:color="5B9BD4"/>
              <w:bottom w:val="single" w:sz="4" w:space="0" w:color="5B9BD4"/>
              <w:right w:val="single" w:sz="13" w:space="0" w:color="DEEAF6"/>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采购量</w:t>
            </w:r>
          </w:p>
        </w:tc>
        <w:tc>
          <w:tcPr>
            <w:tcW w:w="1571" w:type="dxa"/>
            <w:tcBorders>
              <w:top w:val="single" w:sz="4" w:space="0" w:color="5B9BD4"/>
              <w:left w:val="single" w:sz="4" w:space="0" w:color="5B9BD4"/>
              <w:bottom w:val="single" w:sz="4" w:space="0" w:color="5B9BD4"/>
              <w:right w:val="single" w:sz="4" w:space="0" w:color="5B9BD4"/>
            </w:tcBorders>
            <w:shd w:val="clear" w:color="auto" w:fill="DEEAF6"/>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617" w:type="dxa"/>
            <w:tcBorders>
              <w:top w:val="single" w:sz="4" w:space="0" w:color="5B9BD4"/>
              <w:left w:val="single" w:sz="13" w:space="0" w:color="DEEAF6"/>
              <w:bottom w:val="single" w:sz="4" w:space="0" w:color="5B9BD4"/>
              <w:right w:val="single" w:sz="13" w:space="0" w:color="DEEAF6"/>
            </w:tcBorders>
          </w:tcPr>
          <w:p>
            <w:pPr>
              <w:pStyle w:val="TableParagraph"/>
              <w:spacing w:line="240" w:lineRule="auto" w:before="88"/>
              <w:ind w:right="20"/>
              <w:jc w:val="right"/>
              <w:rPr>
                <w:rFonts w:ascii="Arial" w:hAnsi="Arial" w:cs="Arial" w:eastAsia="Arial" w:hint="default"/>
                <w:sz w:val="18"/>
                <w:szCs w:val="18"/>
              </w:rPr>
            </w:pPr>
            <w:r>
              <w:rPr>
                <w:rFonts w:ascii="Arial"/>
                <w:w w:val="95"/>
                <w:sz w:val="18"/>
              </w:rPr>
              <w:t>25,223,406</w:t>
            </w:r>
            <w:r>
              <w:rPr>
                <w:rFonts w:ascii="Arial"/>
                <w:sz w:val="18"/>
              </w:rPr>
            </w:r>
          </w:p>
        </w:tc>
        <w:tc>
          <w:tcPr>
            <w:tcW w:w="1571" w:type="dxa"/>
            <w:tcBorders>
              <w:top w:val="single" w:sz="4" w:space="0" w:color="5B9BD4"/>
              <w:left w:val="single" w:sz="4" w:space="0" w:color="5B9BD4"/>
              <w:bottom w:val="single" w:sz="4" w:space="0" w:color="5B9BD4"/>
              <w:right w:val="single" w:sz="4" w:space="0" w:color="5B9BD4"/>
            </w:tcBorders>
            <w:shd w:val="clear" w:color="auto" w:fill="DEEAF6"/>
          </w:tcPr>
          <w:p>
            <w:pPr>
              <w:pStyle w:val="TableParagraph"/>
              <w:spacing w:line="240" w:lineRule="auto" w:before="88"/>
              <w:ind w:right="9"/>
              <w:jc w:val="right"/>
              <w:rPr>
                <w:rFonts w:ascii="Arial" w:hAnsi="Arial" w:cs="Arial" w:eastAsia="Arial" w:hint="default"/>
                <w:sz w:val="18"/>
                <w:szCs w:val="18"/>
              </w:rPr>
            </w:pPr>
            <w:r>
              <w:rPr>
                <w:rFonts w:ascii="Arial"/>
                <w:w w:val="95"/>
                <w:sz w:val="18"/>
              </w:rPr>
              <w:t>37,736,165</w:t>
            </w:r>
            <w:r>
              <w:rPr>
                <w:rFonts w:ascii="Arial"/>
                <w:sz w:val="18"/>
              </w:rPr>
            </w:r>
          </w:p>
        </w:tc>
        <w:tc>
          <w:tcPr>
            <w:tcW w:w="1606" w:type="dxa"/>
            <w:tcBorders>
              <w:top w:val="single" w:sz="4" w:space="0" w:color="5B9BD4"/>
              <w:left w:val="single" w:sz="13" w:space="0" w:color="DEEAF6"/>
              <w:bottom w:val="single" w:sz="4" w:space="0" w:color="5B9BD4"/>
              <w:right w:val="single" w:sz="4" w:space="0" w:color="5B9BD4"/>
            </w:tcBorders>
          </w:tcPr>
          <w:p>
            <w:pPr>
              <w:pStyle w:val="TableParagraph"/>
              <w:spacing w:line="240" w:lineRule="auto" w:before="88"/>
              <w:ind w:right="20"/>
              <w:jc w:val="right"/>
              <w:rPr>
                <w:rFonts w:ascii="Arial" w:hAnsi="Arial" w:cs="Arial" w:eastAsia="Arial" w:hint="default"/>
                <w:sz w:val="18"/>
                <w:szCs w:val="18"/>
              </w:rPr>
            </w:pPr>
            <w:r>
              <w:rPr>
                <w:rFonts w:ascii="Arial"/>
                <w:w w:val="95"/>
                <w:sz w:val="18"/>
              </w:rPr>
              <w:t>-33.16%</w:t>
            </w:r>
            <w:r>
              <w:rPr>
                <w:rFonts w:ascii="Arial"/>
                <w:sz w:val="18"/>
              </w:rPr>
            </w:r>
          </w:p>
        </w:tc>
      </w:tr>
    </w:tbl>
    <w:p>
      <w:pPr>
        <w:spacing w:line="240" w:lineRule="auto" w:before="2"/>
        <w:rPr>
          <w:rFonts w:ascii="宋体" w:hAnsi="宋体" w:cs="宋体" w:eastAsia="宋体" w:hint="default"/>
          <w:sz w:val="20"/>
          <w:szCs w:val="20"/>
        </w:rPr>
      </w:pPr>
    </w:p>
    <w:p>
      <w:pPr>
        <w:pStyle w:val="Heading5"/>
        <w:spacing w:line="317" w:lineRule="exact" w:before="0"/>
        <w:ind w:left="154" w:right="0"/>
        <w:jc w:val="left"/>
        <w:rPr>
          <w:rFonts w:ascii="Microsoft JhengHei" w:hAnsi="Microsoft JhengHei" w:cs="Microsoft JhengHei" w:eastAsia="Microsoft JhengHei" w:hint="default"/>
          <w:b w:val="0"/>
          <w:bCs w:val="0"/>
        </w:rPr>
      </w:pPr>
      <w:bookmarkStart w:name="（4）公司已签订的重大销售合同截至本报告期的履行情况" w:id="60"/>
      <w:bookmarkEnd w:id="60"/>
      <w:r>
        <w:rPr>
          <w:b w:val="0"/>
          <w:bCs w:val="0"/>
        </w:rPr>
      </w:r>
      <w:r>
        <w:rPr>
          <w:rFonts w:ascii="Microsoft JhengHei" w:hAnsi="Microsoft JhengHei" w:cs="Microsoft JhengHei" w:eastAsia="Microsoft JhengHei" w:hint="default"/>
        </w:rPr>
        <w:t>（</w:t>
      </w:r>
      <w:r>
        <w:rPr>
          <w:rFonts w:ascii="Trebuchet MS" w:hAnsi="Trebuchet MS" w:cs="Trebuchet MS" w:eastAsia="Trebuchet MS" w:hint="default"/>
        </w:rPr>
        <w:t>4</w:t>
      </w:r>
      <w:r>
        <w:rPr>
          <w:rFonts w:ascii="Microsoft JhengHei" w:hAnsi="Microsoft JhengHei" w:cs="Microsoft JhengHei" w:eastAsia="Microsoft JhengHei" w:hint="default"/>
        </w:rPr>
        <w:t>）公司已签订的重大销售合同截至本报告期的履行情况</w:t>
      </w:r>
      <w:r>
        <w:rPr>
          <w:rFonts w:ascii="Microsoft JhengHei" w:hAnsi="Microsoft JhengHei" w:cs="Microsoft JhengHei" w:eastAsia="Microsoft JhengHei" w:hint="default"/>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8"/>
        <w:rPr>
          <w:rFonts w:ascii="宋体" w:hAnsi="宋体" w:cs="宋体" w:eastAsia="宋体" w:hint="default"/>
          <w:sz w:val="25"/>
          <w:szCs w:val="25"/>
        </w:rPr>
      </w:pPr>
    </w:p>
    <w:p>
      <w:pPr>
        <w:pStyle w:val="Heading5"/>
        <w:spacing w:line="317" w:lineRule="exact" w:before="0"/>
        <w:ind w:left="153" w:right="0"/>
        <w:jc w:val="left"/>
        <w:rPr>
          <w:rFonts w:ascii="Microsoft JhengHei" w:hAnsi="Microsoft JhengHei" w:cs="Microsoft JhengHei" w:eastAsia="Microsoft JhengHei" w:hint="default"/>
          <w:b w:val="0"/>
          <w:bCs w:val="0"/>
        </w:rPr>
      </w:pPr>
      <w:bookmarkStart w:name="（5）营业成本构成" w:id="61"/>
      <w:bookmarkEnd w:id="61"/>
      <w:r>
        <w:rPr>
          <w:b w:val="0"/>
          <w:bCs w:val="0"/>
        </w:rPr>
      </w:r>
      <w:r>
        <w:rPr>
          <w:rFonts w:ascii="Microsoft JhengHei" w:hAnsi="Microsoft JhengHei" w:cs="Microsoft JhengHei" w:eastAsia="Microsoft JhengHei" w:hint="default"/>
        </w:rPr>
        <w:t>（</w:t>
      </w:r>
      <w:r>
        <w:rPr>
          <w:rFonts w:ascii="Trebuchet MS" w:hAnsi="Trebuchet MS" w:cs="Trebuchet MS" w:eastAsia="Trebuchet MS" w:hint="default"/>
        </w:rPr>
        <w:t>5</w:t>
      </w:r>
      <w:r>
        <w:rPr>
          <w:rFonts w:ascii="Microsoft JhengHei" w:hAnsi="Microsoft JhengHei" w:cs="Microsoft JhengHei" w:eastAsia="Microsoft JhengHei" w:hint="default"/>
        </w:rPr>
        <w:t>）营业成本构成</w:t>
      </w:r>
      <w:r>
        <w:rPr>
          <w:rFonts w:ascii="Microsoft JhengHei" w:hAnsi="Microsoft JhengHei" w:cs="Microsoft JhengHei" w:eastAsia="Microsoft JhengHei" w:hint="default"/>
          <w:b w:val="0"/>
          <w:bCs w:val="0"/>
        </w:rPr>
      </w:r>
    </w:p>
    <w:p>
      <w:pPr>
        <w:spacing w:line="240" w:lineRule="auto" w:before="2"/>
        <w:rPr>
          <w:rFonts w:ascii="Microsoft JhengHei" w:hAnsi="Microsoft JhengHei" w:cs="Microsoft JhengHei" w:eastAsia="Microsoft JhengHei" w:hint="default"/>
          <w:b/>
          <w:bCs/>
          <w:sz w:val="17"/>
          <w:szCs w:val="17"/>
        </w:rPr>
      </w:pPr>
    </w:p>
    <w:p>
      <w:pPr>
        <w:spacing w:after="0" w:line="240" w:lineRule="auto"/>
        <w:rPr>
          <w:rFonts w:ascii="Microsoft JhengHei" w:hAnsi="Microsoft JhengHei" w:cs="Microsoft JhengHei" w:eastAsia="Microsoft JhengHei" w:hint="default"/>
          <w:sz w:val="17"/>
          <w:szCs w:val="17"/>
        </w:rPr>
        <w:sectPr>
          <w:pgSz w:w="11910" w:h="16840"/>
          <w:pgMar w:header="877" w:footer="979" w:top="1060" w:bottom="1160" w:left="980" w:right="0"/>
        </w:sectPr>
      </w:pPr>
    </w:p>
    <w:p>
      <w:pPr>
        <w:pStyle w:val="BodyText"/>
        <w:spacing w:line="240" w:lineRule="auto" w:before="18"/>
        <w:ind w:left="154" w:right="0"/>
        <w:jc w:val="left"/>
      </w:pPr>
      <w:r>
        <w:rPr>
          <w:rFonts w:ascii="Arial" w:hAnsi="Arial" w:cs="Arial" w:eastAsia="Arial" w:hint="default"/>
          <w:w w:val="95"/>
        </w:rPr>
        <w:t>1</w:t>
      </w:r>
      <w:r>
        <w:rPr>
          <w:w w:val="95"/>
        </w:rPr>
        <w:t>、行业分类</w:t>
      </w:r>
    </w:p>
    <w:p>
      <w:pPr>
        <w:spacing w:line="240" w:lineRule="auto" w:before="0"/>
        <w:rPr>
          <w:rFonts w:ascii="宋体" w:hAnsi="宋体" w:cs="宋体" w:eastAsia="宋体" w:hint="default"/>
          <w:sz w:val="18"/>
          <w:szCs w:val="18"/>
        </w:rPr>
      </w:pPr>
      <w:r>
        <w:rPr/>
        <w:br w:type="column"/>
      </w:r>
      <w:r>
        <w:rPr>
          <w:rFonts w:ascii="宋体"/>
          <w:sz w:val="18"/>
        </w:rPr>
      </w:r>
    </w:p>
    <w:p>
      <w:pPr>
        <w:spacing w:before="159"/>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360" w:bottom="0" w:left="980" w:right="0"/>
          <w:cols w:num="2" w:equalWidth="0">
            <w:col w:w="1321" w:space="7599"/>
            <w:col w:w="2010"/>
          </w:cols>
        </w:sectPr>
      </w:pPr>
    </w:p>
    <w:p>
      <w:pPr>
        <w:spacing w:line="240" w:lineRule="auto" w:before="6"/>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348"/>
        <w:gridCol w:w="1388"/>
        <w:gridCol w:w="1617"/>
        <w:gridCol w:w="1134"/>
        <w:gridCol w:w="1431"/>
        <w:gridCol w:w="114"/>
        <w:gridCol w:w="1006"/>
        <w:gridCol w:w="1505"/>
      </w:tblGrid>
      <w:tr>
        <w:trPr>
          <w:trHeight w:val="402" w:hRule="exact"/>
        </w:trPr>
        <w:tc>
          <w:tcPr>
            <w:tcW w:w="2736" w:type="dxa"/>
            <w:gridSpan w:val="2"/>
            <w:tcBorders>
              <w:top w:val="single" w:sz="4" w:space="0" w:color="5B9BD4"/>
              <w:left w:val="nil" w:sz="6" w:space="0" w:color="auto"/>
              <w:bottom w:val="nil" w:sz="6" w:space="0" w:color="auto"/>
              <w:right w:val="nil" w:sz="6" w:space="0" w:color="auto"/>
            </w:tcBorders>
            <w:shd w:val="clear" w:color="auto" w:fill="DEEAF6"/>
          </w:tcPr>
          <w:p>
            <w:pPr/>
          </w:p>
        </w:tc>
        <w:tc>
          <w:tcPr>
            <w:tcW w:w="2751"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6"/>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w:t>
            </w:r>
          </w:p>
        </w:tc>
        <w:tc>
          <w:tcPr>
            <w:tcW w:w="2552" w:type="dxa"/>
            <w:gridSpan w:val="3"/>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3"/>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1"/>
                <w:sz w:val="18"/>
                <w:szCs w:val="18"/>
              </w:rPr>
              <w:t> </w:t>
            </w:r>
            <w:r>
              <w:rPr>
                <w:rFonts w:ascii="宋体" w:hAnsi="宋体" w:cs="宋体" w:eastAsia="宋体" w:hint="default"/>
                <w:sz w:val="18"/>
                <w:szCs w:val="18"/>
              </w:rPr>
              <w:t>年</w:t>
            </w:r>
          </w:p>
        </w:tc>
        <w:tc>
          <w:tcPr>
            <w:tcW w:w="1505" w:type="dxa"/>
            <w:tcBorders>
              <w:top w:val="single" w:sz="4" w:space="0" w:color="5B9BD4"/>
              <w:left w:val="nil" w:sz="6" w:space="0" w:color="auto"/>
              <w:bottom w:val="nil" w:sz="6" w:space="0" w:color="auto"/>
              <w:right w:val="nil" w:sz="6" w:space="0" w:color="auto"/>
            </w:tcBorders>
            <w:shd w:val="clear" w:color="auto" w:fill="DEEAF6"/>
          </w:tcPr>
          <w:p>
            <w:pPr/>
          </w:p>
        </w:tc>
      </w:tr>
      <w:tr>
        <w:trPr>
          <w:trHeight w:val="161" w:hRule="exact"/>
        </w:trPr>
        <w:tc>
          <w:tcPr>
            <w:tcW w:w="1348" w:type="dxa"/>
            <w:vMerge w:val="restart"/>
            <w:tcBorders>
              <w:top w:val="nil" w:sz="6" w:space="0" w:color="auto"/>
              <w:left w:val="nil" w:sz="6" w:space="0" w:color="auto"/>
              <w:right w:val="nil" w:sz="6" w:space="0" w:color="auto"/>
            </w:tcBorders>
            <w:shd w:val="clear" w:color="auto" w:fill="DEEAF6"/>
          </w:tcPr>
          <w:p>
            <w:pPr>
              <w:pStyle w:val="TableParagraph"/>
              <w:spacing w:line="240" w:lineRule="auto" w:before="7"/>
              <w:ind w:left="310"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88" w:type="dxa"/>
            <w:vMerge w:val="restart"/>
            <w:tcBorders>
              <w:top w:val="nil" w:sz="6" w:space="0" w:color="auto"/>
              <w:left w:val="nil" w:sz="6" w:space="0" w:color="auto"/>
              <w:right w:val="nil" w:sz="6" w:space="0" w:color="auto"/>
            </w:tcBorders>
            <w:shd w:val="clear" w:color="auto" w:fill="DEEAF6"/>
          </w:tcPr>
          <w:p>
            <w:pPr>
              <w:pStyle w:val="TableParagraph"/>
              <w:spacing w:line="240" w:lineRule="auto" w:before="7"/>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617" w:type="dxa"/>
            <w:tcBorders>
              <w:top w:val="single" w:sz="4" w:space="0" w:color="5B9BD4"/>
              <w:left w:val="nil" w:sz="6" w:space="0" w:color="auto"/>
              <w:bottom w:val="nil" w:sz="6" w:space="0" w:color="auto"/>
              <w:right w:val="nil" w:sz="6" w:space="0" w:color="auto"/>
            </w:tcBorders>
            <w:shd w:val="clear" w:color="auto" w:fill="DEEAF6"/>
          </w:tcPr>
          <w:p>
            <w:pPr/>
          </w:p>
        </w:tc>
        <w:tc>
          <w:tcPr>
            <w:tcW w:w="1134"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6"/>
              <w:ind w:left="386" w:right="115" w:hanging="270"/>
              <w:jc w:val="left"/>
              <w:rPr>
                <w:rFonts w:ascii="宋体" w:hAnsi="宋体" w:cs="宋体" w:eastAsia="宋体" w:hint="default"/>
                <w:sz w:val="18"/>
                <w:szCs w:val="18"/>
              </w:rPr>
            </w:pPr>
            <w:r>
              <w:rPr>
                <w:rFonts w:ascii="宋体" w:hAnsi="宋体" w:cs="宋体" w:eastAsia="宋体" w:hint="default"/>
                <w:sz w:val="18"/>
                <w:szCs w:val="18"/>
              </w:rPr>
              <w:t>占营业成本 比重</w:t>
            </w:r>
          </w:p>
        </w:tc>
        <w:tc>
          <w:tcPr>
            <w:tcW w:w="1431" w:type="dxa"/>
            <w:tcBorders>
              <w:top w:val="single" w:sz="4" w:space="0" w:color="5B9BD4"/>
              <w:left w:val="nil" w:sz="6" w:space="0" w:color="auto"/>
              <w:bottom w:val="nil" w:sz="6" w:space="0" w:color="auto"/>
              <w:right w:val="nil" w:sz="6" w:space="0" w:color="auto"/>
            </w:tcBorders>
            <w:shd w:val="clear" w:color="auto" w:fill="DEEAF6"/>
          </w:tcPr>
          <w:p>
            <w:pPr/>
          </w:p>
        </w:tc>
        <w:tc>
          <w:tcPr>
            <w:tcW w:w="1121" w:type="dxa"/>
            <w:gridSpan w:val="2"/>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6"/>
              <w:ind w:left="373" w:right="115" w:hanging="270"/>
              <w:jc w:val="left"/>
              <w:rPr>
                <w:rFonts w:ascii="宋体" w:hAnsi="宋体" w:cs="宋体" w:eastAsia="宋体" w:hint="default"/>
                <w:sz w:val="18"/>
                <w:szCs w:val="18"/>
              </w:rPr>
            </w:pPr>
            <w:r>
              <w:rPr>
                <w:rFonts w:ascii="宋体" w:hAnsi="宋体" w:cs="宋体" w:eastAsia="宋体" w:hint="default"/>
                <w:sz w:val="18"/>
                <w:szCs w:val="18"/>
              </w:rPr>
              <w:t>占营业成本 比重</w:t>
            </w:r>
          </w:p>
        </w:tc>
        <w:tc>
          <w:tcPr>
            <w:tcW w:w="1505" w:type="dxa"/>
            <w:vMerge w:val="restart"/>
            <w:tcBorders>
              <w:top w:val="nil" w:sz="6" w:space="0" w:color="auto"/>
              <w:left w:val="nil" w:sz="6" w:space="0" w:color="auto"/>
              <w:right w:val="nil" w:sz="6" w:space="0" w:color="auto"/>
            </w:tcBorders>
            <w:shd w:val="clear" w:color="auto" w:fill="DEEAF6"/>
          </w:tcPr>
          <w:p>
            <w:pPr>
              <w:pStyle w:val="TableParagraph"/>
              <w:spacing w:line="240" w:lineRule="auto" w:before="7"/>
              <w:ind w:left="39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1" w:hRule="exact"/>
        </w:trPr>
        <w:tc>
          <w:tcPr>
            <w:tcW w:w="1348" w:type="dxa"/>
            <w:vMerge/>
            <w:tcBorders>
              <w:left w:val="nil" w:sz="6" w:space="0" w:color="auto"/>
              <w:bottom w:val="nil" w:sz="6" w:space="0" w:color="auto"/>
              <w:right w:val="nil" w:sz="6" w:space="0" w:color="auto"/>
            </w:tcBorders>
            <w:shd w:val="clear" w:color="auto" w:fill="DEEAF6"/>
          </w:tcPr>
          <w:p>
            <w:pPr/>
          </w:p>
        </w:tc>
        <w:tc>
          <w:tcPr>
            <w:tcW w:w="1388" w:type="dxa"/>
            <w:vMerge/>
            <w:tcBorders>
              <w:left w:val="nil" w:sz="6" w:space="0" w:color="auto"/>
              <w:bottom w:val="nil" w:sz="6" w:space="0" w:color="auto"/>
              <w:right w:val="nil" w:sz="6" w:space="0" w:color="auto"/>
            </w:tcBorders>
            <w:shd w:val="clear" w:color="auto" w:fill="DEEAF6"/>
          </w:tcPr>
          <w:p>
            <w:pPr/>
          </w:p>
        </w:tc>
        <w:tc>
          <w:tcPr>
            <w:tcW w:w="1617" w:type="dxa"/>
            <w:vMerge w:val="restart"/>
            <w:tcBorders>
              <w:top w:val="nil" w:sz="6" w:space="0" w:color="auto"/>
              <w:left w:val="nil" w:sz="6" w:space="0" w:color="auto"/>
              <w:right w:val="nil" w:sz="6" w:space="0" w:color="auto"/>
            </w:tcBorders>
            <w:shd w:val="clear" w:color="auto" w:fill="DEEAF6"/>
          </w:tcPr>
          <w:p>
            <w:pPr>
              <w:pStyle w:val="TableParagraph"/>
              <w:spacing w:line="240" w:lineRule="auto" w:before="46"/>
              <w:ind w:right="13"/>
              <w:jc w:val="center"/>
              <w:rPr>
                <w:rFonts w:ascii="宋体" w:hAnsi="宋体" w:cs="宋体" w:eastAsia="宋体" w:hint="default"/>
                <w:sz w:val="18"/>
                <w:szCs w:val="18"/>
              </w:rPr>
            </w:pPr>
            <w:r>
              <w:rPr>
                <w:rFonts w:ascii="宋体" w:hAnsi="宋体" w:cs="宋体" w:eastAsia="宋体" w:hint="default"/>
                <w:sz w:val="18"/>
                <w:szCs w:val="18"/>
              </w:rPr>
              <w:t>金额</w:t>
            </w:r>
          </w:p>
        </w:tc>
        <w:tc>
          <w:tcPr>
            <w:tcW w:w="1134" w:type="dxa"/>
            <w:vMerge/>
            <w:tcBorders>
              <w:left w:val="nil" w:sz="6" w:space="0" w:color="auto"/>
              <w:right w:val="nil" w:sz="6" w:space="0" w:color="auto"/>
            </w:tcBorders>
            <w:shd w:val="clear" w:color="auto" w:fill="DEEAF6"/>
          </w:tcPr>
          <w:p>
            <w:pPr/>
          </w:p>
        </w:tc>
        <w:tc>
          <w:tcPr>
            <w:tcW w:w="1431" w:type="dxa"/>
            <w:vMerge w:val="restart"/>
            <w:tcBorders>
              <w:top w:val="nil" w:sz="6" w:space="0" w:color="auto"/>
              <w:left w:val="nil" w:sz="6" w:space="0" w:color="auto"/>
              <w:right w:val="nil" w:sz="6" w:space="0" w:color="auto"/>
            </w:tcBorders>
            <w:shd w:val="clear" w:color="auto" w:fill="DEEAF6"/>
          </w:tcPr>
          <w:p>
            <w:pPr>
              <w:pStyle w:val="TableParagraph"/>
              <w:spacing w:line="240" w:lineRule="auto" w:before="46"/>
              <w:ind w:right="14"/>
              <w:jc w:val="center"/>
              <w:rPr>
                <w:rFonts w:ascii="宋体" w:hAnsi="宋体" w:cs="宋体" w:eastAsia="宋体" w:hint="default"/>
                <w:sz w:val="18"/>
                <w:szCs w:val="18"/>
              </w:rPr>
            </w:pPr>
            <w:r>
              <w:rPr>
                <w:rFonts w:ascii="宋体" w:hAnsi="宋体" w:cs="宋体" w:eastAsia="宋体" w:hint="default"/>
                <w:sz w:val="18"/>
                <w:szCs w:val="18"/>
              </w:rPr>
              <w:t>金额</w:t>
            </w:r>
          </w:p>
        </w:tc>
        <w:tc>
          <w:tcPr>
            <w:tcW w:w="1121" w:type="dxa"/>
            <w:gridSpan w:val="2"/>
            <w:vMerge/>
            <w:tcBorders>
              <w:left w:val="nil" w:sz="6" w:space="0" w:color="auto"/>
              <w:right w:val="nil" w:sz="6" w:space="0" w:color="auto"/>
            </w:tcBorders>
            <w:shd w:val="clear" w:color="auto" w:fill="DEEAF6"/>
          </w:tcPr>
          <w:p>
            <w:pPr/>
          </w:p>
        </w:tc>
        <w:tc>
          <w:tcPr>
            <w:tcW w:w="1505" w:type="dxa"/>
            <w:vMerge/>
            <w:tcBorders>
              <w:left w:val="nil" w:sz="6" w:space="0" w:color="auto"/>
              <w:bottom w:val="nil" w:sz="6" w:space="0" w:color="auto"/>
              <w:right w:val="nil" w:sz="6" w:space="0" w:color="auto"/>
            </w:tcBorders>
            <w:shd w:val="clear" w:color="auto" w:fill="DEEAF6"/>
          </w:tcPr>
          <w:p>
            <w:pPr/>
          </w:p>
        </w:tc>
      </w:tr>
      <w:tr>
        <w:trPr>
          <w:trHeight w:val="202" w:hRule="exact"/>
        </w:trPr>
        <w:tc>
          <w:tcPr>
            <w:tcW w:w="2736" w:type="dxa"/>
            <w:gridSpan w:val="2"/>
            <w:vMerge w:val="restart"/>
            <w:tcBorders>
              <w:top w:val="nil" w:sz="6" w:space="0" w:color="auto"/>
              <w:left w:val="nil" w:sz="6" w:space="0" w:color="auto"/>
              <w:right w:val="nil" w:sz="6" w:space="0" w:color="auto"/>
            </w:tcBorders>
            <w:shd w:val="clear" w:color="auto" w:fill="DEEAF6"/>
          </w:tcPr>
          <w:p>
            <w:pPr/>
          </w:p>
        </w:tc>
        <w:tc>
          <w:tcPr>
            <w:tcW w:w="1617" w:type="dxa"/>
            <w:vMerge/>
            <w:tcBorders>
              <w:left w:val="nil" w:sz="6" w:space="0" w:color="auto"/>
              <w:bottom w:val="nil" w:sz="6" w:space="0" w:color="auto"/>
              <w:right w:val="nil" w:sz="6" w:space="0" w:color="auto"/>
            </w:tcBorders>
            <w:shd w:val="clear" w:color="auto" w:fill="DEEAF6"/>
          </w:tcPr>
          <w:p>
            <w:pPr/>
          </w:p>
        </w:tc>
        <w:tc>
          <w:tcPr>
            <w:tcW w:w="1134" w:type="dxa"/>
            <w:vMerge/>
            <w:tcBorders>
              <w:left w:val="nil" w:sz="6" w:space="0" w:color="auto"/>
              <w:right w:val="nil" w:sz="6" w:space="0" w:color="auto"/>
            </w:tcBorders>
            <w:shd w:val="clear" w:color="auto" w:fill="DEEAF6"/>
          </w:tcPr>
          <w:p>
            <w:pPr/>
          </w:p>
        </w:tc>
        <w:tc>
          <w:tcPr>
            <w:tcW w:w="1431" w:type="dxa"/>
            <w:vMerge/>
            <w:tcBorders>
              <w:left w:val="nil" w:sz="6" w:space="0" w:color="auto"/>
              <w:bottom w:val="nil" w:sz="6" w:space="0" w:color="auto"/>
              <w:right w:val="nil" w:sz="6" w:space="0" w:color="auto"/>
            </w:tcBorders>
            <w:shd w:val="clear" w:color="auto" w:fill="DEEAF6"/>
          </w:tcPr>
          <w:p>
            <w:pPr/>
          </w:p>
        </w:tc>
        <w:tc>
          <w:tcPr>
            <w:tcW w:w="1121" w:type="dxa"/>
            <w:gridSpan w:val="2"/>
            <w:vMerge/>
            <w:tcBorders>
              <w:left w:val="nil" w:sz="6" w:space="0" w:color="auto"/>
              <w:right w:val="nil" w:sz="6" w:space="0" w:color="auto"/>
            </w:tcBorders>
            <w:shd w:val="clear" w:color="auto" w:fill="DEEAF6"/>
          </w:tcPr>
          <w:p>
            <w:pPr/>
          </w:p>
        </w:tc>
        <w:tc>
          <w:tcPr>
            <w:tcW w:w="1505" w:type="dxa"/>
            <w:vMerge w:val="restart"/>
            <w:tcBorders>
              <w:top w:val="nil" w:sz="6" w:space="0" w:color="auto"/>
              <w:left w:val="nil" w:sz="6" w:space="0" w:color="auto"/>
              <w:right w:val="nil" w:sz="6" w:space="0" w:color="auto"/>
            </w:tcBorders>
            <w:shd w:val="clear" w:color="auto" w:fill="DEEAF6"/>
          </w:tcPr>
          <w:p>
            <w:pPr/>
          </w:p>
        </w:tc>
      </w:tr>
      <w:tr>
        <w:trPr>
          <w:trHeight w:val="161" w:hRule="exact"/>
        </w:trPr>
        <w:tc>
          <w:tcPr>
            <w:tcW w:w="2736" w:type="dxa"/>
            <w:gridSpan w:val="2"/>
            <w:vMerge/>
            <w:tcBorders>
              <w:left w:val="nil" w:sz="6" w:space="0" w:color="auto"/>
              <w:bottom w:val="single" w:sz="4" w:space="0" w:color="5B9BD4"/>
              <w:right w:val="nil" w:sz="6" w:space="0" w:color="auto"/>
            </w:tcBorders>
            <w:shd w:val="clear" w:color="auto" w:fill="DEEAF6"/>
          </w:tcPr>
          <w:p>
            <w:pPr/>
          </w:p>
        </w:tc>
        <w:tc>
          <w:tcPr>
            <w:tcW w:w="1617" w:type="dxa"/>
            <w:tcBorders>
              <w:top w:val="nil" w:sz="6" w:space="0" w:color="auto"/>
              <w:left w:val="nil" w:sz="6" w:space="0" w:color="auto"/>
              <w:bottom w:val="single" w:sz="4" w:space="0" w:color="5B9BD4"/>
              <w:right w:val="nil" w:sz="6" w:space="0" w:color="auto"/>
            </w:tcBorders>
            <w:shd w:val="clear" w:color="auto" w:fill="DEEAF6"/>
          </w:tcPr>
          <w:p>
            <w:pPr/>
          </w:p>
        </w:tc>
        <w:tc>
          <w:tcPr>
            <w:tcW w:w="1134" w:type="dxa"/>
            <w:vMerge/>
            <w:tcBorders>
              <w:left w:val="nil" w:sz="6" w:space="0" w:color="auto"/>
              <w:bottom w:val="single" w:sz="4" w:space="0" w:color="5B9BD4"/>
              <w:right w:val="nil" w:sz="6" w:space="0" w:color="auto"/>
            </w:tcBorders>
            <w:shd w:val="clear" w:color="auto" w:fill="DEEAF6"/>
          </w:tcPr>
          <w:p>
            <w:pPr/>
          </w:p>
        </w:tc>
        <w:tc>
          <w:tcPr>
            <w:tcW w:w="1431" w:type="dxa"/>
            <w:tcBorders>
              <w:top w:val="nil" w:sz="6" w:space="0" w:color="auto"/>
              <w:left w:val="nil" w:sz="6" w:space="0" w:color="auto"/>
              <w:bottom w:val="single" w:sz="4" w:space="0" w:color="5B9BD4"/>
              <w:right w:val="nil" w:sz="6" w:space="0" w:color="auto"/>
            </w:tcBorders>
            <w:shd w:val="clear" w:color="auto" w:fill="DEEAF6"/>
          </w:tcPr>
          <w:p>
            <w:pPr/>
          </w:p>
        </w:tc>
        <w:tc>
          <w:tcPr>
            <w:tcW w:w="1121" w:type="dxa"/>
            <w:gridSpan w:val="2"/>
            <w:vMerge/>
            <w:tcBorders>
              <w:left w:val="nil" w:sz="6" w:space="0" w:color="auto"/>
              <w:bottom w:val="single" w:sz="4" w:space="0" w:color="5B9BD4"/>
              <w:right w:val="nil" w:sz="6" w:space="0" w:color="auto"/>
            </w:tcBorders>
            <w:shd w:val="clear" w:color="auto" w:fill="DEEAF6"/>
          </w:tcPr>
          <w:p>
            <w:pPr/>
          </w:p>
        </w:tc>
        <w:tc>
          <w:tcPr>
            <w:tcW w:w="1505" w:type="dxa"/>
            <w:vMerge/>
            <w:tcBorders>
              <w:left w:val="nil" w:sz="6" w:space="0" w:color="auto"/>
              <w:bottom w:val="single" w:sz="4" w:space="0" w:color="5B9BD4"/>
              <w:right w:val="nil" w:sz="6" w:space="0" w:color="auto"/>
            </w:tcBorders>
            <w:shd w:val="clear" w:color="auto" w:fill="DEEAF6"/>
          </w:tcPr>
          <w:p>
            <w:pPr/>
          </w:p>
        </w:tc>
      </w:tr>
      <w:tr>
        <w:trPr>
          <w:trHeight w:val="402" w:hRule="exact"/>
        </w:trPr>
        <w:tc>
          <w:tcPr>
            <w:tcW w:w="134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公开市场分销</w:t>
            </w:r>
          </w:p>
        </w:tc>
        <w:tc>
          <w:tcPr>
            <w:tcW w:w="1388"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46"/>
              <w:ind w:left="20"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61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6"/>
              <w:jc w:val="right"/>
              <w:rPr>
                <w:rFonts w:ascii="Arial" w:hAnsi="Arial" w:cs="Arial" w:eastAsia="Arial" w:hint="default"/>
                <w:sz w:val="18"/>
                <w:szCs w:val="18"/>
              </w:rPr>
            </w:pPr>
            <w:r>
              <w:rPr>
                <w:rFonts w:ascii="Arial"/>
                <w:w w:val="95"/>
                <w:sz w:val="18"/>
              </w:rPr>
              <w:t>41,479,084,570.73</w:t>
            </w:r>
            <w:r>
              <w:rPr>
                <w:rFonts w:ascii="Arial"/>
                <w:sz w:val="18"/>
              </w:rPr>
            </w:r>
          </w:p>
        </w:tc>
        <w:tc>
          <w:tcPr>
            <w:tcW w:w="1134"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8"/>
              <w:ind w:right="12"/>
              <w:jc w:val="right"/>
              <w:rPr>
                <w:rFonts w:ascii="Arial" w:hAnsi="Arial" w:cs="Arial" w:eastAsia="Arial" w:hint="default"/>
                <w:sz w:val="18"/>
                <w:szCs w:val="18"/>
              </w:rPr>
            </w:pPr>
            <w:r>
              <w:rPr>
                <w:rFonts w:ascii="Arial"/>
                <w:w w:val="95"/>
                <w:sz w:val="18"/>
              </w:rPr>
              <w:t>85.92%</w:t>
            </w:r>
            <w:r>
              <w:rPr>
                <w:rFonts w:ascii="Arial"/>
                <w:sz w:val="18"/>
              </w:rPr>
            </w:r>
          </w:p>
        </w:tc>
        <w:tc>
          <w:tcPr>
            <w:tcW w:w="1545"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left="33" w:right="0"/>
              <w:jc w:val="left"/>
              <w:rPr>
                <w:rFonts w:ascii="Arial" w:hAnsi="Arial" w:cs="Arial" w:eastAsia="Arial" w:hint="default"/>
                <w:sz w:val="18"/>
                <w:szCs w:val="18"/>
              </w:rPr>
            </w:pPr>
            <w:r>
              <w:rPr>
                <w:rFonts w:ascii="Arial"/>
                <w:sz w:val="18"/>
              </w:rPr>
              <w:t>37,486,563,764.95</w:t>
            </w:r>
          </w:p>
        </w:tc>
        <w:tc>
          <w:tcPr>
            <w:tcW w:w="1006"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8"/>
              <w:ind w:right="11"/>
              <w:jc w:val="right"/>
              <w:rPr>
                <w:rFonts w:ascii="Arial" w:hAnsi="Arial" w:cs="Arial" w:eastAsia="Arial" w:hint="default"/>
                <w:sz w:val="18"/>
                <w:szCs w:val="18"/>
              </w:rPr>
            </w:pPr>
            <w:r>
              <w:rPr>
                <w:rFonts w:ascii="Arial"/>
                <w:w w:val="95"/>
                <w:sz w:val="18"/>
              </w:rPr>
              <w:t>80.35%</w:t>
            </w:r>
            <w:r>
              <w:rPr>
                <w:rFonts w:ascii="Arial"/>
                <w:sz w:val="18"/>
              </w:rPr>
            </w:r>
          </w:p>
        </w:tc>
        <w:tc>
          <w:tcPr>
            <w:tcW w:w="150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2"/>
              <w:jc w:val="right"/>
              <w:rPr>
                <w:rFonts w:ascii="Arial" w:hAnsi="Arial" w:cs="Arial" w:eastAsia="Arial" w:hint="default"/>
                <w:sz w:val="18"/>
                <w:szCs w:val="18"/>
              </w:rPr>
            </w:pPr>
            <w:r>
              <w:rPr>
                <w:rFonts w:ascii="Arial"/>
                <w:w w:val="95"/>
                <w:sz w:val="18"/>
              </w:rPr>
              <w:t>10.65%</w:t>
            </w:r>
            <w:r>
              <w:rPr>
                <w:rFonts w:ascii="Arial"/>
                <w:sz w:val="18"/>
              </w:rPr>
            </w:r>
          </w:p>
        </w:tc>
      </w:tr>
      <w:tr>
        <w:trPr>
          <w:trHeight w:val="402" w:hRule="exact"/>
        </w:trPr>
        <w:tc>
          <w:tcPr>
            <w:tcW w:w="134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平台分销</w:t>
            </w:r>
          </w:p>
        </w:tc>
        <w:tc>
          <w:tcPr>
            <w:tcW w:w="1388"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46"/>
              <w:ind w:left="20"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61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6"/>
              <w:jc w:val="right"/>
              <w:rPr>
                <w:rFonts w:ascii="Arial" w:hAnsi="Arial" w:cs="Arial" w:eastAsia="Arial" w:hint="default"/>
                <w:sz w:val="18"/>
                <w:szCs w:val="18"/>
              </w:rPr>
            </w:pPr>
            <w:r>
              <w:rPr>
                <w:rFonts w:ascii="Arial"/>
                <w:spacing w:val="-1"/>
                <w:sz w:val="18"/>
              </w:rPr>
              <w:t>1,773,508,121.68</w:t>
            </w:r>
          </w:p>
        </w:tc>
        <w:tc>
          <w:tcPr>
            <w:tcW w:w="1134"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8"/>
              <w:ind w:right="12"/>
              <w:jc w:val="right"/>
              <w:rPr>
                <w:rFonts w:ascii="Arial" w:hAnsi="Arial" w:cs="Arial" w:eastAsia="Arial" w:hint="default"/>
                <w:sz w:val="18"/>
                <w:szCs w:val="18"/>
              </w:rPr>
            </w:pPr>
            <w:r>
              <w:rPr>
                <w:rFonts w:ascii="Arial"/>
                <w:w w:val="95"/>
                <w:sz w:val="18"/>
              </w:rPr>
              <w:t>3.67%</w:t>
            </w:r>
            <w:r>
              <w:rPr>
                <w:rFonts w:ascii="Arial"/>
                <w:sz w:val="18"/>
              </w:rPr>
            </w:r>
          </w:p>
        </w:tc>
        <w:tc>
          <w:tcPr>
            <w:tcW w:w="1545"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left="134" w:right="0"/>
              <w:jc w:val="left"/>
              <w:rPr>
                <w:rFonts w:ascii="Arial" w:hAnsi="Arial" w:cs="Arial" w:eastAsia="Arial" w:hint="default"/>
                <w:sz w:val="18"/>
                <w:szCs w:val="18"/>
              </w:rPr>
            </w:pPr>
            <w:r>
              <w:rPr>
                <w:rFonts w:ascii="Arial"/>
                <w:sz w:val="18"/>
              </w:rPr>
              <w:t>2,745,614,962.02</w:t>
            </w:r>
          </w:p>
        </w:tc>
        <w:tc>
          <w:tcPr>
            <w:tcW w:w="1006"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8"/>
              <w:ind w:right="11"/>
              <w:jc w:val="right"/>
              <w:rPr>
                <w:rFonts w:ascii="Arial" w:hAnsi="Arial" w:cs="Arial" w:eastAsia="Arial" w:hint="default"/>
                <w:sz w:val="18"/>
                <w:szCs w:val="18"/>
              </w:rPr>
            </w:pPr>
            <w:r>
              <w:rPr>
                <w:rFonts w:ascii="Arial"/>
                <w:w w:val="95"/>
                <w:sz w:val="18"/>
              </w:rPr>
              <w:t>5.88%</w:t>
            </w:r>
            <w:r>
              <w:rPr>
                <w:rFonts w:ascii="Arial"/>
                <w:sz w:val="18"/>
              </w:rPr>
            </w:r>
          </w:p>
        </w:tc>
        <w:tc>
          <w:tcPr>
            <w:tcW w:w="150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2"/>
              <w:jc w:val="right"/>
              <w:rPr>
                <w:rFonts w:ascii="Arial" w:hAnsi="Arial" w:cs="Arial" w:eastAsia="Arial" w:hint="default"/>
                <w:sz w:val="18"/>
                <w:szCs w:val="18"/>
              </w:rPr>
            </w:pPr>
            <w:r>
              <w:rPr>
                <w:rFonts w:ascii="Arial"/>
                <w:w w:val="95"/>
                <w:sz w:val="18"/>
              </w:rPr>
              <w:t>-35.41%</w:t>
            </w:r>
            <w:r>
              <w:rPr>
                <w:rFonts w:ascii="Arial"/>
                <w:sz w:val="18"/>
              </w:rPr>
            </w:r>
          </w:p>
        </w:tc>
      </w:tr>
      <w:tr>
        <w:trPr>
          <w:trHeight w:val="161" w:hRule="exact"/>
        </w:trPr>
        <w:tc>
          <w:tcPr>
            <w:tcW w:w="1348"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6"/>
              <w:ind w:left="13" w:right="72"/>
              <w:jc w:val="left"/>
              <w:rPr>
                <w:rFonts w:ascii="宋体" w:hAnsi="宋体" w:cs="宋体" w:eastAsia="宋体" w:hint="default"/>
                <w:sz w:val="18"/>
                <w:szCs w:val="18"/>
              </w:rPr>
            </w:pPr>
            <w:r>
              <w:rPr>
                <w:rFonts w:ascii="宋体" w:hAnsi="宋体" w:cs="宋体" w:eastAsia="宋体" w:hint="default"/>
                <w:sz w:val="18"/>
                <w:szCs w:val="18"/>
              </w:rPr>
              <w:t>数码电子产品连 锁零售</w:t>
            </w:r>
          </w:p>
        </w:tc>
        <w:tc>
          <w:tcPr>
            <w:tcW w:w="1388" w:type="dxa"/>
            <w:vMerge w:val="restart"/>
            <w:tcBorders>
              <w:top w:val="single" w:sz="4" w:space="0" w:color="5B9BD4"/>
              <w:left w:val="single" w:sz="12" w:space="0" w:color="DEEAF6"/>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617" w:type="dxa"/>
            <w:tcBorders>
              <w:top w:val="single" w:sz="4" w:space="0" w:color="5B9BD4"/>
              <w:left w:val="nil" w:sz="6" w:space="0" w:color="auto"/>
              <w:bottom w:val="nil" w:sz="6" w:space="0" w:color="auto"/>
              <w:right w:val="nil" w:sz="6" w:space="0" w:color="auto"/>
            </w:tcBorders>
            <w:shd w:val="clear" w:color="auto" w:fill="DEEAF6"/>
          </w:tcPr>
          <w:p>
            <w:pPr/>
          </w:p>
        </w:tc>
        <w:tc>
          <w:tcPr>
            <w:tcW w:w="1134" w:type="dxa"/>
            <w:vMerge w:val="restart"/>
            <w:tcBorders>
              <w:top w:val="single" w:sz="4" w:space="0" w:color="5B9BD4"/>
              <w:left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616" w:right="0"/>
              <w:jc w:val="left"/>
              <w:rPr>
                <w:rFonts w:ascii="Arial" w:hAnsi="Arial" w:cs="Arial" w:eastAsia="Arial" w:hint="default"/>
                <w:sz w:val="18"/>
                <w:szCs w:val="18"/>
              </w:rPr>
            </w:pPr>
            <w:r>
              <w:rPr>
                <w:rFonts w:ascii="Arial"/>
                <w:w w:val="95"/>
                <w:sz w:val="18"/>
              </w:rPr>
              <w:t>3.86%</w:t>
            </w:r>
            <w:r>
              <w:rPr>
                <w:rFonts w:ascii="Arial"/>
                <w:sz w:val="18"/>
              </w:rPr>
            </w:r>
          </w:p>
        </w:tc>
        <w:tc>
          <w:tcPr>
            <w:tcW w:w="1545" w:type="dxa"/>
            <w:gridSpan w:val="2"/>
            <w:tcBorders>
              <w:top w:val="single" w:sz="4" w:space="0" w:color="5B9BD4"/>
              <w:left w:val="nil" w:sz="6" w:space="0" w:color="auto"/>
              <w:bottom w:val="nil" w:sz="6" w:space="0" w:color="auto"/>
              <w:right w:val="nil" w:sz="6" w:space="0" w:color="auto"/>
            </w:tcBorders>
            <w:shd w:val="clear" w:color="auto" w:fill="DEEAF6"/>
          </w:tcPr>
          <w:p>
            <w:pPr/>
          </w:p>
        </w:tc>
        <w:tc>
          <w:tcPr>
            <w:tcW w:w="1006" w:type="dxa"/>
            <w:vMerge w:val="restart"/>
            <w:tcBorders>
              <w:top w:val="single" w:sz="4" w:space="0" w:color="5B9BD4"/>
              <w:left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90" w:right="0"/>
              <w:jc w:val="left"/>
              <w:rPr>
                <w:rFonts w:ascii="Arial" w:hAnsi="Arial" w:cs="Arial" w:eastAsia="Arial" w:hint="default"/>
                <w:sz w:val="18"/>
                <w:szCs w:val="18"/>
              </w:rPr>
            </w:pPr>
            <w:r>
              <w:rPr>
                <w:rFonts w:ascii="Arial"/>
                <w:w w:val="95"/>
                <w:sz w:val="18"/>
              </w:rPr>
              <w:t>2.99%</w:t>
            </w:r>
            <w:r>
              <w:rPr>
                <w:rFonts w:ascii="Arial"/>
                <w:sz w:val="18"/>
              </w:rPr>
            </w:r>
          </w:p>
        </w:tc>
        <w:tc>
          <w:tcPr>
            <w:tcW w:w="1505" w:type="dxa"/>
            <w:tcBorders>
              <w:top w:val="single" w:sz="4" w:space="0" w:color="5B9BD4"/>
              <w:left w:val="nil" w:sz="6" w:space="0" w:color="auto"/>
              <w:bottom w:val="nil" w:sz="6" w:space="0" w:color="auto"/>
              <w:right w:val="nil" w:sz="6" w:space="0" w:color="auto"/>
            </w:tcBorders>
            <w:shd w:val="clear" w:color="auto" w:fill="DEEAF6"/>
          </w:tcPr>
          <w:p>
            <w:pPr/>
          </w:p>
        </w:tc>
      </w:tr>
      <w:tr>
        <w:trPr>
          <w:trHeight w:val="392" w:hRule="exact"/>
        </w:trPr>
        <w:tc>
          <w:tcPr>
            <w:tcW w:w="1348" w:type="dxa"/>
            <w:vMerge/>
            <w:tcBorders>
              <w:left w:val="nil" w:sz="6" w:space="0" w:color="auto"/>
              <w:right w:val="nil" w:sz="6" w:space="0" w:color="auto"/>
            </w:tcBorders>
            <w:shd w:val="clear" w:color="auto" w:fill="DEEAF6"/>
          </w:tcPr>
          <w:p>
            <w:pPr/>
          </w:p>
        </w:tc>
        <w:tc>
          <w:tcPr>
            <w:tcW w:w="1388" w:type="dxa"/>
            <w:vMerge/>
            <w:tcBorders>
              <w:left w:val="single" w:sz="12" w:space="0" w:color="DEEAF6"/>
              <w:right w:val="nil" w:sz="6" w:space="0" w:color="auto"/>
            </w:tcBorders>
          </w:tcPr>
          <w:p>
            <w:pPr/>
          </w:p>
        </w:tc>
        <w:tc>
          <w:tcPr>
            <w:tcW w:w="1617"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26"/>
              <w:jc w:val="right"/>
              <w:rPr>
                <w:rFonts w:ascii="Arial" w:hAnsi="Arial" w:cs="Arial" w:eastAsia="Arial" w:hint="default"/>
                <w:sz w:val="18"/>
                <w:szCs w:val="18"/>
              </w:rPr>
            </w:pPr>
            <w:r>
              <w:rPr>
                <w:rFonts w:ascii="Arial"/>
                <w:spacing w:val="-1"/>
                <w:sz w:val="18"/>
              </w:rPr>
              <w:t>1,863,412,336.49</w:t>
            </w:r>
          </w:p>
        </w:tc>
        <w:tc>
          <w:tcPr>
            <w:tcW w:w="1134" w:type="dxa"/>
            <w:vMerge/>
            <w:tcBorders>
              <w:left w:val="nil" w:sz="6" w:space="0" w:color="auto"/>
              <w:right w:val="nil" w:sz="6" w:space="0" w:color="auto"/>
            </w:tcBorders>
          </w:tcPr>
          <w:p>
            <w:pPr/>
          </w:p>
        </w:tc>
        <w:tc>
          <w:tcPr>
            <w:tcW w:w="1545" w:type="dxa"/>
            <w:gridSpan w:val="2"/>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left="134" w:right="0"/>
              <w:jc w:val="left"/>
              <w:rPr>
                <w:rFonts w:ascii="Arial" w:hAnsi="Arial" w:cs="Arial" w:eastAsia="Arial" w:hint="default"/>
                <w:sz w:val="18"/>
                <w:szCs w:val="18"/>
              </w:rPr>
            </w:pPr>
            <w:r>
              <w:rPr>
                <w:rFonts w:ascii="Arial"/>
                <w:sz w:val="18"/>
              </w:rPr>
              <w:t>1,395,083,880.56</w:t>
            </w:r>
          </w:p>
        </w:tc>
        <w:tc>
          <w:tcPr>
            <w:tcW w:w="1006" w:type="dxa"/>
            <w:vMerge/>
            <w:tcBorders>
              <w:left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12"/>
              <w:jc w:val="right"/>
              <w:rPr>
                <w:rFonts w:ascii="Arial" w:hAnsi="Arial" w:cs="Arial" w:eastAsia="Arial" w:hint="default"/>
                <w:sz w:val="18"/>
                <w:szCs w:val="18"/>
              </w:rPr>
            </w:pPr>
            <w:r>
              <w:rPr>
                <w:rFonts w:ascii="Arial"/>
                <w:w w:val="95"/>
                <w:sz w:val="18"/>
              </w:rPr>
              <w:t>33.57%</w:t>
            </w:r>
            <w:r>
              <w:rPr>
                <w:rFonts w:ascii="Arial"/>
                <w:sz w:val="18"/>
              </w:rPr>
            </w:r>
          </w:p>
        </w:tc>
      </w:tr>
      <w:tr>
        <w:trPr>
          <w:trHeight w:val="161" w:hRule="exact"/>
        </w:trPr>
        <w:tc>
          <w:tcPr>
            <w:tcW w:w="1348" w:type="dxa"/>
            <w:vMerge/>
            <w:tcBorders>
              <w:left w:val="nil" w:sz="6" w:space="0" w:color="auto"/>
              <w:bottom w:val="single" w:sz="4" w:space="0" w:color="5B9BD4"/>
              <w:right w:val="nil" w:sz="6" w:space="0" w:color="auto"/>
            </w:tcBorders>
            <w:shd w:val="clear" w:color="auto" w:fill="DEEAF6"/>
          </w:tcPr>
          <w:p>
            <w:pPr/>
          </w:p>
        </w:tc>
        <w:tc>
          <w:tcPr>
            <w:tcW w:w="1388" w:type="dxa"/>
            <w:vMerge/>
            <w:tcBorders>
              <w:left w:val="single" w:sz="12" w:space="0" w:color="DEEAF6"/>
              <w:bottom w:val="single" w:sz="4" w:space="0" w:color="5B9BD4"/>
              <w:right w:val="nil" w:sz="6" w:space="0" w:color="auto"/>
            </w:tcBorders>
          </w:tcPr>
          <w:p>
            <w:pPr/>
          </w:p>
        </w:tc>
        <w:tc>
          <w:tcPr>
            <w:tcW w:w="1617" w:type="dxa"/>
            <w:tcBorders>
              <w:top w:val="nil" w:sz="6" w:space="0" w:color="auto"/>
              <w:left w:val="nil" w:sz="6" w:space="0" w:color="auto"/>
              <w:bottom w:val="single" w:sz="4" w:space="0" w:color="5B9BD4"/>
              <w:right w:val="nil" w:sz="6" w:space="0" w:color="auto"/>
            </w:tcBorders>
            <w:shd w:val="clear" w:color="auto" w:fill="DEEAF6"/>
          </w:tcPr>
          <w:p>
            <w:pPr/>
          </w:p>
        </w:tc>
        <w:tc>
          <w:tcPr>
            <w:tcW w:w="1134" w:type="dxa"/>
            <w:vMerge/>
            <w:tcBorders>
              <w:left w:val="nil" w:sz="6" w:space="0" w:color="auto"/>
              <w:bottom w:val="single" w:sz="4" w:space="0" w:color="5B9BD4"/>
              <w:right w:val="nil" w:sz="6" w:space="0" w:color="auto"/>
            </w:tcBorders>
          </w:tcPr>
          <w:p>
            <w:pPr/>
          </w:p>
        </w:tc>
        <w:tc>
          <w:tcPr>
            <w:tcW w:w="1545" w:type="dxa"/>
            <w:gridSpan w:val="2"/>
            <w:tcBorders>
              <w:top w:val="nil" w:sz="6" w:space="0" w:color="auto"/>
              <w:left w:val="nil" w:sz="6" w:space="0" w:color="auto"/>
              <w:bottom w:val="single" w:sz="4" w:space="0" w:color="5B9BD4"/>
              <w:right w:val="nil" w:sz="6" w:space="0" w:color="auto"/>
            </w:tcBorders>
            <w:shd w:val="clear" w:color="auto" w:fill="DEEAF6"/>
          </w:tcPr>
          <w:p>
            <w:pPr/>
          </w:p>
        </w:tc>
        <w:tc>
          <w:tcPr>
            <w:tcW w:w="1006" w:type="dxa"/>
            <w:vMerge/>
            <w:tcBorders>
              <w:left w:val="nil" w:sz="6" w:space="0" w:color="auto"/>
              <w:bottom w:val="single" w:sz="4" w:space="0" w:color="5B9BD4"/>
              <w:right w:val="nil" w:sz="6" w:space="0" w:color="auto"/>
            </w:tcBorders>
          </w:tcPr>
          <w:p>
            <w:pPr/>
          </w:p>
        </w:tc>
        <w:tc>
          <w:tcPr>
            <w:tcW w:w="1505" w:type="dxa"/>
            <w:tcBorders>
              <w:top w:val="nil" w:sz="6" w:space="0" w:color="auto"/>
              <w:left w:val="nil" w:sz="6" w:space="0" w:color="auto"/>
              <w:bottom w:val="single" w:sz="4" w:space="0" w:color="5B9BD4"/>
              <w:right w:val="nil" w:sz="6" w:space="0" w:color="auto"/>
            </w:tcBorders>
            <w:shd w:val="clear" w:color="auto" w:fill="DEEAF6"/>
          </w:tcPr>
          <w:p>
            <w:pPr/>
          </w:p>
        </w:tc>
      </w:tr>
      <w:tr>
        <w:trPr>
          <w:trHeight w:val="402" w:hRule="exact"/>
        </w:trPr>
        <w:tc>
          <w:tcPr>
            <w:tcW w:w="134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运营商分销</w:t>
            </w:r>
          </w:p>
        </w:tc>
        <w:tc>
          <w:tcPr>
            <w:tcW w:w="1388"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46"/>
              <w:ind w:left="20"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61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6"/>
              <w:jc w:val="right"/>
              <w:rPr>
                <w:rFonts w:ascii="Arial" w:hAnsi="Arial" w:cs="Arial" w:eastAsia="Arial" w:hint="default"/>
                <w:sz w:val="18"/>
                <w:szCs w:val="18"/>
              </w:rPr>
            </w:pPr>
            <w:r>
              <w:rPr>
                <w:rFonts w:ascii="Arial"/>
                <w:spacing w:val="-1"/>
                <w:sz w:val="18"/>
              </w:rPr>
              <w:t>2,940,254,756.29</w:t>
            </w:r>
          </w:p>
        </w:tc>
        <w:tc>
          <w:tcPr>
            <w:tcW w:w="1134"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8"/>
              <w:ind w:right="12"/>
              <w:jc w:val="right"/>
              <w:rPr>
                <w:rFonts w:ascii="Arial" w:hAnsi="Arial" w:cs="Arial" w:eastAsia="Arial" w:hint="default"/>
                <w:sz w:val="18"/>
                <w:szCs w:val="18"/>
              </w:rPr>
            </w:pPr>
            <w:r>
              <w:rPr>
                <w:rFonts w:ascii="Arial"/>
                <w:w w:val="95"/>
                <w:sz w:val="18"/>
              </w:rPr>
              <w:t>6.09%</w:t>
            </w:r>
            <w:r>
              <w:rPr>
                <w:rFonts w:ascii="Arial"/>
                <w:sz w:val="18"/>
              </w:rPr>
            </w:r>
          </w:p>
        </w:tc>
        <w:tc>
          <w:tcPr>
            <w:tcW w:w="1545"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left="134" w:right="0"/>
              <w:jc w:val="left"/>
              <w:rPr>
                <w:rFonts w:ascii="Arial" w:hAnsi="Arial" w:cs="Arial" w:eastAsia="Arial" w:hint="default"/>
                <w:sz w:val="18"/>
                <w:szCs w:val="18"/>
              </w:rPr>
            </w:pPr>
            <w:r>
              <w:rPr>
                <w:rFonts w:ascii="Arial"/>
                <w:sz w:val="18"/>
              </w:rPr>
              <w:t>4,943,964,668.39</w:t>
            </w:r>
          </w:p>
        </w:tc>
        <w:tc>
          <w:tcPr>
            <w:tcW w:w="1006"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8"/>
              <w:ind w:right="11"/>
              <w:jc w:val="right"/>
              <w:rPr>
                <w:rFonts w:ascii="Arial" w:hAnsi="Arial" w:cs="Arial" w:eastAsia="Arial" w:hint="default"/>
                <w:sz w:val="18"/>
                <w:szCs w:val="18"/>
              </w:rPr>
            </w:pPr>
            <w:r>
              <w:rPr>
                <w:rFonts w:ascii="Arial"/>
                <w:w w:val="95"/>
                <w:sz w:val="18"/>
              </w:rPr>
              <w:t>10.60%</w:t>
            </w:r>
            <w:r>
              <w:rPr>
                <w:rFonts w:ascii="Arial"/>
                <w:sz w:val="18"/>
              </w:rPr>
            </w:r>
          </w:p>
        </w:tc>
        <w:tc>
          <w:tcPr>
            <w:tcW w:w="150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2"/>
              <w:jc w:val="right"/>
              <w:rPr>
                <w:rFonts w:ascii="Arial" w:hAnsi="Arial" w:cs="Arial" w:eastAsia="Arial" w:hint="default"/>
                <w:sz w:val="18"/>
                <w:szCs w:val="18"/>
              </w:rPr>
            </w:pPr>
            <w:r>
              <w:rPr>
                <w:rFonts w:ascii="Arial"/>
                <w:w w:val="95"/>
                <w:sz w:val="18"/>
              </w:rPr>
              <w:t>-40.53%</w:t>
            </w:r>
            <w:r>
              <w:rPr>
                <w:rFonts w:ascii="Arial"/>
                <w:sz w:val="18"/>
              </w:rPr>
            </w:r>
          </w:p>
        </w:tc>
      </w:tr>
      <w:tr>
        <w:trPr>
          <w:trHeight w:val="402" w:hRule="exact"/>
        </w:trPr>
        <w:tc>
          <w:tcPr>
            <w:tcW w:w="134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388"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46"/>
              <w:ind w:left="20"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61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w w:val="95"/>
                <w:sz w:val="18"/>
              </w:rPr>
              <w:t>213,197,300.59</w:t>
            </w:r>
            <w:r>
              <w:rPr>
                <w:rFonts w:ascii="Arial"/>
                <w:sz w:val="18"/>
              </w:rPr>
            </w:r>
          </w:p>
        </w:tc>
        <w:tc>
          <w:tcPr>
            <w:tcW w:w="1134"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8"/>
              <w:ind w:right="12"/>
              <w:jc w:val="right"/>
              <w:rPr>
                <w:rFonts w:ascii="Arial" w:hAnsi="Arial" w:cs="Arial" w:eastAsia="Arial" w:hint="default"/>
                <w:sz w:val="18"/>
                <w:szCs w:val="18"/>
              </w:rPr>
            </w:pPr>
            <w:r>
              <w:rPr>
                <w:rFonts w:ascii="Arial"/>
                <w:w w:val="95"/>
                <w:sz w:val="18"/>
              </w:rPr>
              <w:t>0.44%</w:t>
            </w:r>
            <w:r>
              <w:rPr>
                <w:rFonts w:ascii="Arial"/>
                <w:sz w:val="18"/>
              </w:rPr>
            </w:r>
          </w:p>
        </w:tc>
        <w:tc>
          <w:tcPr>
            <w:tcW w:w="1545"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left="382" w:right="0"/>
              <w:jc w:val="left"/>
              <w:rPr>
                <w:rFonts w:ascii="Arial" w:hAnsi="Arial" w:cs="Arial" w:eastAsia="Arial" w:hint="default"/>
                <w:sz w:val="18"/>
                <w:szCs w:val="18"/>
              </w:rPr>
            </w:pPr>
            <w:r>
              <w:rPr>
                <w:rFonts w:ascii="Arial"/>
                <w:sz w:val="18"/>
              </w:rPr>
              <w:t>80,400,538.90</w:t>
            </w:r>
          </w:p>
        </w:tc>
        <w:tc>
          <w:tcPr>
            <w:tcW w:w="1006"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8"/>
              <w:ind w:right="11"/>
              <w:jc w:val="right"/>
              <w:rPr>
                <w:rFonts w:ascii="Arial" w:hAnsi="Arial" w:cs="Arial" w:eastAsia="Arial" w:hint="default"/>
                <w:sz w:val="18"/>
                <w:szCs w:val="18"/>
              </w:rPr>
            </w:pPr>
            <w:r>
              <w:rPr>
                <w:rFonts w:ascii="Arial"/>
                <w:w w:val="95"/>
                <w:sz w:val="18"/>
              </w:rPr>
              <w:t>0.17%</w:t>
            </w:r>
            <w:r>
              <w:rPr>
                <w:rFonts w:ascii="Arial"/>
                <w:sz w:val="18"/>
              </w:rPr>
            </w:r>
          </w:p>
        </w:tc>
        <w:tc>
          <w:tcPr>
            <w:tcW w:w="150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2"/>
              <w:jc w:val="right"/>
              <w:rPr>
                <w:rFonts w:ascii="Arial" w:hAnsi="Arial" w:cs="Arial" w:eastAsia="Arial" w:hint="default"/>
                <w:sz w:val="18"/>
                <w:szCs w:val="18"/>
              </w:rPr>
            </w:pPr>
            <w:r>
              <w:rPr>
                <w:rFonts w:ascii="Arial"/>
                <w:w w:val="95"/>
                <w:sz w:val="18"/>
              </w:rPr>
              <w:t>165.17%</w:t>
            </w:r>
            <w:r>
              <w:rPr>
                <w:rFonts w:ascii="Arial"/>
                <w:sz w:val="18"/>
              </w:rPr>
            </w:r>
          </w:p>
        </w:tc>
      </w:tr>
      <w:tr>
        <w:trPr>
          <w:trHeight w:val="402" w:hRule="exact"/>
        </w:trPr>
        <w:tc>
          <w:tcPr>
            <w:tcW w:w="134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其他业务支出</w:t>
            </w:r>
          </w:p>
        </w:tc>
        <w:tc>
          <w:tcPr>
            <w:tcW w:w="1388"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46"/>
              <w:ind w:left="20"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61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w w:val="95"/>
                <w:sz w:val="18"/>
              </w:rPr>
              <w:t>11,755,785.58</w:t>
            </w:r>
            <w:r>
              <w:rPr>
                <w:rFonts w:ascii="Arial"/>
                <w:sz w:val="18"/>
              </w:rPr>
            </w:r>
          </w:p>
        </w:tc>
        <w:tc>
          <w:tcPr>
            <w:tcW w:w="1134"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8"/>
              <w:ind w:right="12"/>
              <w:jc w:val="right"/>
              <w:rPr>
                <w:rFonts w:ascii="Arial" w:hAnsi="Arial" w:cs="Arial" w:eastAsia="Arial" w:hint="default"/>
                <w:sz w:val="18"/>
                <w:szCs w:val="18"/>
              </w:rPr>
            </w:pPr>
            <w:r>
              <w:rPr>
                <w:rFonts w:ascii="Arial"/>
                <w:w w:val="95"/>
                <w:sz w:val="18"/>
              </w:rPr>
              <w:t>0.02%</w:t>
            </w:r>
            <w:r>
              <w:rPr>
                <w:rFonts w:ascii="Arial"/>
                <w:sz w:val="18"/>
              </w:rPr>
            </w:r>
          </w:p>
        </w:tc>
        <w:tc>
          <w:tcPr>
            <w:tcW w:w="1545"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left="483" w:right="0"/>
              <w:jc w:val="left"/>
              <w:rPr>
                <w:rFonts w:ascii="Arial" w:hAnsi="Arial" w:cs="Arial" w:eastAsia="Arial" w:hint="default"/>
                <w:sz w:val="18"/>
                <w:szCs w:val="18"/>
              </w:rPr>
            </w:pPr>
            <w:r>
              <w:rPr>
                <w:rFonts w:ascii="Arial"/>
                <w:sz w:val="18"/>
              </w:rPr>
              <w:t>3,033,465.27</w:t>
            </w:r>
          </w:p>
        </w:tc>
        <w:tc>
          <w:tcPr>
            <w:tcW w:w="1006"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8"/>
              <w:ind w:right="11"/>
              <w:jc w:val="right"/>
              <w:rPr>
                <w:rFonts w:ascii="Arial" w:hAnsi="Arial" w:cs="Arial" w:eastAsia="Arial" w:hint="default"/>
                <w:sz w:val="18"/>
                <w:szCs w:val="18"/>
              </w:rPr>
            </w:pPr>
            <w:r>
              <w:rPr>
                <w:rFonts w:ascii="Arial"/>
                <w:w w:val="95"/>
                <w:sz w:val="18"/>
              </w:rPr>
              <w:t>0.01%</w:t>
            </w:r>
            <w:r>
              <w:rPr>
                <w:rFonts w:ascii="Arial"/>
                <w:sz w:val="18"/>
              </w:rPr>
            </w:r>
          </w:p>
        </w:tc>
        <w:tc>
          <w:tcPr>
            <w:tcW w:w="150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2"/>
              <w:jc w:val="right"/>
              <w:rPr>
                <w:rFonts w:ascii="Arial" w:hAnsi="Arial" w:cs="Arial" w:eastAsia="Arial" w:hint="default"/>
                <w:sz w:val="18"/>
                <w:szCs w:val="18"/>
              </w:rPr>
            </w:pPr>
            <w:r>
              <w:rPr>
                <w:rFonts w:ascii="Arial"/>
                <w:w w:val="95"/>
                <w:sz w:val="18"/>
              </w:rPr>
              <w:t>287.54%</w:t>
            </w:r>
            <w:r>
              <w:rPr>
                <w:rFonts w:ascii="Arial"/>
                <w:sz w:val="18"/>
              </w:rPr>
            </w:r>
          </w:p>
        </w:tc>
      </w:tr>
    </w:tbl>
    <w:p>
      <w:pPr>
        <w:spacing w:after="0" w:line="240" w:lineRule="auto"/>
        <w:jc w:val="right"/>
        <w:rPr>
          <w:rFonts w:ascii="Arial" w:hAnsi="Arial" w:cs="Arial" w:eastAsia="Arial" w:hint="default"/>
          <w:sz w:val="18"/>
          <w:szCs w:val="18"/>
        </w:rPr>
        <w:sectPr>
          <w:type w:val="continuous"/>
          <w:pgSz w:w="11910" w:h="16840"/>
          <w:pgMar w:top="1360" w:bottom="0" w:left="980" w:right="0"/>
        </w:sectPr>
      </w:pPr>
    </w:p>
    <w:p>
      <w:pPr>
        <w:pStyle w:val="BodyText"/>
        <w:spacing w:line="240" w:lineRule="auto" w:before="21"/>
        <w:ind w:left="154" w:right="0"/>
        <w:jc w:val="left"/>
      </w:pPr>
      <w:r>
        <w:rPr>
          <w:rFonts w:ascii="Arial" w:hAnsi="Arial" w:cs="Arial" w:eastAsia="Arial" w:hint="default"/>
          <w:w w:val="95"/>
        </w:rPr>
        <w:t>2</w:t>
      </w:r>
      <w:r>
        <w:rPr>
          <w:w w:val="95"/>
        </w:rPr>
        <w:t>、产品分类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360" w:bottom="0" w:left="980" w:right="0"/>
          <w:cols w:num="2" w:equalWidth="0">
            <w:col w:w="1321" w:space="7599"/>
            <w:col w:w="2010"/>
          </w:cols>
        </w:sectPr>
      </w:pP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348"/>
        <w:gridCol w:w="1374"/>
        <w:gridCol w:w="1631"/>
        <w:gridCol w:w="1103"/>
        <w:gridCol w:w="1732"/>
        <w:gridCol w:w="1134"/>
        <w:gridCol w:w="1221"/>
      </w:tblGrid>
      <w:tr>
        <w:trPr>
          <w:trHeight w:val="402" w:hRule="exact"/>
        </w:trPr>
        <w:tc>
          <w:tcPr>
            <w:tcW w:w="2723" w:type="dxa"/>
            <w:gridSpan w:val="2"/>
            <w:tcBorders>
              <w:top w:val="single" w:sz="4" w:space="0" w:color="5B9BD4"/>
              <w:left w:val="nil" w:sz="6" w:space="0" w:color="auto"/>
              <w:bottom w:val="nil" w:sz="6" w:space="0" w:color="auto"/>
              <w:right w:val="nil" w:sz="6" w:space="0" w:color="auto"/>
            </w:tcBorders>
            <w:shd w:val="clear" w:color="auto" w:fill="DEEAF6"/>
          </w:tcPr>
          <w:p>
            <w:pPr/>
          </w:p>
        </w:tc>
        <w:tc>
          <w:tcPr>
            <w:tcW w:w="2734"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right="1"/>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w:t>
            </w:r>
          </w:p>
        </w:tc>
        <w:tc>
          <w:tcPr>
            <w:tcW w:w="2866"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right="0"/>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1"/>
                <w:sz w:val="18"/>
                <w:szCs w:val="18"/>
              </w:rPr>
              <w:t> </w:t>
            </w:r>
            <w:r>
              <w:rPr>
                <w:rFonts w:ascii="宋体" w:hAnsi="宋体" w:cs="宋体" w:eastAsia="宋体" w:hint="default"/>
                <w:sz w:val="18"/>
                <w:szCs w:val="18"/>
              </w:rPr>
              <w:t>年</w:t>
            </w:r>
          </w:p>
        </w:tc>
        <w:tc>
          <w:tcPr>
            <w:tcW w:w="1221" w:type="dxa"/>
            <w:tcBorders>
              <w:top w:val="single" w:sz="4" w:space="0" w:color="5B9BD4"/>
              <w:left w:val="nil" w:sz="6" w:space="0" w:color="auto"/>
              <w:bottom w:val="nil" w:sz="6" w:space="0" w:color="auto"/>
              <w:right w:val="nil" w:sz="6" w:space="0" w:color="auto"/>
            </w:tcBorders>
            <w:shd w:val="clear" w:color="auto" w:fill="DEEAF6"/>
          </w:tcPr>
          <w:p>
            <w:pPr/>
          </w:p>
        </w:tc>
      </w:tr>
      <w:tr>
        <w:trPr>
          <w:trHeight w:val="161" w:hRule="exact"/>
        </w:trPr>
        <w:tc>
          <w:tcPr>
            <w:tcW w:w="1348" w:type="dxa"/>
            <w:vMerge w:val="restart"/>
            <w:tcBorders>
              <w:top w:val="nil" w:sz="6" w:space="0" w:color="auto"/>
              <w:left w:val="nil" w:sz="6" w:space="0" w:color="auto"/>
              <w:right w:val="nil" w:sz="6" w:space="0" w:color="auto"/>
            </w:tcBorders>
            <w:shd w:val="clear" w:color="auto" w:fill="DEEAF6"/>
          </w:tcPr>
          <w:p>
            <w:pPr>
              <w:pStyle w:val="TableParagraph"/>
              <w:spacing w:line="240" w:lineRule="auto" w:before="7"/>
              <w:ind w:left="310"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74" w:type="dxa"/>
            <w:vMerge w:val="restart"/>
            <w:tcBorders>
              <w:top w:val="nil" w:sz="6" w:space="0" w:color="auto"/>
              <w:left w:val="nil" w:sz="6" w:space="0" w:color="auto"/>
              <w:right w:val="nil" w:sz="6" w:space="0" w:color="auto"/>
            </w:tcBorders>
            <w:shd w:val="clear" w:color="auto" w:fill="DEEAF6"/>
          </w:tcPr>
          <w:p>
            <w:pPr>
              <w:pStyle w:val="TableParagraph"/>
              <w:spacing w:line="240" w:lineRule="auto" w:before="7"/>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31" w:type="dxa"/>
            <w:tcBorders>
              <w:top w:val="single" w:sz="4" w:space="0" w:color="5B9BD4"/>
              <w:left w:val="nil" w:sz="6" w:space="0" w:color="auto"/>
              <w:bottom w:val="nil" w:sz="6" w:space="0" w:color="auto"/>
              <w:right w:val="nil" w:sz="6" w:space="0" w:color="auto"/>
            </w:tcBorders>
            <w:shd w:val="clear" w:color="auto" w:fill="DEEAF6"/>
          </w:tcPr>
          <w:p>
            <w:pPr/>
          </w:p>
        </w:tc>
        <w:tc>
          <w:tcPr>
            <w:tcW w:w="1103" w:type="dxa"/>
            <w:vMerge w:val="restart"/>
            <w:tcBorders>
              <w:top w:val="single" w:sz="4" w:space="0" w:color="5B9BD4"/>
              <w:left w:val="nil" w:sz="6" w:space="0" w:color="auto"/>
              <w:right w:val="nil" w:sz="6" w:space="0" w:color="auto"/>
            </w:tcBorders>
            <w:shd w:val="clear" w:color="auto" w:fill="DEEAF6"/>
          </w:tcPr>
          <w:p>
            <w:pPr>
              <w:pStyle w:val="TableParagraph"/>
              <w:spacing w:line="319" w:lineRule="auto" w:before="46"/>
              <w:ind w:left="370" w:right="100" w:hanging="270"/>
              <w:jc w:val="left"/>
              <w:rPr>
                <w:rFonts w:ascii="宋体" w:hAnsi="宋体" w:cs="宋体" w:eastAsia="宋体" w:hint="default"/>
                <w:sz w:val="18"/>
                <w:szCs w:val="18"/>
              </w:rPr>
            </w:pPr>
            <w:r>
              <w:rPr>
                <w:rFonts w:ascii="宋体" w:hAnsi="宋体" w:cs="宋体" w:eastAsia="宋体" w:hint="default"/>
                <w:sz w:val="18"/>
                <w:szCs w:val="18"/>
              </w:rPr>
              <w:t>占营业成本 比重</w:t>
            </w:r>
          </w:p>
        </w:tc>
        <w:tc>
          <w:tcPr>
            <w:tcW w:w="1732" w:type="dxa"/>
            <w:tcBorders>
              <w:top w:val="single" w:sz="4" w:space="0" w:color="5B9BD4"/>
              <w:left w:val="nil" w:sz="6" w:space="0" w:color="auto"/>
              <w:bottom w:val="nil" w:sz="6" w:space="0" w:color="auto"/>
              <w:right w:val="nil" w:sz="6" w:space="0" w:color="auto"/>
            </w:tcBorders>
            <w:shd w:val="clear" w:color="auto" w:fill="DEEAF6"/>
          </w:tcPr>
          <w:p>
            <w:pPr/>
          </w:p>
        </w:tc>
        <w:tc>
          <w:tcPr>
            <w:tcW w:w="1134" w:type="dxa"/>
            <w:vMerge w:val="restart"/>
            <w:tcBorders>
              <w:top w:val="single" w:sz="4" w:space="0" w:color="5B9BD4"/>
              <w:left w:val="nil" w:sz="6" w:space="0" w:color="auto"/>
              <w:right w:val="nil" w:sz="6" w:space="0" w:color="auto"/>
            </w:tcBorders>
            <w:shd w:val="clear" w:color="auto" w:fill="DEEAF6"/>
          </w:tcPr>
          <w:p>
            <w:pPr>
              <w:pStyle w:val="TableParagraph"/>
              <w:spacing w:line="319" w:lineRule="auto" w:before="46"/>
              <w:ind w:left="387" w:right="116" w:hanging="270"/>
              <w:jc w:val="left"/>
              <w:rPr>
                <w:rFonts w:ascii="宋体" w:hAnsi="宋体" w:cs="宋体" w:eastAsia="宋体" w:hint="default"/>
                <w:sz w:val="18"/>
                <w:szCs w:val="18"/>
              </w:rPr>
            </w:pPr>
            <w:r>
              <w:rPr>
                <w:rFonts w:ascii="宋体" w:hAnsi="宋体" w:cs="宋体" w:eastAsia="宋体" w:hint="default"/>
                <w:sz w:val="18"/>
                <w:szCs w:val="18"/>
              </w:rPr>
              <w:t>占营业成本 比重</w:t>
            </w:r>
          </w:p>
        </w:tc>
        <w:tc>
          <w:tcPr>
            <w:tcW w:w="1221" w:type="dxa"/>
            <w:vMerge w:val="restart"/>
            <w:tcBorders>
              <w:top w:val="nil" w:sz="6" w:space="0" w:color="auto"/>
              <w:left w:val="nil" w:sz="6" w:space="0" w:color="auto"/>
              <w:right w:val="nil" w:sz="6" w:space="0" w:color="auto"/>
            </w:tcBorders>
            <w:shd w:val="clear" w:color="auto" w:fill="DEEAF6"/>
          </w:tcPr>
          <w:p>
            <w:pPr>
              <w:pStyle w:val="TableParagraph"/>
              <w:spacing w:line="240" w:lineRule="auto" w:before="7"/>
              <w:ind w:left="25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2" w:hRule="exact"/>
        </w:trPr>
        <w:tc>
          <w:tcPr>
            <w:tcW w:w="1348" w:type="dxa"/>
            <w:vMerge/>
            <w:tcBorders>
              <w:left w:val="nil" w:sz="6" w:space="0" w:color="auto"/>
              <w:bottom w:val="nil" w:sz="6" w:space="0" w:color="auto"/>
              <w:right w:val="nil" w:sz="6" w:space="0" w:color="auto"/>
            </w:tcBorders>
            <w:shd w:val="clear" w:color="auto" w:fill="DEEAF6"/>
          </w:tcPr>
          <w:p>
            <w:pPr/>
          </w:p>
        </w:tc>
        <w:tc>
          <w:tcPr>
            <w:tcW w:w="1374" w:type="dxa"/>
            <w:vMerge/>
            <w:tcBorders>
              <w:left w:val="nil" w:sz="6" w:space="0" w:color="auto"/>
              <w:bottom w:val="nil" w:sz="6" w:space="0" w:color="auto"/>
              <w:right w:val="nil" w:sz="6" w:space="0" w:color="auto"/>
            </w:tcBorders>
            <w:shd w:val="clear" w:color="auto" w:fill="DEEAF6"/>
          </w:tcPr>
          <w:p>
            <w:pPr/>
          </w:p>
        </w:tc>
        <w:tc>
          <w:tcPr>
            <w:tcW w:w="1631" w:type="dxa"/>
            <w:vMerge w:val="restart"/>
            <w:tcBorders>
              <w:top w:val="nil" w:sz="6" w:space="0" w:color="auto"/>
              <w:left w:val="nil" w:sz="6" w:space="0" w:color="auto"/>
              <w:right w:val="nil" w:sz="6" w:space="0" w:color="auto"/>
            </w:tcBorders>
            <w:shd w:val="clear" w:color="auto" w:fill="DEEAF6"/>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03" w:type="dxa"/>
            <w:vMerge/>
            <w:tcBorders>
              <w:left w:val="nil" w:sz="6" w:space="0" w:color="auto"/>
              <w:right w:val="nil" w:sz="6" w:space="0" w:color="auto"/>
            </w:tcBorders>
            <w:shd w:val="clear" w:color="auto" w:fill="DEEAF6"/>
          </w:tcPr>
          <w:p>
            <w:pPr/>
          </w:p>
        </w:tc>
        <w:tc>
          <w:tcPr>
            <w:tcW w:w="1732" w:type="dxa"/>
            <w:vMerge w:val="restart"/>
            <w:tcBorders>
              <w:top w:val="nil" w:sz="6" w:space="0" w:color="auto"/>
              <w:left w:val="nil" w:sz="6" w:space="0" w:color="auto"/>
              <w:right w:val="nil" w:sz="6" w:space="0" w:color="auto"/>
            </w:tcBorders>
            <w:shd w:val="clear" w:color="auto" w:fill="DEEAF6"/>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4" w:type="dxa"/>
            <w:vMerge/>
            <w:tcBorders>
              <w:left w:val="nil" w:sz="6" w:space="0" w:color="auto"/>
              <w:right w:val="nil" w:sz="6" w:space="0" w:color="auto"/>
            </w:tcBorders>
            <w:shd w:val="clear" w:color="auto" w:fill="DEEAF6"/>
          </w:tcPr>
          <w:p>
            <w:pPr/>
          </w:p>
        </w:tc>
        <w:tc>
          <w:tcPr>
            <w:tcW w:w="1221" w:type="dxa"/>
            <w:vMerge/>
            <w:tcBorders>
              <w:left w:val="nil" w:sz="6" w:space="0" w:color="auto"/>
              <w:bottom w:val="nil" w:sz="6" w:space="0" w:color="auto"/>
              <w:right w:val="nil" w:sz="6" w:space="0" w:color="auto"/>
            </w:tcBorders>
            <w:shd w:val="clear" w:color="auto" w:fill="DEEAF6"/>
          </w:tcPr>
          <w:p>
            <w:pPr/>
          </w:p>
        </w:tc>
      </w:tr>
      <w:tr>
        <w:trPr>
          <w:trHeight w:val="200" w:hRule="exact"/>
        </w:trPr>
        <w:tc>
          <w:tcPr>
            <w:tcW w:w="2723" w:type="dxa"/>
            <w:gridSpan w:val="2"/>
            <w:vMerge w:val="restart"/>
            <w:tcBorders>
              <w:top w:val="nil" w:sz="6" w:space="0" w:color="auto"/>
              <w:left w:val="nil" w:sz="6" w:space="0" w:color="auto"/>
              <w:right w:val="nil" w:sz="6" w:space="0" w:color="auto"/>
            </w:tcBorders>
            <w:shd w:val="clear" w:color="auto" w:fill="DEEAF6"/>
          </w:tcPr>
          <w:p>
            <w:pPr/>
          </w:p>
        </w:tc>
        <w:tc>
          <w:tcPr>
            <w:tcW w:w="1631" w:type="dxa"/>
            <w:vMerge/>
            <w:tcBorders>
              <w:left w:val="nil" w:sz="6" w:space="0" w:color="auto"/>
              <w:bottom w:val="nil" w:sz="6" w:space="0" w:color="auto"/>
              <w:right w:val="nil" w:sz="6" w:space="0" w:color="auto"/>
            </w:tcBorders>
            <w:shd w:val="clear" w:color="auto" w:fill="DEEAF6"/>
          </w:tcPr>
          <w:p>
            <w:pPr/>
          </w:p>
        </w:tc>
        <w:tc>
          <w:tcPr>
            <w:tcW w:w="1103" w:type="dxa"/>
            <w:vMerge/>
            <w:tcBorders>
              <w:left w:val="nil" w:sz="6" w:space="0" w:color="auto"/>
              <w:right w:val="nil" w:sz="6" w:space="0" w:color="auto"/>
            </w:tcBorders>
            <w:shd w:val="clear" w:color="auto" w:fill="DEEAF6"/>
          </w:tcPr>
          <w:p>
            <w:pPr/>
          </w:p>
        </w:tc>
        <w:tc>
          <w:tcPr>
            <w:tcW w:w="1732" w:type="dxa"/>
            <w:vMerge/>
            <w:tcBorders>
              <w:left w:val="nil" w:sz="6" w:space="0" w:color="auto"/>
              <w:bottom w:val="nil" w:sz="6" w:space="0" w:color="auto"/>
              <w:right w:val="nil" w:sz="6" w:space="0" w:color="auto"/>
            </w:tcBorders>
            <w:shd w:val="clear" w:color="auto" w:fill="DEEAF6"/>
          </w:tcPr>
          <w:p>
            <w:pPr/>
          </w:p>
        </w:tc>
        <w:tc>
          <w:tcPr>
            <w:tcW w:w="1134" w:type="dxa"/>
            <w:vMerge/>
            <w:tcBorders>
              <w:left w:val="nil" w:sz="6" w:space="0" w:color="auto"/>
              <w:right w:val="nil" w:sz="6" w:space="0" w:color="auto"/>
            </w:tcBorders>
            <w:shd w:val="clear" w:color="auto" w:fill="DEEAF6"/>
          </w:tcPr>
          <w:p>
            <w:pPr/>
          </w:p>
        </w:tc>
        <w:tc>
          <w:tcPr>
            <w:tcW w:w="1221" w:type="dxa"/>
            <w:vMerge w:val="restart"/>
            <w:tcBorders>
              <w:top w:val="nil" w:sz="6" w:space="0" w:color="auto"/>
              <w:left w:val="nil" w:sz="6" w:space="0" w:color="auto"/>
              <w:right w:val="nil" w:sz="6" w:space="0" w:color="auto"/>
            </w:tcBorders>
            <w:shd w:val="clear" w:color="auto" w:fill="DEEAF6"/>
          </w:tcPr>
          <w:p>
            <w:pPr/>
          </w:p>
        </w:tc>
      </w:tr>
      <w:tr>
        <w:trPr>
          <w:trHeight w:val="161" w:hRule="exact"/>
        </w:trPr>
        <w:tc>
          <w:tcPr>
            <w:tcW w:w="2723" w:type="dxa"/>
            <w:gridSpan w:val="2"/>
            <w:vMerge/>
            <w:tcBorders>
              <w:left w:val="nil" w:sz="6" w:space="0" w:color="auto"/>
              <w:bottom w:val="single" w:sz="4" w:space="0" w:color="5B9BD4"/>
              <w:right w:val="nil" w:sz="6" w:space="0" w:color="auto"/>
            </w:tcBorders>
            <w:shd w:val="clear" w:color="auto" w:fill="DEEAF6"/>
          </w:tcPr>
          <w:p>
            <w:pPr/>
          </w:p>
        </w:tc>
        <w:tc>
          <w:tcPr>
            <w:tcW w:w="1631" w:type="dxa"/>
            <w:tcBorders>
              <w:top w:val="nil" w:sz="6" w:space="0" w:color="auto"/>
              <w:left w:val="nil" w:sz="6" w:space="0" w:color="auto"/>
              <w:bottom w:val="single" w:sz="4" w:space="0" w:color="5B9BD4"/>
              <w:right w:val="nil" w:sz="6" w:space="0" w:color="auto"/>
            </w:tcBorders>
            <w:shd w:val="clear" w:color="auto" w:fill="DEEAF6"/>
          </w:tcPr>
          <w:p>
            <w:pPr/>
          </w:p>
        </w:tc>
        <w:tc>
          <w:tcPr>
            <w:tcW w:w="1103" w:type="dxa"/>
            <w:vMerge/>
            <w:tcBorders>
              <w:left w:val="nil" w:sz="6" w:space="0" w:color="auto"/>
              <w:bottom w:val="single" w:sz="4" w:space="0" w:color="5B9BD4"/>
              <w:right w:val="nil" w:sz="6" w:space="0" w:color="auto"/>
            </w:tcBorders>
            <w:shd w:val="clear" w:color="auto" w:fill="DEEAF6"/>
          </w:tcPr>
          <w:p>
            <w:pPr/>
          </w:p>
        </w:tc>
        <w:tc>
          <w:tcPr>
            <w:tcW w:w="1732" w:type="dxa"/>
            <w:tcBorders>
              <w:top w:val="nil" w:sz="6" w:space="0" w:color="auto"/>
              <w:left w:val="nil" w:sz="6" w:space="0" w:color="auto"/>
              <w:bottom w:val="single" w:sz="4" w:space="0" w:color="5B9BD4"/>
              <w:right w:val="nil" w:sz="6" w:space="0" w:color="auto"/>
            </w:tcBorders>
            <w:shd w:val="clear" w:color="auto" w:fill="DEEAF6"/>
          </w:tcPr>
          <w:p>
            <w:pPr/>
          </w:p>
        </w:tc>
        <w:tc>
          <w:tcPr>
            <w:tcW w:w="1134" w:type="dxa"/>
            <w:vMerge/>
            <w:tcBorders>
              <w:left w:val="nil" w:sz="6" w:space="0" w:color="auto"/>
              <w:bottom w:val="single" w:sz="4" w:space="0" w:color="5B9BD4"/>
              <w:right w:val="nil" w:sz="6" w:space="0" w:color="auto"/>
            </w:tcBorders>
            <w:shd w:val="clear" w:color="auto" w:fill="DEEAF6"/>
          </w:tcPr>
          <w:p>
            <w:pPr/>
          </w:p>
        </w:tc>
        <w:tc>
          <w:tcPr>
            <w:tcW w:w="1221" w:type="dxa"/>
            <w:vMerge/>
            <w:tcBorders>
              <w:left w:val="nil" w:sz="6" w:space="0" w:color="auto"/>
              <w:bottom w:val="single" w:sz="4" w:space="0" w:color="5B9BD4"/>
              <w:right w:val="nil" w:sz="6" w:space="0" w:color="auto"/>
            </w:tcBorders>
            <w:shd w:val="clear" w:color="auto" w:fill="DEEAF6"/>
          </w:tcPr>
          <w:p>
            <w:pPr/>
          </w:p>
        </w:tc>
      </w:tr>
      <w:tr>
        <w:trPr>
          <w:trHeight w:val="161" w:hRule="exact"/>
        </w:trPr>
        <w:tc>
          <w:tcPr>
            <w:tcW w:w="1348" w:type="dxa"/>
            <w:vMerge w:val="restart"/>
            <w:tcBorders>
              <w:top w:val="single" w:sz="4" w:space="0" w:color="5B9BD4"/>
              <w:left w:val="nil" w:sz="6" w:space="0" w:color="auto"/>
              <w:right w:val="nil" w:sz="6" w:space="0" w:color="auto"/>
            </w:tcBorders>
            <w:shd w:val="clear" w:color="auto" w:fill="DEEAF6"/>
          </w:tcPr>
          <w:p>
            <w:pPr>
              <w:pStyle w:val="TableParagraph"/>
              <w:spacing w:line="319" w:lineRule="auto" w:before="46"/>
              <w:ind w:left="13" w:right="72"/>
              <w:jc w:val="left"/>
              <w:rPr>
                <w:rFonts w:ascii="宋体" w:hAnsi="宋体" w:cs="宋体" w:eastAsia="宋体" w:hint="default"/>
                <w:sz w:val="18"/>
                <w:szCs w:val="18"/>
              </w:rPr>
            </w:pPr>
            <w:r>
              <w:rPr>
                <w:rFonts w:ascii="宋体" w:hAnsi="宋体" w:cs="宋体" w:eastAsia="宋体" w:hint="default"/>
                <w:sz w:val="18"/>
                <w:szCs w:val="18"/>
              </w:rPr>
              <w:t>移动通信产品销 售</w:t>
            </w:r>
          </w:p>
        </w:tc>
        <w:tc>
          <w:tcPr>
            <w:tcW w:w="1374" w:type="dxa"/>
            <w:vMerge w:val="restart"/>
            <w:tcBorders>
              <w:top w:val="single" w:sz="4" w:space="0" w:color="5B9BD4"/>
              <w:left w:val="single" w:sz="12" w:space="0" w:color="DEEAF6"/>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631" w:type="dxa"/>
            <w:tcBorders>
              <w:top w:val="single" w:sz="4" w:space="0" w:color="5B9BD4"/>
              <w:left w:val="nil" w:sz="6" w:space="0" w:color="auto"/>
              <w:bottom w:val="nil" w:sz="6" w:space="0" w:color="auto"/>
              <w:right w:val="nil" w:sz="6" w:space="0" w:color="auto"/>
            </w:tcBorders>
            <w:shd w:val="clear" w:color="auto" w:fill="DEEAF6"/>
          </w:tcPr>
          <w:p>
            <w:pPr/>
          </w:p>
        </w:tc>
        <w:tc>
          <w:tcPr>
            <w:tcW w:w="1103" w:type="dxa"/>
            <w:vMerge w:val="restart"/>
            <w:tcBorders>
              <w:top w:val="single" w:sz="4" w:space="0" w:color="5B9BD4"/>
              <w:left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87" w:right="0"/>
              <w:jc w:val="left"/>
              <w:rPr>
                <w:rFonts w:ascii="Arial" w:hAnsi="Arial" w:cs="Arial" w:eastAsia="Arial" w:hint="default"/>
                <w:sz w:val="18"/>
                <w:szCs w:val="18"/>
              </w:rPr>
            </w:pPr>
            <w:r>
              <w:rPr>
                <w:rFonts w:ascii="Arial"/>
                <w:w w:val="95"/>
                <w:sz w:val="18"/>
              </w:rPr>
              <w:t>95.68%</w:t>
            </w:r>
            <w:r>
              <w:rPr>
                <w:rFonts w:ascii="Arial"/>
                <w:sz w:val="18"/>
              </w:rPr>
            </w:r>
          </w:p>
        </w:tc>
        <w:tc>
          <w:tcPr>
            <w:tcW w:w="1732" w:type="dxa"/>
            <w:tcBorders>
              <w:top w:val="single" w:sz="4" w:space="0" w:color="5B9BD4"/>
              <w:left w:val="nil" w:sz="6" w:space="0" w:color="auto"/>
              <w:bottom w:val="nil" w:sz="6" w:space="0" w:color="auto"/>
              <w:right w:val="nil" w:sz="6" w:space="0" w:color="auto"/>
            </w:tcBorders>
            <w:shd w:val="clear" w:color="auto" w:fill="DEEAF6"/>
          </w:tcPr>
          <w:p>
            <w:pPr/>
          </w:p>
        </w:tc>
        <w:tc>
          <w:tcPr>
            <w:tcW w:w="1134" w:type="dxa"/>
            <w:vMerge w:val="restart"/>
            <w:tcBorders>
              <w:top w:val="single" w:sz="4" w:space="0" w:color="5B9BD4"/>
              <w:left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17" w:right="0"/>
              <w:jc w:val="left"/>
              <w:rPr>
                <w:rFonts w:ascii="Arial" w:hAnsi="Arial" w:cs="Arial" w:eastAsia="Arial" w:hint="default"/>
                <w:sz w:val="18"/>
                <w:szCs w:val="18"/>
              </w:rPr>
            </w:pPr>
            <w:r>
              <w:rPr>
                <w:rFonts w:ascii="Arial"/>
                <w:w w:val="95"/>
                <w:sz w:val="18"/>
              </w:rPr>
              <w:t>96.83%</w:t>
            </w:r>
            <w:r>
              <w:rPr>
                <w:rFonts w:ascii="Arial"/>
                <w:sz w:val="18"/>
              </w:rPr>
            </w:r>
          </w:p>
        </w:tc>
        <w:tc>
          <w:tcPr>
            <w:tcW w:w="1221" w:type="dxa"/>
            <w:tcBorders>
              <w:top w:val="single" w:sz="4" w:space="0" w:color="5B9BD4"/>
              <w:left w:val="nil" w:sz="6" w:space="0" w:color="auto"/>
              <w:bottom w:val="nil" w:sz="6" w:space="0" w:color="auto"/>
              <w:right w:val="nil" w:sz="6" w:space="0" w:color="auto"/>
            </w:tcBorders>
            <w:shd w:val="clear" w:color="auto" w:fill="DEEAF6"/>
          </w:tcPr>
          <w:p>
            <w:pPr/>
          </w:p>
        </w:tc>
      </w:tr>
      <w:tr>
        <w:trPr>
          <w:trHeight w:val="392" w:hRule="exact"/>
        </w:trPr>
        <w:tc>
          <w:tcPr>
            <w:tcW w:w="1348" w:type="dxa"/>
            <w:vMerge/>
            <w:tcBorders>
              <w:left w:val="nil" w:sz="6" w:space="0" w:color="auto"/>
              <w:right w:val="nil" w:sz="6" w:space="0" w:color="auto"/>
            </w:tcBorders>
            <w:shd w:val="clear" w:color="auto" w:fill="DEEAF6"/>
          </w:tcPr>
          <w:p>
            <w:pPr/>
          </w:p>
        </w:tc>
        <w:tc>
          <w:tcPr>
            <w:tcW w:w="1374" w:type="dxa"/>
            <w:vMerge/>
            <w:tcBorders>
              <w:left w:val="single" w:sz="12" w:space="0" w:color="DEEAF6"/>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26"/>
              <w:jc w:val="right"/>
              <w:rPr>
                <w:rFonts w:ascii="Arial" w:hAnsi="Arial" w:cs="Arial" w:eastAsia="Arial" w:hint="default"/>
                <w:sz w:val="18"/>
                <w:szCs w:val="18"/>
              </w:rPr>
            </w:pPr>
            <w:r>
              <w:rPr>
                <w:rFonts w:ascii="Arial"/>
                <w:w w:val="95"/>
                <w:sz w:val="18"/>
              </w:rPr>
              <w:t>46,192,847,448.70</w:t>
            </w:r>
            <w:r>
              <w:rPr>
                <w:rFonts w:ascii="Arial"/>
                <w:sz w:val="18"/>
              </w:rPr>
            </w:r>
          </w:p>
        </w:tc>
        <w:tc>
          <w:tcPr>
            <w:tcW w:w="1103" w:type="dxa"/>
            <w:vMerge/>
            <w:tcBorders>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w w:val="95"/>
                <w:sz w:val="18"/>
              </w:rPr>
              <w:t>45,176,143,395.36</w:t>
            </w:r>
            <w:r>
              <w:rPr>
                <w:rFonts w:ascii="Arial"/>
                <w:sz w:val="18"/>
              </w:rPr>
            </w:r>
          </w:p>
        </w:tc>
        <w:tc>
          <w:tcPr>
            <w:tcW w:w="1134" w:type="dxa"/>
            <w:vMerge/>
            <w:tcBorders>
              <w:left w:val="nil" w:sz="6" w:space="0" w:color="auto"/>
              <w:right w:val="nil" w:sz="6" w:space="0" w:color="auto"/>
            </w:tcBorders>
          </w:tcPr>
          <w:p>
            <w:pPr/>
          </w:p>
        </w:tc>
        <w:tc>
          <w:tcPr>
            <w:tcW w:w="1221"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12"/>
              <w:jc w:val="right"/>
              <w:rPr>
                <w:rFonts w:ascii="Arial" w:hAnsi="Arial" w:cs="Arial" w:eastAsia="Arial" w:hint="default"/>
                <w:sz w:val="18"/>
                <w:szCs w:val="18"/>
              </w:rPr>
            </w:pPr>
            <w:r>
              <w:rPr>
                <w:rFonts w:ascii="Arial"/>
                <w:w w:val="95"/>
                <w:sz w:val="18"/>
              </w:rPr>
              <w:t>2.25%</w:t>
            </w:r>
            <w:r>
              <w:rPr>
                <w:rFonts w:ascii="Arial"/>
                <w:sz w:val="18"/>
              </w:rPr>
            </w:r>
          </w:p>
        </w:tc>
      </w:tr>
      <w:tr>
        <w:trPr>
          <w:trHeight w:val="161" w:hRule="exact"/>
        </w:trPr>
        <w:tc>
          <w:tcPr>
            <w:tcW w:w="1348" w:type="dxa"/>
            <w:vMerge/>
            <w:tcBorders>
              <w:left w:val="nil" w:sz="6" w:space="0" w:color="auto"/>
              <w:bottom w:val="single" w:sz="4" w:space="0" w:color="5B9BD4"/>
              <w:right w:val="nil" w:sz="6" w:space="0" w:color="auto"/>
            </w:tcBorders>
            <w:shd w:val="clear" w:color="auto" w:fill="DEEAF6"/>
          </w:tcPr>
          <w:p>
            <w:pPr/>
          </w:p>
        </w:tc>
        <w:tc>
          <w:tcPr>
            <w:tcW w:w="1374" w:type="dxa"/>
            <w:vMerge/>
            <w:tcBorders>
              <w:left w:val="single" w:sz="12" w:space="0" w:color="DEEAF6"/>
              <w:bottom w:val="single" w:sz="4" w:space="0" w:color="5B9BD4"/>
              <w:right w:val="nil" w:sz="6" w:space="0" w:color="auto"/>
            </w:tcBorders>
          </w:tcPr>
          <w:p>
            <w:pPr/>
          </w:p>
        </w:tc>
        <w:tc>
          <w:tcPr>
            <w:tcW w:w="4467" w:type="dxa"/>
            <w:gridSpan w:val="3"/>
            <w:tcBorders>
              <w:top w:val="nil" w:sz="6" w:space="0" w:color="auto"/>
              <w:left w:val="nil" w:sz="6" w:space="0" w:color="auto"/>
              <w:bottom w:val="single" w:sz="4" w:space="0" w:color="5B9BD4"/>
              <w:right w:val="nil" w:sz="6" w:space="0" w:color="auto"/>
            </w:tcBorders>
          </w:tcPr>
          <w:p>
            <w:pPr/>
          </w:p>
        </w:tc>
        <w:tc>
          <w:tcPr>
            <w:tcW w:w="1134" w:type="dxa"/>
            <w:vMerge/>
            <w:tcBorders>
              <w:left w:val="nil" w:sz="6" w:space="0" w:color="auto"/>
              <w:bottom w:val="single" w:sz="4" w:space="0" w:color="5B9BD4"/>
              <w:right w:val="nil" w:sz="6" w:space="0" w:color="auto"/>
            </w:tcBorders>
          </w:tcPr>
          <w:p>
            <w:pPr/>
          </w:p>
        </w:tc>
        <w:tc>
          <w:tcPr>
            <w:tcW w:w="1221" w:type="dxa"/>
            <w:tcBorders>
              <w:top w:val="nil" w:sz="6" w:space="0" w:color="auto"/>
              <w:left w:val="nil" w:sz="6" w:space="0" w:color="auto"/>
              <w:bottom w:val="single" w:sz="4" w:space="0" w:color="5B9BD4"/>
              <w:right w:val="nil" w:sz="6" w:space="0" w:color="auto"/>
            </w:tcBorders>
            <w:shd w:val="clear" w:color="auto" w:fill="DEEAF6"/>
          </w:tcPr>
          <w:p>
            <w:pPr/>
          </w:p>
        </w:tc>
      </w:tr>
      <w:tr>
        <w:trPr>
          <w:trHeight w:val="402" w:hRule="exact"/>
        </w:trPr>
        <w:tc>
          <w:tcPr>
            <w:tcW w:w="134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数码产品销售</w:t>
            </w:r>
          </w:p>
        </w:tc>
        <w:tc>
          <w:tcPr>
            <w:tcW w:w="1374"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46"/>
              <w:ind w:left="20"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63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6"/>
              <w:jc w:val="right"/>
              <w:rPr>
                <w:rFonts w:ascii="Arial" w:hAnsi="Arial" w:cs="Arial" w:eastAsia="Arial" w:hint="default"/>
                <w:sz w:val="18"/>
                <w:szCs w:val="18"/>
              </w:rPr>
            </w:pPr>
            <w:r>
              <w:rPr>
                <w:rFonts w:ascii="Arial"/>
                <w:spacing w:val="-1"/>
                <w:sz w:val="18"/>
              </w:rPr>
              <w:t>1,863,412,336.49</w:t>
            </w:r>
          </w:p>
        </w:tc>
        <w:tc>
          <w:tcPr>
            <w:tcW w:w="1103"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11"/>
              <w:jc w:val="right"/>
              <w:rPr>
                <w:rFonts w:ascii="Arial" w:hAnsi="Arial" w:cs="Arial" w:eastAsia="Arial" w:hint="default"/>
                <w:sz w:val="18"/>
                <w:szCs w:val="18"/>
              </w:rPr>
            </w:pPr>
            <w:r>
              <w:rPr>
                <w:rFonts w:ascii="Arial"/>
                <w:w w:val="95"/>
                <w:sz w:val="18"/>
              </w:rPr>
              <w:t>3.86%</w:t>
            </w:r>
            <w:r>
              <w:rPr>
                <w:rFonts w:ascii="Arial"/>
                <w:sz w:val="18"/>
              </w:rPr>
            </w:r>
          </w:p>
        </w:tc>
        <w:tc>
          <w:tcPr>
            <w:tcW w:w="173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spacing w:val="-1"/>
                <w:sz w:val="18"/>
              </w:rPr>
              <w:t>1,395,083,880.56</w:t>
            </w:r>
          </w:p>
        </w:tc>
        <w:tc>
          <w:tcPr>
            <w:tcW w:w="1134"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88"/>
              <w:ind w:right="12"/>
              <w:jc w:val="right"/>
              <w:rPr>
                <w:rFonts w:ascii="Arial" w:hAnsi="Arial" w:cs="Arial" w:eastAsia="Arial" w:hint="default"/>
                <w:sz w:val="18"/>
                <w:szCs w:val="18"/>
              </w:rPr>
            </w:pPr>
            <w:r>
              <w:rPr>
                <w:rFonts w:ascii="Arial"/>
                <w:w w:val="95"/>
                <w:sz w:val="18"/>
              </w:rPr>
              <w:t>2.99%</w:t>
            </w:r>
            <w:r>
              <w:rPr>
                <w:rFonts w:ascii="Arial"/>
                <w:sz w:val="18"/>
              </w:rPr>
            </w:r>
          </w:p>
        </w:tc>
        <w:tc>
          <w:tcPr>
            <w:tcW w:w="122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2"/>
              <w:jc w:val="right"/>
              <w:rPr>
                <w:rFonts w:ascii="Arial" w:hAnsi="Arial" w:cs="Arial" w:eastAsia="Arial" w:hint="default"/>
                <w:sz w:val="18"/>
                <w:szCs w:val="18"/>
              </w:rPr>
            </w:pPr>
            <w:r>
              <w:rPr>
                <w:rFonts w:ascii="Arial"/>
                <w:w w:val="95"/>
                <w:sz w:val="18"/>
              </w:rPr>
              <w:t>33.57%</w:t>
            </w:r>
            <w:r>
              <w:rPr>
                <w:rFonts w:ascii="Arial"/>
                <w:sz w:val="18"/>
              </w:rPr>
            </w:r>
          </w:p>
        </w:tc>
      </w:tr>
      <w:tr>
        <w:trPr>
          <w:trHeight w:val="402" w:hRule="exact"/>
        </w:trPr>
        <w:tc>
          <w:tcPr>
            <w:tcW w:w="134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374"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46"/>
              <w:ind w:left="20"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63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w w:val="95"/>
                <w:sz w:val="18"/>
              </w:rPr>
              <w:t>213,197,300.59</w:t>
            </w:r>
            <w:r>
              <w:rPr>
                <w:rFonts w:ascii="Arial"/>
                <w:sz w:val="18"/>
              </w:rPr>
            </w:r>
          </w:p>
        </w:tc>
        <w:tc>
          <w:tcPr>
            <w:tcW w:w="1103"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11"/>
              <w:jc w:val="right"/>
              <w:rPr>
                <w:rFonts w:ascii="Arial" w:hAnsi="Arial" w:cs="Arial" w:eastAsia="Arial" w:hint="default"/>
                <w:sz w:val="18"/>
                <w:szCs w:val="18"/>
              </w:rPr>
            </w:pPr>
            <w:r>
              <w:rPr>
                <w:rFonts w:ascii="Arial"/>
                <w:w w:val="95"/>
                <w:sz w:val="18"/>
              </w:rPr>
              <w:t>0.44%</w:t>
            </w:r>
            <w:r>
              <w:rPr>
                <w:rFonts w:ascii="Arial"/>
                <w:sz w:val="18"/>
              </w:rPr>
            </w:r>
          </w:p>
        </w:tc>
        <w:tc>
          <w:tcPr>
            <w:tcW w:w="173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w w:val="95"/>
                <w:sz w:val="18"/>
              </w:rPr>
              <w:t>80,400,538.90</w:t>
            </w:r>
            <w:r>
              <w:rPr>
                <w:rFonts w:ascii="Arial"/>
                <w:sz w:val="18"/>
              </w:rPr>
            </w:r>
          </w:p>
        </w:tc>
        <w:tc>
          <w:tcPr>
            <w:tcW w:w="1134"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88"/>
              <w:ind w:right="12"/>
              <w:jc w:val="right"/>
              <w:rPr>
                <w:rFonts w:ascii="Arial" w:hAnsi="Arial" w:cs="Arial" w:eastAsia="Arial" w:hint="default"/>
                <w:sz w:val="18"/>
                <w:szCs w:val="18"/>
              </w:rPr>
            </w:pPr>
            <w:r>
              <w:rPr>
                <w:rFonts w:ascii="Arial"/>
                <w:w w:val="95"/>
                <w:sz w:val="18"/>
              </w:rPr>
              <w:t>0.17%</w:t>
            </w:r>
            <w:r>
              <w:rPr>
                <w:rFonts w:ascii="Arial"/>
                <w:sz w:val="18"/>
              </w:rPr>
            </w:r>
          </w:p>
        </w:tc>
        <w:tc>
          <w:tcPr>
            <w:tcW w:w="122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2"/>
              <w:jc w:val="right"/>
              <w:rPr>
                <w:rFonts w:ascii="Arial" w:hAnsi="Arial" w:cs="Arial" w:eastAsia="Arial" w:hint="default"/>
                <w:sz w:val="18"/>
                <w:szCs w:val="18"/>
              </w:rPr>
            </w:pPr>
            <w:r>
              <w:rPr>
                <w:rFonts w:ascii="Arial"/>
                <w:w w:val="95"/>
                <w:sz w:val="18"/>
              </w:rPr>
              <w:t>165.17%</w:t>
            </w:r>
            <w:r>
              <w:rPr>
                <w:rFonts w:ascii="Arial"/>
                <w:sz w:val="18"/>
              </w:rPr>
            </w:r>
          </w:p>
        </w:tc>
      </w:tr>
      <w:tr>
        <w:trPr>
          <w:trHeight w:val="402" w:hRule="exact"/>
        </w:trPr>
        <w:tc>
          <w:tcPr>
            <w:tcW w:w="134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其他业务支出</w:t>
            </w:r>
          </w:p>
        </w:tc>
        <w:tc>
          <w:tcPr>
            <w:tcW w:w="1374"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46"/>
              <w:ind w:left="20"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63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w w:val="95"/>
                <w:sz w:val="18"/>
              </w:rPr>
              <w:t>11,755,785.58</w:t>
            </w:r>
            <w:r>
              <w:rPr>
                <w:rFonts w:ascii="Arial"/>
                <w:sz w:val="18"/>
              </w:rPr>
            </w:r>
          </w:p>
        </w:tc>
        <w:tc>
          <w:tcPr>
            <w:tcW w:w="1103"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11"/>
              <w:jc w:val="right"/>
              <w:rPr>
                <w:rFonts w:ascii="Arial" w:hAnsi="Arial" w:cs="Arial" w:eastAsia="Arial" w:hint="default"/>
                <w:sz w:val="18"/>
                <w:szCs w:val="18"/>
              </w:rPr>
            </w:pPr>
            <w:r>
              <w:rPr>
                <w:rFonts w:ascii="Arial"/>
                <w:w w:val="95"/>
                <w:sz w:val="18"/>
              </w:rPr>
              <w:t>0.02%</w:t>
            </w:r>
            <w:r>
              <w:rPr>
                <w:rFonts w:ascii="Arial"/>
                <w:sz w:val="18"/>
              </w:rPr>
            </w:r>
          </w:p>
        </w:tc>
        <w:tc>
          <w:tcPr>
            <w:tcW w:w="173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4"/>
              <w:jc w:val="right"/>
              <w:rPr>
                <w:rFonts w:ascii="Arial" w:hAnsi="Arial" w:cs="Arial" w:eastAsia="Arial" w:hint="default"/>
                <w:sz w:val="18"/>
                <w:szCs w:val="18"/>
              </w:rPr>
            </w:pPr>
            <w:r>
              <w:rPr>
                <w:rFonts w:ascii="Arial"/>
                <w:w w:val="95"/>
                <w:sz w:val="18"/>
              </w:rPr>
              <w:t>3,033,465.27</w:t>
            </w:r>
            <w:r>
              <w:rPr>
                <w:rFonts w:ascii="Arial"/>
                <w:sz w:val="18"/>
              </w:rPr>
            </w:r>
          </w:p>
        </w:tc>
        <w:tc>
          <w:tcPr>
            <w:tcW w:w="1134"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88"/>
              <w:ind w:right="12"/>
              <w:jc w:val="right"/>
              <w:rPr>
                <w:rFonts w:ascii="Arial" w:hAnsi="Arial" w:cs="Arial" w:eastAsia="Arial" w:hint="default"/>
                <w:sz w:val="18"/>
                <w:szCs w:val="18"/>
              </w:rPr>
            </w:pPr>
            <w:r>
              <w:rPr>
                <w:rFonts w:ascii="Arial"/>
                <w:w w:val="95"/>
                <w:sz w:val="18"/>
              </w:rPr>
              <w:t>0.01%</w:t>
            </w:r>
            <w:r>
              <w:rPr>
                <w:rFonts w:ascii="Arial"/>
                <w:sz w:val="18"/>
              </w:rPr>
            </w:r>
          </w:p>
        </w:tc>
        <w:tc>
          <w:tcPr>
            <w:tcW w:w="122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2"/>
              <w:jc w:val="right"/>
              <w:rPr>
                <w:rFonts w:ascii="Arial" w:hAnsi="Arial" w:cs="Arial" w:eastAsia="Arial" w:hint="default"/>
                <w:sz w:val="18"/>
                <w:szCs w:val="18"/>
              </w:rPr>
            </w:pPr>
            <w:r>
              <w:rPr>
                <w:rFonts w:ascii="Arial"/>
                <w:w w:val="95"/>
                <w:sz w:val="18"/>
              </w:rPr>
              <w:t>287.54%</w:t>
            </w:r>
            <w:r>
              <w:rPr>
                <w:rFonts w:ascii="Arial"/>
                <w:sz w:val="18"/>
              </w:rPr>
            </w:r>
          </w:p>
        </w:tc>
      </w:tr>
    </w:tbl>
    <w:p>
      <w:pPr>
        <w:spacing w:line="240" w:lineRule="auto" w:before="2"/>
        <w:rPr>
          <w:rFonts w:ascii="宋体" w:hAnsi="宋体" w:cs="宋体" w:eastAsia="宋体" w:hint="default"/>
          <w:sz w:val="20"/>
          <w:szCs w:val="20"/>
        </w:rPr>
      </w:pPr>
    </w:p>
    <w:p>
      <w:pPr>
        <w:pStyle w:val="Heading5"/>
        <w:spacing w:line="317" w:lineRule="exact" w:before="0"/>
        <w:ind w:left="154" w:right="0"/>
        <w:jc w:val="left"/>
        <w:rPr>
          <w:rFonts w:ascii="Microsoft JhengHei" w:hAnsi="Microsoft JhengHei" w:cs="Microsoft JhengHei" w:eastAsia="Microsoft JhengHei" w:hint="default"/>
          <w:b w:val="0"/>
          <w:bCs w:val="0"/>
        </w:rPr>
      </w:pPr>
      <w:bookmarkStart w:name="（6）报告期内合并范围是否发生变动" w:id="62"/>
      <w:bookmarkEnd w:id="62"/>
      <w:r>
        <w:rPr>
          <w:b w:val="0"/>
          <w:bCs w:val="0"/>
        </w:rPr>
      </w:r>
      <w:r>
        <w:rPr>
          <w:rFonts w:ascii="Microsoft JhengHei" w:hAnsi="Microsoft JhengHei" w:cs="Microsoft JhengHei" w:eastAsia="Microsoft JhengHei" w:hint="default"/>
        </w:rPr>
        <w:t>（</w:t>
      </w:r>
      <w:r>
        <w:rPr>
          <w:rFonts w:ascii="Trebuchet MS" w:hAnsi="Trebuchet MS" w:cs="Trebuchet MS" w:eastAsia="Trebuchet MS" w:hint="default"/>
        </w:rPr>
        <w:t>6</w:t>
      </w:r>
      <w:r>
        <w:rPr>
          <w:rFonts w:ascii="Microsoft JhengHei" w:hAnsi="Microsoft JhengHei" w:cs="Microsoft JhengHei" w:eastAsia="Microsoft JhengHei" w:hint="default"/>
        </w:rPr>
        <w:t>）报告期内合并范围是否发生变动</w:t>
      </w:r>
      <w:r>
        <w:rPr>
          <w:rFonts w:ascii="Microsoft JhengHei" w:hAnsi="Microsoft JhengHei" w:cs="Microsoft JhengHei" w:eastAsia="Microsoft JhengHei" w:hint="default"/>
          <w:b w:val="0"/>
          <w:bCs w:val="0"/>
        </w:rPr>
      </w:r>
    </w:p>
    <w:p>
      <w:pPr>
        <w:spacing w:line="240" w:lineRule="auto" w:before="9"/>
        <w:rPr>
          <w:rFonts w:ascii="Microsoft JhengHei" w:hAnsi="Microsoft JhengHei" w:cs="Microsoft JhengHei" w:eastAsia="Microsoft JhengHei" w:hint="default"/>
          <w:b/>
          <w:bCs/>
          <w:sz w:val="19"/>
          <w:szCs w:val="19"/>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pStyle w:val="BodyText"/>
        <w:spacing w:line="259" w:lineRule="auto" w:before="90"/>
        <w:ind w:left="154" w:right="1115" w:firstLine="420"/>
        <w:jc w:val="left"/>
      </w:pPr>
      <w:r>
        <w:rPr>
          <w:spacing w:val="-2"/>
        </w:rPr>
        <w:t>本公司</w:t>
      </w:r>
      <w:r>
        <w:rPr>
          <w:rFonts w:ascii="Arial" w:hAnsi="Arial" w:cs="Arial" w:eastAsia="Arial" w:hint="default"/>
          <w:spacing w:val="-2"/>
        </w:rPr>
        <w:t>2015</w:t>
      </w:r>
      <w:r>
        <w:rPr>
          <w:spacing w:val="-2"/>
        </w:rPr>
        <w:t>年度纳入合并范围的子公司共</w:t>
      </w:r>
      <w:r>
        <w:rPr>
          <w:rFonts w:ascii="Arial" w:hAnsi="Arial" w:cs="Arial" w:eastAsia="Arial" w:hint="default"/>
          <w:spacing w:val="-2"/>
        </w:rPr>
        <w:t>85</w:t>
      </w:r>
      <w:r>
        <w:rPr>
          <w:spacing w:val="-2"/>
        </w:rPr>
        <w:t>户，详见财务报告附注九“在其他主体中的权益”。本公</w:t>
      </w:r>
      <w:r>
        <w:rPr/>
        <w:t> 司本年度合并范围比上年度增加</w:t>
      </w:r>
      <w:r>
        <w:rPr>
          <w:rFonts w:ascii="Arial" w:hAnsi="Arial" w:cs="Arial" w:eastAsia="Arial" w:hint="default"/>
        </w:rPr>
        <w:t>7</w:t>
      </w:r>
      <w:r>
        <w:rPr/>
        <w:t>户，减少</w:t>
      </w:r>
      <w:r>
        <w:rPr>
          <w:rFonts w:ascii="Arial" w:hAnsi="Arial" w:cs="Arial" w:eastAsia="Arial" w:hint="default"/>
        </w:rPr>
        <w:t>4</w:t>
      </w:r>
      <w:r>
        <w:rPr/>
        <w:t>户，详见财务报告附注八“合并范围的变更”。</w:t>
      </w:r>
    </w:p>
    <w:p>
      <w:pPr>
        <w:spacing w:line="240" w:lineRule="auto" w:before="13"/>
        <w:rPr>
          <w:rFonts w:ascii="宋体" w:hAnsi="宋体" w:cs="宋体" w:eastAsia="宋体" w:hint="default"/>
          <w:sz w:val="17"/>
          <w:szCs w:val="17"/>
        </w:rPr>
      </w:pPr>
    </w:p>
    <w:p>
      <w:pPr>
        <w:pStyle w:val="Heading5"/>
        <w:spacing w:line="240" w:lineRule="auto" w:before="0"/>
        <w:ind w:left="153" w:right="0"/>
        <w:jc w:val="left"/>
        <w:rPr>
          <w:rFonts w:ascii="Microsoft JhengHei" w:hAnsi="Microsoft JhengHei" w:cs="Microsoft JhengHei" w:eastAsia="Microsoft JhengHei" w:hint="default"/>
          <w:b w:val="0"/>
          <w:bCs w:val="0"/>
        </w:rPr>
      </w:pPr>
      <w:bookmarkStart w:name="（7）公司报告期内业务、产品或服务发生重大变化或调整有关情况" w:id="63"/>
      <w:bookmarkEnd w:id="63"/>
      <w:r>
        <w:rPr>
          <w:b w:val="0"/>
          <w:bCs w:val="0"/>
        </w:rPr>
      </w:r>
      <w:r>
        <w:rPr>
          <w:rFonts w:ascii="Microsoft JhengHei" w:hAnsi="Microsoft JhengHei" w:cs="Microsoft JhengHei" w:eastAsia="Microsoft JhengHei" w:hint="default"/>
        </w:rPr>
        <w:t>（</w:t>
      </w:r>
      <w:r>
        <w:rPr>
          <w:rFonts w:ascii="Trebuchet MS" w:hAnsi="Trebuchet MS" w:cs="Trebuchet MS" w:eastAsia="Trebuchet MS" w:hint="default"/>
        </w:rPr>
        <w:t>7</w:t>
      </w:r>
      <w:r>
        <w:rPr>
          <w:rFonts w:ascii="Microsoft JhengHei" w:hAnsi="Microsoft JhengHei" w:cs="Microsoft JhengHei" w:eastAsia="Microsoft JhengHei" w:hint="default"/>
        </w:rPr>
        <w:t>）公司报告期内业务、产品或服务发生重大变化或调整有关情况</w:t>
      </w:r>
      <w:r>
        <w:rPr>
          <w:rFonts w:ascii="Microsoft JhengHei" w:hAnsi="Microsoft JhengHei" w:cs="Microsoft JhengHei" w:eastAsia="Microsoft JhengHei" w:hint="default"/>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1"/>
          <w:szCs w:val="21"/>
        </w:rPr>
      </w:pPr>
    </w:p>
    <w:p>
      <w:pPr>
        <w:spacing w:line="446" w:lineRule="auto" w:before="0"/>
        <w:ind w:left="154" w:right="7269" w:firstLine="0"/>
        <w:jc w:val="left"/>
        <w:rPr>
          <w:rFonts w:ascii="宋体" w:hAnsi="宋体" w:cs="宋体" w:eastAsia="宋体" w:hint="default"/>
          <w:sz w:val="21"/>
          <w:szCs w:val="21"/>
        </w:rPr>
      </w:pPr>
      <w:r>
        <w:rPr/>
        <w:pict>
          <v:shape style="position:absolute;margin-left:56.459999pt;margin-top:52.564438pt;width:479.2pt;height:20.6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8"/>
                    <w:gridCol w:w="5310"/>
                  </w:tblGrid>
                  <w:tr>
                    <w:trPr>
                      <w:trHeight w:val="403" w:hRule="exact"/>
                    </w:trPr>
                    <w:tc>
                      <w:tcPr>
                        <w:tcW w:w="425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27"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0" w:type="dxa"/>
                        <w:tcBorders>
                          <w:top w:val="single" w:sz="4" w:space="0" w:color="5B9BD4"/>
                          <w:left w:val="nil" w:sz="6" w:space="0" w:color="auto"/>
                          <w:bottom w:val="single" w:sz="4" w:space="0" w:color="5B9BD4"/>
                          <w:right w:val="nil" w:sz="6" w:space="0" w:color="auto"/>
                        </w:tcBorders>
                      </w:tcPr>
                      <w:p>
                        <w:pPr>
                          <w:pStyle w:val="TableParagraph"/>
                          <w:spacing w:line="240" w:lineRule="auto" w:before="89"/>
                          <w:ind w:right="25"/>
                          <w:jc w:val="right"/>
                          <w:rPr>
                            <w:rFonts w:ascii="Arial" w:hAnsi="Arial" w:cs="Arial" w:eastAsia="Arial" w:hint="default"/>
                            <w:sz w:val="18"/>
                            <w:szCs w:val="18"/>
                          </w:rPr>
                        </w:pPr>
                        <w:r>
                          <w:rPr>
                            <w:rFonts w:ascii="Arial"/>
                            <w:spacing w:val="-1"/>
                            <w:sz w:val="18"/>
                          </w:rPr>
                          <w:t>6,294,484,568.03</w:t>
                        </w:r>
                      </w:p>
                    </w:tc>
                  </w:tr>
                </w:tbl>
                <w:p>
                  <w:pPr/>
                </w:p>
              </w:txbxContent>
            </v:textbox>
            <w10:wrap type="none"/>
          </v:shape>
        </w:pict>
      </w:r>
      <w:bookmarkStart w:name="（8）主要销售客户和主要供应商情况" w:id="64"/>
      <w:bookmarkEnd w:id="64"/>
      <w:r>
        <w:rPr/>
      </w:r>
      <w:r>
        <w:rPr>
          <w:rFonts w:ascii="Microsoft JhengHei" w:hAnsi="Microsoft JhengHei" w:cs="Microsoft JhengHei" w:eastAsia="Microsoft JhengHei" w:hint="default"/>
          <w:b/>
          <w:bCs/>
          <w:sz w:val="21"/>
          <w:szCs w:val="21"/>
        </w:rPr>
        <w:t>（</w:t>
      </w:r>
      <w:r>
        <w:rPr>
          <w:rFonts w:ascii="Trebuchet MS" w:hAnsi="Trebuchet MS" w:cs="Trebuchet MS" w:eastAsia="Trebuchet MS" w:hint="default"/>
          <w:b/>
          <w:bCs/>
          <w:sz w:val="21"/>
          <w:szCs w:val="21"/>
        </w:rPr>
        <w:t>8</w:t>
      </w:r>
      <w:r>
        <w:rPr>
          <w:rFonts w:ascii="Microsoft JhengHei" w:hAnsi="Microsoft JhengHei" w:cs="Microsoft JhengHei" w:eastAsia="Microsoft JhengHei" w:hint="default"/>
          <w:b/>
          <w:bCs/>
          <w:sz w:val="21"/>
          <w:szCs w:val="21"/>
        </w:rPr>
        <w:t>）主要销售客户和主要供应商情况 </w:t>
      </w:r>
      <w:r>
        <w:rPr>
          <w:rFonts w:ascii="Arial" w:hAnsi="Arial" w:cs="Arial" w:eastAsia="Arial" w:hint="default"/>
          <w:sz w:val="21"/>
          <w:szCs w:val="21"/>
        </w:rPr>
        <w:t>1</w:t>
      </w:r>
      <w:r>
        <w:rPr>
          <w:rFonts w:ascii="宋体" w:hAnsi="宋体" w:cs="宋体" w:eastAsia="宋体" w:hint="default"/>
          <w:sz w:val="21"/>
          <w:szCs w:val="21"/>
        </w:rPr>
        <w:t>、公司主要销售客户情况</w:t>
      </w:r>
    </w:p>
    <w:p>
      <w:pPr>
        <w:spacing w:after="0" w:line="446" w:lineRule="auto"/>
        <w:jc w:val="left"/>
        <w:rPr>
          <w:rFonts w:ascii="宋体" w:hAnsi="宋体" w:cs="宋体" w:eastAsia="宋体" w:hint="default"/>
          <w:sz w:val="21"/>
          <w:szCs w:val="21"/>
        </w:rPr>
        <w:sectPr>
          <w:type w:val="continuous"/>
          <w:pgSz w:w="11910" w:h="16840"/>
          <w:pgMar w:top="1360" w:bottom="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8"/>
        <w:gridCol w:w="5310"/>
      </w:tblGrid>
      <w:tr>
        <w:trPr>
          <w:trHeight w:val="402" w:hRule="exact"/>
        </w:trPr>
        <w:tc>
          <w:tcPr>
            <w:tcW w:w="425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0"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12.70%</w:t>
            </w:r>
            <w:r>
              <w:rPr>
                <w:rFonts w:ascii="Arial"/>
                <w:sz w:val="18"/>
              </w:rPr>
            </w:r>
          </w:p>
        </w:tc>
      </w:tr>
    </w:tbl>
    <w:p>
      <w:pPr>
        <w:pStyle w:val="BodyText"/>
        <w:spacing w:line="240" w:lineRule="auto" w:before="21"/>
        <w:ind w:left="154" w:right="0"/>
        <w:jc w:val="left"/>
      </w:pPr>
      <w:r>
        <w:rPr>
          <w:rFonts w:ascii="Arial" w:hAnsi="Arial" w:cs="Arial" w:eastAsia="Arial" w:hint="default"/>
        </w:rPr>
        <w:t>2</w:t>
      </w:r>
      <w:r>
        <w:rPr/>
        <w:t>、公司前</w:t>
      </w:r>
      <w:r>
        <w:rPr>
          <w:spacing w:val="-53"/>
        </w:rPr>
        <w:t> </w:t>
      </w:r>
      <w:r>
        <w:rPr>
          <w:rFonts w:ascii="Arial" w:hAnsi="Arial" w:cs="Arial" w:eastAsia="Arial" w:hint="default"/>
        </w:rPr>
        <w:t>5</w:t>
      </w:r>
      <w:r>
        <w:rPr>
          <w:rFonts w:ascii="Arial" w:hAnsi="Arial" w:cs="Arial" w:eastAsia="Arial" w:hint="default"/>
          <w:spacing w:val="-8"/>
        </w:rPr>
        <w:t> </w:t>
      </w:r>
      <w:r>
        <w:rPr/>
        <w:t>大客户资料</w:t>
      </w:r>
    </w:p>
    <w:p>
      <w:pPr>
        <w:spacing w:line="240" w:lineRule="auto" w:before="3"/>
        <w:rPr>
          <w:rFonts w:ascii="宋体" w:hAnsi="宋体" w:cs="宋体" w:eastAsia="宋体" w:hint="default"/>
          <w:sz w:val="6"/>
          <w:szCs w:val="6"/>
        </w:rPr>
      </w:pPr>
    </w:p>
    <w:tbl>
      <w:tblPr>
        <w:tblW w:w="0" w:type="auto"/>
        <w:jc w:val="left"/>
        <w:tblInd w:w="162" w:type="dxa"/>
        <w:tblLayout w:type="fixed"/>
        <w:tblCellMar>
          <w:top w:w="0" w:type="dxa"/>
          <w:left w:w="0" w:type="dxa"/>
          <w:bottom w:w="0" w:type="dxa"/>
          <w:right w:w="0" w:type="dxa"/>
        </w:tblCellMar>
        <w:tblLook w:val="01E0"/>
      </w:tblPr>
      <w:tblGrid>
        <w:gridCol w:w="789"/>
        <w:gridCol w:w="3448"/>
        <w:gridCol w:w="2189"/>
        <w:gridCol w:w="3116"/>
      </w:tblGrid>
      <w:tr>
        <w:trPr>
          <w:trHeight w:val="402" w:hRule="exact"/>
        </w:trPr>
        <w:tc>
          <w:tcPr>
            <w:tcW w:w="7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0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44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4"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55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1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747"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left="13" w:right="0"/>
              <w:jc w:val="left"/>
              <w:rPr>
                <w:rFonts w:ascii="Arial" w:hAnsi="Arial" w:cs="Arial" w:eastAsia="Arial" w:hint="default"/>
                <w:sz w:val="18"/>
                <w:szCs w:val="18"/>
              </w:rPr>
            </w:pPr>
            <w:r>
              <w:rPr>
                <w:rFonts w:ascii="Arial"/>
                <w:w w:val="99"/>
                <w:sz w:val="18"/>
              </w:rPr>
              <w:t>1</w:t>
            </w:r>
            <w:r>
              <w:rPr>
                <w:rFonts w:ascii="Arial"/>
                <w:sz w:val="18"/>
              </w:rPr>
            </w:r>
          </w:p>
        </w:tc>
        <w:tc>
          <w:tcPr>
            <w:tcW w:w="344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28" w:right="0"/>
              <w:jc w:val="left"/>
              <w:rPr>
                <w:rFonts w:ascii="Arial" w:hAnsi="Arial" w:cs="Arial" w:eastAsia="Arial" w:hint="default"/>
                <w:sz w:val="18"/>
                <w:szCs w:val="18"/>
              </w:rPr>
            </w:pPr>
            <w:r>
              <w:rPr>
                <w:rFonts w:ascii="宋体" w:hAnsi="宋体" w:cs="宋体" w:eastAsia="宋体" w:hint="default"/>
                <w:sz w:val="18"/>
                <w:szCs w:val="18"/>
              </w:rPr>
              <w:t>客户</w:t>
            </w:r>
            <w:r>
              <w:rPr>
                <w:rFonts w:ascii="宋体" w:hAnsi="宋体" w:cs="宋体" w:eastAsia="宋体" w:hint="default"/>
                <w:spacing w:val="-47"/>
                <w:sz w:val="18"/>
                <w:szCs w:val="18"/>
              </w:rPr>
              <w:t> </w:t>
            </w:r>
            <w:r>
              <w:rPr>
                <w:rFonts w:ascii="Arial" w:hAnsi="Arial" w:cs="Arial" w:eastAsia="Arial" w:hint="default"/>
                <w:sz w:val="18"/>
                <w:szCs w:val="18"/>
              </w:rPr>
              <w:t>1</w:t>
            </w:r>
          </w:p>
        </w:tc>
        <w:tc>
          <w:tcPr>
            <w:tcW w:w="2189"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spacing w:val="-1"/>
                <w:sz w:val="18"/>
              </w:rPr>
              <w:t>2,040,297,938.37</w:t>
            </w:r>
          </w:p>
        </w:tc>
        <w:tc>
          <w:tcPr>
            <w:tcW w:w="311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1"/>
              <w:jc w:val="right"/>
              <w:rPr>
                <w:rFonts w:ascii="Arial" w:hAnsi="Arial" w:cs="Arial" w:eastAsia="Arial" w:hint="default"/>
                <w:sz w:val="18"/>
                <w:szCs w:val="18"/>
              </w:rPr>
            </w:pPr>
            <w:r>
              <w:rPr>
                <w:rFonts w:ascii="Arial"/>
                <w:w w:val="95"/>
                <w:sz w:val="18"/>
              </w:rPr>
              <w:t>4.12%</w:t>
            </w:r>
            <w:r>
              <w:rPr>
                <w:rFonts w:ascii="Arial"/>
                <w:sz w:val="18"/>
              </w:rPr>
            </w:r>
          </w:p>
        </w:tc>
      </w:tr>
      <w:tr>
        <w:trPr>
          <w:trHeight w:val="402" w:hRule="exact"/>
        </w:trPr>
        <w:tc>
          <w:tcPr>
            <w:tcW w:w="7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left="13" w:right="0"/>
              <w:jc w:val="left"/>
              <w:rPr>
                <w:rFonts w:ascii="Arial" w:hAnsi="Arial" w:cs="Arial" w:eastAsia="Arial" w:hint="default"/>
                <w:sz w:val="18"/>
                <w:szCs w:val="18"/>
              </w:rPr>
            </w:pPr>
            <w:r>
              <w:rPr>
                <w:rFonts w:ascii="Arial"/>
                <w:w w:val="99"/>
                <w:sz w:val="18"/>
              </w:rPr>
              <w:t>2</w:t>
            </w:r>
            <w:r>
              <w:rPr>
                <w:rFonts w:ascii="Arial"/>
                <w:sz w:val="18"/>
              </w:rPr>
            </w:r>
          </w:p>
        </w:tc>
        <w:tc>
          <w:tcPr>
            <w:tcW w:w="344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8" w:right="0"/>
              <w:jc w:val="left"/>
              <w:rPr>
                <w:rFonts w:ascii="Arial" w:hAnsi="Arial" w:cs="Arial" w:eastAsia="Arial" w:hint="default"/>
                <w:sz w:val="18"/>
                <w:szCs w:val="18"/>
              </w:rPr>
            </w:pPr>
            <w:r>
              <w:rPr>
                <w:rFonts w:ascii="宋体" w:hAnsi="宋体" w:cs="宋体" w:eastAsia="宋体" w:hint="default"/>
                <w:sz w:val="18"/>
                <w:szCs w:val="18"/>
              </w:rPr>
              <w:t>客户</w:t>
            </w:r>
            <w:r>
              <w:rPr>
                <w:rFonts w:ascii="宋体" w:hAnsi="宋体" w:cs="宋体" w:eastAsia="宋体" w:hint="default"/>
                <w:spacing w:val="-47"/>
                <w:sz w:val="18"/>
                <w:szCs w:val="18"/>
              </w:rPr>
              <w:t> </w:t>
            </w:r>
            <w:r>
              <w:rPr>
                <w:rFonts w:ascii="Arial" w:hAnsi="Arial" w:cs="Arial" w:eastAsia="Arial" w:hint="default"/>
                <w:sz w:val="18"/>
                <w:szCs w:val="18"/>
              </w:rPr>
              <w:t>2</w:t>
            </w:r>
          </w:p>
        </w:tc>
        <w:tc>
          <w:tcPr>
            <w:tcW w:w="2189"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spacing w:val="-1"/>
                <w:sz w:val="18"/>
              </w:rPr>
              <w:t>1,438,593,514.97</w:t>
            </w:r>
          </w:p>
        </w:tc>
        <w:tc>
          <w:tcPr>
            <w:tcW w:w="311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1"/>
              <w:jc w:val="right"/>
              <w:rPr>
                <w:rFonts w:ascii="Arial" w:hAnsi="Arial" w:cs="Arial" w:eastAsia="Arial" w:hint="default"/>
                <w:sz w:val="18"/>
                <w:szCs w:val="18"/>
              </w:rPr>
            </w:pPr>
            <w:r>
              <w:rPr>
                <w:rFonts w:ascii="Arial"/>
                <w:w w:val="95"/>
                <w:sz w:val="18"/>
              </w:rPr>
              <w:t>2.90%</w:t>
            </w:r>
            <w:r>
              <w:rPr>
                <w:rFonts w:ascii="Arial"/>
                <w:sz w:val="18"/>
              </w:rPr>
            </w:r>
          </w:p>
        </w:tc>
      </w:tr>
      <w:tr>
        <w:trPr>
          <w:trHeight w:val="402" w:hRule="exact"/>
        </w:trPr>
        <w:tc>
          <w:tcPr>
            <w:tcW w:w="7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left="13" w:right="0"/>
              <w:jc w:val="left"/>
              <w:rPr>
                <w:rFonts w:ascii="Arial" w:hAnsi="Arial" w:cs="Arial" w:eastAsia="Arial" w:hint="default"/>
                <w:sz w:val="18"/>
                <w:szCs w:val="18"/>
              </w:rPr>
            </w:pPr>
            <w:r>
              <w:rPr>
                <w:rFonts w:ascii="Arial"/>
                <w:w w:val="99"/>
                <w:sz w:val="18"/>
              </w:rPr>
              <w:t>3</w:t>
            </w:r>
            <w:r>
              <w:rPr>
                <w:rFonts w:ascii="Arial"/>
                <w:sz w:val="18"/>
              </w:rPr>
            </w:r>
          </w:p>
        </w:tc>
        <w:tc>
          <w:tcPr>
            <w:tcW w:w="344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8" w:right="0"/>
              <w:jc w:val="left"/>
              <w:rPr>
                <w:rFonts w:ascii="Arial" w:hAnsi="Arial" w:cs="Arial" w:eastAsia="Arial" w:hint="default"/>
                <w:sz w:val="18"/>
                <w:szCs w:val="18"/>
              </w:rPr>
            </w:pPr>
            <w:r>
              <w:rPr>
                <w:rFonts w:ascii="宋体" w:hAnsi="宋体" w:cs="宋体" w:eastAsia="宋体" w:hint="default"/>
                <w:sz w:val="18"/>
                <w:szCs w:val="18"/>
              </w:rPr>
              <w:t>客户</w:t>
            </w:r>
            <w:r>
              <w:rPr>
                <w:rFonts w:ascii="宋体" w:hAnsi="宋体" w:cs="宋体" w:eastAsia="宋体" w:hint="default"/>
                <w:spacing w:val="-47"/>
                <w:sz w:val="18"/>
                <w:szCs w:val="18"/>
              </w:rPr>
              <w:t> </w:t>
            </w:r>
            <w:r>
              <w:rPr>
                <w:rFonts w:ascii="Arial" w:hAnsi="Arial" w:cs="Arial" w:eastAsia="Arial" w:hint="default"/>
                <w:sz w:val="18"/>
                <w:szCs w:val="18"/>
              </w:rPr>
              <w:t>3</w:t>
            </w:r>
          </w:p>
        </w:tc>
        <w:tc>
          <w:tcPr>
            <w:tcW w:w="2189"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spacing w:val="-1"/>
                <w:sz w:val="18"/>
              </w:rPr>
              <w:t>1,120,504,186.31</w:t>
            </w:r>
          </w:p>
        </w:tc>
        <w:tc>
          <w:tcPr>
            <w:tcW w:w="311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1"/>
              <w:jc w:val="right"/>
              <w:rPr>
                <w:rFonts w:ascii="Arial" w:hAnsi="Arial" w:cs="Arial" w:eastAsia="Arial" w:hint="default"/>
                <w:sz w:val="18"/>
                <w:szCs w:val="18"/>
              </w:rPr>
            </w:pPr>
            <w:r>
              <w:rPr>
                <w:rFonts w:ascii="Arial"/>
                <w:w w:val="95"/>
                <w:sz w:val="18"/>
              </w:rPr>
              <w:t>2.26%</w:t>
            </w:r>
            <w:r>
              <w:rPr>
                <w:rFonts w:ascii="Arial"/>
                <w:sz w:val="18"/>
              </w:rPr>
            </w:r>
          </w:p>
        </w:tc>
      </w:tr>
      <w:tr>
        <w:trPr>
          <w:trHeight w:val="402" w:hRule="exact"/>
        </w:trPr>
        <w:tc>
          <w:tcPr>
            <w:tcW w:w="7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left="13" w:right="0"/>
              <w:jc w:val="left"/>
              <w:rPr>
                <w:rFonts w:ascii="Arial" w:hAnsi="Arial" w:cs="Arial" w:eastAsia="Arial" w:hint="default"/>
                <w:sz w:val="18"/>
                <w:szCs w:val="18"/>
              </w:rPr>
            </w:pPr>
            <w:r>
              <w:rPr>
                <w:rFonts w:ascii="Arial"/>
                <w:w w:val="99"/>
                <w:sz w:val="18"/>
              </w:rPr>
              <w:t>4</w:t>
            </w:r>
            <w:r>
              <w:rPr>
                <w:rFonts w:ascii="Arial"/>
                <w:sz w:val="18"/>
              </w:rPr>
            </w:r>
          </w:p>
        </w:tc>
        <w:tc>
          <w:tcPr>
            <w:tcW w:w="344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8" w:right="0"/>
              <w:jc w:val="left"/>
              <w:rPr>
                <w:rFonts w:ascii="Arial" w:hAnsi="Arial" w:cs="Arial" w:eastAsia="Arial" w:hint="default"/>
                <w:sz w:val="18"/>
                <w:szCs w:val="18"/>
              </w:rPr>
            </w:pPr>
            <w:r>
              <w:rPr>
                <w:rFonts w:ascii="宋体" w:hAnsi="宋体" w:cs="宋体" w:eastAsia="宋体" w:hint="default"/>
                <w:sz w:val="18"/>
                <w:szCs w:val="18"/>
              </w:rPr>
              <w:t>客户</w:t>
            </w:r>
            <w:r>
              <w:rPr>
                <w:rFonts w:ascii="宋体" w:hAnsi="宋体" w:cs="宋体" w:eastAsia="宋体" w:hint="default"/>
                <w:spacing w:val="-47"/>
                <w:sz w:val="18"/>
                <w:szCs w:val="18"/>
              </w:rPr>
              <w:t> </w:t>
            </w:r>
            <w:r>
              <w:rPr>
                <w:rFonts w:ascii="Arial" w:hAnsi="Arial" w:cs="Arial" w:eastAsia="Arial" w:hint="default"/>
                <w:sz w:val="18"/>
                <w:szCs w:val="18"/>
              </w:rPr>
              <w:t>4</w:t>
            </w:r>
          </w:p>
        </w:tc>
        <w:tc>
          <w:tcPr>
            <w:tcW w:w="2189"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873,271,743.17</w:t>
            </w:r>
            <w:r>
              <w:rPr>
                <w:rFonts w:ascii="Arial"/>
                <w:sz w:val="18"/>
              </w:rPr>
            </w:r>
          </w:p>
        </w:tc>
        <w:tc>
          <w:tcPr>
            <w:tcW w:w="311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1"/>
              <w:jc w:val="right"/>
              <w:rPr>
                <w:rFonts w:ascii="Arial" w:hAnsi="Arial" w:cs="Arial" w:eastAsia="Arial" w:hint="default"/>
                <w:sz w:val="18"/>
                <w:szCs w:val="18"/>
              </w:rPr>
            </w:pPr>
            <w:r>
              <w:rPr>
                <w:rFonts w:ascii="Arial"/>
                <w:w w:val="95"/>
                <w:sz w:val="18"/>
              </w:rPr>
              <w:t>1.76%</w:t>
            </w:r>
            <w:r>
              <w:rPr>
                <w:rFonts w:ascii="Arial"/>
                <w:sz w:val="18"/>
              </w:rPr>
            </w:r>
          </w:p>
        </w:tc>
      </w:tr>
      <w:tr>
        <w:trPr>
          <w:trHeight w:val="402" w:hRule="exact"/>
        </w:trPr>
        <w:tc>
          <w:tcPr>
            <w:tcW w:w="7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left="13" w:right="0"/>
              <w:jc w:val="left"/>
              <w:rPr>
                <w:rFonts w:ascii="Arial" w:hAnsi="Arial" w:cs="Arial" w:eastAsia="Arial" w:hint="default"/>
                <w:sz w:val="18"/>
                <w:szCs w:val="18"/>
              </w:rPr>
            </w:pPr>
            <w:r>
              <w:rPr>
                <w:rFonts w:ascii="Arial"/>
                <w:w w:val="99"/>
                <w:sz w:val="18"/>
              </w:rPr>
              <w:t>5</w:t>
            </w:r>
            <w:r>
              <w:rPr>
                <w:rFonts w:ascii="Arial"/>
                <w:sz w:val="18"/>
              </w:rPr>
            </w:r>
          </w:p>
        </w:tc>
        <w:tc>
          <w:tcPr>
            <w:tcW w:w="344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8" w:right="0"/>
              <w:jc w:val="left"/>
              <w:rPr>
                <w:rFonts w:ascii="Arial" w:hAnsi="Arial" w:cs="Arial" w:eastAsia="Arial" w:hint="default"/>
                <w:sz w:val="18"/>
                <w:szCs w:val="18"/>
              </w:rPr>
            </w:pPr>
            <w:r>
              <w:rPr>
                <w:rFonts w:ascii="宋体" w:hAnsi="宋体" w:cs="宋体" w:eastAsia="宋体" w:hint="default"/>
                <w:sz w:val="18"/>
                <w:szCs w:val="18"/>
              </w:rPr>
              <w:t>客户</w:t>
            </w:r>
            <w:r>
              <w:rPr>
                <w:rFonts w:ascii="宋体" w:hAnsi="宋体" w:cs="宋体" w:eastAsia="宋体" w:hint="default"/>
                <w:spacing w:val="-47"/>
                <w:sz w:val="18"/>
                <w:szCs w:val="18"/>
              </w:rPr>
              <w:t> </w:t>
            </w:r>
            <w:r>
              <w:rPr>
                <w:rFonts w:ascii="Arial" w:hAnsi="Arial" w:cs="Arial" w:eastAsia="Arial" w:hint="default"/>
                <w:sz w:val="18"/>
                <w:szCs w:val="18"/>
              </w:rPr>
              <w:t>5</w:t>
            </w:r>
          </w:p>
        </w:tc>
        <w:tc>
          <w:tcPr>
            <w:tcW w:w="2189"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821,817,185.21</w:t>
            </w:r>
            <w:r>
              <w:rPr>
                <w:rFonts w:ascii="Arial"/>
                <w:sz w:val="18"/>
              </w:rPr>
            </w:r>
          </w:p>
        </w:tc>
        <w:tc>
          <w:tcPr>
            <w:tcW w:w="311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1"/>
              <w:jc w:val="right"/>
              <w:rPr>
                <w:rFonts w:ascii="Arial" w:hAnsi="Arial" w:cs="Arial" w:eastAsia="Arial" w:hint="default"/>
                <w:sz w:val="18"/>
                <w:szCs w:val="18"/>
              </w:rPr>
            </w:pPr>
            <w:r>
              <w:rPr>
                <w:rFonts w:ascii="Arial"/>
                <w:w w:val="95"/>
                <w:sz w:val="18"/>
              </w:rPr>
              <w:t>1.66%</w:t>
            </w:r>
            <w:r>
              <w:rPr>
                <w:rFonts w:ascii="Arial"/>
                <w:sz w:val="18"/>
              </w:rPr>
            </w:r>
          </w:p>
        </w:tc>
      </w:tr>
      <w:tr>
        <w:trPr>
          <w:trHeight w:val="402" w:hRule="exact"/>
        </w:trPr>
        <w:tc>
          <w:tcPr>
            <w:tcW w:w="7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4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left="14" w:right="0"/>
              <w:jc w:val="center"/>
              <w:rPr>
                <w:rFonts w:ascii="Arial" w:hAnsi="Arial" w:cs="Arial" w:eastAsia="Arial" w:hint="default"/>
                <w:sz w:val="18"/>
                <w:szCs w:val="18"/>
              </w:rPr>
            </w:pPr>
            <w:r>
              <w:rPr>
                <w:rFonts w:ascii="Arial"/>
                <w:sz w:val="18"/>
              </w:rPr>
              <w:t>--</w:t>
            </w:r>
          </w:p>
        </w:tc>
        <w:tc>
          <w:tcPr>
            <w:tcW w:w="2189"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spacing w:val="-1"/>
                <w:sz w:val="18"/>
              </w:rPr>
              <w:t>6,294,484,568.03</w:t>
            </w:r>
          </w:p>
        </w:tc>
        <w:tc>
          <w:tcPr>
            <w:tcW w:w="311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1"/>
              <w:jc w:val="right"/>
              <w:rPr>
                <w:rFonts w:ascii="Arial" w:hAnsi="Arial" w:cs="Arial" w:eastAsia="Arial" w:hint="default"/>
                <w:sz w:val="18"/>
                <w:szCs w:val="18"/>
              </w:rPr>
            </w:pPr>
            <w:r>
              <w:rPr>
                <w:rFonts w:ascii="Arial"/>
                <w:w w:val="95"/>
                <w:sz w:val="18"/>
              </w:rPr>
              <w:t>12.70%</w:t>
            </w:r>
            <w:r>
              <w:rPr>
                <w:rFonts w:ascii="Arial"/>
                <w:sz w:val="18"/>
              </w:rPr>
            </w:r>
          </w:p>
        </w:tc>
      </w:tr>
    </w:tbl>
    <w:p>
      <w:pPr>
        <w:pStyle w:val="BodyText"/>
        <w:spacing w:line="240" w:lineRule="auto" w:before="21"/>
        <w:ind w:left="154" w:right="0"/>
        <w:jc w:val="left"/>
      </w:pPr>
      <w:r>
        <w:rPr>
          <w:rFonts w:ascii="Arial" w:hAnsi="Arial" w:cs="Arial" w:eastAsia="Arial" w:hint="default"/>
        </w:rPr>
        <w:t>3</w:t>
      </w:r>
      <w:r>
        <w:rPr/>
        <w:t>、公司主要供应商情况</w:t>
      </w:r>
    </w:p>
    <w:p>
      <w:pPr>
        <w:spacing w:line="240" w:lineRule="auto" w:before="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258"/>
        <w:gridCol w:w="5310"/>
      </w:tblGrid>
      <w:tr>
        <w:trPr>
          <w:trHeight w:val="402" w:hRule="exact"/>
        </w:trPr>
        <w:tc>
          <w:tcPr>
            <w:tcW w:w="425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0"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46,578,625,543.70</w:t>
            </w:r>
            <w:r>
              <w:rPr>
                <w:rFonts w:ascii="Arial"/>
                <w:sz w:val="18"/>
              </w:rPr>
            </w:r>
          </w:p>
        </w:tc>
      </w:tr>
      <w:tr>
        <w:trPr>
          <w:trHeight w:val="402" w:hRule="exact"/>
        </w:trPr>
        <w:tc>
          <w:tcPr>
            <w:tcW w:w="425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0"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95.00%</w:t>
            </w:r>
            <w:r>
              <w:rPr>
                <w:rFonts w:ascii="Arial"/>
                <w:sz w:val="18"/>
              </w:rPr>
            </w:r>
          </w:p>
        </w:tc>
      </w:tr>
    </w:tbl>
    <w:p>
      <w:pPr>
        <w:pStyle w:val="BodyText"/>
        <w:spacing w:line="240" w:lineRule="auto" w:before="21"/>
        <w:ind w:left="154" w:right="0"/>
        <w:jc w:val="left"/>
      </w:pPr>
      <w:r>
        <w:rPr>
          <w:rFonts w:ascii="Arial" w:hAnsi="Arial" w:cs="Arial" w:eastAsia="Arial" w:hint="default"/>
        </w:rPr>
        <w:t>4</w:t>
      </w:r>
      <w:r>
        <w:rPr/>
        <w:t>、公司前</w:t>
      </w:r>
      <w:r>
        <w:rPr>
          <w:spacing w:val="-53"/>
        </w:rPr>
        <w:t> </w:t>
      </w:r>
      <w:r>
        <w:rPr>
          <w:rFonts w:ascii="Arial" w:hAnsi="Arial" w:cs="Arial" w:eastAsia="Arial" w:hint="default"/>
        </w:rPr>
        <w:t>5</w:t>
      </w:r>
      <w:r>
        <w:rPr>
          <w:rFonts w:ascii="Arial" w:hAnsi="Arial" w:cs="Arial" w:eastAsia="Arial" w:hint="default"/>
          <w:spacing w:val="-8"/>
        </w:rPr>
        <w:t> </w:t>
      </w:r>
      <w:r>
        <w:rPr/>
        <w:t>名供应商资料</w:t>
      </w:r>
    </w:p>
    <w:p>
      <w:pPr>
        <w:spacing w:line="240" w:lineRule="auto" w:before="3"/>
        <w:rPr>
          <w:rFonts w:ascii="宋体" w:hAnsi="宋体" w:cs="宋体" w:eastAsia="宋体" w:hint="default"/>
          <w:sz w:val="6"/>
          <w:szCs w:val="6"/>
        </w:rPr>
      </w:pPr>
    </w:p>
    <w:tbl>
      <w:tblPr>
        <w:tblW w:w="0" w:type="auto"/>
        <w:jc w:val="left"/>
        <w:tblInd w:w="162" w:type="dxa"/>
        <w:tblLayout w:type="fixed"/>
        <w:tblCellMar>
          <w:top w:w="0" w:type="dxa"/>
          <w:left w:w="0" w:type="dxa"/>
          <w:bottom w:w="0" w:type="dxa"/>
          <w:right w:w="0" w:type="dxa"/>
        </w:tblCellMar>
        <w:tblLook w:val="01E0"/>
      </w:tblPr>
      <w:tblGrid>
        <w:gridCol w:w="921"/>
        <w:gridCol w:w="3155"/>
        <w:gridCol w:w="2336"/>
        <w:gridCol w:w="3129"/>
      </w:tblGrid>
      <w:tr>
        <w:trPr>
          <w:trHeight w:val="402" w:hRule="exact"/>
        </w:trPr>
        <w:tc>
          <w:tcPr>
            <w:tcW w:w="92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7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5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634"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2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761"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2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left="13" w:right="0"/>
              <w:jc w:val="left"/>
              <w:rPr>
                <w:rFonts w:ascii="Arial" w:hAnsi="Arial" w:cs="Arial" w:eastAsia="Arial" w:hint="default"/>
                <w:sz w:val="18"/>
                <w:szCs w:val="18"/>
              </w:rPr>
            </w:pPr>
            <w:r>
              <w:rPr>
                <w:rFonts w:ascii="Arial"/>
                <w:w w:val="99"/>
                <w:sz w:val="18"/>
              </w:rPr>
              <w:t>1</w:t>
            </w:r>
            <w:r>
              <w:rPr>
                <w:rFonts w:ascii="Arial"/>
                <w:sz w:val="18"/>
              </w:rPr>
            </w:r>
          </w:p>
        </w:tc>
        <w:tc>
          <w:tcPr>
            <w:tcW w:w="315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7" w:right="0"/>
              <w:jc w:val="left"/>
              <w:rPr>
                <w:rFonts w:ascii="Arial" w:hAnsi="Arial" w:cs="Arial" w:eastAsia="Arial" w:hint="default"/>
                <w:sz w:val="18"/>
                <w:szCs w:val="18"/>
              </w:rPr>
            </w:pPr>
            <w:r>
              <w:rPr>
                <w:rFonts w:ascii="宋体" w:hAnsi="宋体" w:cs="宋体" w:eastAsia="宋体" w:hint="default"/>
                <w:sz w:val="18"/>
                <w:szCs w:val="18"/>
              </w:rPr>
              <w:t>供应商</w:t>
            </w:r>
            <w:r>
              <w:rPr>
                <w:rFonts w:ascii="宋体" w:hAnsi="宋体" w:cs="宋体" w:eastAsia="宋体" w:hint="default"/>
                <w:spacing w:val="-47"/>
                <w:sz w:val="18"/>
                <w:szCs w:val="18"/>
              </w:rPr>
              <w:t> </w:t>
            </w:r>
            <w:r>
              <w:rPr>
                <w:rFonts w:ascii="Arial" w:hAnsi="Arial" w:cs="Arial" w:eastAsia="Arial" w:hint="default"/>
                <w:sz w:val="18"/>
                <w:szCs w:val="18"/>
              </w:rPr>
              <w:t>1</w:t>
            </w:r>
          </w:p>
        </w:tc>
        <w:tc>
          <w:tcPr>
            <w:tcW w:w="2336"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88"/>
              <w:ind w:right="26"/>
              <w:jc w:val="right"/>
              <w:rPr>
                <w:rFonts w:ascii="Arial" w:hAnsi="Arial" w:cs="Arial" w:eastAsia="Arial" w:hint="default"/>
                <w:sz w:val="18"/>
                <w:szCs w:val="18"/>
              </w:rPr>
            </w:pPr>
            <w:r>
              <w:rPr>
                <w:rFonts w:ascii="Arial"/>
                <w:w w:val="95"/>
                <w:sz w:val="18"/>
              </w:rPr>
              <w:t>33,641,558,346.48</w:t>
            </w:r>
            <w:r>
              <w:rPr>
                <w:rFonts w:ascii="Arial"/>
                <w:sz w:val="18"/>
              </w:rPr>
            </w:r>
          </w:p>
        </w:tc>
        <w:tc>
          <w:tcPr>
            <w:tcW w:w="3129"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11"/>
              <w:jc w:val="right"/>
              <w:rPr>
                <w:rFonts w:ascii="Arial" w:hAnsi="Arial" w:cs="Arial" w:eastAsia="Arial" w:hint="default"/>
                <w:sz w:val="18"/>
                <w:szCs w:val="18"/>
              </w:rPr>
            </w:pPr>
            <w:r>
              <w:rPr>
                <w:rFonts w:ascii="Arial"/>
                <w:w w:val="95"/>
                <w:sz w:val="18"/>
              </w:rPr>
              <w:t>68.61%</w:t>
            </w:r>
            <w:r>
              <w:rPr>
                <w:rFonts w:ascii="Arial"/>
                <w:sz w:val="18"/>
              </w:rPr>
            </w:r>
          </w:p>
        </w:tc>
      </w:tr>
      <w:tr>
        <w:trPr>
          <w:trHeight w:val="402" w:hRule="exact"/>
        </w:trPr>
        <w:tc>
          <w:tcPr>
            <w:tcW w:w="92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left="13" w:right="0"/>
              <w:jc w:val="left"/>
              <w:rPr>
                <w:rFonts w:ascii="Arial" w:hAnsi="Arial" w:cs="Arial" w:eastAsia="Arial" w:hint="default"/>
                <w:sz w:val="18"/>
                <w:szCs w:val="18"/>
              </w:rPr>
            </w:pPr>
            <w:r>
              <w:rPr>
                <w:rFonts w:ascii="Arial"/>
                <w:w w:val="99"/>
                <w:sz w:val="18"/>
              </w:rPr>
              <w:t>2</w:t>
            </w:r>
            <w:r>
              <w:rPr>
                <w:rFonts w:ascii="Arial"/>
                <w:sz w:val="18"/>
              </w:rPr>
            </w:r>
          </w:p>
        </w:tc>
        <w:tc>
          <w:tcPr>
            <w:tcW w:w="315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7" w:right="0"/>
              <w:jc w:val="left"/>
              <w:rPr>
                <w:rFonts w:ascii="Arial" w:hAnsi="Arial" w:cs="Arial" w:eastAsia="Arial" w:hint="default"/>
                <w:sz w:val="18"/>
                <w:szCs w:val="18"/>
              </w:rPr>
            </w:pPr>
            <w:r>
              <w:rPr>
                <w:rFonts w:ascii="宋体" w:hAnsi="宋体" w:cs="宋体" w:eastAsia="宋体" w:hint="default"/>
                <w:sz w:val="18"/>
                <w:szCs w:val="18"/>
              </w:rPr>
              <w:t>供应商</w:t>
            </w:r>
            <w:r>
              <w:rPr>
                <w:rFonts w:ascii="宋体" w:hAnsi="宋体" w:cs="宋体" w:eastAsia="宋体" w:hint="default"/>
                <w:spacing w:val="-47"/>
                <w:sz w:val="18"/>
                <w:szCs w:val="18"/>
              </w:rPr>
              <w:t> </w:t>
            </w:r>
            <w:r>
              <w:rPr>
                <w:rFonts w:ascii="Arial" w:hAnsi="Arial" w:cs="Arial" w:eastAsia="Arial" w:hint="default"/>
                <w:sz w:val="18"/>
                <w:szCs w:val="18"/>
              </w:rPr>
              <w:t>2</w:t>
            </w:r>
          </w:p>
        </w:tc>
        <w:tc>
          <w:tcPr>
            <w:tcW w:w="2336"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88"/>
              <w:ind w:right="26"/>
              <w:jc w:val="right"/>
              <w:rPr>
                <w:rFonts w:ascii="Arial" w:hAnsi="Arial" w:cs="Arial" w:eastAsia="Arial" w:hint="default"/>
                <w:sz w:val="18"/>
                <w:szCs w:val="18"/>
              </w:rPr>
            </w:pPr>
            <w:r>
              <w:rPr>
                <w:rFonts w:ascii="Arial"/>
                <w:spacing w:val="-1"/>
                <w:sz w:val="18"/>
              </w:rPr>
              <w:t>7,220,646,925.49</w:t>
            </w:r>
          </w:p>
        </w:tc>
        <w:tc>
          <w:tcPr>
            <w:tcW w:w="3129"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11"/>
              <w:jc w:val="right"/>
              <w:rPr>
                <w:rFonts w:ascii="Arial" w:hAnsi="Arial" w:cs="Arial" w:eastAsia="Arial" w:hint="default"/>
                <w:sz w:val="18"/>
                <w:szCs w:val="18"/>
              </w:rPr>
            </w:pPr>
            <w:r>
              <w:rPr>
                <w:rFonts w:ascii="Arial"/>
                <w:w w:val="95"/>
                <w:sz w:val="18"/>
              </w:rPr>
              <w:t>14.73%</w:t>
            </w:r>
            <w:r>
              <w:rPr>
                <w:rFonts w:ascii="Arial"/>
                <w:sz w:val="18"/>
              </w:rPr>
            </w:r>
          </w:p>
        </w:tc>
      </w:tr>
      <w:tr>
        <w:trPr>
          <w:trHeight w:val="402" w:hRule="exact"/>
        </w:trPr>
        <w:tc>
          <w:tcPr>
            <w:tcW w:w="92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left="13" w:right="0"/>
              <w:jc w:val="left"/>
              <w:rPr>
                <w:rFonts w:ascii="Arial" w:hAnsi="Arial" w:cs="Arial" w:eastAsia="Arial" w:hint="default"/>
                <w:sz w:val="18"/>
                <w:szCs w:val="18"/>
              </w:rPr>
            </w:pPr>
            <w:r>
              <w:rPr>
                <w:rFonts w:ascii="Arial"/>
                <w:w w:val="99"/>
                <w:sz w:val="18"/>
              </w:rPr>
              <w:t>3</w:t>
            </w:r>
            <w:r>
              <w:rPr>
                <w:rFonts w:ascii="Arial"/>
                <w:sz w:val="18"/>
              </w:rPr>
            </w:r>
          </w:p>
        </w:tc>
        <w:tc>
          <w:tcPr>
            <w:tcW w:w="315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7" w:right="0"/>
              <w:jc w:val="left"/>
              <w:rPr>
                <w:rFonts w:ascii="Arial" w:hAnsi="Arial" w:cs="Arial" w:eastAsia="Arial" w:hint="default"/>
                <w:sz w:val="18"/>
                <w:szCs w:val="18"/>
              </w:rPr>
            </w:pPr>
            <w:r>
              <w:rPr>
                <w:rFonts w:ascii="宋体" w:hAnsi="宋体" w:cs="宋体" w:eastAsia="宋体" w:hint="default"/>
                <w:sz w:val="18"/>
                <w:szCs w:val="18"/>
              </w:rPr>
              <w:t>供应商</w:t>
            </w:r>
            <w:r>
              <w:rPr>
                <w:rFonts w:ascii="宋体" w:hAnsi="宋体" w:cs="宋体" w:eastAsia="宋体" w:hint="default"/>
                <w:spacing w:val="-47"/>
                <w:sz w:val="18"/>
                <w:szCs w:val="18"/>
              </w:rPr>
              <w:t> </w:t>
            </w:r>
            <w:r>
              <w:rPr>
                <w:rFonts w:ascii="Arial" w:hAnsi="Arial" w:cs="Arial" w:eastAsia="Arial" w:hint="default"/>
                <w:sz w:val="18"/>
                <w:szCs w:val="18"/>
              </w:rPr>
              <w:t>3</w:t>
            </w:r>
          </w:p>
        </w:tc>
        <w:tc>
          <w:tcPr>
            <w:tcW w:w="2336"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88"/>
              <w:ind w:right="26"/>
              <w:jc w:val="right"/>
              <w:rPr>
                <w:rFonts w:ascii="Arial" w:hAnsi="Arial" w:cs="Arial" w:eastAsia="Arial" w:hint="default"/>
                <w:sz w:val="18"/>
                <w:szCs w:val="18"/>
              </w:rPr>
            </w:pPr>
            <w:r>
              <w:rPr>
                <w:rFonts w:ascii="Arial"/>
                <w:spacing w:val="-1"/>
                <w:sz w:val="18"/>
              </w:rPr>
              <w:t>2,873,313,162.68</w:t>
            </w:r>
          </w:p>
        </w:tc>
        <w:tc>
          <w:tcPr>
            <w:tcW w:w="3129"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11"/>
              <w:jc w:val="right"/>
              <w:rPr>
                <w:rFonts w:ascii="Arial" w:hAnsi="Arial" w:cs="Arial" w:eastAsia="Arial" w:hint="default"/>
                <w:sz w:val="18"/>
                <w:szCs w:val="18"/>
              </w:rPr>
            </w:pPr>
            <w:r>
              <w:rPr>
                <w:rFonts w:ascii="Arial"/>
                <w:w w:val="95"/>
                <w:sz w:val="18"/>
              </w:rPr>
              <w:t>5.86%</w:t>
            </w:r>
            <w:r>
              <w:rPr>
                <w:rFonts w:ascii="Arial"/>
                <w:sz w:val="18"/>
              </w:rPr>
            </w:r>
          </w:p>
        </w:tc>
      </w:tr>
      <w:tr>
        <w:trPr>
          <w:trHeight w:val="402" w:hRule="exact"/>
        </w:trPr>
        <w:tc>
          <w:tcPr>
            <w:tcW w:w="92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left="13" w:right="0"/>
              <w:jc w:val="left"/>
              <w:rPr>
                <w:rFonts w:ascii="Arial" w:hAnsi="Arial" w:cs="Arial" w:eastAsia="Arial" w:hint="default"/>
                <w:sz w:val="18"/>
                <w:szCs w:val="18"/>
              </w:rPr>
            </w:pPr>
            <w:r>
              <w:rPr>
                <w:rFonts w:ascii="Arial"/>
                <w:w w:val="99"/>
                <w:sz w:val="18"/>
              </w:rPr>
              <w:t>4</w:t>
            </w:r>
            <w:r>
              <w:rPr>
                <w:rFonts w:ascii="Arial"/>
                <w:sz w:val="18"/>
              </w:rPr>
            </w:r>
          </w:p>
        </w:tc>
        <w:tc>
          <w:tcPr>
            <w:tcW w:w="315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27" w:right="0"/>
              <w:jc w:val="left"/>
              <w:rPr>
                <w:rFonts w:ascii="Arial" w:hAnsi="Arial" w:cs="Arial" w:eastAsia="Arial" w:hint="default"/>
                <w:sz w:val="18"/>
                <w:szCs w:val="18"/>
              </w:rPr>
            </w:pPr>
            <w:r>
              <w:rPr>
                <w:rFonts w:ascii="宋体" w:hAnsi="宋体" w:cs="宋体" w:eastAsia="宋体" w:hint="default"/>
                <w:sz w:val="18"/>
                <w:szCs w:val="18"/>
              </w:rPr>
              <w:t>供应商</w:t>
            </w:r>
            <w:r>
              <w:rPr>
                <w:rFonts w:ascii="宋体" w:hAnsi="宋体" w:cs="宋体" w:eastAsia="宋体" w:hint="default"/>
                <w:spacing w:val="-47"/>
                <w:sz w:val="18"/>
                <w:szCs w:val="18"/>
              </w:rPr>
              <w:t> </w:t>
            </w:r>
            <w:r>
              <w:rPr>
                <w:rFonts w:ascii="Arial" w:hAnsi="Arial" w:cs="Arial" w:eastAsia="Arial" w:hint="default"/>
                <w:sz w:val="18"/>
                <w:szCs w:val="18"/>
              </w:rPr>
              <w:t>4</w:t>
            </w:r>
          </w:p>
        </w:tc>
        <w:tc>
          <w:tcPr>
            <w:tcW w:w="2336"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88"/>
              <w:ind w:right="26"/>
              <w:jc w:val="right"/>
              <w:rPr>
                <w:rFonts w:ascii="Arial" w:hAnsi="Arial" w:cs="Arial" w:eastAsia="Arial" w:hint="default"/>
                <w:sz w:val="18"/>
                <w:szCs w:val="18"/>
              </w:rPr>
            </w:pPr>
            <w:r>
              <w:rPr>
                <w:rFonts w:ascii="Arial"/>
                <w:spacing w:val="-1"/>
                <w:sz w:val="18"/>
              </w:rPr>
              <w:t>2,117,112,830.51</w:t>
            </w:r>
          </w:p>
        </w:tc>
        <w:tc>
          <w:tcPr>
            <w:tcW w:w="3129"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11"/>
              <w:jc w:val="right"/>
              <w:rPr>
                <w:rFonts w:ascii="Arial" w:hAnsi="Arial" w:cs="Arial" w:eastAsia="Arial" w:hint="default"/>
                <w:sz w:val="18"/>
                <w:szCs w:val="18"/>
              </w:rPr>
            </w:pPr>
            <w:r>
              <w:rPr>
                <w:rFonts w:ascii="Arial"/>
                <w:w w:val="95"/>
                <w:sz w:val="18"/>
              </w:rPr>
              <w:t>4.32%</w:t>
            </w:r>
            <w:r>
              <w:rPr>
                <w:rFonts w:ascii="Arial"/>
                <w:sz w:val="18"/>
              </w:rPr>
            </w:r>
          </w:p>
        </w:tc>
      </w:tr>
      <w:tr>
        <w:trPr>
          <w:trHeight w:val="402" w:hRule="exact"/>
        </w:trPr>
        <w:tc>
          <w:tcPr>
            <w:tcW w:w="92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left="13" w:right="0"/>
              <w:jc w:val="left"/>
              <w:rPr>
                <w:rFonts w:ascii="Arial" w:hAnsi="Arial" w:cs="Arial" w:eastAsia="Arial" w:hint="default"/>
                <w:sz w:val="18"/>
                <w:szCs w:val="18"/>
              </w:rPr>
            </w:pPr>
            <w:r>
              <w:rPr>
                <w:rFonts w:ascii="Arial"/>
                <w:w w:val="99"/>
                <w:sz w:val="18"/>
              </w:rPr>
              <w:t>5</w:t>
            </w:r>
            <w:r>
              <w:rPr>
                <w:rFonts w:ascii="Arial"/>
                <w:sz w:val="18"/>
              </w:rPr>
            </w:r>
          </w:p>
        </w:tc>
        <w:tc>
          <w:tcPr>
            <w:tcW w:w="315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7" w:right="0"/>
              <w:jc w:val="left"/>
              <w:rPr>
                <w:rFonts w:ascii="Arial" w:hAnsi="Arial" w:cs="Arial" w:eastAsia="Arial" w:hint="default"/>
                <w:sz w:val="18"/>
                <w:szCs w:val="18"/>
              </w:rPr>
            </w:pPr>
            <w:r>
              <w:rPr>
                <w:rFonts w:ascii="宋体" w:hAnsi="宋体" w:cs="宋体" w:eastAsia="宋体" w:hint="default"/>
                <w:sz w:val="18"/>
                <w:szCs w:val="18"/>
              </w:rPr>
              <w:t>供应商</w:t>
            </w:r>
            <w:r>
              <w:rPr>
                <w:rFonts w:ascii="宋体" w:hAnsi="宋体" w:cs="宋体" w:eastAsia="宋体" w:hint="default"/>
                <w:spacing w:val="-47"/>
                <w:sz w:val="18"/>
                <w:szCs w:val="18"/>
              </w:rPr>
              <w:t> </w:t>
            </w:r>
            <w:r>
              <w:rPr>
                <w:rFonts w:ascii="Arial" w:hAnsi="Arial" w:cs="Arial" w:eastAsia="Arial" w:hint="default"/>
                <w:sz w:val="18"/>
                <w:szCs w:val="18"/>
              </w:rPr>
              <w:t>5</w:t>
            </w:r>
          </w:p>
        </w:tc>
        <w:tc>
          <w:tcPr>
            <w:tcW w:w="2336"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88"/>
              <w:ind w:right="26"/>
              <w:jc w:val="right"/>
              <w:rPr>
                <w:rFonts w:ascii="Arial" w:hAnsi="Arial" w:cs="Arial" w:eastAsia="Arial" w:hint="default"/>
                <w:sz w:val="18"/>
                <w:szCs w:val="18"/>
              </w:rPr>
            </w:pPr>
            <w:r>
              <w:rPr>
                <w:rFonts w:ascii="Arial"/>
                <w:w w:val="95"/>
                <w:sz w:val="18"/>
              </w:rPr>
              <w:t>725,994,278.54</w:t>
            </w:r>
            <w:r>
              <w:rPr>
                <w:rFonts w:ascii="Arial"/>
                <w:sz w:val="18"/>
              </w:rPr>
            </w:r>
          </w:p>
        </w:tc>
        <w:tc>
          <w:tcPr>
            <w:tcW w:w="3129"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11"/>
              <w:jc w:val="right"/>
              <w:rPr>
                <w:rFonts w:ascii="Arial" w:hAnsi="Arial" w:cs="Arial" w:eastAsia="Arial" w:hint="default"/>
                <w:sz w:val="18"/>
                <w:szCs w:val="18"/>
              </w:rPr>
            </w:pPr>
            <w:r>
              <w:rPr>
                <w:rFonts w:ascii="Arial"/>
                <w:w w:val="95"/>
                <w:sz w:val="18"/>
              </w:rPr>
              <w:t>1.48%</w:t>
            </w:r>
            <w:r>
              <w:rPr>
                <w:rFonts w:ascii="Arial"/>
                <w:sz w:val="18"/>
              </w:rPr>
            </w:r>
          </w:p>
        </w:tc>
      </w:tr>
      <w:tr>
        <w:trPr>
          <w:trHeight w:val="402" w:hRule="exact"/>
        </w:trPr>
        <w:tc>
          <w:tcPr>
            <w:tcW w:w="92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5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left="11" w:right="0"/>
              <w:jc w:val="center"/>
              <w:rPr>
                <w:rFonts w:ascii="Arial" w:hAnsi="Arial" w:cs="Arial" w:eastAsia="Arial" w:hint="default"/>
                <w:sz w:val="18"/>
                <w:szCs w:val="18"/>
              </w:rPr>
            </w:pPr>
            <w:r>
              <w:rPr>
                <w:rFonts w:ascii="Arial"/>
                <w:sz w:val="18"/>
              </w:rPr>
              <w:t>--</w:t>
            </w:r>
          </w:p>
        </w:tc>
        <w:tc>
          <w:tcPr>
            <w:tcW w:w="2336"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88"/>
              <w:ind w:right="26"/>
              <w:jc w:val="right"/>
              <w:rPr>
                <w:rFonts w:ascii="Arial" w:hAnsi="Arial" w:cs="Arial" w:eastAsia="Arial" w:hint="default"/>
                <w:sz w:val="18"/>
                <w:szCs w:val="18"/>
              </w:rPr>
            </w:pPr>
            <w:r>
              <w:rPr>
                <w:rFonts w:ascii="Arial"/>
                <w:w w:val="95"/>
                <w:sz w:val="18"/>
              </w:rPr>
              <w:t>46,578,625,543.70</w:t>
            </w:r>
            <w:r>
              <w:rPr>
                <w:rFonts w:ascii="Arial"/>
                <w:sz w:val="18"/>
              </w:rPr>
            </w:r>
          </w:p>
        </w:tc>
        <w:tc>
          <w:tcPr>
            <w:tcW w:w="3129"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11"/>
              <w:jc w:val="right"/>
              <w:rPr>
                <w:rFonts w:ascii="Arial" w:hAnsi="Arial" w:cs="Arial" w:eastAsia="Arial" w:hint="default"/>
                <w:sz w:val="18"/>
                <w:szCs w:val="18"/>
              </w:rPr>
            </w:pPr>
            <w:r>
              <w:rPr>
                <w:rFonts w:ascii="Arial"/>
                <w:w w:val="95"/>
                <w:sz w:val="18"/>
              </w:rPr>
              <w:t>95.00%</w:t>
            </w:r>
            <w:r>
              <w:rPr>
                <w:rFonts w:ascii="Arial"/>
                <w:sz w:val="18"/>
              </w:rPr>
            </w:r>
          </w:p>
        </w:tc>
      </w:tr>
    </w:tbl>
    <w:p>
      <w:pPr>
        <w:spacing w:line="240" w:lineRule="auto" w:before="0"/>
        <w:rPr>
          <w:rFonts w:ascii="宋体" w:hAnsi="宋体" w:cs="宋体" w:eastAsia="宋体" w:hint="default"/>
          <w:sz w:val="20"/>
          <w:szCs w:val="20"/>
        </w:rPr>
      </w:pPr>
    </w:p>
    <w:p>
      <w:pPr>
        <w:pStyle w:val="Heading2"/>
        <w:spacing w:line="240" w:lineRule="auto" w:before="73"/>
        <w:ind w:left="154" w:right="0"/>
        <w:jc w:val="left"/>
        <w:rPr>
          <w:b w:val="0"/>
          <w:bCs w:val="0"/>
        </w:rPr>
      </w:pPr>
      <w:bookmarkStart w:name="4.2.3 费用" w:id="65"/>
      <w:bookmarkEnd w:id="65"/>
      <w:r>
        <w:rPr>
          <w:b w:val="0"/>
          <w:bCs w:val="0"/>
        </w:rPr>
      </w:r>
      <w:r>
        <w:rPr>
          <w:rFonts w:ascii="Trebuchet MS" w:hAnsi="Trebuchet MS" w:cs="Trebuchet MS" w:eastAsia="Trebuchet MS" w:hint="default"/>
        </w:rPr>
        <w:t>4.2.3</w:t>
      </w:r>
      <w:r>
        <w:rPr>
          <w:rFonts w:ascii="Trebuchet MS" w:hAnsi="Trebuchet MS" w:cs="Trebuchet MS" w:eastAsia="Trebuchet MS" w:hint="default"/>
          <w:spacing w:val="-16"/>
        </w:rPr>
        <w:t> </w:t>
      </w:r>
      <w:r>
        <w:rPr/>
        <w:t>费用</w:t>
      </w:r>
      <w:r>
        <w:rPr>
          <w:b w:val="0"/>
          <w:bCs w:val="0"/>
        </w:rPr>
      </w:r>
    </w:p>
    <w:p>
      <w:pPr>
        <w:spacing w:line="240" w:lineRule="auto" w:before="14"/>
        <w:rPr>
          <w:rFonts w:ascii="Microsoft JhengHei" w:hAnsi="Microsoft JhengHei" w:cs="Microsoft JhengHei" w:eastAsia="Microsoft JhengHei" w:hint="default"/>
          <w:b/>
          <w:bCs/>
          <w:sz w:val="25"/>
          <w:szCs w:val="25"/>
        </w:rPr>
      </w:pPr>
    </w:p>
    <w:p>
      <w:pPr>
        <w:spacing w:before="29"/>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901"/>
        <w:gridCol w:w="1637"/>
        <w:gridCol w:w="1637"/>
        <w:gridCol w:w="1475"/>
        <w:gridCol w:w="2890"/>
      </w:tblGrid>
      <w:tr>
        <w:trPr>
          <w:trHeight w:val="402" w:hRule="exact"/>
        </w:trPr>
        <w:tc>
          <w:tcPr>
            <w:tcW w:w="1901" w:type="dxa"/>
            <w:tcBorders>
              <w:top w:val="single" w:sz="4" w:space="0" w:color="5B9BD4"/>
              <w:left w:val="nil" w:sz="6" w:space="0" w:color="auto"/>
              <w:bottom w:val="single" w:sz="4" w:space="0" w:color="5B9BD4"/>
              <w:right w:val="nil" w:sz="6" w:space="0" w:color="auto"/>
            </w:tcBorders>
            <w:shd w:val="clear" w:color="auto" w:fill="DEEAF6"/>
          </w:tcPr>
          <w:p>
            <w:pPr/>
          </w:p>
        </w:tc>
        <w:tc>
          <w:tcPr>
            <w:tcW w:w="163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507"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w:t>
            </w:r>
          </w:p>
        </w:tc>
        <w:tc>
          <w:tcPr>
            <w:tcW w:w="163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506"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1"/>
                <w:sz w:val="18"/>
                <w:szCs w:val="18"/>
              </w:rPr>
              <w:t> </w:t>
            </w:r>
            <w:r>
              <w:rPr>
                <w:rFonts w:ascii="宋体" w:hAnsi="宋体" w:cs="宋体" w:eastAsia="宋体" w:hint="default"/>
                <w:sz w:val="18"/>
                <w:szCs w:val="18"/>
              </w:rPr>
              <w:t>年</w:t>
            </w:r>
          </w:p>
        </w:tc>
        <w:tc>
          <w:tcPr>
            <w:tcW w:w="147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369"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8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90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901" w:type="dxa"/>
            <w:tcBorders>
              <w:top w:val="single" w:sz="4" w:space="0" w:color="5B9BD4"/>
              <w:left w:val="nil" w:sz="6" w:space="0" w:color="auto"/>
              <w:bottom w:val="nil" w:sz="6" w:space="0" w:color="auto"/>
              <w:right w:val="nil" w:sz="6" w:space="0" w:color="auto"/>
            </w:tcBorders>
            <w:shd w:val="clear" w:color="auto" w:fill="DEEAF6"/>
          </w:tcPr>
          <w:p>
            <w:pPr/>
          </w:p>
        </w:tc>
        <w:tc>
          <w:tcPr>
            <w:tcW w:w="1637" w:type="dxa"/>
            <w:vMerge w:val="restart"/>
            <w:tcBorders>
              <w:top w:val="single" w:sz="4" w:space="0" w:color="5B9BD4"/>
              <w:left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63" w:right="0"/>
              <w:jc w:val="left"/>
              <w:rPr>
                <w:rFonts w:ascii="Arial" w:hAnsi="Arial" w:cs="Arial" w:eastAsia="Arial" w:hint="default"/>
                <w:sz w:val="18"/>
                <w:szCs w:val="18"/>
              </w:rPr>
            </w:pPr>
            <w:r>
              <w:rPr>
                <w:rFonts w:ascii="Arial"/>
                <w:sz w:val="18"/>
              </w:rPr>
              <w:t>674,245,533.27</w:t>
            </w:r>
          </w:p>
        </w:tc>
        <w:tc>
          <w:tcPr>
            <w:tcW w:w="1637" w:type="dxa"/>
            <w:tcBorders>
              <w:top w:val="single" w:sz="4" w:space="0" w:color="5B9BD4"/>
              <w:left w:val="nil" w:sz="6" w:space="0" w:color="auto"/>
              <w:bottom w:val="nil" w:sz="6" w:space="0" w:color="auto"/>
              <w:right w:val="nil" w:sz="6" w:space="0" w:color="auto"/>
            </w:tcBorders>
            <w:shd w:val="clear" w:color="auto" w:fill="DEEAF6"/>
          </w:tcPr>
          <w:p>
            <w:pPr/>
          </w:p>
        </w:tc>
        <w:tc>
          <w:tcPr>
            <w:tcW w:w="1475" w:type="dxa"/>
            <w:vMerge w:val="restart"/>
            <w:tcBorders>
              <w:top w:val="single" w:sz="4" w:space="0" w:color="5B9BD4"/>
              <w:left w:val="nil" w:sz="6" w:space="0" w:color="auto"/>
              <w:right w:val="single" w:sz="11" w:space="0" w:color="DEEAF6"/>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84" w:right="0"/>
              <w:jc w:val="left"/>
              <w:rPr>
                <w:rFonts w:ascii="Arial" w:hAnsi="Arial" w:cs="Arial" w:eastAsia="Arial" w:hint="default"/>
                <w:sz w:val="18"/>
                <w:szCs w:val="18"/>
              </w:rPr>
            </w:pPr>
            <w:r>
              <w:rPr>
                <w:rFonts w:ascii="Arial"/>
                <w:sz w:val="18"/>
              </w:rPr>
              <w:t>-26.44%</w:t>
            </w:r>
          </w:p>
        </w:tc>
        <w:tc>
          <w:tcPr>
            <w:tcW w:w="2890"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6"/>
              <w:ind w:left="13" w:right="12"/>
              <w:jc w:val="left"/>
              <w:rPr>
                <w:rFonts w:ascii="宋体" w:hAnsi="宋体" w:cs="宋体" w:eastAsia="宋体" w:hint="default"/>
                <w:sz w:val="18"/>
                <w:szCs w:val="18"/>
              </w:rPr>
            </w:pPr>
            <w:r>
              <w:rPr>
                <w:rFonts w:ascii="宋体" w:hAnsi="宋体" w:cs="宋体" w:eastAsia="宋体" w:hint="default"/>
                <w:spacing w:val="-2"/>
                <w:sz w:val="18"/>
                <w:szCs w:val="18"/>
              </w:rPr>
              <w:t>公司加强运营管理，提升组织效率和</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人工效率，有效控制运营成本</w:t>
            </w:r>
          </w:p>
        </w:tc>
      </w:tr>
      <w:tr>
        <w:trPr>
          <w:trHeight w:val="392" w:hRule="exact"/>
        </w:trPr>
        <w:tc>
          <w:tcPr>
            <w:tcW w:w="1901"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w w:val="95"/>
                <w:sz w:val="18"/>
              </w:rPr>
              <w:t>916,581,781.35</w:t>
            </w:r>
            <w:r>
              <w:rPr>
                <w:rFonts w:ascii="Arial"/>
                <w:sz w:val="18"/>
              </w:rPr>
            </w:r>
          </w:p>
        </w:tc>
        <w:tc>
          <w:tcPr>
            <w:tcW w:w="1475" w:type="dxa"/>
            <w:vMerge/>
            <w:tcBorders>
              <w:left w:val="nil" w:sz="6" w:space="0" w:color="auto"/>
              <w:right w:val="single" w:sz="11" w:space="0" w:color="DEEAF6"/>
            </w:tcBorders>
          </w:tcPr>
          <w:p>
            <w:pPr/>
          </w:p>
        </w:tc>
        <w:tc>
          <w:tcPr>
            <w:tcW w:w="2890" w:type="dxa"/>
            <w:vMerge/>
            <w:tcBorders>
              <w:left w:val="nil" w:sz="6" w:space="0" w:color="auto"/>
              <w:right w:val="nil" w:sz="6" w:space="0" w:color="auto"/>
            </w:tcBorders>
            <w:shd w:val="clear" w:color="auto" w:fill="DEEAF6"/>
          </w:tcPr>
          <w:p>
            <w:pPr/>
          </w:p>
        </w:tc>
      </w:tr>
      <w:tr>
        <w:trPr>
          <w:trHeight w:val="161" w:hRule="exact"/>
        </w:trPr>
        <w:tc>
          <w:tcPr>
            <w:tcW w:w="1901" w:type="dxa"/>
            <w:tcBorders>
              <w:top w:val="nil" w:sz="6" w:space="0" w:color="auto"/>
              <w:left w:val="nil" w:sz="6" w:space="0" w:color="auto"/>
              <w:bottom w:val="single" w:sz="4" w:space="0" w:color="5B9BD4"/>
              <w:right w:val="nil" w:sz="6" w:space="0" w:color="auto"/>
            </w:tcBorders>
            <w:shd w:val="clear" w:color="auto" w:fill="DEEAF6"/>
          </w:tcPr>
          <w:p>
            <w:pPr/>
          </w:p>
        </w:tc>
        <w:tc>
          <w:tcPr>
            <w:tcW w:w="1637" w:type="dxa"/>
            <w:vMerge/>
            <w:tcBorders>
              <w:left w:val="nil" w:sz="6" w:space="0" w:color="auto"/>
              <w:bottom w:val="single" w:sz="4" w:space="0" w:color="5B9BD4"/>
              <w:right w:val="nil" w:sz="6" w:space="0" w:color="auto"/>
            </w:tcBorders>
          </w:tcPr>
          <w:p>
            <w:pPr/>
          </w:p>
        </w:tc>
        <w:tc>
          <w:tcPr>
            <w:tcW w:w="1637" w:type="dxa"/>
            <w:tcBorders>
              <w:top w:val="nil" w:sz="6" w:space="0" w:color="auto"/>
              <w:left w:val="nil" w:sz="6" w:space="0" w:color="auto"/>
              <w:bottom w:val="single" w:sz="4" w:space="0" w:color="5B9BD4"/>
              <w:right w:val="nil" w:sz="6" w:space="0" w:color="auto"/>
            </w:tcBorders>
            <w:shd w:val="clear" w:color="auto" w:fill="DEEAF6"/>
          </w:tcPr>
          <w:p>
            <w:pPr/>
          </w:p>
        </w:tc>
        <w:tc>
          <w:tcPr>
            <w:tcW w:w="1475" w:type="dxa"/>
            <w:vMerge/>
            <w:tcBorders>
              <w:left w:val="nil" w:sz="6" w:space="0" w:color="auto"/>
              <w:bottom w:val="single" w:sz="4" w:space="0" w:color="5B9BD4"/>
              <w:right w:val="single" w:sz="11" w:space="0" w:color="DEEAF6"/>
            </w:tcBorders>
          </w:tcPr>
          <w:p>
            <w:pPr/>
          </w:p>
        </w:tc>
        <w:tc>
          <w:tcPr>
            <w:tcW w:w="2890" w:type="dxa"/>
            <w:vMerge/>
            <w:tcBorders>
              <w:left w:val="nil" w:sz="6" w:space="0" w:color="auto"/>
              <w:bottom w:val="single" w:sz="4" w:space="0" w:color="5B9BD4"/>
              <w:right w:val="nil" w:sz="6" w:space="0" w:color="auto"/>
            </w:tcBorders>
            <w:shd w:val="clear" w:color="auto" w:fill="DEEAF6"/>
          </w:tcPr>
          <w:p>
            <w:pPr/>
          </w:p>
        </w:tc>
      </w:tr>
      <w:tr>
        <w:trPr>
          <w:trHeight w:val="161" w:hRule="exact"/>
        </w:trPr>
        <w:tc>
          <w:tcPr>
            <w:tcW w:w="1901" w:type="dxa"/>
            <w:tcBorders>
              <w:top w:val="single" w:sz="4" w:space="0" w:color="5B9BD4"/>
              <w:left w:val="nil" w:sz="6" w:space="0" w:color="auto"/>
              <w:bottom w:val="nil" w:sz="6" w:space="0" w:color="auto"/>
              <w:right w:val="nil" w:sz="6" w:space="0" w:color="auto"/>
            </w:tcBorders>
            <w:shd w:val="clear" w:color="auto" w:fill="DEEAF6"/>
          </w:tcPr>
          <w:p>
            <w:pPr/>
          </w:p>
        </w:tc>
        <w:tc>
          <w:tcPr>
            <w:tcW w:w="1637" w:type="dxa"/>
            <w:vMerge w:val="restart"/>
            <w:tcBorders>
              <w:top w:val="single" w:sz="4" w:space="0" w:color="5B9BD4"/>
              <w:left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63" w:right="0"/>
              <w:jc w:val="left"/>
              <w:rPr>
                <w:rFonts w:ascii="Arial" w:hAnsi="Arial" w:cs="Arial" w:eastAsia="Arial" w:hint="default"/>
                <w:sz w:val="18"/>
                <w:szCs w:val="18"/>
              </w:rPr>
            </w:pPr>
            <w:r>
              <w:rPr>
                <w:rFonts w:ascii="Arial"/>
                <w:sz w:val="18"/>
              </w:rPr>
              <w:t>254,927,703.30</w:t>
            </w:r>
          </w:p>
        </w:tc>
        <w:tc>
          <w:tcPr>
            <w:tcW w:w="1637" w:type="dxa"/>
            <w:tcBorders>
              <w:top w:val="single" w:sz="4" w:space="0" w:color="5B9BD4"/>
              <w:left w:val="nil" w:sz="6" w:space="0" w:color="auto"/>
              <w:bottom w:val="nil" w:sz="6" w:space="0" w:color="auto"/>
              <w:right w:val="nil" w:sz="6" w:space="0" w:color="auto"/>
            </w:tcBorders>
            <w:shd w:val="clear" w:color="auto" w:fill="DEEAF6"/>
          </w:tcPr>
          <w:p>
            <w:pPr/>
          </w:p>
        </w:tc>
        <w:tc>
          <w:tcPr>
            <w:tcW w:w="1475" w:type="dxa"/>
            <w:vMerge w:val="restart"/>
            <w:tcBorders>
              <w:top w:val="single" w:sz="4" w:space="0" w:color="5B9BD4"/>
              <w:left w:val="nil" w:sz="6" w:space="0" w:color="auto"/>
              <w:right w:val="single" w:sz="11" w:space="0" w:color="DEEAF6"/>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84" w:right="0"/>
              <w:jc w:val="left"/>
              <w:rPr>
                <w:rFonts w:ascii="Arial" w:hAnsi="Arial" w:cs="Arial" w:eastAsia="Arial" w:hint="default"/>
                <w:sz w:val="18"/>
                <w:szCs w:val="18"/>
              </w:rPr>
            </w:pPr>
            <w:r>
              <w:rPr>
                <w:rFonts w:ascii="Arial"/>
                <w:sz w:val="18"/>
              </w:rPr>
              <w:t>-21.12%</w:t>
            </w:r>
          </w:p>
        </w:tc>
        <w:tc>
          <w:tcPr>
            <w:tcW w:w="2890"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6"/>
              <w:ind w:left="13" w:right="12"/>
              <w:jc w:val="left"/>
              <w:rPr>
                <w:rFonts w:ascii="宋体" w:hAnsi="宋体" w:cs="宋体" w:eastAsia="宋体" w:hint="default"/>
                <w:sz w:val="18"/>
                <w:szCs w:val="18"/>
              </w:rPr>
            </w:pPr>
            <w:r>
              <w:rPr>
                <w:rFonts w:ascii="宋体" w:hAnsi="宋体" w:cs="宋体" w:eastAsia="宋体" w:hint="default"/>
                <w:spacing w:val="-2"/>
                <w:sz w:val="18"/>
                <w:szCs w:val="18"/>
              </w:rPr>
              <w:t>公司加强运营管理，提升组织效率和</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人工效率，有效控制运营成本</w:t>
            </w:r>
          </w:p>
        </w:tc>
      </w:tr>
      <w:tr>
        <w:trPr>
          <w:trHeight w:val="392" w:hRule="exact"/>
        </w:trPr>
        <w:tc>
          <w:tcPr>
            <w:tcW w:w="1901"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w w:val="95"/>
                <w:sz w:val="18"/>
              </w:rPr>
              <w:t>323,192,075.62</w:t>
            </w:r>
            <w:r>
              <w:rPr>
                <w:rFonts w:ascii="Arial"/>
                <w:sz w:val="18"/>
              </w:rPr>
            </w:r>
          </w:p>
        </w:tc>
        <w:tc>
          <w:tcPr>
            <w:tcW w:w="1475" w:type="dxa"/>
            <w:vMerge/>
            <w:tcBorders>
              <w:left w:val="nil" w:sz="6" w:space="0" w:color="auto"/>
              <w:right w:val="single" w:sz="11" w:space="0" w:color="DEEAF6"/>
            </w:tcBorders>
          </w:tcPr>
          <w:p>
            <w:pPr/>
          </w:p>
        </w:tc>
        <w:tc>
          <w:tcPr>
            <w:tcW w:w="2890" w:type="dxa"/>
            <w:vMerge/>
            <w:tcBorders>
              <w:left w:val="nil" w:sz="6" w:space="0" w:color="auto"/>
              <w:right w:val="nil" w:sz="6" w:space="0" w:color="auto"/>
            </w:tcBorders>
            <w:shd w:val="clear" w:color="auto" w:fill="DEEAF6"/>
          </w:tcPr>
          <w:p>
            <w:pPr/>
          </w:p>
        </w:tc>
      </w:tr>
      <w:tr>
        <w:trPr>
          <w:trHeight w:val="161" w:hRule="exact"/>
        </w:trPr>
        <w:tc>
          <w:tcPr>
            <w:tcW w:w="1901" w:type="dxa"/>
            <w:tcBorders>
              <w:top w:val="nil" w:sz="6" w:space="0" w:color="auto"/>
              <w:left w:val="nil" w:sz="6" w:space="0" w:color="auto"/>
              <w:bottom w:val="single" w:sz="4" w:space="0" w:color="5B9BD4"/>
              <w:right w:val="nil" w:sz="6" w:space="0" w:color="auto"/>
            </w:tcBorders>
            <w:shd w:val="clear" w:color="auto" w:fill="DEEAF6"/>
          </w:tcPr>
          <w:p>
            <w:pPr/>
          </w:p>
        </w:tc>
        <w:tc>
          <w:tcPr>
            <w:tcW w:w="1637" w:type="dxa"/>
            <w:vMerge/>
            <w:tcBorders>
              <w:left w:val="nil" w:sz="6" w:space="0" w:color="auto"/>
              <w:bottom w:val="single" w:sz="4" w:space="0" w:color="5B9BD4"/>
              <w:right w:val="nil" w:sz="6" w:space="0" w:color="auto"/>
            </w:tcBorders>
          </w:tcPr>
          <w:p>
            <w:pPr/>
          </w:p>
        </w:tc>
        <w:tc>
          <w:tcPr>
            <w:tcW w:w="1637" w:type="dxa"/>
            <w:tcBorders>
              <w:top w:val="nil" w:sz="6" w:space="0" w:color="auto"/>
              <w:left w:val="nil" w:sz="6" w:space="0" w:color="auto"/>
              <w:bottom w:val="single" w:sz="4" w:space="0" w:color="5B9BD4"/>
              <w:right w:val="nil" w:sz="6" w:space="0" w:color="auto"/>
            </w:tcBorders>
            <w:shd w:val="clear" w:color="auto" w:fill="DEEAF6"/>
          </w:tcPr>
          <w:p>
            <w:pPr/>
          </w:p>
        </w:tc>
        <w:tc>
          <w:tcPr>
            <w:tcW w:w="1475" w:type="dxa"/>
            <w:vMerge/>
            <w:tcBorders>
              <w:left w:val="nil" w:sz="6" w:space="0" w:color="auto"/>
              <w:bottom w:val="single" w:sz="4" w:space="0" w:color="5B9BD4"/>
              <w:right w:val="single" w:sz="11" w:space="0" w:color="DEEAF6"/>
            </w:tcBorders>
          </w:tcPr>
          <w:p>
            <w:pPr/>
          </w:p>
        </w:tc>
        <w:tc>
          <w:tcPr>
            <w:tcW w:w="2890" w:type="dxa"/>
            <w:vMerge/>
            <w:tcBorders>
              <w:left w:val="nil" w:sz="6" w:space="0" w:color="auto"/>
              <w:bottom w:val="single" w:sz="4" w:space="0" w:color="5B9BD4"/>
              <w:right w:val="nil" w:sz="6" w:space="0" w:color="auto"/>
            </w:tcBorders>
            <w:shd w:val="clear" w:color="auto" w:fill="DEEAF6"/>
          </w:tcPr>
          <w:p>
            <w:pPr/>
          </w:p>
        </w:tc>
      </w:tr>
      <w:tr>
        <w:trPr>
          <w:trHeight w:val="317" w:hRule="exact"/>
        </w:trPr>
        <w:tc>
          <w:tcPr>
            <w:tcW w:w="1901" w:type="dxa"/>
            <w:tcBorders>
              <w:top w:val="single" w:sz="4" w:space="0" w:color="5B9BD4"/>
              <w:left w:val="nil" w:sz="6" w:space="0" w:color="auto"/>
              <w:bottom w:val="nil" w:sz="6" w:space="0" w:color="auto"/>
              <w:right w:val="nil" w:sz="6" w:space="0" w:color="auto"/>
            </w:tcBorders>
            <w:shd w:val="clear" w:color="auto" w:fill="DEEAF6"/>
          </w:tcPr>
          <w:p>
            <w:pPr/>
          </w:p>
        </w:tc>
        <w:tc>
          <w:tcPr>
            <w:tcW w:w="1637"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63" w:right="0"/>
              <w:jc w:val="left"/>
              <w:rPr>
                <w:rFonts w:ascii="Arial" w:hAnsi="Arial" w:cs="Arial" w:eastAsia="Arial" w:hint="default"/>
                <w:sz w:val="18"/>
                <w:szCs w:val="18"/>
              </w:rPr>
            </w:pPr>
            <w:r>
              <w:rPr>
                <w:rFonts w:ascii="Arial"/>
                <w:sz w:val="18"/>
              </w:rPr>
              <w:t>151,667,158.51</w:t>
            </w:r>
          </w:p>
        </w:tc>
        <w:tc>
          <w:tcPr>
            <w:tcW w:w="1637" w:type="dxa"/>
            <w:tcBorders>
              <w:top w:val="single" w:sz="4" w:space="0" w:color="5B9BD4"/>
              <w:left w:val="nil" w:sz="6" w:space="0" w:color="auto"/>
              <w:bottom w:val="nil" w:sz="6" w:space="0" w:color="auto"/>
              <w:right w:val="nil" w:sz="6" w:space="0" w:color="auto"/>
            </w:tcBorders>
            <w:shd w:val="clear" w:color="auto" w:fill="DEEAF6"/>
          </w:tcPr>
          <w:p>
            <w:pPr/>
          </w:p>
        </w:tc>
        <w:tc>
          <w:tcPr>
            <w:tcW w:w="1475" w:type="dxa"/>
            <w:vMerge w:val="restart"/>
            <w:tcBorders>
              <w:top w:val="single" w:sz="4" w:space="0" w:color="5B9BD4"/>
              <w:left w:val="nil" w:sz="6" w:space="0" w:color="auto"/>
              <w:right w:val="single" w:sz="11" w:space="0" w:color="DEEAF6"/>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84" w:right="0"/>
              <w:jc w:val="left"/>
              <w:rPr>
                <w:rFonts w:ascii="Arial" w:hAnsi="Arial" w:cs="Arial" w:eastAsia="Arial" w:hint="default"/>
                <w:sz w:val="18"/>
                <w:szCs w:val="18"/>
              </w:rPr>
            </w:pPr>
            <w:r>
              <w:rPr>
                <w:rFonts w:ascii="Arial"/>
                <w:sz w:val="18"/>
              </w:rPr>
              <w:t>-53.97%</w:t>
            </w:r>
          </w:p>
        </w:tc>
        <w:tc>
          <w:tcPr>
            <w:tcW w:w="2890"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6"/>
              <w:ind w:left="13" w:right="12"/>
              <w:jc w:val="both"/>
              <w:rPr>
                <w:rFonts w:ascii="宋体" w:hAnsi="宋体" w:cs="宋体" w:eastAsia="宋体" w:hint="default"/>
                <w:sz w:val="18"/>
                <w:szCs w:val="18"/>
              </w:rPr>
            </w:pPr>
            <w:r>
              <w:rPr>
                <w:rFonts w:ascii="宋体" w:hAnsi="宋体" w:cs="宋体" w:eastAsia="宋体" w:hint="default"/>
                <w:spacing w:val="-2"/>
                <w:sz w:val="18"/>
                <w:szCs w:val="18"/>
              </w:rPr>
              <w:t>公司加强应收账款及存货管理，减少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资金占用，同时融资成本率下降，减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少财务费用支出。</w:t>
            </w:r>
          </w:p>
        </w:tc>
      </w:tr>
      <w:tr>
        <w:trPr>
          <w:trHeight w:val="392" w:hRule="exact"/>
        </w:trPr>
        <w:tc>
          <w:tcPr>
            <w:tcW w:w="1901"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w w:val="95"/>
                <w:sz w:val="18"/>
              </w:rPr>
              <w:t>329,466,903.99</w:t>
            </w:r>
            <w:r>
              <w:rPr>
                <w:rFonts w:ascii="Arial"/>
                <w:sz w:val="18"/>
              </w:rPr>
            </w:r>
          </w:p>
        </w:tc>
        <w:tc>
          <w:tcPr>
            <w:tcW w:w="1475" w:type="dxa"/>
            <w:vMerge/>
            <w:tcBorders>
              <w:left w:val="nil" w:sz="6" w:space="0" w:color="auto"/>
              <w:right w:val="single" w:sz="11" w:space="0" w:color="DEEAF6"/>
            </w:tcBorders>
          </w:tcPr>
          <w:p>
            <w:pPr/>
          </w:p>
        </w:tc>
        <w:tc>
          <w:tcPr>
            <w:tcW w:w="2890" w:type="dxa"/>
            <w:vMerge/>
            <w:tcBorders>
              <w:left w:val="nil" w:sz="6" w:space="0" w:color="auto"/>
              <w:right w:val="nil" w:sz="6" w:space="0" w:color="auto"/>
            </w:tcBorders>
            <w:shd w:val="clear" w:color="auto" w:fill="DEEAF6"/>
          </w:tcPr>
          <w:p>
            <w:pPr/>
          </w:p>
        </w:tc>
      </w:tr>
      <w:tr>
        <w:trPr>
          <w:trHeight w:val="317" w:hRule="exact"/>
        </w:trPr>
        <w:tc>
          <w:tcPr>
            <w:tcW w:w="1901" w:type="dxa"/>
            <w:tcBorders>
              <w:top w:val="nil" w:sz="6" w:space="0" w:color="auto"/>
              <w:left w:val="nil" w:sz="6" w:space="0" w:color="auto"/>
              <w:bottom w:val="single" w:sz="4" w:space="0" w:color="5B9BD4"/>
              <w:right w:val="nil" w:sz="6" w:space="0" w:color="auto"/>
            </w:tcBorders>
            <w:shd w:val="clear" w:color="auto" w:fill="DEEAF6"/>
          </w:tcPr>
          <w:p>
            <w:pPr/>
          </w:p>
        </w:tc>
        <w:tc>
          <w:tcPr>
            <w:tcW w:w="1637" w:type="dxa"/>
            <w:vMerge/>
            <w:tcBorders>
              <w:left w:val="nil" w:sz="6" w:space="0" w:color="auto"/>
              <w:bottom w:val="single" w:sz="4" w:space="0" w:color="5B9BD4"/>
              <w:right w:val="nil" w:sz="6" w:space="0" w:color="auto"/>
            </w:tcBorders>
          </w:tcPr>
          <w:p>
            <w:pPr/>
          </w:p>
        </w:tc>
        <w:tc>
          <w:tcPr>
            <w:tcW w:w="1637" w:type="dxa"/>
            <w:tcBorders>
              <w:top w:val="nil" w:sz="6" w:space="0" w:color="auto"/>
              <w:left w:val="nil" w:sz="6" w:space="0" w:color="auto"/>
              <w:bottom w:val="single" w:sz="4" w:space="0" w:color="5B9BD4"/>
              <w:right w:val="nil" w:sz="6" w:space="0" w:color="auto"/>
            </w:tcBorders>
            <w:shd w:val="clear" w:color="auto" w:fill="DEEAF6"/>
          </w:tcPr>
          <w:p>
            <w:pPr/>
          </w:p>
        </w:tc>
        <w:tc>
          <w:tcPr>
            <w:tcW w:w="1475" w:type="dxa"/>
            <w:vMerge/>
            <w:tcBorders>
              <w:left w:val="nil" w:sz="6" w:space="0" w:color="auto"/>
              <w:bottom w:val="single" w:sz="4" w:space="0" w:color="5B9BD4"/>
              <w:right w:val="single" w:sz="11" w:space="0" w:color="DEEAF6"/>
            </w:tcBorders>
          </w:tcPr>
          <w:p>
            <w:pPr/>
          </w:p>
        </w:tc>
        <w:tc>
          <w:tcPr>
            <w:tcW w:w="2890" w:type="dxa"/>
            <w:vMerge/>
            <w:tcBorders>
              <w:left w:val="nil" w:sz="6" w:space="0" w:color="auto"/>
              <w:bottom w:val="single" w:sz="4" w:space="0" w:color="5B9BD4"/>
              <w:right w:val="nil" w:sz="6" w:space="0" w:color="auto"/>
            </w:tcBorders>
            <w:shd w:val="clear" w:color="auto" w:fill="DEEAF6"/>
          </w:tcPr>
          <w:p>
            <w:pPr/>
          </w:p>
        </w:tc>
      </w:tr>
    </w:tbl>
    <w:p>
      <w:pPr>
        <w:spacing w:after="0"/>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2"/>
        <w:spacing w:line="348" w:lineRule="exact"/>
        <w:ind w:right="0"/>
        <w:jc w:val="left"/>
        <w:rPr>
          <w:b w:val="0"/>
          <w:bCs w:val="0"/>
        </w:rPr>
      </w:pPr>
      <w:bookmarkStart w:name="4.2.4 研发投入" w:id="66"/>
      <w:bookmarkEnd w:id="66"/>
      <w:r>
        <w:rPr>
          <w:b w:val="0"/>
          <w:bCs w:val="0"/>
        </w:rPr>
      </w:r>
      <w:r>
        <w:rPr>
          <w:rFonts w:ascii="Trebuchet MS" w:hAnsi="Trebuchet MS" w:cs="Trebuchet MS" w:eastAsia="Trebuchet MS" w:hint="default"/>
        </w:rPr>
        <w:t>4.2.4</w:t>
      </w:r>
      <w:r>
        <w:rPr>
          <w:rFonts w:ascii="Trebuchet MS" w:hAnsi="Trebuchet MS" w:cs="Trebuchet MS" w:eastAsia="Trebuchet MS" w:hint="default"/>
          <w:spacing w:val="-18"/>
        </w:rPr>
        <w:t> </w:t>
      </w:r>
      <w:r>
        <w:rPr/>
        <w:t>研发投入</w:t>
      </w:r>
      <w:r>
        <w:rPr>
          <w:b w:val="0"/>
          <w:bCs w:val="0"/>
        </w:rPr>
      </w:r>
    </w:p>
    <w:p>
      <w:pPr>
        <w:spacing w:line="240" w:lineRule="auto" w:before="9"/>
        <w:rPr>
          <w:rFonts w:ascii="Microsoft JhengHei" w:hAnsi="Microsoft JhengHei" w:cs="Microsoft JhengHei" w:eastAsia="Microsoft JhengHei"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3"/>
          <w:szCs w:val="13"/>
        </w:rPr>
      </w:pPr>
    </w:p>
    <w:p>
      <w:pPr>
        <w:pStyle w:val="BodyText"/>
        <w:spacing w:line="240" w:lineRule="auto"/>
        <w:ind w:left="573" w:right="0"/>
        <w:jc w:val="left"/>
      </w:pPr>
      <w:r>
        <w:rPr/>
        <w:t>报告期内，公司研发投入主要系并购的子公司所涉及的手机游戏项目的开发支出。</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tbl>
      <w:tblPr>
        <w:tblW w:w="0" w:type="auto"/>
        <w:jc w:val="left"/>
        <w:tblInd w:w="162" w:type="dxa"/>
        <w:tblLayout w:type="fixed"/>
        <w:tblCellMar>
          <w:top w:w="0" w:type="dxa"/>
          <w:left w:w="0" w:type="dxa"/>
          <w:bottom w:w="0" w:type="dxa"/>
          <w:right w:w="0" w:type="dxa"/>
        </w:tblCellMar>
        <w:tblLook w:val="01E0"/>
      </w:tblPr>
      <w:tblGrid>
        <w:gridCol w:w="2364"/>
        <w:gridCol w:w="2421"/>
        <w:gridCol w:w="2364"/>
        <w:gridCol w:w="2392"/>
      </w:tblGrid>
      <w:tr>
        <w:trPr>
          <w:trHeight w:val="402" w:hRule="exact"/>
        </w:trPr>
        <w:tc>
          <w:tcPr>
            <w:tcW w:w="2364" w:type="dxa"/>
            <w:tcBorders>
              <w:top w:val="single" w:sz="4" w:space="0" w:color="5B9BD4"/>
              <w:left w:val="nil" w:sz="6" w:space="0" w:color="auto"/>
              <w:bottom w:val="single" w:sz="4" w:space="0" w:color="5B9BD4"/>
              <w:right w:val="nil" w:sz="6" w:space="0" w:color="auto"/>
            </w:tcBorders>
            <w:shd w:val="clear" w:color="auto" w:fill="DEEAF6"/>
          </w:tcPr>
          <w:p>
            <w:pPr/>
          </w:p>
        </w:tc>
        <w:tc>
          <w:tcPr>
            <w:tcW w:w="242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right="1"/>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w:t>
            </w:r>
          </w:p>
        </w:tc>
        <w:tc>
          <w:tcPr>
            <w:tcW w:w="236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right="0"/>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1"/>
                <w:sz w:val="18"/>
                <w:szCs w:val="18"/>
              </w:rPr>
              <w:t> </w:t>
            </w:r>
            <w:r>
              <w:rPr>
                <w:rFonts w:ascii="宋体" w:hAnsi="宋体" w:cs="宋体" w:eastAsia="宋体" w:hint="default"/>
                <w:sz w:val="18"/>
                <w:szCs w:val="18"/>
              </w:rPr>
              <w:t>年</w:t>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6"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21"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spacing w:val="-1"/>
                <w:w w:val="95"/>
                <w:sz w:val="18"/>
              </w:rPr>
              <w:t>214</w:t>
            </w:r>
            <w:r>
              <w:rPr>
                <w:rFonts w:ascii="Arial"/>
                <w:sz w:val="18"/>
              </w:rPr>
            </w:r>
          </w:p>
        </w:tc>
        <w:tc>
          <w:tcPr>
            <w:tcW w:w="236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2"/>
              <w:jc w:val="right"/>
              <w:rPr>
                <w:rFonts w:ascii="Arial" w:hAnsi="Arial" w:cs="Arial" w:eastAsia="Arial" w:hint="default"/>
                <w:sz w:val="18"/>
                <w:szCs w:val="18"/>
              </w:rPr>
            </w:pPr>
            <w:r>
              <w:rPr>
                <w:rFonts w:ascii="Arial"/>
                <w:spacing w:val="-1"/>
                <w:w w:val="95"/>
                <w:sz w:val="18"/>
              </w:rPr>
              <w:t>326</w:t>
            </w:r>
            <w:r>
              <w:rPr>
                <w:rFonts w:ascii="Arial"/>
                <w:sz w:val="18"/>
              </w:rPr>
            </w:r>
          </w:p>
        </w:tc>
        <w:tc>
          <w:tcPr>
            <w:tcW w:w="2392"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88"/>
              <w:ind w:right="11"/>
              <w:jc w:val="right"/>
              <w:rPr>
                <w:rFonts w:ascii="Arial" w:hAnsi="Arial" w:cs="Arial" w:eastAsia="Arial" w:hint="default"/>
                <w:sz w:val="18"/>
                <w:szCs w:val="18"/>
              </w:rPr>
            </w:pPr>
            <w:r>
              <w:rPr>
                <w:rFonts w:ascii="Arial"/>
                <w:w w:val="95"/>
                <w:sz w:val="18"/>
              </w:rPr>
              <w:t>-34.36%</w:t>
            </w:r>
            <w:r>
              <w:rPr>
                <w:rFonts w:ascii="Arial"/>
                <w:sz w:val="18"/>
              </w:rPr>
            </w:r>
          </w:p>
        </w:tc>
      </w:tr>
      <w:tr>
        <w:trPr>
          <w:trHeight w:val="402" w:hRule="exact"/>
        </w:trPr>
        <w:tc>
          <w:tcPr>
            <w:tcW w:w="236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21"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75"/>
              <w:ind w:right="24"/>
              <w:jc w:val="right"/>
              <w:rPr>
                <w:rFonts w:ascii="Arial" w:hAnsi="Arial" w:cs="Arial" w:eastAsia="Arial" w:hint="default"/>
                <w:sz w:val="20"/>
                <w:szCs w:val="20"/>
              </w:rPr>
            </w:pPr>
            <w:r>
              <w:rPr>
                <w:rFonts w:ascii="Arial"/>
                <w:w w:val="95"/>
                <w:sz w:val="20"/>
              </w:rPr>
              <w:t>6.73%</w:t>
            </w:r>
            <w:r>
              <w:rPr>
                <w:rFonts w:ascii="Arial"/>
                <w:sz w:val="20"/>
              </w:rPr>
            </w:r>
          </w:p>
        </w:tc>
        <w:tc>
          <w:tcPr>
            <w:tcW w:w="236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5"/>
              <w:ind w:right="10"/>
              <w:jc w:val="right"/>
              <w:rPr>
                <w:rFonts w:ascii="Arial" w:hAnsi="Arial" w:cs="Arial" w:eastAsia="Arial" w:hint="default"/>
                <w:sz w:val="20"/>
                <w:szCs w:val="20"/>
              </w:rPr>
            </w:pPr>
            <w:r>
              <w:rPr>
                <w:rFonts w:ascii="Arial"/>
                <w:w w:val="95"/>
                <w:sz w:val="20"/>
              </w:rPr>
              <w:t>7.83%</w:t>
            </w:r>
            <w:r>
              <w:rPr>
                <w:rFonts w:ascii="Arial"/>
                <w:sz w:val="20"/>
              </w:rPr>
            </w:r>
          </w:p>
        </w:tc>
        <w:tc>
          <w:tcPr>
            <w:tcW w:w="2392"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75"/>
              <w:ind w:right="11"/>
              <w:jc w:val="right"/>
              <w:rPr>
                <w:rFonts w:ascii="Arial" w:hAnsi="Arial" w:cs="Arial" w:eastAsia="Arial" w:hint="default"/>
                <w:sz w:val="20"/>
                <w:szCs w:val="20"/>
              </w:rPr>
            </w:pPr>
            <w:r>
              <w:rPr>
                <w:rFonts w:ascii="Arial"/>
                <w:spacing w:val="-1"/>
                <w:w w:val="95"/>
                <w:sz w:val="20"/>
              </w:rPr>
              <w:t>-1.10%</w:t>
            </w:r>
            <w:r>
              <w:rPr>
                <w:rFonts w:ascii="Arial"/>
                <w:spacing w:val="-1"/>
                <w:sz w:val="20"/>
              </w:rPr>
            </w:r>
          </w:p>
        </w:tc>
      </w:tr>
      <w:tr>
        <w:trPr>
          <w:trHeight w:val="402" w:hRule="exact"/>
        </w:trPr>
        <w:tc>
          <w:tcPr>
            <w:tcW w:w="236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21"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75"/>
              <w:ind w:right="25"/>
              <w:jc w:val="right"/>
              <w:rPr>
                <w:rFonts w:ascii="Arial" w:hAnsi="Arial" w:cs="Arial" w:eastAsia="Arial" w:hint="default"/>
                <w:sz w:val="20"/>
                <w:szCs w:val="20"/>
              </w:rPr>
            </w:pPr>
            <w:r>
              <w:rPr>
                <w:rFonts w:ascii="Arial"/>
                <w:spacing w:val="-1"/>
                <w:sz w:val="20"/>
              </w:rPr>
              <w:t>30,347,320.47</w:t>
            </w:r>
          </w:p>
        </w:tc>
        <w:tc>
          <w:tcPr>
            <w:tcW w:w="236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5"/>
              <w:ind w:right="12"/>
              <w:jc w:val="right"/>
              <w:rPr>
                <w:rFonts w:ascii="Arial" w:hAnsi="Arial" w:cs="Arial" w:eastAsia="Arial" w:hint="default"/>
                <w:sz w:val="20"/>
                <w:szCs w:val="20"/>
              </w:rPr>
            </w:pPr>
            <w:r>
              <w:rPr>
                <w:rFonts w:ascii="Arial"/>
                <w:spacing w:val="-1"/>
                <w:sz w:val="20"/>
              </w:rPr>
              <w:t>36,926,012.86</w:t>
            </w:r>
          </w:p>
        </w:tc>
        <w:tc>
          <w:tcPr>
            <w:tcW w:w="2392"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75"/>
              <w:ind w:right="10"/>
              <w:jc w:val="right"/>
              <w:rPr>
                <w:rFonts w:ascii="Arial" w:hAnsi="Arial" w:cs="Arial" w:eastAsia="Arial" w:hint="default"/>
                <w:sz w:val="20"/>
                <w:szCs w:val="20"/>
              </w:rPr>
            </w:pPr>
            <w:r>
              <w:rPr>
                <w:rFonts w:ascii="Arial"/>
                <w:spacing w:val="-1"/>
                <w:w w:val="95"/>
                <w:sz w:val="20"/>
              </w:rPr>
              <w:t>-17.82%</w:t>
            </w:r>
            <w:r>
              <w:rPr>
                <w:rFonts w:ascii="Arial"/>
                <w:spacing w:val="-1"/>
                <w:sz w:val="20"/>
              </w:rPr>
            </w:r>
          </w:p>
        </w:tc>
      </w:tr>
      <w:tr>
        <w:trPr>
          <w:trHeight w:val="402" w:hRule="exact"/>
        </w:trPr>
        <w:tc>
          <w:tcPr>
            <w:tcW w:w="236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21"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75"/>
              <w:ind w:right="24"/>
              <w:jc w:val="right"/>
              <w:rPr>
                <w:rFonts w:ascii="Arial" w:hAnsi="Arial" w:cs="Arial" w:eastAsia="Arial" w:hint="default"/>
                <w:sz w:val="20"/>
                <w:szCs w:val="20"/>
              </w:rPr>
            </w:pPr>
            <w:r>
              <w:rPr>
                <w:rFonts w:ascii="Arial"/>
                <w:w w:val="95"/>
                <w:sz w:val="20"/>
              </w:rPr>
              <w:t>0.06%</w:t>
            </w:r>
            <w:r>
              <w:rPr>
                <w:rFonts w:ascii="Arial"/>
                <w:sz w:val="20"/>
              </w:rPr>
            </w:r>
          </w:p>
        </w:tc>
        <w:tc>
          <w:tcPr>
            <w:tcW w:w="236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5"/>
              <w:ind w:right="10"/>
              <w:jc w:val="right"/>
              <w:rPr>
                <w:rFonts w:ascii="Arial" w:hAnsi="Arial" w:cs="Arial" w:eastAsia="Arial" w:hint="default"/>
                <w:sz w:val="20"/>
                <w:szCs w:val="20"/>
              </w:rPr>
            </w:pPr>
            <w:r>
              <w:rPr>
                <w:rFonts w:ascii="Arial"/>
                <w:w w:val="95"/>
                <w:sz w:val="20"/>
              </w:rPr>
              <w:t>0.08%</w:t>
            </w:r>
            <w:r>
              <w:rPr>
                <w:rFonts w:ascii="Arial"/>
                <w:sz w:val="20"/>
              </w:rPr>
            </w:r>
          </w:p>
        </w:tc>
        <w:tc>
          <w:tcPr>
            <w:tcW w:w="2392"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75"/>
              <w:ind w:right="11"/>
              <w:jc w:val="right"/>
              <w:rPr>
                <w:rFonts w:ascii="Arial" w:hAnsi="Arial" w:cs="Arial" w:eastAsia="Arial" w:hint="default"/>
                <w:sz w:val="20"/>
                <w:szCs w:val="20"/>
              </w:rPr>
            </w:pPr>
            <w:r>
              <w:rPr>
                <w:rFonts w:ascii="Arial"/>
                <w:spacing w:val="-1"/>
                <w:w w:val="95"/>
                <w:sz w:val="20"/>
              </w:rPr>
              <w:t>-0.02%</w:t>
            </w:r>
            <w:r>
              <w:rPr>
                <w:rFonts w:ascii="Arial"/>
                <w:spacing w:val="-1"/>
                <w:sz w:val="20"/>
              </w:rPr>
            </w:r>
          </w:p>
        </w:tc>
      </w:tr>
      <w:tr>
        <w:trPr>
          <w:trHeight w:val="402" w:hRule="exact"/>
        </w:trPr>
        <w:tc>
          <w:tcPr>
            <w:tcW w:w="236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21"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75"/>
              <w:ind w:right="25"/>
              <w:jc w:val="right"/>
              <w:rPr>
                <w:rFonts w:ascii="Arial" w:hAnsi="Arial" w:cs="Arial" w:eastAsia="Arial" w:hint="default"/>
                <w:sz w:val="20"/>
                <w:szCs w:val="20"/>
              </w:rPr>
            </w:pPr>
            <w:r>
              <w:rPr>
                <w:rFonts w:ascii="Arial"/>
                <w:spacing w:val="-1"/>
                <w:sz w:val="20"/>
              </w:rPr>
              <w:t>19,997,447.49</w:t>
            </w:r>
          </w:p>
        </w:tc>
        <w:tc>
          <w:tcPr>
            <w:tcW w:w="236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5"/>
              <w:ind w:right="12"/>
              <w:jc w:val="right"/>
              <w:rPr>
                <w:rFonts w:ascii="Arial" w:hAnsi="Arial" w:cs="Arial" w:eastAsia="Arial" w:hint="default"/>
                <w:sz w:val="20"/>
                <w:szCs w:val="20"/>
              </w:rPr>
            </w:pPr>
            <w:r>
              <w:rPr>
                <w:rFonts w:ascii="Arial"/>
                <w:spacing w:val="-1"/>
                <w:sz w:val="20"/>
              </w:rPr>
              <w:t>22,568,925.36</w:t>
            </w:r>
          </w:p>
        </w:tc>
        <w:tc>
          <w:tcPr>
            <w:tcW w:w="2392"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75"/>
              <w:ind w:right="10"/>
              <w:jc w:val="right"/>
              <w:rPr>
                <w:rFonts w:ascii="Arial" w:hAnsi="Arial" w:cs="Arial" w:eastAsia="Arial" w:hint="default"/>
                <w:sz w:val="20"/>
                <w:szCs w:val="20"/>
              </w:rPr>
            </w:pPr>
            <w:r>
              <w:rPr>
                <w:rFonts w:ascii="Arial"/>
                <w:spacing w:val="-1"/>
                <w:w w:val="95"/>
                <w:sz w:val="20"/>
              </w:rPr>
              <w:t>-11.39%</w:t>
            </w:r>
            <w:r>
              <w:rPr>
                <w:rFonts w:ascii="Arial"/>
                <w:spacing w:val="-1"/>
                <w:sz w:val="20"/>
              </w:rPr>
            </w:r>
          </w:p>
        </w:tc>
      </w:tr>
      <w:tr>
        <w:trPr>
          <w:trHeight w:val="161" w:hRule="exact"/>
        </w:trPr>
        <w:tc>
          <w:tcPr>
            <w:tcW w:w="2364"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6"/>
              <w:ind w:left="13" w:right="188"/>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21" w:type="dxa"/>
            <w:vMerge w:val="restart"/>
            <w:tcBorders>
              <w:top w:val="single" w:sz="4" w:space="0" w:color="5B9BD4"/>
              <w:left w:val="single" w:sz="11" w:space="0" w:color="DEEAF6"/>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9"/>
              <w:jc w:val="right"/>
              <w:rPr>
                <w:rFonts w:ascii="Arial" w:hAnsi="Arial" w:cs="Arial" w:eastAsia="Arial" w:hint="default"/>
                <w:sz w:val="20"/>
                <w:szCs w:val="20"/>
              </w:rPr>
            </w:pPr>
            <w:r>
              <w:rPr>
                <w:rFonts w:ascii="Arial"/>
                <w:spacing w:val="-1"/>
                <w:w w:val="95"/>
                <w:sz w:val="20"/>
              </w:rPr>
              <w:t>65.90%</w:t>
            </w:r>
            <w:r>
              <w:rPr>
                <w:rFonts w:ascii="Arial"/>
                <w:spacing w:val="-1"/>
                <w:sz w:val="20"/>
              </w:rPr>
            </w:r>
          </w:p>
        </w:tc>
        <w:tc>
          <w:tcPr>
            <w:tcW w:w="2364" w:type="dxa"/>
            <w:tcBorders>
              <w:top w:val="single" w:sz="4" w:space="0" w:color="5B9BD4"/>
              <w:left w:val="nil" w:sz="6" w:space="0" w:color="auto"/>
              <w:bottom w:val="nil" w:sz="6" w:space="0" w:color="auto"/>
              <w:right w:val="nil" w:sz="6" w:space="0" w:color="auto"/>
            </w:tcBorders>
            <w:shd w:val="clear" w:color="auto" w:fill="DEEAF6"/>
          </w:tcPr>
          <w:p>
            <w:pPr/>
          </w:p>
        </w:tc>
        <w:tc>
          <w:tcPr>
            <w:tcW w:w="2392" w:type="dxa"/>
            <w:vMerge w:val="restart"/>
            <w:tcBorders>
              <w:top w:val="single" w:sz="4" w:space="0" w:color="5B9BD4"/>
              <w:left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
              <w:jc w:val="right"/>
              <w:rPr>
                <w:rFonts w:ascii="Arial" w:hAnsi="Arial" w:cs="Arial" w:eastAsia="Arial" w:hint="default"/>
                <w:sz w:val="20"/>
                <w:szCs w:val="20"/>
              </w:rPr>
            </w:pPr>
            <w:r>
              <w:rPr>
                <w:rFonts w:ascii="Arial"/>
                <w:w w:val="95"/>
                <w:sz w:val="20"/>
              </w:rPr>
              <w:t>4.78%</w:t>
            </w:r>
            <w:r>
              <w:rPr>
                <w:rFonts w:ascii="Arial"/>
                <w:sz w:val="20"/>
              </w:rPr>
            </w:r>
          </w:p>
        </w:tc>
      </w:tr>
      <w:tr>
        <w:trPr>
          <w:trHeight w:val="392" w:hRule="exact"/>
        </w:trPr>
        <w:tc>
          <w:tcPr>
            <w:tcW w:w="2364" w:type="dxa"/>
            <w:vMerge/>
            <w:tcBorders>
              <w:left w:val="nil" w:sz="6" w:space="0" w:color="auto"/>
              <w:right w:val="nil" w:sz="6" w:space="0" w:color="auto"/>
            </w:tcBorders>
            <w:shd w:val="clear" w:color="auto" w:fill="DEEAF6"/>
          </w:tcPr>
          <w:p>
            <w:pPr/>
          </w:p>
        </w:tc>
        <w:tc>
          <w:tcPr>
            <w:tcW w:w="2421" w:type="dxa"/>
            <w:vMerge/>
            <w:tcBorders>
              <w:left w:val="single" w:sz="11" w:space="0" w:color="DEEAF6"/>
              <w:right w:val="nil" w:sz="6" w:space="0" w:color="auto"/>
            </w:tcBorders>
          </w:tcPr>
          <w:p>
            <w:pPr/>
          </w:p>
        </w:tc>
        <w:tc>
          <w:tcPr>
            <w:tcW w:w="2364"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75"/>
              <w:ind w:right="12"/>
              <w:jc w:val="right"/>
              <w:rPr>
                <w:rFonts w:ascii="Arial" w:hAnsi="Arial" w:cs="Arial" w:eastAsia="Arial" w:hint="default"/>
                <w:sz w:val="20"/>
                <w:szCs w:val="20"/>
              </w:rPr>
            </w:pPr>
            <w:r>
              <w:rPr>
                <w:rFonts w:ascii="Arial"/>
                <w:spacing w:val="-1"/>
                <w:w w:val="95"/>
                <w:sz w:val="20"/>
              </w:rPr>
              <w:t>61.12%</w:t>
            </w:r>
            <w:r>
              <w:rPr>
                <w:rFonts w:ascii="Arial"/>
                <w:spacing w:val="-1"/>
                <w:sz w:val="20"/>
              </w:rPr>
            </w:r>
          </w:p>
        </w:tc>
        <w:tc>
          <w:tcPr>
            <w:tcW w:w="2392" w:type="dxa"/>
            <w:vMerge/>
            <w:tcBorders>
              <w:left w:val="nil" w:sz="6" w:space="0" w:color="auto"/>
              <w:right w:val="nil" w:sz="6" w:space="0" w:color="auto"/>
            </w:tcBorders>
          </w:tcPr>
          <w:p>
            <w:pPr/>
          </w:p>
        </w:tc>
      </w:tr>
      <w:tr>
        <w:trPr>
          <w:trHeight w:val="161" w:hRule="exact"/>
        </w:trPr>
        <w:tc>
          <w:tcPr>
            <w:tcW w:w="2364" w:type="dxa"/>
            <w:vMerge/>
            <w:tcBorders>
              <w:left w:val="nil" w:sz="6" w:space="0" w:color="auto"/>
              <w:bottom w:val="single" w:sz="4" w:space="0" w:color="5B9BD4"/>
              <w:right w:val="nil" w:sz="6" w:space="0" w:color="auto"/>
            </w:tcBorders>
            <w:shd w:val="clear" w:color="auto" w:fill="DEEAF6"/>
          </w:tcPr>
          <w:p>
            <w:pPr/>
          </w:p>
        </w:tc>
        <w:tc>
          <w:tcPr>
            <w:tcW w:w="2421" w:type="dxa"/>
            <w:vMerge/>
            <w:tcBorders>
              <w:left w:val="single" w:sz="11" w:space="0" w:color="DEEAF6"/>
              <w:bottom w:val="single" w:sz="4" w:space="0" w:color="5B9BD4"/>
              <w:right w:val="nil" w:sz="6" w:space="0" w:color="auto"/>
            </w:tcBorders>
          </w:tcPr>
          <w:p>
            <w:pPr/>
          </w:p>
        </w:tc>
        <w:tc>
          <w:tcPr>
            <w:tcW w:w="2364" w:type="dxa"/>
            <w:tcBorders>
              <w:top w:val="nil" w:sz="6" w:space="0" w:color="auto"/>
              <w:left w:val="nil" w:sz="6" w:space="0" w:color="auto"/>
              <w:bottom w:val="single" w:sz="4" w:space="0" w:color="5B9BD4"/>
              <w:right w:val="nil" w:sz="6" w:space="0" w:color="auto"/>
            </w:tcBorders>
            <w:shd w:val="clear" w:color="auto" w:fill="DEEAF6"/>
          </w:tcPr>
          <w:p>
            <w:pPr/>
          </w:p>
        </w:tc>
        <w:tc>
          <w:tcPr>
            <w:tcW w:w="2392" w:type="dxa"/>
            <w:vMerge/>
            <w:tcBorders>
              <w:left w:val="nil" w:sz="6" w:space="0" w:color="auto"/>
              <w:bottom w:val="single" w:sz="4" w:space="0" w:color="5B9BD4"/>
              <w:right w:val="nil" w:sz="6" w:space="0" w:color="auto"/>
            </w:tcBorders>
          </w:tcPr>
          <w:p>
            <w:pPr/>
          </w:p>
        </w:tc>
      </w:tr>
    </w:tbl>
    <w:p>
      <w:pPr>
        <w:spacing w:line="240" w:lineRule="auto" w:before="0"/>
        <w:rPr>
          <w:rFonts w:ascii="宋体" w:hAnsi="宋体" w:cs="宋体" w:eastAsia="宋体" w:hint="default"/>
          <w:sz w:val="20"/>
          <w:szCs w:val="20"/>
        </w:rPr>
      </w:pPr>
    </w:p>
    <w:p>
      <w:pPr>
        <w:pStyle w:val="Heading2"/>
        <w:spacing w:line="240" w:lineRule="auto" w:before="73"/>
        <w:ind w:left="154" w:right="0"/>
        <w:jc w:val="left"/>
        <w:rPr>
          <w:b w:val="0"/>
          <w:bCs w:val="0"/>
        </w:rPr>
      </w:pPr>
      <w:bookmarkStart w:name="4.2.5 现金流" w:id="67"/>
      <w:bookmarkEnd w:id="67"/>
      <w:r>
        <w:rPr>
          <w:b w:val="0"/>
          <w:bCs w:val="0"/>
        </w:rPr>
      </w:r>
      <w:r>
        <w:rPr>
          <w:rFonts w:ascii="Trebuchet MS" w:hAnsi="Trebuchet MS" w:cs="Trebuchet MS" w:eastAsia="Trebuchet MS" w:hint="default"/>
        </w:rPr>
        <w:t>4.2.5</w:t>
      </w:r>
      <w:r>
        <w:rPr>
          <w:rFonts w:ascii="Trebuchet MS" w:hAnsi="Trebuchet MS" w:cs="Trebuchet MS" w:eastAsia="Trebuchet MS" w:hint="default"/>
          <w:spacing w:val="-18"/>
        </w:rPr>
        <w:t> </w:t>
      </w:r>
      <w:r>
        <w:rPr/>
        <w:t>现金流</w:t>
      </w:r>
      <w:r>
        <w:rPr>
          <w:b w:val="0"/>
          <w:bCs w:val="0"/>
        </w:rPr>
      </w:r>
    </w:p>
    <w:p>
      <w:pPr>
        <w:spacing w:line="240" w:lineRule="auto" w:before="14"/>
        <w:rPr>
          <w:rFonts w:ascii="Microsoft JhengHei" w:hAnsi="Microsoft JhengHei" w:cs="Microsoft JhengHei" w:eastAsia="Microsoft JhengHei" w:hint="default"/>
          <w:b/>
          <w:bCs/>
          <w:sz w:val="25"/>
          <w:szCs w:val="25"/>
        </w:rPr>
      </w:pPr>
    </w:p>
    <w:p>
      <w:pPr>
        <w:spacing w:before="29"/>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2364"/>
        <w:gridCol w:w="2421"/>
        <w:gridCol w:w="2364"/>
        <w:gridCol w:w="2392"/>
      </w:tblGrid>
      <w:tr>
        <w:trPr>
          <w:trHeight w:val="402" w:hRule="exact"/>
        </w:trPr>
        <w:tc>
          <w:tcPr>
            <w:tcW w:w="236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8"/>
              <w:ind w:right="1"/>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w:t>
            </w:r>
          </w:p>
        </w:tc>
        <w:tc>
          <w:tcPr>
            <w:tcW w:w="236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8"/>
              <w:ind w:right="0"/>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1"/>
                <w:sz w:val="18"/>
                <w:szCs w:val="18"/>
              </w:rPr>
              <w:t> </w:t>
            </w:r>
            <w:r>
              <w:rPr>
                <w:rFonts w:ascii="宋体" w:hAnsi="宋体" w:cs="宋体" w:eastAsia="宋体" w:hint="default"/>
                <w:sz w:val="18"/>
                <w:szCs w:val="18"/>
              </w:rPr>
              <w:t>年</w:t>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8"/>
              <w:ind w:left="26"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21"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9"/>
              <w:ind w:right="26"/>
              <w:jc w:val="right"/>
              <w:rPr>
                <w:rFonts w:ascii="Arial" w:hAnsi="Arial" w:cs="Arial" w:eastAsia="Arial" w:hint="default"/>
                <w:sz w:val="18"/>
                <w:szCs w:val="18"/>
              </w:rPr>
            </w:pPr>
            <w:r>
              <w:rPr>
                <w:rFonts w:ascii="Arial"/>
                <w:w w:val="95"/>
                <w:sz w:val="18"/>
              </w:rPr>
              <w:t>60,219,780,170.47</w:t>
            </w:r>
            <w:r>
              <w:rPr>
                <w:rFonts w:ascii="Arial"/>
                <w:sz w:val="18"/>
              </w:rPr>
            </w:r>
          </w:p>
        </w:tc>
        <w:tc>
          <w:tcPr>
            <w:tcW w:w="236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9"/>
              <w:ind w:right="12"/>
              <w:jc w:val="right"/>
              <w:rPr>
                <w:rFonts w:ascii="Arial" w:hAnsi="Arial" w:cs="Arial" w:eastAsia="Arial" w:hint="default"/>
                <w:sz w:val="18"/>
                <w:szCs w:val="18"/>
              </w:rPr>
            </w:pPr>
            <w:r>
              <w:rPr>
                <w:rFonts w:ascii="Arial"/>
                <w:w w:val="95"/>
                <w:sz w:val="18"/>
              </w:rPr>
              <w:t>56,530,549,043.33</w:t>
            </w:r>
            <w:r>
              <w:rPr>
                <w:rFonts w:ascii="Arial"/>
                <w:sz w:val="18"/>
              </w:rPr>
            </w:r>
          </w:p>
        </w:tc>
        <w:tc>
          <w:tcPr>
            <w:tcW w:w="2392"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89"/>
              <w:ind w:right="11"/>
              <w:jc w:val="right"/>
              <w:rPr>
                <w:rFonts w:ascii="Arial" w:hAnsi="Arial" w:cs="Arial" w:eastAsia="Arial" w:hint="default"/>
                <w:sz w:val="18"/>
                <w:szCs w:val="18"/>
              </w:rPr>
            </w:pPr>
            <w:r>
              <w:rPr>
                <w:rFonts w:ascii="Arial"/>
                <w:w w:val="95"/>
                <w:sz w:val="18"/>
              </w:rPr>
              <w:t>6.53%</w:t>
            </w:r>
            <w:r>
              <w:rPr>
                <w:rFonts w:ascii="Arial"/>
                <w:sz w:val="18"/>
              </w:rPr>
            </w:r>
          </w:p>
        </w:tc>
      </w:tr>
      <w:tr>
        <w:trPr>
          <w:trHeight w:val="402" w:hRule="exact"/>
        </w:trPr>
        <w:tc>
          <w:tcPr>
            <w:tcW w:w="236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21"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9"/>
              <w:ind w:right="26"/>
              <w:jc w:val="right"/>
              <w:rPr>
                <w:rFonts w:ascii="Arial" w:hAnsi="Arial" w:cs="Arial" w:eastAsia="Arial" w:hint="default"/>
                <w:sz w:val="18"/>
                <w:szCs w:val="18"/>
              </w:rPr>
            </w:pPr>
            <w:r>
              <w:rPr>
                <w:rFonts w:ascii="Arial"/>
                <w:w w:val="95"/>
                <w:sz w:val="18"/>
              </w:rPr>
              <w:t>59,927,235,475.86</w:t>
            </w:r>
            <w:r>
              <w:rPr>
                <w:rFonts w:ascii="Arial"/>
                <w:sz w:val="18"/>
              </w:rPr>
            </w:r>
          </w:p>
        </w:tc>
        <w:tc>
          <w:tcPr>
            <w:tcW w:w="236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9"/>
              <w:ind w:right="12"/>
              <w:jc w:val="right"/>
              <w:rPr>
                <w:rFonts w:ascii="Arial" w:hAnsi="Arial" w:cs="Arial" w:eastAsia="Arial" w:hint="default"/>
                <w:sz w:val="18"/>
                <w:szCs w:val="18"/>
              </w:rPr>
            </w:pPr>
            <w:r>
              <w:rPr>
                <w:rFonts w:ascii="Arial"/>
                <w:w w:val="95"/>
                <w:sz w:val="18"/>
              </w:rPr>
              <w:t>56,521,452,273.99</w:t>
            </w:r>
            <w:r>
              <w:rPr>
                <w:rFonts w:ascii="Arial"/>
                <w:sz w:val="18"/>
              </w:rPr>
            </w:r>
          </w:p>
        </w:tc>
        <w:tc>
          <w:tcPr>
            <w:tcW w:w="2392"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89"/>
              <w:ind w:right="11"/>
              <w:jc w:val="right"/>
              <w:rPr>
                <w:rFonts w:ascii="Arial" w:hAnsi="Arial" w:cs="Arial" w:eastAsia="Arial" w:hint="default"/>
                <w:sz w:val="18"/>
                <w:szCs w:val="18"/>
              </w:rPr>
            </w:pPr>
            <w:r>
              <w:rPr>
                <w:rFonts w:ascii="Arial"/>
                <w:w w:val="95"/>
                <w:sz w:val="18"/>
              </w:rPr>
              <w:t>6.03%</w:t>
            </w:r>
            <w:r>
              <w:rPr>
                <w:rFonts w:ascii="Arial"/>
                <w:sz w:val="18"/>
              </w:rPr>
            </w:r>
          </w:p>
        </w:tc>
      </w:tr>
      <w:tr>
        <w:trPr>
          <w:trHeight w:val="162" w:hRule="exact"/>
        </w:trPr>
        <w:tc>
          <w:tcPr>
            <w:tcW w:w="2364"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7"/>
              <w:ind w:left="13" w:right="188"/>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21" w:type="dxa"/>
            <w:vMerge w:val="restart"/>
            <w:tcBorders>
              <w:top w:val="single" w:sz="4" w:space="0" w:color="5B9BD4"/>
              <w:left w:val="single" w:sz="11" w:space="0" w:color="DEEAF6"/>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118" w:right="0"/>
              <w:jc w:val="left"/>
              <w:rPr>
                <w:rFonts w:ascii="Arial" w:hAnsi="Arial" w:cs="Arial" w:eastAsia="Arial" w:hint="default"/>
                <w:sz w:val="18"/>
                <w:szCs w:val="18"/>
              </w:rPr>
            </w:pPr>
            <w:r>
              <w:rPr>
                <w:rFonts w:ascii="Arial"/>
                <w:sz w:val="18"/>
              </w:rPr>
              <w:t>292,544,694.61</w:t>
            </w:r>
          </w:p>
        </w:tc>
        <w:tc>
          <w:tcPr>
            <w:tcW w:w="2364" w:type="dxa"/>
            <w:tcBorders>
              <w:top w:val="single" w:sz="4" w:space="0" w:color="5B9BD4"/>
              <w:left w:val="nil" w:sz="6" w:space="0" w:color="auto"/>
              <w:bottom w:val="nil" w:sz="6" w:space="0" w:color="auto"/>
              <w:right w:val="nil" w:sz="6" w:space="0" w:color="auto"/>
            </w:tcBorders>
            <w:shd w:val="clear" w:color="auto" w:fill="DEEAF6"/>
          </w:tcPr>
          <w:p>
            <w:pPr/>
          </w:p>
        </w:tc>
        <w:tc>
          <w:tcPr>
            <w:tcW w:w="2392" w:type="dxa"/>
            <w:vMerge w:val="restart"/>
            <w:tcBorders>
              <w:top w:val="single" w:sz="4" w:space="0" w:color="5B9BD4"/>
              <w:left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540" w:right="0"/>
              <w:jc w:val="left"/>
              <w:rPr>
                <w:rFonts w:ascii="Arial" w:hAnsi="Arial" w:cs="Arial" w:eastAsia="Arial" w:hint="default"/>
                <w:sz w:val="18"/>
                <w:szCs w:val="18"/>
              </w:rPr>
            </w:pPr>
            <w:r>
              <w:rPr>
                <w:rFonts w:ascii="Arial"/>
                <w:w w:val="95"/>
                <w:sz w:val="18"/>
              </w:rPr>
              <w:t>3,115.92%</w:t>
            </w:r>
            <w:r>
              <w:rPr>
                <w:rFonts w:ascii="Arial"/>
                <w:sz w:val="18"/>
              </w:rPr>
            </w:r>
          </w:p>
        </w:tc>
      </w:tr>
      <w:tr>
        <w:trPr>
          <w:trHeight w:val="391" w:hRule="exact"/>
        </w:trPr>
        <w:tc>
          <w:tcPr>
            <w:tcW w:w="2364" w:type="dxa"/>
            <w:vMerge/>
            <w:tcBorders>
              <w:left w:val="nil" w:sz="6" w:space="0" w:color="auto"/>
              <w:right w:val="nil" w:sz="6" w:space="0" w:color="auto"/>
            </w:tcBorders>
            <w:shd w:val="clear" w:color="auto" w:fill="DEEAF6"/>
          </w:tcPr>
          <w:p>
            <w:pPr/>
          </w:p>
        </w:tc>
        <w:tc>
          <w:tcPr>
            <w:tcW w:w="2421" w:type="dxa"/>
            <w:vMerge/>
            <w:tcBorders>
              <w:left w:val="single" w:sz="11" w:space="0" w:color="DEEAF6"/>
              <w:right w:val="nil" w:sz="6" w:space="0" w:color="auto"/>
            </w:tcBorders>
          </w:tcPr>
          <w:p>
            <w:pPr/>
          </w:p>
        </w:tc>
        <w:tc>
          <w:tcPr>
            <w:tcW w:w="2364"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11"/>
              <w:jc w:val="right"/>
              <w:rPr>
                <w:rFonts w:ascii="Arial" w:hAnsi="Arial" w:cs="Arial" w:eastAsia="Arial" w:hint="default"/>
                <w:sz w:val="18"/>
                <w:szCs w:val="18"/>
              </w:rPr>
            </w:pPr>
            <w:r>
              <w:rPr>
                <w:rFonts w:ascii="Arial"/>
                <w:w w:val="95"/>
                <w:sz w:val="18"/>
              </w:rPr>
              <w:t>9,096,769.34</w:t>
            </w:r>
            <w:r>
              <w:rPr>
                <w:rFonts w:ascii="Arial"/>
                <w:sz w:val="18"/>
              </w:rPr>
            </w:r>
          </w:p>
        </w:tc>
        <w:tc>
          <w:tcPr>
            <w:tcW w:w="2392" w:type="dxa"/>
            <w:vMerge/>
            <w:tcBorders>
              <w:left w:val="nil" w:sz="6" w:space="0" w:color="auto"/>
              <w:right w:val="nil" w:sz="6" w:space="0" w:color="auto"/>
            </w:tcBorders>
          </w:tcPr>
          <w:p>
            <w:pPr/>
          </w:p>
        </w:tc>
      </w:tr>
      <w:tr>
        <w:trPr>
          <w:trHeight w:val="161" w:hRule="exact"/>
        </w:trPr>
        <w:tc>
          <w:tcPr>
            <w:tcW w:w="2364" w:type="dxa"/>
            <w:vMerge/>
            <w:tcBorders>
              <w:left w:val="nil" w:sz="6" w:space="0" w:color="auto"/>
              <w:bottom w:val="single" w:sz="4" w:space="0" w:color="5B9BD4"/>
              <w:right w:val="nil" w:sz="6" w:space="0" w:color="auto"/>
            </w:tcBorders>
            <w:shd w:val="clear" w:color="auto" w:fill="DEEAF6"/>
          </w:tcPr>
          <w:p>
            <w:pPr/>
          </w:p>
        </w:tc>
        <w:tc>
          <w:tcPr>
            <w:tcW w:w="2421" w:type="dxa"/>
            <w:vMerge/>
            <w:tcBorders>
              <w:left w:val="single" w:sz="11" w:space="0" w:color="DEEAF6"/>
              <w:bottom w:val="single" w:sz="4" w:space="0" w:color="5B9BD4"/>
              <w:right w:val="nil" w:sz="6" w:space="0" w:color="auto"/>
            </w:tcBorders>
          </w:tcPr>
          <w:p>
            <w:pPr/>
          </w:p>
        </w:tc>
        <w:tc>
          <w:tcPr>
            <w:tcW w:w="2364" w:type="dxa"/>
            <w:tcBorders>
              <w:top w:val="nil" w:sz="6" w:space="0" w:color="auto"/>
              <w:left w:val="nil" w:sz="6" w:space="0" w:color="auto"/>
              <w:bottom w:val="single" w:sz="4" w:space="0" w:color="5B9BD4"/>
              <w:right w:val="nil" w:sz="6" w:space="0" w:color="auto"/>
            </w:tcBorders>
            <w:shd w:val="clear" w:color="auto" w:fill="DEEAF6"/>
          </w:tcPr>
          <w:p>
            <w:pPr/>
          </w:p>
        </w:tc>
        <w:tc>
          <w:tcPr>
            <w:tcW w:w="2392" w:type="dxa"/>
            <w:vMerge/>
            <w:tcBorders>
              <w:left w:val="nil" w:sz="6" w:space="0" w:color="auto"/>
              <w:bottom w:val="single" w:sz="4" w:space="0" w:color="5B9BD4"/>
              <w:right w:val="nil" w:sz="6" w:space="0" w:color="auto"/>
            </w:tcBorders>
          </w:tcPr>
          <w:p>
            <w:pPr/>
          </w:p>
        </w:tc>
      </w:tr>
      <w:tr>
        <w:trPr>
          <w:trHeight w:val="402" w:hRule="exact"/>
        </w:trPr>
        <w:tc>
          <w:tcPr>
            <w:tcW w:w="236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1"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9"/>
              <w:ind w:right="26"/>
              <w:jc w:val="right"/>
              <w:rPr>
                <w:rFonts w:ascii="Arial" w:hAnsi="Arial" w:cs="Arial" w:eastAsia="Arial" w:hint="default"/>
                <w:sz w:val="18"/>
                <w:szCs w:val="18"/>
              </w:rPr>
            </w:pPr>
            <w:r>
              <w:rPr>
                <w:rFonts w:ascii="Arial"/>
                <w:spacing w:val="-1"/>
                <w:sz w:val="18"/>
              </w:rPr>
              <w:t>9,382,031,103.23</w:t>
            </w:r>
          </w:p>
        </w:tc>
        <w:tc>
          <w:tcPr>
            <w:tcW w:w="236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9"/>
              <w:ind w:right="12"/>
              <w:jc w:val="right"/>
              <w:rPr>
                <w:rFonts w:ascii="Arial" w:hAnsi="Arial" w:cs="Arial" w:eastAsia="Arial" w:hint="default"/>
                <w:sz w:val="18"/>
                <w:szCs w:val="18"/>
              </w:rPr>
            </w:pPr>
            <w:r>
              <w:rPr>
                <w:rFonts w:ascii="Arial"/>
                <w:spacing w:val="-1"/>
                <w:sz w:val="18"/>
              </w:rPr>
              <w:t>4,871,149,356.72</w:t>
            </w:r>
          </w:p>
        </w:tc>
        <w:tc>
          <w:tcPr>
            <w:tcW w:w="2392"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89"/>
              <w:ind w:right="11"/>
              <w:jc w:val="right"/>
              <w:rPr>
                <w:rFonts w:ascii="Arial" w:hAnsi="Arial" w:cs="Arial" w:eastAsia="Arial" w:hint="default"/>
                <w:sz w:val="18"/>
                <w:szCs w:val="18"/>
              </w:rPr>
            </w:pPr>
            <w:r>
              <w:rPr>
                <w:rFonts w:ascii="Arial"/>
                <w:w w:val="95"/>
                <w:sz w:val="18"/>
              </w:rPr>
              <w:t>92.60%</w:t>
            </w:r>
            <w:r>
              <w:rPr>
                <w:rFonts w:ascii="Arial"/>
                <w:sz w:val="18"/>
              </w:rPr>
            </w:r>
          </w:p>
        </w:tc>
      </w:tr>
      <w:tr>
        <w:trPr>
          <w:trHeight w:val="402" w:hRule="exact"/>
        </w:trPr>
        <w:tc>
          <w:tcPr>
            <w:tcW w:w="236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1"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9"/>
              <w:ind w:right="26"/>
              <w:jc w:val="right"/>
              <w:rPr>
                <w:rFonts w:ascii="Arial" w:hAnsi="Arial" w:cs="Arial" w:eastAsia="Arial" w:hint="default"/>
                <w:sz w:val="18"/>
                <w:szCs w:val="18"/>
              </w:rPr>
            </w:pPr>
            <w:r>
              <w:rPr>
                <w:rFonts w:ascii="Arial"/>
                <w:w w:val="95"/>
                <w:sz w:val="18"/>
              </w:rPr>
              <w:t>10,043,357,555.95</w:t>
            </w:r>
            <w:r>
              <w:rPr>
                <w:rFonts w:ascii="Arial"/>
                <w:sz w:val="18"/>
              </w:rPr>
            </w:r>
          </w:p>
        </w:tc>
        <w:tc>
          <w:tcPr>
            <w:tcW w:w="236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9"/>
              <w:ind w:right="12"/>
              <w:jc w:val="right"/>
              <w:rPr>
                <w:rFonts w:ascii="Arial" w:hAnsi="Arial" w:cs="Arial" w:eastAsia="Arial" w:hint="default"/>
                <w:sz w:val="18"/>
                <w:szCs w:val="18"/>
              </w:rPr>
            </w:pPr>
            <w:r>
              <w:rPr>
                <w:rFonts w:ascii="Arial"/>
                <w:spacing w:val="-1"/>
                <w:sz w:val="18"/>
              </w:rPr>
              <w:t>5,100,548,611.23</w:t>
            </w:r>
          </w:p>
        </w:tc>
        <w:tc>
          <w:tcPr>
            <w:tcW w:w="2392"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89"/>
              <w:ind w:right="11"/>
              <w:jc w:val="right"/>
              <w:rPr>
                <w:rFonts w:ascii="Arial" w:hAnsi="Arial" w:cs="Arial" w:eastAsia="Arial" w:hint="default"/>
                <w:sz w:val="18"/>
                <w:szCs w:val="18"/>
              </w:rPr>
            </w:pPr>
            <w:r>
              <w:rPr>
                <w:rFonts w:ascii="Arial"/>
                <w:w w:val="95"/>
                <w:sz w:val="18"/>
              </w:rPr>
              <w:t>96.91%</w:t>
            </w:r>
            <w:r>
              <w:rPr>
                <w:rFonts w:ascii="Arial"/>
                <w:sz w:val="18"/>
              </w:rPr>
            </w:r>
          </w:p>
        </w:tc>
      </w:tr>
      <w:tr>
        <w:trPr>
          <w:trHeight w:val="162" w:hRule="exact"/>
        </w:trPr>
        <w:tc>
          <w:tcPr>
            <w:tcW w:w="2364"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7"/>
              <w:ind w:left="13" w:right="188"/>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21" w:type="dxa"/>
            <w:vMerge w:val="restart"/>
            <w:tcBorders>
              <w:top w:val="single" w:sz="4" w:space="0" w:color="5B9BD4"/>
              <w:left w:val="single" w:sz="11" w:space="0" w:color="DEEAF6"/>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59" w:right="0"/>
              <w:jc w:val="left"/>
              <w:rPr>
                <w:rFonts w:ascii="Arial" w:hAnsi="Arial" w:cs="Arial" w:eastAsia="Arial" w:hint="default"/>
                <w:sz w:val="18"/>
                <w:szCs w:val="18"/>
              </w:rPr>
            </w:pPr>
            <w:r>
              <w:rPr>
                <w:rFonts w:ascii="Arial"/>
                <w:sz w:val="18"/>
              </w:rPr>
              <w:t>-661,326,452.72</w:t>
            </w:r>
          </w:p>
        </w:tc>
        <w:tc>
          <w:tcPr>
            <w:tcW w:w="2364" w:type="dxa"/>
            <w:tcBorders>
              <w:top w:val="single" w:sz="4" w:space="0" w:color="5B9BD4"/>
              <w:left w:val="nil" w:sz="6" w:space="0" w:color="auto"/>
              <w:bottom w:val="nil" w:sz="6" w:space="0" w:color="auto"/>
              <w:right w:val="nil" w:sz="6" w:space="0" w:color="auto"/>
            </w:tcBorders>
            <w:shd w:val="clear" w:color="auto" w:fill="DEEAF6"/>
          </w:tcPr>
          <w:p>
            <w:pPr/>
          </w:p>
        </w:tc>
        <w:tc>
          <w:tcPr>
            <w:tcW w:w="2392" w:type="dxa"/>
            <w:vMerge w:val="restart"/>
            <w:tcBorders>
              <w:top w:val="single" w:sz="4" w:space="0" w:color="5B9BD4"/>
              <w:left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1"/>
              <w:jc w:val="right"/>
              <w:rPr>
                <w:rFonts w:ascii="Arial" w:hAnsi="Arial" w:cs="Arial" w:eastAsia="Arial" w:hint="default"/>
                <w:sz w:val="18"/>
                <w:szCs w:val="18"/>
              </w:rPr>
            </w:pPr>
            <w:r>
              <w:rPr>
                <w:rFonts w:ascii="Arial"/>
                <w:w w:val="95"/>
                <w:sz w:val="18"/>
              </w:rPr>
              <w:t>-188.29%</w:t>
            </w:r>
            <w:r>
              <w:rPr>
                <w:rFonts w:ascii="Arial"/>
                <w:sz w:val="18"/>
              </w:rPr>
            </w:r>
          </w:p>
        </w:tc>
      </w:tr>
      <w:tr>
        <w:trPr>
          <w:trHeight w:val="391" w:hRule="exact"/>
        </w:trPr>
        <w:tc>
          <w:tcPr>
            <w:tcW w:w="2364" w:type="dxa"/>
            <w:vMerge/>
            <w:tcBorders>
              <w:left w:val="nil" w:sz="6" w:space="0" w:color="auto"/>
              <w:right w:val="nil" w:sz="6" w:space="0" w:color="auto"/>
            </w:tcBorders>
            <w:shd w:val="clear" w:color="auto" w:fill="DEEAF6"/>
          </w:tcPr>
          <w:p>
            <w:pPr/>
          </w:p>
        </w:tc>
        <w:tc>
          <w:tcPr>
            <w:tcW w:w="2421" w:type="dxa"/>
            <w:vMerge/>
            <w:tcBorders>
              <w:left w:val="single" w:sz="11" w:space="0" w:color="DEEAF6"/>
              <w:right w:val="nil" w:sz="6" w:space="0" w:color="auto"/>
            </w:tcBorders>
          </w:tcPr>
          <w:p>
            <w:pPr/>
          </w:p>
        </w:tc>
        <w:tc>
          <w:tcPr>
            <w:tcW w:w="2364"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12"/>
              <w:jc w:val="right"/>
              <w:rPr>
                <w:rFonts w:ascii="Arial" w:hAnsi="Arial" w:cs="Arial" w:eastAsia="Arial" w:hint="default"/>
                <w:sz w:val="18"/>
                <w:szCs w:val="18"/>
              </w:rPr>
            </w:pPr>
            <w:r>
              <w:rPr>
                <w:rFonts w:ascii="Arial"/>
                <w:spacing w:val="-1"/>
                <w:sz w:val="18"/>
              </w:rPr>
              <w:t>-229,399,254.51</w:t>
            </w:r>
          </w:p>
        </w:tc>
        <w:tc>
          <w:tcPr>
            <w:tcW w:w="2392" w:type="dxa"/>
            <w:vMerge/>
            <w:tcBorders>
              <w:left w:val="nil" w:sz="6" w:space="0" w:color="auto"/>
              <w:right w:val="nil" w:sz="6" w:space="0" w:color="auto"/>
            </w:tcBorders>
          </w:tcPr>
          <w:p>
            <w:pPr/>
          </w:p>
        </w:tc>
      </w:tr>
      <w:tr>
        <w:trPr>
          <w:trHeight w:val="161" w:hRule="exact"/>
        </w:trPr>
        <w:tc>
          <w:tcPr>
            <w:tcW w:w="2364" w:type="dxa"/>
            <w:vMerge/>
            <w:tcBorders>
              <w:left w:val="nil" w:sz="6" w:space="0" w:color="auto"/>
              <w:bottom w:val="single" w:sz="4" w:space="0" w:color="5B9BD4"/>
              <w:right w:val="nil" w:sz="6" w:space="0" w:color="auto"/>
            </w:tcBorders>
            <w:shd w:val="clear" w:color="auto" w:fill="DEEAF6"/>
          </w:tcPr>
          <w:p>
            <w:pPr/>
          </w:p>
        </w:tc>
        <w:tc>
          <w:tcPr>
            <w:tcW w:w="2421" w:type="dxa"/>
            <w:vMerge/>
            <w:tcBorders>
              <w:left w:val="single" w:sz="11" w:space="0" w:color="DEEAF6"/>
              <w:bottom w:val="single" w:sz="4" w:space="0" w:color="5B9BD4"/>
              <w:right w:val="nil" w:sz="6" w:space="0" w:color="auto"/>
            </w:tcBorders>
          </w:tcPr>
          <w:p>
            <w:pPr/>
          </w:p>
        </w:tc>
        <w:tc>
          <w:tcPr>
            <w:tcW w:w="2364" w:type="dxa"/>
            <w:tcBorders>
              <w:top w:val="nil" w:sz="6" w:space="0" w:color="auto"/>
              <w:left w:val="nil" w:sz="6" w:space="0" w:color="auto"/>
              <w:bottom w:val="single" w:sz="4" w:space="0" w:color="5B9BD4"/>
              <w:right w:val="nil" w:sz="6" w:space="0" w:color="auto"/>
            </w:tcBorders>
            <w:shd w:val="clear" w:color="auto" w:fill="DEEAF6"/>
          </w:tcPr>
          <w:p>
            <w:pPr/>
          </w:p>
        </w:tc>
        <w:tc>
          <w:tcPr>
            <w:tcW w:w="2392" w:type="dxa"/>
            <w:vMerge/>
            <w:tcBorders>
              <w:left w:val="nil" w:sz="6" w:space="0" w:color="auto"/>
              <w:bottom w:val="single" w:sz="4" w:space="0" w:color="5B9BD4"/>
              <w:right w:val="nil" w:sz="6" w:space="0" w:color="auto"/>
            </w:tcBorders>
          </w:tcPr>
          <w:p>
            <w:pPr/>
          </w:p>
        </w:tc>
      </w:tr>
      <w:tr>
        <w:trPr>
          <w:trHeight w:val="402" w:hRule="exact"/>
        </w:trPr>
        <w:tc>
          <w:tcPr>
            <w:tcW w:w="236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21"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9"/>
              <w:ind w:right="26"/>
              <w:jc w:val="right"/>
              <w:rPr>
                <w:rFonts w:ascii="Arial" w:hAnsi="Arial" w:cs="Arial" w:eastAsia="Arial" w:hint="default"/>
                <w:sz w:val="18"/>
                <w:szCs w:val="18"/>
              </w:rPr>
            </w:pPr>
            <w:r>
              <w:rPr>
                <w:rFonts w:ascii="Arial"/>
                <w:w w:val="95"/>
                <w:sz w:val="18"/>
              </w:rPr>
              <w:t>14,689,800,090.52</w:t>
            </w:r>
            <w:r>
              <w:rPr>
                <w:rFonts w:ascii="Arial"/>
                <w:sz w:val="18"/>
              </w:rPr>
            </w:r>
          </w:p>
        </w:tc>
        <w:tc>
          <w:tcPr>
            <w:tcW w:w="236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9"/>
              <w:ind w:right="12"/>
              <w:jc w:val="right"/>
              <w:rPr>
                <w:rFonts w:ascii="Arial" w:hAnsi="Arial" w:cs="Arial" w:eastAsia="Arial" w:hint="default"/>
                <w:sz w:val="18"/>
                <w:szCs w:val="18"/>
              </w:rPr>
            </w:pPr>
            <w:r>
              <w:rPr>
                <w:rFonts w:ascii="Arial"/>
                <w:spacing w:val="-1"/>
                <w:sz w:val="18"/>
              </w:rPr>
              <w:t>9,012,251,061.99</w:t>
            </w:r>
          </w:p>
        </w:tc>
        <w:tc>
          <w:tcPr>
            <w:tcW w:w="2392"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89"/>
              <w:ind w:right="11"/>
              <w:jc w:val="right"/>
              <w:rPr>
                <w:rFonts w:ascii="Arial" w:hAnsi="Arial" w:cs="Arial" w:eastAsia="Arial" w:hint="default"/>
                <w:sz w:val="18"/>
                <w:szCs w:val="18"/>
              </w:rPr>
            </w:pPr>
            <w:r>
              <w:rPr>
                <w:rFonts w:ascii="Arial"/>
                <w:w w:val="95"/>
                <w:sz w:val="18"/>
              </w:rPr>
              <w:t>63.00%</w:t>
            </w:r>
            <w:r>
              <w:rPr>
                <w:rFonts w:ascii="Arial"/>
                <w:sz w:val="18"/>
              </w:rPr>
            </w:r>
          </w:p>
        </w:tc>
      </w:tr>
      <w:tr>
        <w:trPr>
          <w:trHeight w:val="402" w:hRule="exact"/>
        </w:trPr>
        <w:tc>
          <w:tcPr>
            <w:tcW w:w="236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21"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9"/>
              <w:ind w:right="26"/>
              <w:jc w:val="right"/>
              <w:rPr>
                <w:rFonts w:ascii="Arial" w:hAnsi="Arial" w:cs="Arial" w:eastAsia="Arial" w:hint="default"/>
                <w:sz w:val="18"/>
                <w:szCs w:val="18"/>
              </w:rPr>
            </w:pPr>
            <w:r>
              <w:rPr>
                <w:rFonts w:ascii="Arial"/>
                <w:w w:val="95"/>
                <w:sz w:val="18"/>
              </w:rPr>
              <w:t>14,054,272,229.84</w:t>
            </w:r>
            <w:r>
              <w:rPr>
                <w:rFonts w:ascii="Arial"/>
                <w:sz w:val="18"/>
              </w:rPr>
            </w:r>
          </w:p>
        </w:tc>
        <w:tc>
          <w:tcPr>
            <w:tcW w:w="236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9"/>
              <w:ind w:right="12"/>
              <w:jc w:val="right"/>
              <w:rPr>
                <w:rFonts w:ascii="Arial" w:hAnsi="Arial" w:cs="Arial" w:eastAsia="Arial" w:hint="default"/>
                <w:sz w:val="18"/>
                <w:szCs w:val="18"/>
              </w:rPr>
            </w:pPr>
            <w:r>
              <w:rPr>
                <w:rFonts w:ascii="Arial"/>
                <w:w w:val="95"/>
                <w:sz w:val="18"/>
              </w:rPr>
              <w:t>10,195,354,750.04</w:t>
            </w:r>
            <w:r>
              <w:rPr>
                <w:rFonts w:ascii="Arial"/>
                <w:sz w:val="18"/>
              </w:rPr>
            </w:r>
          </w:p>
        </w:tc>
        <w:tc>
          <w:tcPr>
            <w:tcW w:w="2392"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89"/>
              <w:ind w:right="11"/>
              <w:jc w:val="right"/>
              <w:rPr>
                <w:rFonts w:ascii="Arial" w:hAnsi="Arial" w:cs="Arial" w:eastAsia="Arial" w:hint="default"/>
                <w:sz w:val="18"/>
                <w:szCs w:val="18"/>
              </w:rPr>
            </w:pPr>
            <w:r>
              <w:rPr>
                <w:rFonts w:ascii="Arial"/>
                <w:w w:val="95"/>
                <w:sz w:val="18"/>
              </w:rPr>
              <w:t>37.85%</w:t>
            </w:r>
            <w:r>
              <w:rPr>
                <w:rFonts w:ascii="Arial"/>
                <w:sz w:val="18"/>
              </w:rPr>
            </w:r>
          </w:p>
        </w:tc>
      </w:tr>
      <w:tr>
        <w:trPr>
          <w:trHeight w:val="162" w:hRule="exact"/>
        </w:trPr>
        <w:tc>
          <w:tcPr>
            <w:tcW w:w="2364"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7"/>
              <w:ind w:left="13" w:right="188"/>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21" w:type="dxa"/>
            <w:vMerge w:val="restart"/>
            <w:tcBorders>
              <w:top w:val="single" w:sz="4" w:space="0" w:color="5B9BD4"/>
              <w:left w:val="single" w:sz="11" w:space="0" w:color="DEEAF6"/>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118" w:right="0"/>
              <w:jc w:val="left"/>
              <w:rPr>
                <w:rFonts w:ascii="Arial" w:hAnsi="Arial" w:cs="Arial" w:eastAsia="Arial" w:hint="default"/>
                <w:sz w:val="18"/>
                <w:szCs w:val="18"/>
              </w:rPr>
            </w:pPr>
            <w:r>
              <w:rPr>
                <w:rFonts w:ascii="Arial"/>
                <w:sz w:val="18"/>
              </w:rPr>
              <w:t>635,527,860.68</w:t>
            </w:r>
          </w:p>
        </w:tc>
        <w:tc>
          <w:tcPr>
            <w:tcW w:w="2364" w:type="dxa"/>
            <w:tcBorders>
              <w:top w:val="single" w:sz="4" w:space="0" w:color="5B9BD4"/>
              <w:left w:val="nil" w:sz="6" w:space="0" w:color="auto"/>
              <w:bottom w:val="nil" w:sz="6" w:space="0" w:color="auto"/>
              <w:right w:val="nil" w:sz="6" w:space="0" w:color="auto"/>
            </w:tcBorders>
            <w:shd w:val="clear" w:color="auto" w:fill="DEEAF6"/>
          </w:tcPr>
          <w:p>
            <w:pPr/>
          </w:p>
        </w:tc>
        <w:tc>
          <w:tcPr>
            <w:tcW w:w="2392" w:type="dxa"/>
            <w:vMerge w:val="restart"/>
            <w:tcBorders>
              <w:top w:val="single" w:sz="4" w:space="0" w:color="5B9BD4"/>
              <w:left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1"/>
              <w:jc w:val="right"/>
              <w:rPr>
                <w:rFonts w:ascii="Arial" w:hAnsi="Arial" w:cs="Arial" w:eastAsia="Arial" w:hint="default"/>
                <w:sz w:val="18"/>
                <w:szCs w:val="18"/>
              </w:rPr>
            </w:pPr>
            <w:r>
              <w:rPr>
                <w:rFonts w:ascii="Arial"/>
                <w:w w:val="95"/>
                <w:sz w:val="18"/>
              </w:rPr>
              <w:t>153.72%</w:t>
            </w:r>
            <w:r>
              <w:rPr>
                <w:rFonts w:ascii="Arial"/>
                <w:sz w:val="18"/>
              </w:rPr>
            </w:r>
          </w:p>
        </w:tc>
      </w:tr>
      <w:tr>
        <w:trPr>
          <w:trHeight w:val="391" w:hRule="exact"/>
        </w:trPr>
        <w:tc>
          <w:tcPr>
            <w:tcW w:w="2364" w:type="dxa"/>
            <w:vMerge/>
            <w:tcBorders>
              <w:left w:val="nil" w:sz="6" w:space="0" w:color="auto"/>
              <w:right w:val="nil" w:sz="6" w:space="0" w:color="auto"/>
            </w:tcBorders>
            <w:shd w:val="clear" w:color="auto" w:fill="DEEAF6"/>
          </w:tcPr>
          <w:p>
            <w:pPr/>
          </w:p>
        </w:tc>
        <w:tc>
          <w:tcPr>
            <w:tcW w:w="2421" w:type="dxa"/>
            <w:vMerge/>
            <w:tcBorders>
              <w:left w:val="single" w:sz="11" w:space="0" w:color="DEEAF6"/>
              <w:right w:val="nil" w:sz="6" w:space="0" w:color="auto"/>
            </w:tcBorders>
          </w:tcPr>
          <w:p>
            <w:pPr/>
          </w:p>
        </w:tc>
        <w:tc>
          <w:tcPr>
            <w:tcW w:w="2364"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12"/>
              <w:jc w:val="right"/>
              <w:rPr>
                <w:rFonts w:ascii="Arial" w:hAnsi="Arial" w:cs="Arial" w:eastAsia="Arial" w:hint="default"/>
                <w:sz w:val="18"/>
                <w:szCs w:val="18"/>
              </w:rPr>
            </w:pPr>
            <w:r>
              <w:rPr>
                <w:rFonts w:ascii="Arial"/>
                <w:spacing w:val="-1"/>
                <w:sz w:val="18"/>
              </w:rPr>
              <w:t>-1,183,103,688.05</w:t>
            </w:r>
          </w:p>
        </w:tc>
        <w:tc>
          <w:tcPr>
            <w:tcW w:w="2392" w:type="dxa"/>
            <w:vMerge/>
            <w:tcBorders>
              <w:left w:val="nil" w:sz="6" w:space="0" w:color="auto"/>
              <w:right w:val="nil" w:sz="6" w:space="0" w:color="auto"/>
            </w:tcBorders>
          </w:tcPr>
          <w:p>
            <w:pPr/>
          </w:p>
        </w:tc>
      </w:tr>
      <w:tr>
        <w:trPr>
          <w:trHeight w:val="161" w:hRule="exact"/>
        </w:trPr>
        <w:tc>
          <w:tcPr>
            <w:tcW w:w="2364" w:type="dxa"/>
            <w:vMerge/>
            <w:tcBorders>
              <w:left w:val="nil" w:sz="6" w:space="0" w:color="auto"/>
              <w:bottom w:val="single" w:sz="4" w:space="0" w:color="5B9BD4"/>
              <w:right w:val="nil" w:sz="6" w:space="0" w:color="auto"/>
            </w:tcBorders>
            <w:shd w:val="clear" w:color="auto" w:fill="DEEAF6"/>
          </w:tcPr>
          <w:p>
            <w:pPr/>
          </w:p>
        </w:tc>
        <w:tc>
          <w:tcPr>
            <w:tcW w:w="2421" w:type="dxa"/>
            <w:vMerge/>
            <w:tcBorders>
              <w:left w:val="single" w:sz="11" w:space="0" w:color="DEEAF6"/>
              <w:bottom w:val="single" w:sz="4" w:space="0" w:color="5B9BD4"/>
              <w:right w:val="nil" w:sz="6" w:space="0" w:color="auto"/>
            </w:tcBorders>
          </w:tcPr>
          <w:p>
            <w:pPr/>
          </w:p>
        </w:tc>
        <w:tc>
          <w:tcPr>
            <w:tcW w:w="2364" w:type="dxa"/>
            <w:tcBorders>
              <w:top w:val="nil" w:sz="6" w:space="0" w:color="auto"/>
              <w:left w:val="nil" w:sz="6" w:space="0" w:color="auto"/>
              <w:bottom w:val="single" w:sz="4" w:space="0" w:color="5B9BD4"/>
              <w:right w:val="nil" w:sz="6" w:space="0" w:color="auto"/>
            </w:tcBorders>
            <w:shd w:val="clear" w:color="auto" w:fill="DEEAF6"/>
          </w:tcPr>
          <w:p>
            <w:pPr/>
          </w:p>
        </w:tc>
        <w:tc>
          <w:tcPr>
            <w:tcW w:w="2392" w:type="dxa"/>
            <w:vMerge/>
            <w:tcBorders>
              <w:left w:val="nil" w:sz="6" w:space="0" w:color="auto"/>
              <w:bottom w:val="single" w:sz="4" w:space="0" w:color="5B9BD4"/>
              <w:right w:val="nil" w:sz="6" w:space="0" w:color="auto"/>
            </w:tcBorders>
          </w:tcPr>
          <w:p>
            <w:pPr/>
          </w:p>
        </w:tc>
      </w:tr>
      <w:tr>
        <w:trPr>
          <w:trHeight w:val="403" w:hRule="exact"/>
        </w:trPr>
        <w:tc>
          <w:tcPr>
            <w:tcW w:w="236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21"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9"/>
              <w:ind w:right="25"/>
              <w:jc w:val="right"/>
              <w:rPr>
                <w:rFonts w:ascii="Arial" w:hAnsi="Arial" w:cs="Arial" w:eastAsia="Arial" w:hint="default"/>
                <w:sz w:val="18"/>
                <w:szCs w:val="18"/>
              </w:rPr>
            </w:pPr>
            <w:r>
              <w:rPr>
                <w:rFonts w:ascii="Arial"/>
                <w:w w:val="95"/>
                <w:sz w:val="18"/>
              </w:rPr>
              <w:t>269,435,215.23</w:t>
            </w:r>
            <w:r>
              <w:rPr>
                <w:rFonts w:ascii="Arial"/>
                <w:sz w:val="18"/>
              </w:rPr>
            </w:r>
          </w:p>
        </w:tc>
        <w:tc>
          <w:tcPr>
            <w:tcW w:w="236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9"/>
              <w:ind w:right="12"/>
              <w:jc w:val="right"/>
              <w:rPr>
                <w:rFonts w:ascii="Arial" w:hAnsi="Arial" w:cs="Arial" w:eastAsia="Arial" w:hint="default"/>
                <w:sz w:val="18"/>
                <w:szCs w:val="18"/>
              </w:rPr>
            </w:pPr>
            <w:r>
              <w:rPr>
                <w:rFonts w:ascii="Arial"/>
                <w:spacing w:val="-1"/>
                <w:sz w:val="18"/>
              </w:rPr>
              <w:t>-1,403,679,695.13</w:t>
            </w:r>
          </w:p>
        </w:tc>
        <w:tc>
          <w:tcPr>
            <w:tcW w:w="2392"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89"/>
              <w:ind w:right="11"/>
              <w:jc w:val="right"/>
              <w:rPr>
                <w:rFonts w:ascii="Arial" w:hAnsi="Arial" w:cs="Arial" w:eastAsia="Arial" w:hint="default"/>
                <w:sz w:val="18"/>
                <w:szCs w:val="18"/>
              </w:rPr>
            </w:pPr>
            <w:r>
              <w:rPr>
                <w:rFonts w:ascii="Arial"/>
                <w:w w:val="95"/>
                <w:sz w:val="18"/>
              </w:rPr>
              <w:t>119.19%</w:t>
            </w:r>
            <w:r>
              <w:rPr>
                <w:rFonts w:ascii="Arial"/>
                <w:sz w:val="18"/>
              </w:rPr>
            </w:r>
          </w:p>
        </w:tc>
      </w:tr>
    </w:tbl>
    <w:p>
      <w:pPr>
        <w:spacing w:line="357" w:lineRule="auto" w:before="46"/>
        <w:ind w:left="512" w:right="0" w:hanging="359"/>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 </w:t>
      </w:r>
      <w:r>
        <w:rPr>
          <w:rFonts w:ascii="宋体" w:hAnsi="宋体" w:cs="宋体" w:eastAsia="宋体" w:hint="default"/>
          <w:spacing w:val="-2"/>
          <w:sz w:val="18"/>
          <w:szCs w:val="18"/>
        </w:rPr>
        <w:t>经营活动产生的现金流量净额本期增幅较大的原因主要系加强应收账款管理，控制客户额度加快收款，使得经营活动流</w:t>
      </w:r>
    </w:p>
    <w:p>
      <w:pPr>
        <w:spacing w:line="224"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量净额增加。</w:t>
      </w:r>
    </w:p>
    <w:p>
      <w:pPr>
        <w:spacing w:after="0" w:line="224" w:lineRule="exact"/>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1"/>
        <w:spacing w:line="409" w:lineRule="exact"/>
        <w:ind w:right="0"/>
        <w:jc w:val="left"/>
        <w:rPr>
          <w:b w:val="0"/>
          <w:bCs w:val="0"/>
        </w:rPr>
      </w:pPr>
      <w:bookmarkStart w:name="4.3 非主营业务分析" w:id="68"/>
      <w:bookmarkEnd w:id="68"/>
      <w:r>
        <w:rPr>
          <w:b w:val="0"/>
          <w:bCs w:val="0"/>
        </w:rPr>
      </w:r>
      <w:bookmarkStart w:name="_bookmark21" w:id="69"/>
      <w:bookmarkEnd w:id="69"/>
      <w:r>
        <w:rPr>
          <w:b w:val="0"/>
          <w:bCs w:val="0"/>
        </w:rPr>
      </w:r>
      <w:r>
        <w:rPr>
          <w:rFonts w:ascii="Trebuchet MS" w:hAnsi="Trebuchet MS" w:cs="Trebuchet MS" w:eastAsia="Trebuchet MS" w:hint="default"/>
        </w:rPr>
        <w:t>4.3</w:t>
      </w:r>
      <w:r>
        <w:rPr>
          <w:rFonts w:ascii="Trebuchet MS" w:hAnsi="Trebuchet MS" w:cs="Trebuchet MS" w:eastAsia="Trebuchet MS" w:hint="default"/>
          <w:spacing w:val="14"/>
        </w:rPr>
        <w:t> </w:t>
      </w:r>
      <w:r>
        <w:rPr/>
        <w:t>非主营业务分析</w:t>
      </w:r>
      <w:r>
        <w:rPr>
          <w:b w:val="0"/>
          <w:bCs w:val="0"/>
        </w:rPr>
      </w:r>
    </w:p>
    <w:p>
      <w:pPr>
        <w:spacing w:before="181"/>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pStyle w:val="Heading1"/>
        <w:spacing w:line="240" w:lineRule="auto" w:before="76"/>
        <w:ind w:right="0"/>
        <w:jc w:val="left"/>
        <w:rPr>
          <w:b w:val="0"/>
          <w:bCs w:val="0"/>
        </w:rPr>
      </w:pPr>
      <w:bookmarkStart w:name="4.4 资产及负债状况分析" w:id="70"/>
      <w:bookmarkEnd w:id="70"/>
      <w:r>
        <w:rPr>
          <w:b w:val="0"/>
          <w:bCs w:val="0"/>
        </w:rPr>
      </w:r>
      <w:bookmarkStart w:name="_bookmark22" w:id="71"/>
      <w:bookmarkEnd w:id="71"/>
      <w:r>
        <w:rPr>
          <w:b w:val="0"/>
          <w:bCs w:val="0"/>
        </w:rPr>
      </w:r>
      <w:r>
        <w:rPr>
          <w:rFonts w:ascii="Trebuchet MS" w:hAnsi="Trebuchet MS" w:cs="Trebuchet MS" w:eastAsia="Trebuchet MS" w:hint="default"/>
        </w:rPr>
        <w:t>4.4</w:t>
      </w:r>
      <w:r>
        <w:rPr>
          <w:rFonts w:ascii="Trebuchet MS" w:hAnsi="Trebuchet MS" w:cs="Trebuchet MS" w:eastAsia="Trebuchet MS" w:hint="default"/>
          <w:spacing w:val="14"/>
        </w:rPr>
        <w:t> </w:t>
      </w:r>
      <w:r>
        <w:rPr/>
        <w:t>资产及负债状况分析</w:t>
      </w:r>
      <w:r>
        <w:rPr>
          <w:b w:val="0"/>
          <w:bCs w:val="0"/>
        </w:rPr>
      </w:r>
    </w:p>
    <w:p>
      <w:pPr>
        <w:spacing w:line="240" w:lineRule="auto" w:before="1"/>
        <w:rPr>
          <w:rFonts w:ascii="Microsoft JhengHei" w:hAnsi="Microsoft JhengHei" w:cs="Microsoft JhengHei" w:eastAsia="Microsoft JhengHei" w:hint="default"/>
          <w:b/>
          <w:bCs/>
          <w:sz w:val="27"/>
          <w:szCs w:val="27"/>
        </w:rPr>
      </w:pPr>
    </w:p>
    <w:p>
      <w:pPr>
        <w:pStyle w:val="Heading2"/>
        <w:spacing w:line="240" w:lineRule="auto"/>
        <w:ind w:right="0"/>
        <w:jc w:val="left"/>
        <w:rPr>
          <w:b w:val="0"/>
          <w:bCs w:val="0"/>
        </w:rPr>
      </w:pPr>
      <w:bookmarkStart w:name="4.4.1 资产构成重大变动情况" w:id="72"/>
      <w:bookmarkEnd w:id="72"/>
      <w:r>
        <w:rPr>
          <w:b w:val="0"/>
          <w:bCs w:val="0"/>
        </w:rPr>
      </w:r>
      <w:r>
        <w:rPr>
          <w:rFonts w:ascii="Trebuchet MS" w:hAnsi="Trebuchet MS" w:cs="Trebuchet MS" w:eastAsia="Trebuchet MS" w:hint="default"/>
        </w:rPr>
        <w:t>4.4.1</w:t>
      </w:r>
      <w:r>
        <w:rPr>
          <w:rFonts w:ascii="Trebuchet MS" w:hAnsi="Trebuchet MS" w:cs="Trebuchet MS" w:eastAsia="Trebuchet MS" w:hint="default"/>
          <w:spacing w:val="-18"/>
        </w:rPr>
        <w:t> </w:t>
      </w:r>
      <w:r>
        <w:rPr/>
        <w:t>资产构成重大变动情况</w:t>
      </w:r>
      <w:r>
        <w:rPr>
          <w:b w:val="0"/>
          <w:bCs w:val="0"/>
        </w:rPr>
      </w:r>
    </w:p>
    <w:p>
      <w:pPr>
        <w:spacing w:line="240" w:lineRule="auto" w:before="14"/>
        <w:rPr>
          <w:rFonts w:ascii="Microsoft JhengHei" w:hAnsi="Microsoft JhengHei" w:cs="Microsoft JhengHei" w:eastAsia="Microsoft JhengHei" w:hint="default"/>
          <w:b/>
          <w:bCs/>
          <w:sz w:val="25"/>
          <w:szCs w:val="25"/>
        </w:rPr>
      </w:pPr>
    </w:p>
    <w:p>
      <w:pPr>
        <w:spacing w:before="29"/>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355"/>
        <w:gridCol w:w="1595"/>
        <w:gridCol w:w="618"/>
        <w:gridCol w:w="1508"/>
        <w:gridCol w:w="764"/>
        <w:gridCol w:w="805"/>
        <w:gridCol w:w="2897"/>
      </w:tblGrid>
      <w:tr>
        <w:trPr>
          <w:trHeight w:val="385" w:hRule="exact"/>
        </w:trPr>
        <w:tc>
          <w:tcPr>
            <w:tcW w:w="1355" w:type="dxa"/>
            <w:tcBorders>
              <w:top w:val="single" w:sz="4" w:space="0" w:color="5B9BD4"/>
              <w:left w:val="nil" w:sz="6" w:space="0" w:color="auto"/>
              <w:bottom w:val="nil" w:sz="6" w:space="0" w:color="auto"/>
              <w:right w:val="nil" w:sz="6" w:space="0" w:color="auto"/>
            </w:tcBorders>
            <w:shd w:val="clear" w:color="auto" w:fill="DEEAF6"/>
          </w:tcPr>
          <w:p>
            <w:pPr/>
          </w:p>
        </w:tc>
        <w:tc>
          <w:tcPr>
            <w:tcW w:w="2213"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710"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年末</w:t>
            </w:r>
          </w:p>
        </w:tc>
        <w:tc>
          <w:tcPr>
            <w:tcW w:w="2273"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740"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1"/>
                <w:sz w:val="18"/>
                <w:szCs w:val="18"/>
              </w:rPr>
              <w:t> </w:t>
            </w:r>
            <w:r>
              <w:rPr>
                <w:rFonts w:ascii="宋体" w:hAnsi="宋体" w:cs="宋体" w:eastAsia="宋体" w:hint="default"/>
                <w:sz w:val="18"/>
                <w:szCs w:val="18"/>
              </w:rPr>
              <w:t>年末</w:t>
            </w:r>
          </w:p>
        </w:tc>
        <w:tc>
          <w:tcPr>
            <w:tcW w:w="3702" w:type="dxa"/>
            <w:gridSpan w:val="2"/>
            <w:tcBorders>
              <w:top w:val="single" w:sz="4" w:space="0" w:color="5B9BD4"/>
              <w:left w:val="nil" w:sz="6" w:space="0" w:color="auto"/>
              <w:bottom w:val="nil" w:sz="6" w:space="0" w:color="auto"/>
              <w:right w:val="nil" w:sz="6" w:space="0" w:color="auto"/>
            </w:tcBorders>
            <w:shd w:val="clear" w:color="auto" w:fill="DEEAF6"/>
          </w:tcPr>
          <w:p>
            <w:pPr/>
          </w:p>
        </w:tc>
      </w:tr>
      <w:tr>
        <w:trPr>
          <w:trHeight w:val="178" w:hRule="exact"/>
        </w:trPr>
        <w:tc>
          <w:tcPr>
            <w:tcW w:w="1355" w:type="dxa"/>
            <w:vMerge w:val="restart"/>
            <w:tcBorders>
              <w:top w:val="nil" w:sz="6" w:space="0" w:color="auto"/>
              <w:left w:val="nil" w:sz="6" w:space="0" w:color="auto"/>
              <w:right w:val="nil" w:sz="6" w:space="0" w:color="auto"/>
            </w:tcBorders>
            <w:shd w:val="clear" w:color="auto" w:fill="DEEAF6"/>
          </w:tcPr>
          <w:p>
            <w:pPr/>
          </w:p>
        </w:tc>
        <w:tc>
          <w:tcPr>
            <w:tcW w:w="1595" w:type="dxa"/>
            <w:tcBorders>
              <w:top w:val="single" w:sz="4" w:space="0" w:color="5B9BD4"/>
              <w:left w:val="nil" w:sz="6" w:space="0" w:color="auto"/>
              <w:bottom w:val="nil" w:sz="6" w:space="0" w:color="auto"/>
              <w:right w:val="nil" w:sz="6" w:space="0" w:color="auto"/>
            </w:tcBorders>
            <w:shd w:val="clear" w:color="auto" w:fill="DEEAF6"/>
          </w:tcPr>
          <w:p>
            <w:pPr/>
          </w:p>
        </w:tc>
        <w:tc>
          <w:tcPr>
            <w:tcW w:w="618" w:type="dxa"/>
            <w:vMerge w:val="restart"/>
            <w:tcBorders>
              <w:top w:val="single" w:sz="4" w:space="0" w:color="5B9BD4"/>
              <w:left w:val="nil" w:sz="6" w:space="0" w:color="auto"/>
              <w:right w:val="nil" w:sz="6" w:space="0" w:color="auto"/>
            </w:tcBorders>
            <w:shd w:val="clear" w:color="auto" w:fill="DEEAF6"/>
          </w:tcPr>
          <w:p>
            <w:pPr>
              <w:pStyle w:val="TableParagraph"/>
              <w:spacing w:line="319" w:lineRule="auto" w:before="64"/>
              <w:ind w:left="39" w:right="36"/>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508" w:type="dxa"/>
            <w:tcBorders>
              <w:top w:val="single" w:sz="4" w:space="0" w:color="5B9BD4"/>
              <w:left w:val="nil" w:sz="6" w:space="0" w:color="auto"/>
              <w:bottom w:val="nil" w:sz="6" w:space="0" w:color="auto"/>
              <w:right w:val="nil" w:sz="6" w:space="0" w:color="auto"/>
            </w:tcBorders>
            <w:shd w:val="clear" w:color="auto" w:fill="DEEAF6"/>
          </w:tcPr>
          <w:p>
            <w:pPr/>
          </w:p>
        </w:tc>
        <w:tc>
          <w:tcPr>
            <w:tcW w:w="764" w:type="dxa"/>
            <w:vMerge w:val="restart"/>
            <w:tcBorders>
              <w:top w:val="single" w:sz="4" w:space="0" w:color="5B9BD4"/>
              <w:left w:val="nil" w:sz="6" w:space="0" w:color="auto"/>
              <w:right w:val="nil" w:sz="6" w:space="0" w:color="auto"/>
            </w:tcBorders>
            <w:shd w:val="clear" w:color="auto" w:fill="DEEAF6"/>
          </w:tcPr>
          <w:p>
            <w:pPr>
              <w:pStyle w:val="TableParagraph"/>
              <w:spacing w:line="319" w:lineRule="auto" w:before="64"/>
              <w:ind w:left="195" w:right="27"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805" w:type="dxa"/>
            <w:vMerge w:val="restart"/>
            <w:tcBorders>
              <w:top w:val="nil" w:sz="6" w:space="0" w:color="auto"/>
              <w:left w:val="nil" w:sz="6" w:space="0" w:color="auto"/>
              <w:right w:val="nil" w:sz="6" w:space="0" w:color="auto"/>
            </w:tcBorders>
            <w:shd w:val="clear" w:color="auto" w:fill="DEEAF6"/>
          </w:tcPr>
          <w:p>
            <w:pPr>
              <w:pStyle w:val="TableParagraph"/>
              <w:spacing w:line="240" w:lineRule="auto" w:before="24"/>
              <w:ind w:left="38"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897" w:type="dxa"/>
            <w:vMerge w:val="restart"/>
            <w:tcBorders>
              <w:top w:val="nil" w:sz="6" w:space="0" w:color="auto"/>
              <w:left w:val="nil" w:sz="6" w:space="0" w:color="auto"/>
              <w:right w:val="nil" w:sz="6" w:space="0" w:color="auto"/>
            </w:tcBorders>
            <w:shd w:val="clear" w:color="auto" w:fill="DEEAF6"/>
          </w:tcPr>
          <w:p>
            <w:pPr>
              <w:pStyle w:val="TableParagraph"/>
              <w:spacing w:line="240" w:lineRule="auto" w:before="24"/>
              <w:ind w:left="911"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5" w:type="dxa"/>
            <w:vMerge/>
            <w:tcBorders>
              <w:left w:val="nil" w:sz="6" w:space="0" w:color="auto"/>
              <w:bottom w:val="nil" w:sz="6" w:space="0" w:color="auto"/>
              <w:right w:val="nil" w:sz="6" w:space="0" w:color="auto"/>
            </w:tcBorders>
            <w:shd w:val="clear" w:color="auto" w:fill="DEEAF6"/>
          </w:tcPr>
          <w:p>
            <w:pPr/>
          </w:p>
        </w:tc>
        <w:tc>
          <w:tcPr>
            <w:tcW w:w="1595" w:type="dxa"/>
            <w:vMerge w:val="restart"/>
            <w:tcBorders>
              <w:top w:val="nil" w:sz="6" w:space="0" w:color="auto"/>
              <w:left w:val="nil" w:sz="6" w:space="0" w:color="auto"/>
              <w:right w:val="nil" w:sz="6" w:space="0" w:color="auto"/>
            </w:tcBorders>
            <w:shd w:val="clear" w:color="auto" w:fill="DEEAF6"/>
          </w:tcPr>
          <w:p>
            <w:pPr>
              <w:pStyle w:val="TableParagraph"/>
              <w:spacing w:line="240" w:lineRule="auto" w:before="46"/>
              <w:ind w:right="13"/>
              <w:jc w:val="center"/>
              <w:rPr>
                <w:rFonts w:ascii="宋体" w:hAnsi="宋体" w:cs="宋体" w:eastAsia="宋体" w:hint="default"/>
                <w:sz w:val="18"/>
                <w:szCs w:val="18"/>
              </w:rPr>
            </w:pPr>
            <w:r>
              <w:rPr>
                <w:rFonts w:ascii="宋体" w:hAnsi="宋体" w:cs="宋体" w:eastAsia="宋体" w:hint="default"/>
                <w:sz w:val="18"/>
                <w:szCs w:val="18"/>
              </w:rPr>
              <w:t>金额</w:t>
            </w:r>
          </w:p>
        </w:tc>
        <w:tc>
          <w:tcPr>
            <w:tcW w:w="618" w:type="dxa"/>
            <w:vMerge/>
            <w:tcBorders>
              <w:left w:val="nil" w:sz="6" w:space="0" w:color="auto"/>
              <w:right w:val="nil" w:sz="6" w:space="0" w:color="auto"/>
            </w:tcBorders>
            <w:shd w:val="clear" w:color="auto" w:fill="DEEAF6"/>
          </w:tcPr>
          <w:p>
            <w:pPr/>
          </w:p>
        </w:tc>
        <w:tc>
          <w:tcPr>
            <w:tcW w:w="1508" w:type="dxa"/>
            <w:vMerge w:val="restart"/>
            <w:tcBorders>
              <w:top w:val="nil" w:sz="6" w:space="0" w:color="auto"/>
              <w:left w:val="nil" w:sz="6" w:space="0" w:color="auto"/>
              <w:right w:val="nil" w:sz="6" w:space="0" w:color="auto"/>
            </w:tcBorders>
            <w:shd w:val="clear" w:color="auto" w:fill="DEEAF6"/>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nil" w:sz="6" w:space="0" w:color="auto"/>
              <w:right w:val="nil" w:sz="6" w:space="0" w:color="auto"/>
            </w:tcBorders>
            <w:shd w:val="clear" w:color="auto" w:fill="DEEAF6"/>
          </w:tcPr>
          <w:p>
            <w:pPr/>
          </w:p>
        </w:tc>
        <w:tc>
          <w:tcPr>
            <w:tcW w:w="805" w:type="dxa"/>
            <w:vMerge/>
            <w:tcBorders>
              <w:left w:val="nil" w:sz="6" w:space="0" w:color="auto"/>
              <w:bottom w:val="nil" w:sz="6" w:space="0" w:color="auto"/>
              <w:right w:val="nil" w:sz="6" w:space="0" w:color="auto"/>
            </w:tcBorders>
            <w:shd w:val="clear" w:color="auto" w:fill="DEEAF6"/>
          </w:tcPr>
          <w:p>
            <w:pPr/>
          </w:p>
        </w:tc>
        <w:tc>
          <w:tcPr>
            <w:tcW w:w="2897" w:type="dxa"/>
            <w:vMerge/>
            <w:tcBorders>
              <w:left w:val="nil" w:sz="6" w:space="0" w:color="auto"/>
              <w:bottom w:val="nil" w:sz="6" w:space="0" w:color="auto"/>
              <w:right w:val="nil" w:sz="6" w:space="0" w:color="auto"/>
            </w:tcBorders>
            <w:shd w:val="clear" w:color="auto" w:fill="DEEAF6"/>
          </w:tcPr>
          <w:p>
            <w:pPr/>
          </w:p>
        </w:tc>
      </w:tr>
      <w:tr>
        <w:trPr>
          <w:trHeight w:val="202" w:hRule="exact"/>
        </w:trPr>
        <w:tc>
          <w:tcPr>
            <w:tcW w:w="1355" w:type="dxa"/>
            <w:vMerge w:val="restart"/>
            <w:tcBorders>
              <w:top w:val="nil" w:sz="6" w:space="0" w:color="auto"/>
              <w:left w:val="nil" w:sz="6" w:space="0" w:color="auto"/>
              <w:right w:val="nil" w:sz="6" w:space="0" w:color="auto"/>
            </w:tcBorders>
            <w:shd w:val="clear" w:color="auto" w:fill="DEEAF6"/>
          </w:tcPr>
          <w:p>
            <w:pPr/>
          </w:p>
        </w:tc>
        <w:tc>
          <w:tcPr>
            <w:tcW w:w="1595" w:type="dxa"/>
            <w:vMerge/>
            <w:tcBorders>
              <w:left w:val="nil" w:sz="6" w:space="0" w:color="auto"/>
              <w:bottom w:val="nil" w:sz="6" w:space="0" w:color="auto"/>
              <w:right w:val="nil" w:sz="6" w:space="0" w:color="auto"/>
            </w:tcBorders>
            <w:shd w:val="clear" w:color="auto" w:fill="DEEAF6"/>
          </w:tcPr>
          <w:p>
            <w:pPr/>
          </w:p>
        </w:tc>
        <w:tc>
          <w:tcPr>
            <w:tcW w:w="618" w:type="dxa"/>
            <w:vMerge/>
            <w:tcBorders>
              <w:left w:val="nil" w:sz="6" w:space="0" w:color="auto"/>
              <w:right w:val="nil" w:sz="6" w:space="0" w:color="auto"/>
            </w:tcBorders>
            <w:shd w:val="clear" w:color="auto" w:fill="DEEAF6"/>
          </w:tcPr>
          <w:p>
            <w:pPr/>
          </w:p>
        </w:tc>
        <w:tc>
          <w:tcPr>
            <w:tcW w:w="1508" w:type="dxa"/>
            <w:vMerge/>
            <w:tcBorders>
              <w:left w:val="nil" w:sz="6" w:space="0" w:color="auto"/>
              <w:bottom w:val="nil" w:sz="6" w:space="0" w:color="auto"/>
              <w:right w:val="nil" w:sz="6" w:space="0" w:color="auto"/>
            </w:tcBorders>
            <w:shd w:val="clear" w:color="auto" w:fill="DEEAF6"/>
          </w:tcPr>
          <w:p>
            <w:pPr/>
          </w:p>
        </w:tc>
        <w:tc>
          <w:tcPr>
            <w:tcW w:w="764" w:type="dxa"/>
            <w:vMerge/>
            <w:tcBorders>
              <w:left w:val="nil" w:sz="6" w:space="0" w:color="auto"/>
              <w:right w:val="nil" w:sz="6" w:space="0" w:color="auto"/>
            </w:tcBorders>
            <w:shd w:val="clear" w:color="auto" w:fill="DEEAF6"/>
          </w:tcPr>
          <w:p>
            <w:pPr/>
          </w:p>
        </w:tc>
        <w:tc>
          <w:tcPr>
            <w:tcW w:w="3702" w:type="dxa"/>
            <w:gridSpan w:val="2"/>
            <w:vMerge w:val="restart"/>
            <w:tcBorders>
              <w:top w:val="nil" w:sz="6" w:space="0" w:color="auto"/>
              <w:left w:val="nil" w:sz="6" w:space="0" w:color="auto"/>
              <w:right w:val="nil" w:sz="6" w:space="0" w:color="auto"/>
            </w:tcBorders>
            <w:shd w:val="clear" w:color="auto" w:fill="DEEAF6"/>
          </w:tcPr>
          <w:p>
            <w:pPr/>
          </w:p>
        </w:tc>
      </w:tr>
      <w:tr>
        <w:trPr>
          <w:trHeight w:val="161" w:hRule="exact"/>
        </w:trPr>
        <w:tc>
          <w:tcPr>
            <w:tcW w:w="1355" w:type="dxa"/>
            <w:vMerge/>
            <w:tcBorders>
              <w:left w:val="nil" w:sz="6" w:space="0" w:color="auto"/>
              <w:bottom w:val="single" w:sz="4" w:space="0" w:color="5B9BD4"/>
              <w:right w:val="nil" w:sz="6" w:space="0" w:color="auto"/>
            </w:tcBorders>
            <w:shd w:val="clear" w:color="auto" w:fill="DEEAF6"/>
          </w:tcPr>
          <w:p>
            <w:pPr/>
          </w:p>
        </w:tc>
        <w:tc>
          <w:tcPr>
            <w:tcW w:w="1595" w:type="dxa"/>
            <w:tcBorders>
              <w:top w:val="nil" w:sz="6" w:space="0" w:color="auto"/>
              <w:left w:val="nil" w:sz="6" w:space="0" w:color="auto"/>
              <w:bottom w:val="single" w:sz="4" w:space="0" w:color="5B9BD4"/>
              <w:right w:val="nil" w:sz="6" w:space="0" w:color="auto"/>
            </w:tcBorders>
            <w:shd w:val="clear" w:color="auto" w:fill="DEEAF6"/>
          </w:tcPr>
          <w:p>
            <w:pPr/>
          </w:p>
        </w:tc>
        <w:tc>
          <w:tcPr>
            <w:tcW w:w="618" w:type="dxa"/>
            <w:vMerge/>
            <w:tcBorders>
              <w:left w:val="nil" w:sz="6" w:space="0" w:color="auto"/>
              <w:bottom w:val="single" w:sz="4" w:space="0" w:color="5B9BD4"/>
              <w:right w:val="nil" w:sz="6" w:space="0" w:color="auto"/>
            </w:tcBorders>
            <w:shd w:val="clear" w:color="auto" w:fill="DEEAF6"/>
          </w:tcPr>
          <w:p>
            <w:pPr/>
          </w:p>
        </w:tc>
        <w:tc>
          <w:tcPr>
            <w:tcW w:w="1508" w:type="dxa"/>
            <w:tcBorders>
              <w:top w:val="nil" w:sz="6" w:space="0" w:color="auto"/>
              <w:left w:val="nil" w:sz="6" w:space="0" w:color="auto"/>
              <w:bottom w:val="single" w:sz="4" w:space="0" w:color="5B9BD4"/>
              <w:right w:val="nil" w:sz="6" w:space="0" w:color="auto"/>
            </w:tcBorders>
            <w:shd w:val="clear" w:color="auto" w:fill="DEEAF6"/>
          </w:tcPr>
          <w:p>
            <w:pPr/>
          </w:p>
        </w:tc>
        <w:tc>
          <w:tcPr>
            <w:tcW w:w="764" w:type="dxa"/>
            <w:vMerge/>
            <w:tcBorders>
              <w:left w:val="nil" w:sz="6" w:space="0" w:color="auto"/>
              <w:bottom w:val="single" w:sz="4" w:space="0" w:color="5B9BD4"/>
              <w:right w:val="nil" w:sz="6" w:space="0" w:color="auto"/>
            </w:tcBorders>
            <w:shd w:val="clear" w:color="auto" w:fill="DEEAF6"/>
          </w:tcPr>
          <w:p>
            <w:pPr/>
          </w:p>
        </w:tc>
        <w:tc>
          <w:tcPr>
            <w:tcW w:w="3702" w:type="dxa"/>
            <w:gridSpan w:val="2"/>
            <w:vMerge/>
            <w:tcBorders>
              <w:left w:val="nil" w:sz="6" w:space="0" w:color="auto"/>
              <w:bottom w:val="single" w:sz="4" w:space="0" w:color="5B9BD4"/>
              <w:right w:val="nil" w:sz="6" w:space="0" w:color="auto"/>
            </w:tcBorders>
            <w:shd w:val="clear" w:color="auto" w:fill="DEEAF6"/>
          </w:tcPr>
          <w:p>
            <w:pPr/>
          </w:p>
        </w:tc>
      </w:tr>
      <w:tr>
        <w:trPr>
          <w:trHeight w:val="161" w:hRule="exact"/>
        </w:trPr>
        <w:tc>
          <w:tcPr>
            <w:tcW w:w="1355" w:type="dxa"/>
            <w:tcBorders>
              <w:top w:val="single" w:sz="4" w:space="0" w:color="5B9BD4"/>
              <w:left w:val="nil" w:sz="6" w:space="0" w:color="auto"/>
              <w:bottom w:val="nil" w:sz="6" w:space="0" w:color="auto"/>
              <w:right w:val="nil" w:sz="6" w:space="0" w:color="auto"/>
            </w:tcBorders>
            <w:shd w:val="clear" w:color="auto" w:fill="DEEAF6"/>
          </w:tcPr>
          <w:p>
            <w:pPr/>
          </w:p>
        </w:tc>
        <w:tc>
          <w:tcPr>
            <w:tcW w:w="1595" w:type="dxa"/>
            <w:vMerge w:val="restart"/>
            <w:tcBorders>
              <w:top w:val="single" w:sz="4" w:space="0" w:color="5B9BD4"/>
              <w:left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57" w:right="0"/>
              <w:jc w:val="left"/>
              <w:rPr>
                <w:rFonts w:ascii="Arial" w:hAnsi="Arial" w:cs="Arial" w:eastAsia="Arial" w:hint="default"/>
                <w:sz w:val="18"/>
                <w:szCs w:val="18"/>
              </w:rPr>
            </w:pPr>
            <w:r>
              <w:rPr>
                <w:rFonts w:ascii="Arial"/>
                <w:sz w:val="18"/>
              </w:rPr>
              <w:t>3,029,822,607.51</w:t>
            </w:r>
          </w:p>
        </w:tc>
        <w:tc>
          <w:tcPr>
            <w:tcW w:w="618" w:type="dxa"/>
            <w:tcBorders>
              <w:top w:val="single" w:sz="4" w:space="0" w:color="5B9BD4"/>
              <w:left w:val="nil" w:sz="6" w:space="0" w:color="auto"/>
              <w:bottom w:val="nil" w:sz="6" w:space="0" w:color="auto"/>
              <w:right w:val="nil" w:sz="6" w:space="0" w:color="auto"/>
            </w:tcBorders>
            <w:shd w:val="clear" w:color="auto" w:fill="DEEAF6"/>
          </w:tcPr>
          <w:p>
            <w:pPr/>
          </w:p>
        </w:tc>
        <w:tc>
          <w:tcPr>
            <w:tcW w:w="1508" w:type="dxa"/>
            <w:vMerge w:val="restart"/>
            <w:tcBorders>
              <w:top w:val="single" w:sz="4" w:space="0" w:color="5B9BD4"/>
              <w:left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0" w:right="0"/>
              <w:jc w:val="left"/>
              <w:rPr>
                <w:rFonts w:ascii="Arial" w:hAnsi="Arial" w:cs="Arial" w:eastAsia="Arial" w:hint="default"/>
                <w:sz w:val="18"/>
                <w:szCs w:val="18"/>
              </w:rPr>
            </w:pPr>
            <w:r>
              <w:rPr>
                <w:rFonts w:ascii="Arial"/>
                <w:sz w:val="18"/>
              </w:rPr>
              <w:t>2,186,649,202.94</w:t>
            </w:r>
          </w:p>
        </w:tc>
        <w:tc>
          <w:tcPr>
            <w:tcW w:w="764" w:type="dxa"/>
            <w:tcBorders>
              <w:top w:val="single" w:sz="4" w:space="0" w:color="5B9BD4"/>
              <w:left w:val="nil" w:sz="6" w:space="0" w:color="auto"/>
              <w:bottom w:val="nil" w:sz="6" w:space="0" w:color="auto"/>
              <w:right w:val="nil" w:sz="6" w:space="0" w:color="auto"/>
            </w:tcBorders>
            <w:shd w:val="clear" w:color="auto" w:fill="DEEAF6"/>
          </w:tcPr>
          <w:p>
            <w:pPr/>
          </w:p>
        </w:tc>
        <w:tc>
          <w:tcPr>
            <w:tcW w:w="805" w:type="dxa"/>
            <w:vMerge w:val="restart"/>
            <w:tcBorders>
              <w:top w:val="single" w:sz="4" w:space="0" w:color="5B9BD4"/>
              <w:left w:val="nil" w:sz="6" w:space="0" w:color="auto"/>
              <w:right w:val="single" w:sz="11" w:space="0" w:color="DEEAF6"/>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81" w:right="0"/>
              <w:jc w:val="left"/>
              <w:rPr>
                <w:rFonts w:ascii="Arial" w:hAnsi="Arial" w:cs="Arial" w:eastAsia="Arial" w:hint="default"/>
                <w:sz w:val="18"/>
                <w:szCs w:val="18"/>
              </w:rPr>
            </w:pPr>
            <w:r>
              <w:rPr>
                <w:rFonts w:ascii="Arial"/>
                <w:sz w:val="18"/>
              </w:rPr>
              <w:t>4.48%</w:t>
            </w:r>
          </w:p>
        </w:tc>
        <w:tc>
          <w:tcPr>
            <w:tcW w:w="2897" w:type="dxa"/>
            <w:vMerge w:val="restart"/>
            <w:tcBorders>
              <w:top w:val="single" w:sz="4" w:space="0" w:color="5B9BD4"/>
              <w:left w:val="nil" w:sz="6" w:space="0" w:color="auto"/>
              <w:right w:val="nil" w:sz="6" w:space="0" w:color="auto"/>
            </w:tcBorders>
            <w:shd w:val="clear" w:color="auto" w:fill="DEEAF6"/>
          </w:tcPr>
          <w:p>
            <w:pPr>
              <w:pStyle w:val="TableParagraph"/>
              <w:spacing w:line="319" w:lineRule="auto" w:before="46"/>
              <w:ind w:left="21" w:right="12"/>
              <w:jc w:val="left"/>
              <w:rPr>
                <w:rFonts w:ascii="宋体" w:hAnsi="宋体" w:cs="宋体" w:eastAsia="宋体" w:hint="default"/>
                <w:sz w:val="18"/>
                <w:szCs w:val="18"/>
              </w:rPr>
            </w:pPr>
            <w:r>
              <w:rPr>
                <w:rFonts w:ascii="宋体" w:hAnsi="宋体" w:cs="宋体" w:eastAsia="宋体" w:hint="default"/>
                <w:spacing w:val="-2"/>
                <w:sz w:val="18"/>
                <w:szCs w:val="18"/>
              </w:rPr>
              <w:t>系期末保函保证金增加，期末销售回</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款增加。</w:t>
            </w:r>
          </w:p>
        </w:tc>
      </w:tr>
      <w:tr>
        <w:trPr>
          <w:trHeight w:val="392" w:hRule="exact"/>
        </w:trPr>
        <w:tc>
          <w:tcPr>
            <w:tcW w:w="1355"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95" w:type="dxa"/>
            <w:vMerge/>
            <w:tcBorders>
              <w:left w:val="nil" w:sz="6" w:space="0" w:color="auto"/>
              <w:right w:val="nil" w:sz="6" w:space="0" w:color="auto"/>
            </w:tcBorders>
          </w:tcPr>
          <w:p>
            <w:pPr/>
          </w:p>
        </w:tc>
        <w:tc>
          <w:tcPr>
            <w:tcW w:w="618"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left="3" w:right="0"/>
              <w:jc w:val="center"/>
              <w:rPr>
                <w:rFonts w:ascii="Arial" w:hAnsi="Arial" w:cs="Arial" w:eastAsia="Arial" w:hint="default"/>
                <w:sz w:val="18"/>
                <w:szCs w:val="18"/>
              </w:rPr>
            </w:pPr>
            <w:r>
              <w:rPr>
                <w:rFonts w:ascii="Arial"/>
                <w:w w:val="95"/>
                <w:sz w:val="18"/>
              </w:rPr>
              <w:t>28.98%</w:t>
            </w:r>
            <w:r>
              <w:rPr>
                <w:rFonts w:ascii="Arial"/>
                <w:sz w:val="18"/>
              </w:rPr>
            </w:r>
          </w:p>
        </w:tc>
        <w:tc>
          <w:tcPr>
            <w:tcW w:w="1508" w:type="dxa"/>
            <w:vMerge/>
            <w:tcBorders>
              <w:left w:val="nil" w:sz="6" w:space="0" w:color="auto"/>
              <w:right w:val="nil" w:sz="6" w:space="0" w:color="auto"/>
            </w:tcBorders>
          </w:tcPr>
          <w:p>
            <w:pPr/>
          </w:p>
        </w:tc>
        <w:tc>
          <w:tcPr>
            <w:tcW w:w="764"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w w:val="95"/>
                <w:sz w:val="18"/>
              </w:rPr>
              <w:t>24.50%</w:t>
            </w:r>
            <w:r>
              <w:rPr>
                <w:rFonts w:ascii="Arial"/>
                <w:sz w:val="18"/>
              </w:rPr>
            </w:r>
          </w:p>
        </w:tc>
        <w:tc>
          <w:tcPr>
            <w:tcW w:w="805" w:type="dxa"/>
            <w:vMerge/>
            <w:tcBorders>
              <w:left w:val="nil" w:sz="6" w:space="0" w:color="auto"/>
              <w:right w:val="single" w:sz="11" w:space="0" w:color="DEEAF6"/>
            </w:tcBorders>
          </w:tcPr>
          <w:p>
            <w:pPr/>
          </w:p>
        </w:tc>
        <w:tc>
          <w:tcPr>
            <w:tcW w:w="2897" w:type="dxa"/>
            <w:vMerge/>
            <w:tcBorders>
              <w:left w:val="nil" w:sz="6" w:space="0" w:color="auto"/>
              <w:right w:val="nil" w:sz="6" w:space="0" w:color="auto"/>
            </w:tcBorders>
            <w:shd w:val="clear" w:color="auto" w:fill="DEEAF6"/>
          </w:tcPr>
          <w:p>
            <w:pPr/>
          </w:p>
        </w:tc>
      </w:tr>
      <w:tr>
        <w:trPr>
          <w:trHeight w:val="161" w:hRule="exact"/>
        </w:trPr>
        <w:tc>
          <w:tcPr>
            <w:tcW w:w="1355" w:type="dxa"/>
            <w:tcBorders>
              <w:top w:val="nil" w:sz="6" w:space="0" w:color="auto"/>
              <w:left w:val="nil" w:sz="6" w:space="0" w:color="auto"/>
              <w:bottom w:val="single" w:sz="4" w:space="0" w:color="5B9BD4"/>
              <w:right w:val="nil" w:sz="6" w:space="0" w:color="auto"/>
            </w:tcBorders>
            <w:shd w:val="clear" w:color="auto" w:fill="DEEAF6"/>
          </w:tcPr>
          <w:p>
            <w:pPr/>
          </w:p>
        </w:tc>
        <w:tc>
          <w:tcPr>
            <w:tcW w:w="1595" w:type="dxa"/>
            <w:vMerge/>
            <w:tcBorders>
              <w:left w:val="nil" w:sz="6" w:space="0" w:color="auto"/>
              <w:bottom w:val="single" w:sz="4" w:space="0" w:color="5B9BD4"/>
              <w:right w:val="nil" w:sz="6" w:space="0" w:color="auto"/>
            </w:tcBorders>
          </w:tcPr>
          <w:p>
            <w:pPr/>
          </w:p>
        </w:tc>
        <w:tc>
          <w:tcPr>
            <w:tcW w:w="618" w:type="dxa"/>
            <w:tcBorders>
              <w:top w:val="nil" w:sz="6" w:space="0" w:color="auto"/>
              <w:left w:val="nil" w:sz="6" w:space="0" w:color="auto"/>
              <w:bottom w:val="single" w:sz="4" w:space="0" w:color="5B9BD4"/>
              <w:right w:val="nil" w:sz="6" w:space="0" w:color="auto"/>
            </w:tcBorders>
            <w:shd w:val="clear" w:color="auto" w:fill="DEEAF6"/>
          </w:tcPr>
          <w:p>
            <w:pPr/>
          </w:p>
        </w:tc>
        <w:tc>
          <w:tcPr>
            <w:tcW w:w="1508" w:type="dxa"/>
            <w:vMerge/>
            <w:tcBorders>
              <w:left w:val="nil" w:sz="6" w:space="0" w:color="auto"/>
              <w:bottom w:val="single" w:sz="4" w:space="0" w:color="5B9BD4"/>
              <w:right w:val="nil" w:sz="6" w:space="0" w:color="auto"/>
            </w:tcBorders>
          </w:tcPr>
          <w:p>
            <w:pPr/>
          </w:p>
        </w:tc>
        <w:tc>
          <w:tcPr>
            <w:tcW w:w="764" w:type="dxa"/>
            <w:tcBorders>
              <w:top w:val="nil" w:sz="6" w:space="0" w:color="auto"/>
              <w:left w:val="nil" w:sz="6" w:space="0" w:color="auto"/>
              <w:bottom w:val="single" w:sz="4" w:space="0" w:color="5B9BD4"/>
              <w:right w:val="nil" w:sz="6" w:space="0" w:color="auto"/>
            </w:tcBorders>
            <w:shd w:val="clear" w:color="auto" w:fill="DEEAF6"/>
          </w:tcPr>
          <w:p>
            <w:pPr/>
          </w:p>
        </w:tc>
        <w:tc>
          <w:tcPr>
            <w:tcW w:w="805" w:type="dxa"/>
            <w:vMerge/>
            <w:tcBorders>
              <w:left w:val="nil" w:sz="6" w:space="0" w:color="auto"/>
              <w:bottom w:val="single" w:sz="4" w:space="0" w:color="5B9BD4"/>
              <w:right w:val="single" w:sz="11" w:space="0" w:color="DEEAF6"/>
            </w:tcBorders>
          </w:tcPr>
          <w:p>
            <w:pPr/>
          </w:p>
        </w:tc>
        <w:tc>
          <w:tcPr>
            <w:tcW w:w="2897" w:type="dxa"/>
            <w:vMerge/>
            <w:tcBorders>
              <w:left w:val="nil" w:sz="6" w:space="0" w:color="auto"/>
              <w:bottom w:val="single" w:sz="4" w:space="0" w:color="5B9BD4"/>
              <w:right w:val="nil" w:sz="6" w:space="0" w:color="auto"/>
            </w:tcBorders>
            <w:shd w:val="clear" w:color="auto" w:fill="DEEAF6"/>
          </w:tcPr>
          <w:p>
            <w:pPr/>
          </w:p>
        </w:tc>
      </w:tr>
      <w:tr>
        <w:trPr>
          <w:trHeight w:val="161" w:hRule="exact"/>
        </w:trPr>
        <w:tc>
          <w:tcPr>
            <w:tcW w:w="1355" w:type="dxa"/>
            <w:tcBorders>
              <w:top w:val="single" w:sz="4" w:space="0" w:color="5B9BD4"/>
              <w:left w:val="nil" w:sz="6" w:space="0" w:color="auto"/>
              <w:bottom w:val="nil" w:sz="6" w:space="0" w:color="auto"/>
              <w:right w:val="nil" w:sz="6" w:space="0" w:color="auto"/>
            </w:tcBorders>
            <w:shd w:val="clear" w:color="auto" w:fill="DEEAF6"/>
          </w:tcPr>
          <w:p>
            <w:pPr/>
          </w:p>
        </w:tc>
        <w:tc>
          <w:tcPr>
            <w:tcW w:w="1595" w:type="dxa"/>
            <w:vMerge w:val="restart"/>
            <w:tcBorders>
              <w:top w:val="single" w:sz="4" w:space="0" w:color="5B9BD4"/>
              <w:left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05" w:right="0"/>
              <w:jc w:val="left"/>
              <w:rPr>
                <w:rFonts w:ascii="Arial" w:hAnsi="Arial" w:cs="Arial" w:eastAsia="Arial" w:hint="default"/>
                <w:sz w:val="18"/>
                <w:szCs w:val="18"/>
              </w:rPr>
            </w:pPr>
            <w:r>
              <w:rPr>
                <w:rFonts w:ascii="Arial"/>
                <w:sz w:val="18"/>
              </w:rPr>
              <w:t>800,474,693.08</w:t>
            </w:r>
          </w:p>
        </w:tc>
        <w:tc>
          <w:tcPr>
            <w:tcW w:w="618" w:type="dxa"/>
            <w:tcBorders>
              <w:top w:val="single" w:sz="4" w:space="0" w:color="5B9BD4"/>
              <w:left w:val="nil" w:sz="6" w:space="0" w:color="auto"/>
              <w:bottom w:val="nil" w:sz="6" w:space="0" w:color="auto"/>
              <w:right w:val="nil" w:sz="6" w:space="0" w:color="auto"/>
            </w:tcBorders>
            <w:shd w:val="clear" w:color="auto" w:fill="DEEAF6"/>
          </w:tcPr>
          <w:p>
            <w:pPr/>
          </w:p>
        </w:tc>
        <w:tc>
          <w:tcPr>
            <w:tcW w:w="1508" w:type="dxa"/>
            <w:vMerge w:val="restart"/>
            <w:tcBorders>
              <w:top w:val="single" w:sz="4" w:space="0" w:color="5B9BD4"/>
              <w:left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0" w:right="0"/>
              <w:jc w:val="left"/>
              <w:rPr>
                <w:rFonts w:ascii="Arial" w:hAnsi="Arial" w:cs="Arial" w:eastAsia="Arial" w:hint="default"/>
                <w:sz w:val="18"/>
                <w:szCs w:val="18"/>
              </w:rPr>
            </w:pPr>
            <w:r>
              <w:rPr>
                <w:rFonts w:ascii="Arial"/>
                <w:sz w:val="18"/>
              </w:rPr>
              <w:t>1,307,710,501.85</w:t>
            </w:r>
          </w:p>
        </w:tc>
        <w:tc>
          <w:tcPr>
            <w:tcW w:w="764" w:type="dxa"/>
            <w:tcBorders>
              <w:top w:val="single" w:sz="4" w:space="0" w:color="5B9BD4"/>
              <w:left w:val="nil" w:sz="6" w:space="0" w:color="auto"/>
              <w:bottom w:val="nil" w:sz="6" w:space="0" w:color="auto"/>
              <w:right w:val="nil" w:sz="6" w:space="0" w:color="auto"/>
            </w:tcBorders>
            <w:shd w:val="clear" w:color="auto" w:fill="DEEAF6"/>
          </w:tcPr>
          <w:p>
            <w:pPr/>
          </w:p>
        </w:tc>
        <w:tc>
          <w:tcPr>
            <w:tcW w:w="805" w:type="dxa"/>
            <w:vMerge w:val="restart"/>
            <w:tcBorders>
              <w:top w:val="single" w:sz="4" w:space="0" w:color="5B9BD4"/>
              <w:left w:val="nil" w:sz="6" w:space="0" w:color="auto"/>
              <w:right w:val="single" w:sz="11" w:space="0" w:color="DEEAF6"/>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1" w:right="0"/>
              <w:jc w:val="left"/>
              <w:rPr>
                <w:rFonts w:ascii="Arial" w:hAnsi="Arial" w:cs="Arial" w:eastAsia="Arial" w:hint="default"/>
                <w:sz w:val="18"/>
                <w:szCs w:val="18"/>
              </w:rPr>
            </w:pPr>
            <w:r>
              <w:rPr>
                <w:rFonts w:ascii="Arial"/>
                <w:sz w:val="18"/>
              </w:rPr>
              <w:t>-6.99%</w:t>
            </w:r>
          </w:p>
        </w:tc>
        <w:tc>
          <w:tcPr>
            <w:tcW w:w="2897" w:type="dxa"/>
            <w:vMerge w:val="restart"/>
            <w:tcBorders>
              <w:top w:val="single" w:sz="4" w:space="0" w:color="5B9BD4"/>
              <w:left w:val="nil" w:sz="6" w:space="0" w:color="auto"/>
              <w:right w:val="nil" w:sz="6" w:space="0" w:color="auto"/>
            </w:tcBorders>
            <w:shd w:val="clear" w:color="auto" w:fill="DEEAF6"/>
          </w:tcPr>
          <w:p>
            <w:pPr>
              <w:pStyle w:val="TableParagraph"/>
              <w:spacing w:line="319" w:lineRule="auto" w:before="46"/>
              <w:ind w:left="21" w:right="12"/>
              <w:jc w:val="left"/>
              <w:rPr>
                <w:rFonts w:ascii="宋体" w:hAnsi="宋体" w:cs="宋体" w:eastAsia="宋体" w:hint="default"/>
                <w:sz w:val="18"/>
                <w:szCs w:val="18"/>
              </w:rPr>
            </w:pPr>
            <w:r>
              <w:rPr>
                <w:rFonts w:ascii="宋体" w:hAnsi="宋体" w:cs="宋体" w:eastAsia="宋体" w:hint="default"/>
                <w:spacing w:val="-2"/>
                <w:sz w:val="18"/>
                <w:szCs w:val="18"/>
              </w:rPr>
              <w:t>主要系加强应收账款管理，加快销售</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回款所致。</w:t>
            </w:r>
          </w:p>
        </w:tc>
      </w:tr>
      <w:tr>
        <w:trPr>
          <w:trHeight w:val="392" w:hRule="exact"/>
        </w:trPr>
        <w:tc>
          <w:tcPr>
            <w:tcW w:w="1355"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vMerge/>
            <w:tcBorders>
              <w:left w:val="nil" w:sz="6" w:space="0" w:color="auto"/>
              <w:right w:val="nil" w:sz="6" w:space="0" w:color="auto"/>
            </w:tcBorders>
          </w:tcPr>
          <w:p>
            <w:pPr/>
          </w:p>
        </w:tc>
        <w:tc>
          <w:tcPr>
            <w:tcW w:w="618"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left="103" w:right="0"/>
              <w:jc w:val="center"/>
              <w:rPr>
                <w:rFonts w:ascii="Arial" w:hAnsi="Arial" w:cs="Arial" w:eastAsia="Arial" w:hint="default"/>
                <w:sz w:val="18"/>
                <w:szCs w:val="18"/>
              </w:rPr>
            </w:pPr>
            <w:r>
              <w:rPr>
                <w:rFonts w:ascii="Arial"/>
                <w:w w:val="95"/>
                <w:sz w:val="18"/>
              </w:rPr>
              <w:t>7.66%</w:t>
            </w:r>
            <w:r>
              <w:rPr>
                <w:rFonts w:ascii="Arial"/>
                <w:sz w:val="18"/>
              </w:rPr>
            </w:r>
          </w:p>
        </w:tc>
        <w:tc>
          <w:tcPr>
            <w:tcW w:w="1508" w:type="dxa"/>
            <w:vMerge/>
            <w:tcBorders>
              <w:left w:val="nil" w:sz="6" w:space="0" w:color="auto"/>
              <w:right w:val="nil" w:sz="6" w:space="0" w:color="auto"/>
            </w:tcBorders>
          </w:tcPr>
          <w:p>
            <w:pPr/>
          </w:p>
        </w:tc>
        <w:tc>
          <w:tcPr>
            <w:tcW w:w="764"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w w:val="95"/>
                <w:sz w:val="18"/>
              </w:rPr>
              <w:t>14.65%</w:t>
            </w:r>
            <w:r>
              <w:rPr>
                <w:rFonts w:ascii="Arial"/>
                <w:sz w:val="18"/>
              </w:rPr>
            </w:r>
          </w:p>
        </w:tc>
        <w:tc>
          <w:tcPr>
            <w:tcW w:w="805" w:type="dxa"/>
            <w:vMerge/>
            <w:tcBorders>
              <w:left w:val="nil" w:sz="6" w:space="0" w:color="auto"/>
              <w:right w:val="single" w:sz="11" w:space="0" w:color="DEEAF6"/>
            </w:tcBorders>
          </w:tcPr>
          <w:p>
            <w:pPr/>
          </w:p>
        </w:tc>
        <w:tc>
          <w:tcPr>
            <w:tcW w:w="2897" w:type="dxa"/>
            <w:vMerge/>
            <w:tcBorders>
              <w:left w:val="nil" w:sz="6" w:space="0" w:color="auto"/>
              <w:right w:val="nil" w:sz="6" w:space="0" w:color="auto"/>
            </w:tcBorders>
            <w:shd w:val="clear" w:color="auto" w:fill="DEEAF6"/>
          </w:tcPr>
          <w:p>
            <w:pPr/>
          </w:p>
        </w:tc>
      </w:tr>
      <w:tr>
        <w:trPr>
          <w:trHeight w:val="161" w:hRule="exact"/>
        </w:trPr>
        <w:tc>
          <w:tcPr>
            <w:tcW w:w="1355" w:type="dxa"/>
            <w:tcBorders>
              <w:top w:val="nil" w:sz="6" w:space="0" w:color="auto"/>
              <w:left w:val="nil" w:sz="6" w:space="0" w:color="auto"/>
              <w:bottom w:val="single" w:sz="4" w:space="0" w:color="5B9BD4"/>
              <w:right w:val="nil" w:sz="6" w:space="0" w:color="auto"/>
            </w:tcBorders>
            <w:shd w:val="clear" w:color="auto" w:fill="DEEAF6"/>
          </w:tcPr>
          <w:p>
            <w:pPr/>
          </w:p>
        </w:tc>
        <w:tc>
          <w:tcPr>
            <w:tcW w:w="1595" w:type="dxa"/>
            <w:vMerge/>
            <w:tcBorders>
              <w:left w:val="nil" w:sz="6" w:space="0" w:color="auto"/>
              <w:bottom w:val="single" w:sz="4" w:space="0" w:color="5B9BD4"/>
              <w:right w:val="nil" w:sz="6" w:space="0" w:color="auto"/>
            </w:tcBorders>
          </w:tcPr>
          <w:p>
            <w:pPr/>
          </w:p>
        </w:tc>
        <w:tc>
          <w:tcPr>
            <w:tcW w:w="618" w:type="dxa"/>
            <w:tcBorders>
              <w:top w:val="nil" w:sz="6" w:space="0" w:color="auto"/>
              <w:left w:val="nil" w:sz="6" w:space="0" w:color="auto"/>
              <w:bottom w:val="single" w:sz="4" w:space="0" w:color="5B9BD4"/>
              <w:right w:val="nil" w:sz="6" w:space="0" w:color="auto"/>
            </w:tcBorders>
            <w:shd w:val="clear" w:color="auto" w:fill="DEEAF6"/>
          </w:tcPr>
          <w:p>
            <w:pPr/>
          </w:p>
        </w:tc>
        <w:tc>
          <w:tcPr>
            <w:tcW w:w="1508" w:type="dxa"/>
            <w:vMerge/>
            <w:tcBorders>
              <w:left w:val="nil" w:sz="6" w:space="0" w:color="auto"/>
              <w:bottom w:val="single" w:sz="4" w:space="0" w:color="5B9BD4"/>
              <w:right w:val="nil" w:sz="6" w:space="0" w:color="auto"/>
            </w:tcBorders>
          </w:tcPr>
          <w:p>
            <w:pPr/>
          </w:p>
        </w:tc>
        <w:tc>
          <w:tcPr>
            <w:tcW w:w="764" w:type="dxa"/>
            <w:tcBorders>
              <w:top w:val="nil" w:sz="6" w:space="0" w:color="auto"/>
              <w:left w:val="nil" w:sz="6" w:space="0" w:color="auto"/>
              <w:bottom w:val="single" w:sz="4" w:space="0" w:color="5B9BD4"/>
              <w:right w:val="nil" w:sz="6" w:space="0" w:color="auto"/>
            </w:tcBorders>
            <w:shd w:val="clear" w:color="auto" w:fill="DEEAF6"/>
          </w:tcPr>
          <w:p>
            <w:pPr/>
          </w:p>
        </w:tc>
        <w:tc>
          <w:tcPr>
            <w:tcW w:w="805" w:type="dxa"/>
            <w:vMerge/>
            <w:tcBorders>
              <w:left w:val="nil" w:sz="6" w:space="0" w:color="auto"/>
              <w:bottom w:val="single" w:sz="4" w:space="0" w:color="5B9BD4"/>
              <w:right w:val="single" w:sz="11" w:space="0" w:color="DEEAF6"/>
            </w:tcBorders>
          </w:tcPr>
          <w:p>
            <w:pPr/>
          </w:p>
        </w:tc>
        <w:tc>
          <w:tcPr>
            <w:tcW w:w="2897" w:type="dxa"/>
            <w:vMerge/>
            <w:tcBorders>
              <w:left w:val="nil" w:sz="6" w:space="0" w:color="auto"/>
              <w:bottom w:val="single" w:sz="4" w:space="0" w:color="5B9BD4"/>
              <w:right w:val="nil" w:sz="6" w:space="0" w:color="auto"/>
            </w:tcBorders>
            <w:shd w:val="clear" w:color="auto" w:fill="DEEAF6"/>
          </w:tcPr>
          <w:p>
            <w:pPr/>
          </w:p>
        </w:tc>
      </w:tr>
      <w:tr>
        <w:trPr>
          <w:trHeight w:val="161" w:hRule="exact"/>
        </w:trPr>
        <w:tc>
          <w:tcPr>
            <w:tcW w:w="1355" w:type="dxa"/>
            <w:tcBorders>
              <w:top w:val="single" w:sz="4" w:space="0" w:color="5B9BD4"/>
              <w:left w:val="nil" w:sz="6" w:space="0" w:color="auto"/>
              <w:bottom w:val="nil" w:sz="6" w:space="0" w:color="auto"/>
              <w:right w:val="nil" w:sz="6" w:space="0" w:color="auto"/>
            </w:tcBorders>
            <w:shd w:val="clear" w:color="auto" w:fill="DEEAF6"/>
          </w:tcPr>
          <w:p>
            <w:pPr/>
          </w:p>
        </w:tc>
        <w:tc>
          <w:tcPr>
            <w:tcW w:w="1595" w:type="dxa"/>
            <w:vMerge w:val="restart"/>
            <w:tcBorders>
              <w:top w:val="single" w:sz="4" w:space="0" w:color="5B9BD4"/>
              <w:left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57" w:right="0"/>
              <w:jc w:val="left"/>
              <w:rPr>
                <w:rFonts w:ascii="Arial" w:hAnsi="Arial" w:cs="Arial" w:eastAsia="Arial" w:hint="default"/>
                <w:sz w:val="18"/>
                <w:szCs w:val="18"/>
              </w:rPr>
            </w:pPr>
            <w:r>
              <w:rPr>
                <w:rFonts w:ascii="Arial"/>
                <w:sz w:val="18"/>
              </w:rPr>
              <w:t>2,970,564,392.10</w:t>
            </w:r>
          </w:p>
        </w:tc>
        <w:tc>
          <w:tcPr>
            <w:tcW w:w="618" w:type="dxa"/>
            <w:tcBorders>
              <w:top w:val="single" w:sz="4" w:space="0" w:color="5B9BD4"/>
              <w:left w:val="nil" w:sz="6" w:space="0" w:color="auto"/>
              <w:bottom w:val="nil" w:sz="6" w:space="0" w:color="auto"/>
              <w:right w:val="nil" w:sz="6" w:space="0" w:color="auto"/>
            </w:tcBorders>
            <w:shd w:val="clear" w:color="auto" w:fill="DEEAF6"/>
          </w:tcPr>
          <w:p>
            <w:pPr/>
          </w:p>
        </w:tc>
        <w:tc>
          <w:tcPr>
            <w:tcW w:w="1508" w:type="dxa"/>
            <w:vMerge w:val="restart"/>
            <w:tcBorders>
              <w:top w:val="single" w:sz="4" w:space="0" w:color="5B9BD4"/>
              <w:left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0" w:right="0"/>
              <w:jc w:val="left"/>
              <w:rPr>
                <w:rFonts w:ascii="Arial" w:hAnsi="Arial" w:cs="Arial" w:eastAsia="Arial" w:hint="default"/>
                <w:sz w:val="18"/>
                <w:szCs w:val="18"/>
              </w:rPr>
            </w:pPr>
            <w:r>
              <w:rPr>
                <w:rFonts w:ascii="Arial"/>
                <w:sz w:val="18"/>
              </w:rPr>
              <w:t>2,268,108,419.28</w:t>
            </w:r>
          </w:p>
        </w:tc>
        <w:tc>
          <w:tcPr>
            <w:tcW w:w="764" w:type="dxa"/>
            <w:tcBorders>
              <w:top w:val="single" w:sz="4" w:space="0" w:color="5B9BD4"/>
              <w:left w:val="nil" w:sz="6" w:space="0" w:color="auto"/>
              <w:bottom w:val="nil" w:sz="6" w:space="0" w:color="auto"/>
              <w:right w:val="nil" w:sz="6" w:space="0" w:color="auto"/>
            </w:tcBorders>
            <w:shd w:val="clear" w:color="auto" w:fill="DEEAF6"/>
          </w:tcPr>
          <w:p>
            <w:pPr/>
          </w:p>
        </w:tc>
        <w:tc>
          <w:tcPr>
            <w:tcW w:w="805" w:type="dxa"/>
            <w:vMerge w:val="restart"/>
            <w:tcBorders>
              <w:top w:val="single" w:sz="4" w:space="0" w:color="5B9BD4"/>
              <w:left w:val="nil" w:sz="6" w:space="0" w:color="auto"/>
              <w:right w:val="single" w:sz="11" w:space="0" w:color="DEEAF6"/>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81" w:right="0"/>
              <w:jc w:val="left"/>
              <w:rPr>
                <w:rFonts w:ascii="Arial" w:hAnsi="Arial" w:cs="Arial" w:eastAsia="Arial" w:hint="default"/>
                <w:sz w:val="18"/>
                <w:szCs w:val="18"/>
              </w:rPr>
            </w:pPr>
            <w:r>
              <w:rPr>
                <w:rFonts w:ascii="Arial"/>
                <w:sz w:val="18"/>
              </w:rPr>
              <w:t>3.00%</w:t>
            </w:r>
          </w:p>
        </w:tc>
        <w:tc>
          <w:tcPr>
            <w:tcW w:w="2897" w:type="dxa"/>
            <w:vMerge w:val="restart"/>
            <w:tcBorders>
              <w:top w:val="single" w:sz="4" w:space="0" w:color="5B9BD4"/>
              <w:left w:val="nil" w:sz="6" w:space="0" w:color="auto"/>
              <w:right w:val="nil" w:sz="6" w:space="0" w:color="auto"/>
            </w:tcBorders>
            <w:shd w:val="clear" w:color="auto" w:fill="DEEAF6"/>
          </w:tcPr>
          <w:p>
            <w:pPr>
              <w:pStyle w:val="TableParagraph"/>
              <w:spacing w:line="319" w:lineRule="auto" w:before="46"/>
              <w:ind w:left="21" w:right="12"/>
              <w:jc w:val="left"/>
              <w:rPr>
                <w:rFonts w:ascii="宋体" w:hAnsi="宋体" w:cs="宋体" w:eastAsia="宋体" w:hint="default"/>
                <w:sz w:val="18"/>
                <w:szCs w:val="18"/>
              </w:rPr>
            </w:pPr>
            <w:r>
              <w:rPr>
                <w:rFonts w:ascii="宋体" w:hAnsi="宋体" w:cs="宋体" w:eastAsia="宋体" w:hint="default"/>
                <w:spacing w:val="-2"/>
                <w:sz w:val="18"/>
                <w:szCs w:val="18"/>
              </w:rPr>
              <w:t>系产品结构发生变化，单位价格较高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的存货增加。</w:t>
            </w:r>
          </w:p>
        </w:tc>
      </w:tr>
      <w:tr>
        <w:trPr>
          <w:trHeight w:val="392" w:hRule="exact"/>
        </w:trPr>
        <w:tc>
          <w:tcPr>
            <w:tcW w:w="1355"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95" w:type="dxa"/>
            <w:vMerge/>
            <w:tcBorders>
              <w:left w:val="nil" w:sz="6" w:space="0" w:color="auto"/>
              <w:right w:val="nil" w:sz="6" w:space="0" w:color="auto"/>
            </w:tcBorders>
          </w:tcPr>
          <w:p>
            <w:pPr/>
          </w:p>
        </w:tc>
        <w:tc>
          <w:tcPr>
            <w:tcW w:w="618"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left="3" w:right="0"/>
              <w:jc w:val="center"/>
              <w:rPr>
                <w:rFonts w:ascii="Arial" w:hAnsi="Arial" w:cs="Arial" w:eastAsia="Arial" w:hint="default"/>
                <w:sz w:val="18"/>
                <w:szCs w:val="18"/>
              </w:rPr>
            </w:pPr>
            <w:r>
              <w:rPr>
                <w:rFonts w:ascii="Arial"/>
                <w:w w:val="95"/>
                <w:sz w:val="18"/>
              </w:rPr>
              <w:t>28.41%</w:t>
            </w:r>
            <w:r>
              <w:rPr>
                <w:rFonts w:ascii="Arial"/>
                <w:sz w:val="18"/>
              </w:rPr>
            </w:r>
          </w:p>
        </w:tc>
        <w:tc>
          <w:tcPr>
            <w:tcW w:w="1508" w:type="dxa"/>
            <w:vMerge/>
            <w:tcBorders>
              <w:left w:val="nil" w:sz="6" w:space="0" w:color="auto"/>
              <w:right w:val="nil" w:sz="6" w:space="0" w:color="auto"/>
            </w:tcBorders>
          </w:tcPr>
          <w:p>
            <w:pPr/>
          </w:p>
        </w:tc>
        <w:tc>
          <w:tcPr>
            <w:tcW w:w="764"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w w:val="95"/>
                <w:sz w:val="18"/>
              </w:rPr>
              <w:t>25.41%</w:t>
            </w:r>
            <w:r>
              <w:rPr>
                <w:rFonts w:ascii="Arial"/>
                <w:sz w:val="18"/>
              </w:rPr>
            </w:r>
          </w:p>
        </w:tc>
        <w:tc>
          <w:tcPr>
            <w:tcW w:w="805" w:type="dxa"/>
            <w:vMerge/>
            <w:tcBorders>
              <w:left w:val="nil" w:sz="6" w:space="0" w:color="auto"/>
              <w:right w:val="single" w:sz="11" w:space="0" w:color="DEEAF6"/>
            </w:tcBorders>
          </w:tcPr>
          <w:p>
            <w:pPr/>
          </w:p>
        </w:tc>
        <w:tc>
          <w:tcPr>
            <w:tcW w:w="2897" w:type="dxa"/>
            <w:vMerge/>
            <w:tcBorders>
              <w:left w:val="nil" w:sz="6" w:space="0" w:color="auto"/>
              <w:right w:val="nil" w:sz="6" w:space="0" w:color="auto"/>
            </w:tcBorders>
            <w:shd w:val="clear" w:color="auto" w:fill="DEEAF6"/>
          </w:tcPr>
          <w:p>
            <w:pPr/>
          </w:p>
        </w:tc>
      </w:tr>
      <w:tr>
        <w:trPr>
          <w:trHeight w:val="161" w:hRule="exact"/>
        </w:trPr>
        <w:tc>
          <w:tcPr>
            <w:tcW w:w="1355" w:type="dxa"/>
            <w:tcBorders>
              <w:top w:val="nil" w:sz="6" w:space="0" w:color="auto"/>
              <w:left w:val="nil" w:sz="6" w:space="0" w:color="auto"/>
              <w:bottom w:val="single" w:sz="4" w:space="0" w:color="5B9BD4"/>
              <w:right w:val="nil" w:sz="6" w:space="0" w:color="auto"/>
            </w:tcBorders>
            <w:shd w:val="clear" w:color="auto" w:fill="DEEAF6"/>
          </w:tcPr>
          <w:p>
            <w:pPr/>
          </w:p>
        </w:tc>
        <w:tc>
          <w:tcPr>
            <w:tcW w:w="1595" w:type="dxa"/>
            <w:vMerge/>
            <w:tcBorders>
              <w:left w:val="nil" w:sz="6" w:space="0" w:color="auto"/>
              <w:bottom w:val="single" w:sz="4" w:space="0" w:color="5B9BD4"/>
              <w:right w:val="nil" w:sz="6" w:space="0" w:color="auto"/>
            </w:tcBorders>
          </w:tcPr>
          <w:p>
            <w:pPr/>
          </w:p>
        </w:tc>
        <w:tc>
          <w:tcPr>
            <w:tcW w:w="618" w:type="dxa"/>
            <w:tcBorders>
              <w:top w:val="nil" w:sz="6" w:space="0" w:color="auto"/>
              <w:left w:val="nil" w:sz="6" w:space="0" w:color="auto"/>
              <w:bottom w:val="single" w:sz="4" w:space="0" w:color="5B9BD4"/>
              <w:right w:val="nil" w:sz="6" w:space="0" w:color="auto"/>
            </w:tcBorders>
            <w:shd w:val="clear" w:color="auto" w:fill="DEEAF6"/>
          </w:tcPr>
          <w:p>
            <w:pPr/>
          </w:p>
        </w:tc>
        <w:tc>
          <w:tcPr>
            <w:tcW w:w="1508" w:type="dxa"/>
            <w:vMerge/>
            <w:tcBorders>
              <w:left w:val="nil" w:sz="6" w:space="0" w:color="auto"/>
              <w:bottom w:val="single" w:sz="4" w:space="0" w:color="5B9BD4"/>
              <w:right w:val="nil" w:sz="6" w:space="0" w:color="auto"/>
            </w:tcBorders>
          </w:tcPr>
          <w:p>
            <w:pPr/>
          </w:p>
        </w:tc>
        <w:tc>
          <w:tcPr>
            <w:tcW w:w="764" w:type="dxa"/>
            <w:tcBorders>
              <w:top w:val="nil" w:sz="6" w:space="0" w:color="auto"/>
              <w:left w:val="nil" w:sz="6" w:space="0" w:color="auto"/>
              <w:bottom w:val="single" w:sz="4" w:space="0" w:color="5B9BD4"/>
              <w:right w:val="nil" w:sz="6" w:space="0" w:color="auto"/>
            </w:tcBorders>
            <w:shd w:val="clear" w:color="auto" w:fill="DEEAF6"/>
          </w:tcPr>
          <w:p>
            <w:pPr/>
          </w:p>
        </w:tc>
        <w:tc>
          <w:tcPr>
            <w:tcW w:w="805" w:type="dxa"/>
            <w:vMerge/>
            <w:tcBorders>
              <w:left w:val="nil" w:sz="6" w:space="0" w:color="auto"/>
              <w:bottom w:val="single" w:sz="4" w:space="0" w:color="5B9BD4"/>
              <w:right w:val="single" w:sz="11" w:space="0" w:color="DEEAF6"/>
            </w:tcBorders>
          </w:tcPr>
          <w:p>
            <w:pPr/>
          </w:p>
        </w:tc>
        <w:tc>
          <w:tcPr>
            <w:tcW w:w="2897" w:type="dxa"/>
            <w:vMerge/>
            <w:tcBorders>
              <w:left w:val="nil" w:sz="6" w:space="0" w:color="auto"/>
              <w:bottom w:val="single" w:sz="4" w:space="0" w:color="5B9BD4"/>
              <w:right w:val="nil" w:sz="6" w:space="0" w:color="auto"/>
            </w:tcBorders>
            <w:shd w:val="clear" w:color="auto" w:fill="DEEAF6"/>
          </w:tcPr>
          <w:p>
            <w:pPr/>
          </w:p>
        </w:tc>
      </w:tr>
      <w:tr>
        <w:trPr>
          <w:trHeight w:val="402" w:hRule="exact"/>
        </w:trPr>
        <w:tc>
          <w:tcPr>
            <w:tcW w:w="135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95"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69,071,904.09</w:t>
            </w:r>
            <w:r>
              <w:rPr>
                <w:rFonts w:ascii="Arial"/>
                <w:sz w:val="18"/>
              </w:rPr>
            </w:r>
          </w:p>
        </w:tc>
        <w:tc>
          <w:tcPr>
            <w:tcW w:w="61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left="103" w:right="0"/>
              <w:jc w:val="center"/>
              <w:rPr>
                <w:rFonts w:ascii="Arial" w:hAnsi="Arial" w:cs="Arial" w:eastAsia="Arial" w:hint="default"/>
                <w:sz w:val="18"/>
                <w:szCs w:val="18"/>
              </w:rPr>
            </w:pPr>
            <w:r>
              <w:rPr>
                <w:rFonts w:ascii="Arial"/>
                <w:w w:val="95"/>
                <w:sz w:val="18"/>
              </w:rPr>
              <w:t>0.66%</w:t>
            </w:r>
            <w:r>
              <w:rPr>
                <w:rFonts w:ascii="Arial"/>
                <w:sz w:val="18"/>
              </w:rPr>
            </w:r>
          </w:p>
        </w:tc>
        <w:tc>
          <w:tcPr>
            <w:tcW w:w="1508"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77,000,000.00</w:t>
            </w:r>
            <w:r>
              <w:rPr>
                <w:rFonts w:ascii="Arial"/>
                <w:sz w:val="18"/>
              </w:rPr>
            </w:r>
          </w:p>
        </w:tc>
        <w:tc>
          <w:tcPr>
            <w:tcW w:w="76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6"/>
              <w:jc w:val="right"/>
              <w:rPr>
                <w:rFonts w:ascii="Arial" w:hAnsi="Arial" w:cs="Arial" w:eastAsia="Arial" w:hint="default"/>
                <w:sz w:val="18"/>
                <w:szCs w:val="18"/>
              </w:rPr>
            </w:pPr>
            <w:r>
              <w:rPr>
                <w:rFonts w:ascii="Arial"/>
                <w:w w:val="95"/>
                <w:sz w:val="18"/>
              </w:rPr>
              <w:t>0.86%</w:t>
            </w:r>
            <w:r>
              <w:rPr>
                <w:rFonts w:ascii="Arial"/>
                <w:sz w:val="18"/>
              </w:rPr>
            </w:r>
          </w:p>
        </w:tc>
        <w:tc>
          <w:tcPr>
            <w:tcW w:w="805"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8"/>
              <w:ind w:right="19"/>
              <w:jc w:val="right"/>
              <w:rPr>
                <w:rFonts w:ascii="Arial" w:hAnsi="Arial" w:cs="Arial" w:eastAsia="Arial" w:hint="default"/>
                <w:sz w:val="18"/>
                <w:szCs w:val="18"/>
              </w:rPr>
            </w:pPr>
            <w:r>
              <w:rPr>
                <w:rFonts w:ascii="Arial"/>
                <w:w w:val="95"/>
                <w:sz w:val="18"/>
              </w:rPr>
              <w:t>-0.20%</w:t>
            </w:r>
            <w:r>
              <w:rPr>
                <w:rFonts w:ascii="Arial"/>
                <w:sz w:val="18"/>
              </w:rPr>
            </w:r>
          </w:p>
        </w:tc>
        <w:tc>
          <w:tcPr>
            <w:tcW w:w="2897"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402" w:hRule="exact"/>
        </w:trPr>
        <w:tc>
          <w:tcPr>
            <w:tcW w:w="135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95"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30,233,198.16</w:t>
            </w:r>
            <w:r>
              <w:rPr>
                <w:rFonts w:ascii="Arial"/>
                <w:sz w:val="18"/>
              </w:rPr>
            </w:r>
          </w:p>
        </w:tc>
        <w:tc>
          <w:tcPr>
            <w:tcW w:w="61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left="103" w:right="0"/>
              <w:jc w:val="center"/>
              <w:rPr>
                <w:rFonts w:ascii="Arial" w:hAnsi="Arial" w:cs="Arial" w:eastAsia="Arial" w:hint="default"/>
                <w:sz w:val="18"/>
                <w:szCs w:val="18"/>
              </w:rPr>
            </w:pPr>
            <w:r>
              <w:rPr>
                <w:rFonts w:ascii="Arial"/>
                <w:w w:val="95"/>
                <w:sz w:val="18"/>
              </w:rPr>
              <w:t>0.29%</w:t>
            </w:r>
            <w:r>
              <w:rPr>
                <w:rFonts w:ascii="Arial"/>
                <w:sz w:val="18"/>
              </w:rPr>
            </w:r>
          </w:p>
        </w:tc>
        <w:tc>
          <w:tcPr>
            <w:tcW w:w="1508"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38,615,311.05</w:t>
            </w:r>
            <w:r>
              <w:rPr>
                <w:rFonts w:ascii="Arial"/>
                <w:sz w:val="18"/>
              </w:rPr>
            </w:r>
          </w:p>
        </w:tc>
        <w:tc>
          <w:tcPr>
            <w:tcW w:w="76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6"/>
              <w:jc w:val="right"/>
              <w:rPr>
                <w:rFonts w:ascii="Arial" w:hAnsi="Arial" w:cs="Arial" w:eastAsia="Arial" w:hint="default"/>
                <w:sz w:val="18"/>
                <w:szCs w:val="18"/>
              </w:rPr>
            </w:pPr>
            <w:r>
              <w:rPr>
                <w:rFonts w:ascii="Arial"/>
                <w:w w:val="95"/>
                <w:sz w:val="18"/>
              </w:rPr>
              <w:t>0.43%</w:t>
            </w:r>
            <w:r>
              <w:rPr>
                <w:rFonts w:ascii="Arial"/>
                <w:sz w:val="18"/>
              </w:rPr>
            </w:r>
          </w:p>
        </w:tc>
        <w:tc>
          <w:tcPr>
            <w:tcW w:w="805"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8"/>
              <w:ind w:right="19"/>
              <w:jc w:val="right"/>
              <w:rPr>
                <w:rFonts w:ascii="Arial" w:hAnsi="Arial" w:cs="Arial" w:eastAsia="Arial" w:hint="default"/>
                <w:sz w:val="18"/>
                <w:szCs w:val="18"/>
              </w:rPr>
            </w:pPr>
            <w:r>
              <w:rPr>
                <w:rFonts w:ascii="Arial"/>
                <w:w w:val="95"/>
                <w:sz w:val="18"/>
              </w:rPr>
              <w:t>-0.14%</w:t>
            </w:r>
            <w:r>
              <w:rPr>
                <w:rFonts w:ascii="Arial"/>
                <w:sz w:val="18"/>
              </w:rPr>
            </w:r>
          </w:p>
        </w:tc>
        <w:tc>
          <w:tcPr>
            <w:tcW w:w="2897"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161" w:hRule="exact"/>
        </w:trPr>
        <w:tc>
          <w:tcPr>
            <w:tcW w:w="1355" w:type="dxa"/>
            <w:tcBorders>
              <w:top w:val="single" w:sz="4" w:space="0" w:color="5B9BD4"/>
              <w:left w:val="nil" w:sz="6" w:space="0" w:color="auto"/>
              <w:bottom w:val="nil" w:sz="6" w:space="0" w:color="auto"/>
              <w:right w:val="nil" w:sz="6" w:space="0" w:color="auto"/>
            </w:tcBorders>
            <w:shd w:val="clear" w:color="auto" w:fill="DEEAF6"/>
          </w:tcPr>
          <w:p>
            <w:pPr/>
          </w:p>
        </w:tc>
        <w:tc>
          <w:tcPr>
            <w:tcW w:w="1595" w:type="dxa"/>
            <w:vMerge w:val="restart"/>
            <w:tcBorders>
              <w:top w:val="single" w:sz="4" w:space="0" w:color="5B9BD4"/>
              <w:left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05" w:right="0"/>
              <w:jc w:val="left"/>
              <w:rPr>
                <w:rFonts w:ascii="Arial" w:hAnsi="Arial" w:cs="Arial" w:eastAsia="Arial" w:hint="default"/>
                <w:sz w:val="18"/>
                <w:szCs w:val="18"/>
              </w:rPr>
            </w:pPr>
            <w:r>
              <w:rPr>
                <w:rFonts w:ascii="Arial"/>
                <w:sz w:val="18"/>
              </w:rPr>
              <w:t>231,556,788.67</w:t>
            </w:r>
          </w:p>
        </w:tc>
        <w:tc>
          <w:tcPr>
            <w:tcW w:w="618" w:type="dxa"/>
            <w:tcBorders>
              <w:top w:val="single" w:sz="4" w:space="0" w:color="5B9BD4"/>
              <w:left w:val="nil" w:sz="6" w:space="0" w:color="auto"/>
              <w:bottom w:val="nil" w:sz="6" w:space="0" w:color="auto"/>
              <w:right w:val="nil" w:sz="6" w:space="0" w:color="auto"/>
            </w:tcBorders>
            <w:shd w:val="clear" w:color="auto" w:fill="DEEAF6"/>
          </w:tcPr>
          <w:p>
            <w:pPr/>
          </w:p>
        </w:tc>
        <w:tc>
          <w:tcPr>
            <w:tcW w:w="1508" w:type="dxa"/>
            <w:vMerge w:val="restart"/>
            <w:tcBorders>
              <w:top w:val="single" w:sz="4" w:space="0" w:color="5B9BD4"/>
              <w:left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0" w:right="0"/>
              <w:jc w:val="left"/>
              <w:rPr>
                <w:rFonts w:ascii="Arial" w:hAnsi="Arial" w:cs="Arial" w:eastAsia="Arial" w:hint="default"/>
                <w:sz w:val="18"/>
                <w:szCs w:val="18"/>
              </w:rPr>
            </w:pPr>
            <w:r>
              <w:rPr>
                <w:rFonts w:ascii="Arial"/>
                <w:sz w:val="18"/>
              </w:rPr>
              <w:t>741,070,598.98</w:t>
            </w:r>
          </w:p>
        </w:tc>
        <w:tc>
          <w:tcPr>
            <w:tcW w:w="764" w:type="dxa"/>
            <w:tcBorders>
              <w:top w:val="single" w:sz="4" w:space="0" w:color="5B9BD4"/>
              <w:left w:val="nil" w:sz="6" w:space="0" w:color="auto"/>
              <w:bottom w:val="nil" w:sz="6" w:space="0" w:color="auto"/>
              <w:right w:val="nil" w:sz="6" w:space="0" w:color="auto"/>
            </w:tcBorders>
            <w:shd w:val="clear" w:color="auto" w:fill="DEEAF6"/>
          </w:tcPr>
          <w:p>
            <w:pPr/>
          </w:p>
        </w:tc>
        <w:tc>
          <w:tcPr>
            <w:tcW w:w="805" w:type="dxa"/>
            <w:vMerge w:val="restart"/>
            <w:tcBorders>
              <w:top w:val="single" w:sz="4" w:space="0" w:color="5B9BD4"/>
              <w:left w:val="nil" w:sz="6" w:space="0" w:color="auto"/>
              <w:right w:val="single" w:sz="11" w:space="0" w:color="DEEAF6"/>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1" w:right="0"/>
              <w:jc w:val="left"/>
              <w:rPr>
                <w:rFonts w:ascii="Arial" w:hAnsi="Arial" w:cs="Arial" w:eastAsia="Arial" w:hint="default"/>
                <w:sz w:val="18"/>
                <w:szCs w:val="18"/>
              </w:rPr>
            </w:pPr>
            <w:r>
              <w:rPr>
                <w:rFonts w:ascii="Arial"/>
                <w:sz w:val="18"/>
              </w:rPr>
              <w:t>-6.09%</w:t>
            </w:r>
          </w:p>
        </w:tc>
        <w:tc>
          <w:tcPr>
            <w:tcW w:w="2897" w:type="dxa"/>
            <w:vMerge w:val="restart"/>
            <w:tcBorders>
              <w:top w:val="single" w:sz="4" w:space="0" w:color="5B9BD4"/>
              <w:left w:val="nil" w:sz="6" w:space="0" w:color="auto"/>
              <w:right w:val="nil" w:sz="6" w:space="0" w:color="auto"/>
            </w:tcBorders>
            <w:shd w:val="clear" w:color="auto" w:fill="DEEAF6"/>
          </w:tcPr>
          <w:p>
            <w:pPr>
              <w:pStyle w:val="TableParagraph"/>
              <w:spacing w:line="319" w:lineRule="auto" w:before="46"/>
              <w:ind w:left="21" w:right="174"/>
              <w:jc w:val="left"/>
              <w:rPr>
                <w:rFonts w:ascii="宋体" w:hAnsi="宋体" w:cs="宋体" w:eastAsia="宋体" w:hint="default"/>
                <w:sz w:val="18"/>
                <w:szCs w:val="18"/>
              </w:rPr>
            </w:pPr>
            <w:r>
              <w:rPr>
                <w:rFonts w:ascii="宋体" w:hAnsi="宋体" w:cs="宋体" w:eastAsia="宋体" w:hint="default"/>
                <w:sz w:val="18"/>
                <w:szCs w:val="18"/>
              </w:rPr>
              <w:t>主要系客户以银行承兑汇票结算货 款减少所致。</w:t>
            </w:r>
          </w:p>
        </w:tc>
      </w:tr>
      <w:tr>
        <w:trPr>
          <w:trHeight w:val="392" w:hRule="exact"/>
        </w:trPr>
        <w:tc>
          <w:tcPr>
            <w:tcW w:w="1355"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95" w:type="dxa"/>
            <w:vMerge/>
            <w:tcBorders>
              <w:left w:val="nil" w:sz="6" w:space="0" w:color="auto"/>
              <w:right w:val="nil" w:sz="6" w:space="0" w:color="auto"/>
            </w:tcBorders>
          </w:tcPr>
          <w:p>
            <w:pPr/>
          </w:p>
        </w:tc>
        <w:tc>
          <w:tcPr>
            <w:tcW w:w="618"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left="103" w:right="0"/>
              <w:jc w:val="center"/>
              <w:rPr>
                <w:rFonts w:ascii="Arial" w:hAnsi="Arial" w:cs="Arial" w:eastAsia="Arial" w:hint="default"/>
                <w:sz w:val="18"/>
                <w:szCs w:val="18"/>
              </w:rPr>
            </w:pPr>
            <w:r>
              <w:rPr>
                <w:rFonts w:ascii="Arial"/>
                <w:w w:val="95"/>
                <w:sz w:val="18"/>
              </w:rPr>
              <w:t>2.21%</w:t>
            </w:r>
            <w:r>
              <w:rPr>
                <w:rFonts w:ascii="Arial"/>
                <w:sz w:val="18"/>
              </w:rPr>
            </w:r>
          </w:p>
        </w:tc>
        <w:tc>
          <w:tcPr>
            <w:tcW w:w="1508" w:type="dxa"/>
            <w:vMerge/>
            <w:tcBorders>
              <w:left w:val="nil" w:sz="6" w:space="0" w:color="auto"/>
              <w:right w:val="nil" w:sz="6" w:space="0" w:color="auto"/>
            </w:tcBorders>
          </w:tcPr>
          <w:p>
            <w:pPr/>
          </w:p>
        </w:tc>
        <w:tc>
          <w:tcPr>
            <w:tcW w:w="764"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26"/>
              <w:jc w:val="right"/>
              <w:rPr>
                <w:rFonts w:ascii="Arial" w:hAnsi="Arial" w:cs="Arial" w:eastAsia="Arial" w:hint="default"/>
                <w:sz w:val="18"/>
                <w:szCs w:val="18"/>
              </w:rPr>
            </w:pPr>
            <w:r>
              <w:rPr>
                <w:rFonts w:ascii="Arial"/>
                <w:w w:val="95"/>
                <w:sz w:val="18"/>
              </w:rPr>
              <w:t>8.30%</w:t>
            </w:r>
            <w:r>
              <w:rPr>
                <w:rFonts w:ascii="Arial"/>
                <w:sz w:val="18"/>
              </w:rPr>
            </w:r>
          </w:p>
        </w:tc>
        <w:tc>
          <w:tcPr>
            <w:tcW w:w="805" w:type="dxa"/>
            <w:vMerge/>
            <w:tcBorders>
              <w:left w:val="nil" w:sz="6" w:space="0" w:color="auto"/>
              <w:right w:val="single" w:sz="11" w:space="0" w:color="DEEAF6"/>
            </w:tcBorders>
          </w:tcPr>
          <w:p>
            <w:pPr/>
          </w:p>
        </w:tc>
        <w:tc>
          <w:tcPr>
            <w:tcW w:w="2897" w:type="dxa"/>
            <w:vMerge/>
            <w:tcBorders>
              <w:left w:val="nil" w:sz="6" w:space="0" w:color="auto"/>
              <w:right w:val="nil" w:sz="6" w:space="0" w:color="auto"/>
            </w:tcBorders>
            <w:shd w:val="clear" w:color="auto" w:fill="DEEAF6"/>
          </w:tcPr>
          <w:p>
            <w:pPr/>
          </w:p>
        </w:tc>
      </w:tr>
      <w:tr>
        <w:trPr>
          <w:trHeight w:val="161" w:hRule="exact"/>
        </w:trPr>
        <w:tc>
          <w:tcPr>
            <w:tcW w:w="1355" w:type="dxa"/>
            <w:tcBorders>
              <w:top w:val="nil" w:sz="6" w:space="0" w:color="auto"/>
              <w:left w:val="nil" w:sz="6" w:space="0" w:color="auto"/>
              <w:bottom w:val="single" w:sz="4" w:space="0" w:color="5B9BD4"/>
              <w:right w:val="nil" w:sz="6" w:space="0" w:color="auto"/>
            </w:tcBorders>
            <w:shd w:val="clear" w:color="auto" w:fill="DEEAF6"/>
          </w:tcPr>
          <w:p>
            <w:pPr/>
          </w:p>
        </w:tc>
        <w:tc>
          <w:tcPr>
            <w:tcW w:w="1595" w:type="dxa"/>
            <w:vMerge/>
            <w:tcBorders>
              <w:left w:val="nil" w:sz="6" w:space="0" w:color="auto"/>
              <w:bottom w:val="single" w:sz="4" w:space="0" w:color="5B9BD4"/>
              <w:right w:val="nil" w:sz="6" w:space="0" w:color="auto"/>
            </w:tcBorders>
          </w:tcPr>
          <w:p>
            <w:pPr/>
          </w:p>
        </w:tc>
        <w:tc>
          <w:tcPr>
            <w:tcW w:w="618" w:type="dxa"/>
            <w:tcBorders>
              <w:top w:val="nil" w:sz="6" w:space="0" w:color="auto"/>
              <w:left w:val="nil" w:sz="6" w:space="0" w:color="auto"/>
              <w:bottom w:val="single" w:sz="4" w:space="0" w:color="5B9BD4"/>
              <w:right w:val="nil" w:sz="6" w:space="0" w:color="auto"/>
            </w:tcBorders>
            <w:shd w:val="clear" w:color="auto" w:fill="DEEAF6"/>
          </w:tcPr>
          <w:p>
            <w:pPr/>
          </w:p>
        </w:tc>
        <w:tc>
          <w:tcPr>
            <w:tcW w:w="1508" w:type="dxa"/>
            <w:vMerge/>
            <w:tcBorders>
              <w:left w:val="nil" w:sz="6" w:space="0" w:color="auto"/>
              <w:bottom w:val="single" w:sz="4" w:space="0" w:color="5B9BD4"/>
              <w:right w:val="nil" w:sz="6" w:space="0" w:color="auto"/>
            </w:tcBorders>
          </w:tcPr>
          <w:p>
            <w:pPr/>
          </w:p>
        </w:tc>
        <w:tc>
          <w:tcPr>
            <w:tcW w:w="764" w:type="dxa"/>
            <w:tcBorders>
              <w:top w:val="nil" w:sz="6" w:space="0" w:color="auto"/>
              <w:left w:val="nil" w:sz="6" w:space="0" w:color="auto"/>
              <w:bottom w:val="single" w:sz="4" w:space="0" w:color="5B9BD4"/>
              <w:right w:val="nil" w:sz="6" w:space="0" w:color="auto"/>
            </w:tcBorders>
            <w:shd w:val="clear" w:color="auto" w:fill="DEEAF6"/>
          </w:tcPr>
          <w:p>
            <w:pPr/>
          </w:p>
        </w:tc>
        <w:tc>
          <w:tcPr>
            <w:tcW w:w="805" w:type="dxa"/>
            <w:vMerge/>
            <w:tcBorders>
              <w:left w:val="nil" w:sz="6" w:space="0" w:color="auto"/>
              <w:bottom w:val="single" w:sz="4" w:space="0" w:color="5B9BD4"/>
              <w:right w:val="single" w:sz="11" w:space="0" w:color="DEEAF6"/>
            </w:tcBorders>
          </w:tcPr>
          <w:p>
            <w:pPr/>
          </w:p>
        </w:tc>
        <w:tc>
          <w:tcPr>
            <w:tcW w:w="2897" w:type="dxa"/>
            <w:vMerge/>
            <w:tcBorders>
              <w:left w:val="nil" w:sz="6" w:space="0" w:color="auto"/>
              <w:bottom w:val="single" w:sz="4" w:space="0" w:color="5B9BD4"/>
              <w:right w:val="nil" w:sz="6" w:space="0" w:color="auto"/>
            </w:tcBorders>
            <w:shd w:val="clear" w:color="auto" w:fill="DEEAF6"/>
          </w:tcPr>
          <w:p>
            <w:pPr/>
          </w:p>
        </w:tc>
      </w:tr>
      <w:tr>
        <w:trPr>
          <w:trHeight w:val="161" w:hRule="exact"/>
        </w:trPr>
        <w:tc>
          <w:tcPr>
            <w:tcW w:w="1355" w:type="dxa"/>
            <w:vMerge w:val="restart"/>
            <w:tcBorders>
              <w:top w:val="single" w:sz="4" w:space="0" w:color="5B9BD4"/>
              <w:left w:val="nil" w:sz="6" w:space="0" w:color="auto"/>
              <w:right w:val="nil" w:sz="6" w:space="0" w:color="auto"/>
            </w:tcBorders>
            <w:shd w:val="clear" w:color="auto" w:fill="DEEAF6"/>
          </w:tcPr>
          <w:p>
            <w:pPr>
              <w:pStyle w:val="TableParagraph"/>
              <w:spacing w:line="319" w:lineRule="auto" w:before="46"/>
              <w:ind w:left="13" w:right="78"/>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595" w:type="dxa"/>
            <w:vMerge w:val="restart"/>
            <w:tcBorders>
              <w:top w:val="single" w:sz="4" w:space="0" w:color="5B9BD4"/>
              <w:left w:val="single" w:sz="11" w:space="0" w:color="DEEAF6"/>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92" w:right="0"/>
              <w:jc w:val="left"/>
              <w:rPr>
                <w:rFonts w:ascii="Arial" w:hAnsi="Arial" w:cs="Arial" w:eastAsia="Arial" w:hint="default"/>
                <w:sz w:val="18"/>
                <w:szCs w:val="18"/>
              </w:rPr>
            </w:pPr>
            <w:r>
              <w:rPr>
                <w:rFonts w:ascii="Arial"/>
                <w:sz w:val="18"/>
              </w:rPr>
              <w:t>681,105,010.00</w:t>
            </w:r>
          </w:p>
        </w:tc>
        <w:tc>
          <w:tcPr>
            <w:tcW w:w="618" w:type="dxa"/>
            <w:tcBorders>
              <w:top w:val="single" w:sz="4" w:space="0" w:color="5B9BD4"/>
              <w:left w:val="nil" w:sz="6" w:space="0" w:color="auto"/>
              <w:bottom w:val="nil" w:sz="6" w:space="0" w:color="auto"/>
              <w:right w:val="nil" w:sz="6" w:space="0" w:color="auto"/>
            </w:tcBorders>
            <w:shd w:val="clear" w:color="auto" w:fill="DEEAF6"/>
          </w:tcPr>
          <w:p>
            <w:pPr/>
          </w:p>
        </w:tc>
        <w:tc>
          <w:tcPr>
            <w:tcW w:w="1508" w:type="dxa"/>
            <w:vMerge w:val="restart"/>
            <w:tcBorders>
              <w:top w:val="single" w:sz="4" w:space="0" w:color="5B9BD4"/>
              <w:left w:val="nil" w:sz="6" w:space="0" w:color="auto"/>
              <w:right w:val="nil" w:sz="6" w:space="0" w:color="auto"/>
            </w:tcBorders>
          </w:tcPr>
          <w:p>
            <w:pPr/>
          </w:p>
        </w:tc>
        <w:tc>
          <w:tcPr>
            <w:tcW w:w="764" w:type="dxa"/>
            <w:tcBorders>
              <w:top w:val="single" w:sz="4" w:space="0" w:color="5B9BD4"/>
              <w:left w:val="nil" w:sz="6" w:space="0" w:color="auto"/>
              <w:bottom w:val="nil" w:sz="6" w:space="0" w:color="auto"/>
              <w:right w:val="nil" w:sz="6" w:space="0" w:color="auto"/>
            </w:tcBorders>
            <w:shd w:val="clear" w:color="auto" w:fill="DEEAF6"/>
          </w:tcPr>
          <w:p>
            <w:pPr/>
          </w:p>
        </w:tc>
        <w:tc>
          <w:tcPr>
            <w:tcW w:w="805" w:type="dxa"/>
            <w:vMerge w:val="restart"/>
            <w:tcBorders>
              <w:top w:val="single" w:sz="4" w:space="0" w:color="5B9BD4"/>
              <w:left w:val="nil" w:sz="6" w:space="0" w:color="auto"/>
              <w:right w:val="single" w:sz="11" w:space="0" w:color="DEEAF6"/>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81" w:right="0"/>
              <w:jc w:val="left"/>
              <w:rPr>
                <w:rFonts w:ascii="Arial" w:hAnsi="Arial" w:cs="Arial" w:eastAsia="Arial" w:hint="default"/>
                <w:sz w:val="18"/>
                <w:szCs w:val="18"/>
              </w:rPr>
            </w:pPr>
            <w:r>
              <w:rPr>
                <w:rFonts w:ascii="Arial"/>
                <w:sz w:val="18"/>
              </w:rPr>
              <w:t>6.51%</w:t>
            </w:r>
          </w:p>
        </w:tc>
        <w:tc>
          <w:tcPr>
            <w:tcW w:w="2897" w:type="dxa"/>
            <w:vMerge w:val="restart"/>
            <w:tcBorders>
              <w:top w:val="single" w:sz="4" w:space="0" w:color="5B9BD4"/>
              <w:left w:val="nil" w:sz="6" w:space="0" w:color="auto"/>
              <w:right w:val="nil" w:sz="6" w:space="0" w:color="auto"/>
            </w:tcBorders>
            <w:shd w:val="clear" w:color="auto" w:fill="DEEAF6"/>
          </w:tcPr>
          <w:p>
            <w:pPr>
              <w:pStyle w:val="TableParagraph"/>
              <w:spacing w:line="319" w:lineRule="auto" w:before="46"/>
              <w:ind w:left="21" w:right="174"/>
              <w:jc w:val="left"/>
              <w:rPr>
                <w:rFonts w:ascii="宋体" w:hAnsi="宋体" w:cs="宋体" w:eastAsia="宋体" w:hint="default"/>
                <w:sz w:val="18"/>
                <w:szCs w:val="18"/>
              </w:rPr>
            </w:pPr>
            <w:r>
              <w:rPr>
                <w:rFonts w:ascii="宋体" w:hAnsi="宋体" w:cs="宋体" w:eastAsia="宋体" w:hint="default"/>
                <w:sz w:val="18"/>
                <w:szCs w:val="18"/>
              </w:rPr>
              <w:t>主要系下属子公司购入中国信贷可 转债及股票。</w:t>
            </w:r>
          </w:p>
        </w:tc>
      </w:tr>
      <w:tr>
        <w:trPr>
          <w:trHeight w:val="392" w:hRule="exact"/>
        </w:trPr>
        <w:tc>
          <w:tcPr>
            <w:tcW w:w="1355" w:type="dxa"/>
            <w:vMerge/>
            <w:tcBorders>
              <w:left w:val="nil" w:sz="6" w:space="0" w:color="auto"/>
              <w:right w:val="nil" w:sz="6" w:space="0" w:color="auto"/>
            </w:tcBorders>
            <w:shd w:val="clear" w:color="auto" w:fill="DEEAF6"/>
          </w:tcPr>
          <w:p>
            <w:pPr/>
          </w:p>
        </w:tc>
        <w:tc>
          <w:tcPr>
            <w:tcW w:w="1595" w:type="dxa"/>
            <w:vMerge/>
            <w:tcBorders>
              <w:left w:val="single" w:sz="11" w:space="0" w:color="DEEAF6"/>
              <w:right w:val="nil" w:sz="6" w:space="0" w:color="auto"/>
            </w:tcBorders>
          </w:tcPr>
          <w:p>
            <w:pPr/>
          </w:p>
        </w:tc>
        <w:tc>
          <w:tcPr>
            <w:tcW w:w="618"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left="103" w:right="0"/>
              <w:jc w:val="center"/>
              <w:rPr>
                <w:rFonts w:ascii="Arial" w:hAnsi="Arial" w:cs="Arial" w:eastAsia="Arial" w:hint="default"/>
                <w:sz w:val="18"/>
                <w:szCs w:val="18"/>
              </w:rPr>
            </w:pPr>
            <w:r>
              <w:rPr>
                <w:rFonts w:ascii="Arial"/>
                <w:w w:val="95"/>
                <w:sz w:val="18"/>
              </w:rPr>
              <w:t>6.51%</w:t>
            </w:r>
            <w:r>
              <w:rPr>
                <w:rFonts w:ascii="Arial"/>
                <w:sz w:val="18"/>
              </w:rPr>
            </w:r>
          </w:p>
        </w:tc>
        <w:tc>
          <w:tcPr>
            <w:tcW w:w="1508" w:type="dxa"/>
            <w:vMerge/>
            <w:tcBorders>
              <w:left w:val="nil" w:sz="6" w:space="0" w:color="auto"/>
              <w:right w:val="nil" w:sz="6" w:space="0" w:color="auto"/>
            </w:tcBorders>
          </w:tcPr>
          <w:p>
            <w:pPr/>
          </w:p>
        </w:tc>
        <w:tc>
          <w:tcPr>
            <w:tcW w:w="764" w:type="dxa"/>
            <w:tcBorders>
              <w:top w:val="nil" w:sz="6" w:space="0" w:color="auto"/>
              <w:left w:val="nil" w:sz="6" w:space="0" w:color="auto"/>
              <w:bottom w:val="nil" w:sz="6" w:space="0" w:color="auto"/>
              <w:right w:val="nil" w:sz="6" w:space="0" w:color="auto"/>
            </w:tcBorders>
            <w:shd w:val="clear" w:color="auto" w:fill="DEEAF6"/>
          </w:tcPr>
          <w:p>
            <w:pPr/>
          </w:p>
        </w:tc>
        <w:tc>
          <w:tcPr>
            <w:tcW w:w="805" w:type="dxa"/>
            <w:vMerge/>
            <w:tcBorders>
              <w:left w:val="nil" w:sz="6" w:space="0" w:color="auto"/>
              <w:right w:val="single" w:sz="11" w:space="0" w:color="DEEAF6"/>
            </w:tcBorders>
          </w:tcPr>
          <w:p>
            <w:pPr/>
          </w:p>
        </w:tc>
        <w:tc>
          <w:tcPr>
            <w:tcW w:w="2897" w:type="dxa"/>
            <w:vMerge/>
            <w:tcBorders>
              <w:left w:val="nil" w:sz="6" w:space="0" w:color="auto"/>
              <w:right w:val="nil" w:sz="6" w:space="0" w:color="auto"/>
            </w:tcBorders>
            <w:shd w:val="clear" w:color="auto" w:fill="DEEAF6"/>
          </w:tcPr>
          <w:p>
            <w:pPr/>
          </w:p>
        </w:tc>
      </w:tr>
      <w:tr>
        <w:trPr>
          <w:trHeight w:val="161" w:hRule="exact"/>
        </w:trPr>
        <w:tc>
          <w:tcPr>
            <w:tcW w:w="1355" w:type="dxa"/>
            <w:vMerge/>
            <w:tcBorders>
              <w:left w:val="nil" w:sz="6" w:space="0" w:color="auto"/>
              <w:bottom w:val="single" w:sz="4" w:space="0" w:color="5B9BD4"/>
              <w:right w:val="nil" w:sz="6" w:space="0" w:color="auto"/>
            </w:tcBorders>
            <w:shd w:val="clear" w:color="auto" w:fill="DEEAF6"/>
          </w:tcPr>
          <w:p>
            <w:pPr/>
          </w:p>
        </w:tc>
        <w:tc>
          <w:tcPr>
            <w:tcW w:w="1595" w:type="dxa"/>
            <w:vMerge/>
            <w:tcBorders>
              <w:left w:val="single" w:sz="11" w:space="0" w:color="DEEAF6"/>
              <w:bottom w:val="single" w:sz="4" w:space="0" w:color="5B9BD4"/>
              <w:right w:val="nil" w:sz="6" w:space="0" w:color="auto"/>
            </w:tcBorders>
          </w:tcPr>
          <w:p>
            <w:pPr/>
          </w:p>
        </w:tc>
        <w:tc>
          <w:tcPr>
            <w:tcW w:w="618" w:type="dxa"/>
            <w:tcBorders>
              <w:top w:val="nil" w:sz="6" w:space="0" w:color="auto"/>
              <w:left w:val="nil" w:sz="6" w:space="0" w:color="auto"/>
              <w:bottom w:val="single" w:sz="4" w:space="0" w:color="5B9BD4"/>
              <w:right w:val="nil" w:sz="6" w:space="0" w:color="auto"/>
            </w:tcBorders>
            <w:shd w:val="clear" w:color="auto" w:fill="DEEAF6"/>
          </w:tcPr>
          <w:p>
            <w:pPr/>
          </w:p>
        </w:tc>
        <w:tc>
          <w:tcPr>
            <w:tcW w:w="1508" w:type="dxa"/>
            <w:vMerge/>
            <w:tcBorders>
              <w:left w:val="nil" w:sz="6" w:space="0" w:color="auto"/>
              <w:bottom w:val="single" w:sz="4" w:space="0" w:color="5B9BD4"/>
              <w:right w:val="nil" w:sz="6" w:space="0" w:color="auto"/>
            </w:tcBorders>
          </w:tcPr>
          <w:p>
            <w:pPr/>
          </w:p>
        </w:tc>
        <w:tc>
          <w:tcPr>
            <w:tcW w:w="764" w:type="dxa"/>
            <w:tcBorders>
              <w:top w:val="nil" w:sz="6" w:space="0" w:color="auto"/>
              <w:left w:val="nil" w:sz="6" w:space="0" w:color="auto"/>
              <w:bottom w:val="single" w:sz="4" w:space="0" w:color="5B9BD4"/>
              <w:right w:val="nil" w:sz="6" w:space="0" w:color="auto"/>
            </w:tcBorders>
            <w:shd w:val="clear" w:color="auto" w:fill="DEEAF6"/>
          </w:tcPr>
          <w:p>
            <w:pPr/>
          </w:p>
        </w:tc>
        <w:tc>
          <w:tcPr>
            <w:tcW w:w="805" w:type="dxa"/>
            <w:vMerge/>
            <w:tcBorders>
              <w:left w:val="nil" w:sz="6" w:space="0" w:color="auto"/>
              <w:bottom w:val="single" w:sz="4" w:space="0" w:color="5B9BD4"/>
              <w:right w:val="single" w:sz="11" w:space="0" w:color="DEEAF6"/>
            </w:tcBorders>
          </w:tcPr>
          <w:p>
            <w:pPr/>
          </w:p>
        </w:tc>
        <w:tc>
          <w:tcPr>
            <w:tcW w:w="2897" w:type="dxa"/>
            <w:vMerge/>
            <w:tcBorders>
              <w:left w:val="nil" w:sz="6" w:space="0" w:color="auto"/>
              <w:bottom w:val="single" w:sz="4" w:space="0" w:color="5B9BD4"/>
              <w:right w:val="nil" w:sz="6" w:space="0" w:color="auto"/>
            </w:tcBorders>
            <w:shd w:val="clear" w:color="auto" w:fill="DEEAF6"/>
          </w:tcPr>
          <w:p>
            <w:pPr/>
          </w:p>
        </w:tc>
      </w:tr>
    </w:tbl>
    <w:p>
      <w:pPr>
        <w:spacing w:line="240" w:lineRule="auto" w:before="0"/>
        <w:rPr>
          <w:rFonts w:ascii="宋体" w:hAnsi="宋体" w:cs="宋体" w:eastAsia="宋体" w:hint="default"/>
          <w:sz w:val="20"/>
          <w:szCs w:val="20"/>
        </w:rPr>
      </w:pPr>
    </w:p>
    <w:p>
      <w:pPr>
        <w:pStyle w:val="Heading2"/>
        <w:spacing w:line="240" w:lineRule="auto" w:before="73"/>
        <w:ind w:left="154" w:right="0"/>
        <w:jc w:val="left"/>
        <w:rPr>
          <w:b w:val="0"/>
          <w:bCs w:val="0"/>
        </w:rPr>
      </w:pPr>
      <w:bookmarkStart w:name="4.4.2 以公允价值计量的资产和负债" w:id="73"/>
      <w:bookmarkEnd w:id="73"/>
      <w:r>
        <w:rPr>
          <w:b w:val="0"/>
          <w:bCs w:val="0"/>
        </w:rPr>
      </w:r>
      <w:r>
        <w:rPr>
          <w:rFonts w:ascii="Trebuchet MS" w:hAnsi="Trebuchet MS" w:cs="Trebuchet MS" w:eastAsia="Trebuchet MS" w:hint="default"/>
        </w:rPr>
        <w:t>4.4.2</w:t>
      </w:r>
      <w:r>
        <w:rPr>
          <w:rFonts w:ascii="Trebuchet MS" w:hAnsi="Trebuchet MS" w:cs="Trebuchet MS" w:eastAsia="Trebuchet MS" w:hint="default"/>
          <w:spacing w:val="-18"/>
        </w:rPr>
        <w:t> </w:t>
      </w:r>
      <w:r>
        <w:rPr/>
        <w:t>以公允价值计量的资产和负债</w:t>
      </w:r>
      <w:r>
        <w:rPr>
          <w:b w:val="0"/>
          <w:bCs w:val="0"/>
        </w:rPr>
      </w:r>
    </w:p>
    <w:p>
      <w:pPr>
        <w:spacing w:line="240" w:lineRule="auto" w:before="14"/>
        <w:rPr>
          <w:rFonts w:ascii="Microsoft JhengHei" w:hAnsi="Microsoft JhengHei" w:cs="Microsoft JhengHei" w:eastAsia="Microsoft JhengHei" w:hint="default"/>
          <w:b/>
          <w:bCs/>
          <w:sz w:val="25"/>
          <w:szCs w:val="25"/>
        </w:rPr>
      </w:pPr>
    </w:p>
    <w:p>
      <w:pPr>
        <w:spacing w:before="29"/>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198"/>
        <w:gridCol w:w="1227"/>
        <w:gridCol w:w="1199"/>
        <w:gridCol w:w="1228"/>
        <w:gridCol w:w="1192"/>
        <w:gridCol w:w="1234"/>
        <w:gridCol w:w="1199"/>
        <w:gridCol w:w="1066"/>
      </w:tblGrid>
      <w:tr>
        <w:trPr>
          <w:trHeight w:val="161" w:hRule="exact"/>
        </w:trPr>
        <w:tc>
          <w:tcPr>
            <w:tcW w:w="2426" w:type="dxa"/>
            <w:gridSpan w:val="2"/>
            <w:vMerge w:val="restart"/>
            <w:tcBorders>
              <w:top w:val="single" w:sz="4" w:space="0" w:color="5B9BD4"/>
              <w:left w:val="nil" w:sz="6" w:space="0" w:color="auto"/>
              <w:right w:val="nil" w:sz="6" w:space="0" w:color="auto"/>
            </w:tcBorders>
            <w:shd w:val="clear" w:color="auto" w:fill="DEEAF6"/>
          </w:tcPr>
          <w:p>
            <w:pPr/>
          </w:p>
        </w:tc>
        <w:tc>
          <w:tcPr>
            <w:tcW w:w="1199" w:type="dxa"/>
            <w:tcBorders>
              <w:top w:val="single" w:sz="4" w:space="0" w:color="5B9BD4"/>
              <w:left w:val="nil" w:sz="6" w:space="0" w:color="auto"/>
              <w:bottom w:val="nil" w:sz="6" w:space="0" w:color="auto"/>
              <w:right w:val="nil" w:sz="6" w:space="0" w:color="auto"/>
            </w:tcBorders>
            <w:shd w:val="clear" w:color="auto" w:fill="DEEAF6"/>
          </w:tcPr>
          <w:p>
            <w:pPr/>
          </w:p>
        </w:tc>
        <w:tc>
          <w:tcPr>
            <w:tcW w:w="1228" w:type="dxa"/>
            <w:vMerge w:val="restart"/>
            <w:tcBorders>
              <w:top w:val="single" w:sz="4" w:space="0" w:color="5B9BD4"/>
              <w:left w:val="nil" w:sz="6" w:space="0" w:color="auto"/>
              <w:right w:val="nil" w:sz="6" w:space="0" w:color="auto"/>
            </w:tcBorders>
            <w:shd w:val="clear" w:color="auto" w:fill="DEEAF6"/>
          </w:tcPr>
          <w:p>
            <w:pPr>
              <w:pStyle w:val="TableParagraph"/>
              <w:spacing w:line="319" w:lineRule="auto" w:before="46"/>
              <w:ind w:left="73" w:right="7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2" w:type="dxa"/>
            <w:tcBorders>
              <w:top w:val="single" w:sz="4" w:space="0" w:color="5B9BD4"/>
              <w:left w:val="nil" w:sz="6" w:space="0" w:color="auto"/>
              <w:bottom w:val="nil" w:sz="6" w:space="0" w:color="auto"/>
              <w:right w:val="nil" w:sz="6" w:space="0" w:color="auto"/>
            </w:tcBorders>
            <w:shd w:val="clear" w:color="auto" w:fill="DEEAF6"/>
          </w:tcPr>
          <w:p>
            <w:pPr/>
          </w:p>
        </w:tc>
        <w:tc>
          <w:tcPr>
            <w:tcW w:w="3500" w:type="dxa"/>
            <w:gridSpan w:val="3"/>
            <w:vMerge w:val="restart"/>
            <w:tcBorders>
              <w:top w:val="single" w:sz="4" w:space="0" w:color="5B9BD4"/>
              <w:left w:val="nil" w:sz="6" w:space="0" w:color="auto"/>
              <w:right w:val="nil" w:sz="6" w:space="0" w:color="auto"/>
            </w:tcBorders>
            <w:shd w:val="clear" w:color="auto" w:fill="DEEAF6"/>
          </w:tcPr>
          <w:p>
            <w:pPr/>
          </w:p>
        </w:tc>
      </w:tr>
      <w:tr>
        <w:trPr>
          <w:trHeight w:val="156" w:hRule="exact"/>
        </w:trPr>
        <w:tc>
          <w:tcPr>
            <w:tcW w:w="2426" w:type="dxa"/>
            <w:gridSpan w:val="2"/>
            <w:vMerge/>
            <w:tcBorders>
              <w:left w:val="nil" w:sz="6" w:space="0" w:color="auto"/>
              <w:bottom w:val="nil" w:sz="6" w:space="0" w:color="auto"/>
              <w:right w:val="nil" w:sz="6" w:space="0" w:color="auto"/>
            </w:tcBorders>
            <w:shd w:val="clear" w:color="auto" w:fill="DEEAF6"/>
          </w:tcPr>
          <w:p>
            <w:pPr/>
          </w:p>
        </w:tc>
        <w:tc>
          <w:tcPr>
            <w:tcW w:w="1199" w:type="dxa"/>
            <w:vMerge w:val="restart"/>
            <w:tcBorders>
              <w:top w:val="nil" w:sz="6" w:space="0" w:color="auto"/>
              <w:left w:val="nil" w:sz="6" w:space="0" w:color="auto"/>
              <w:right w:val="nil" w:sz="6" w:space="0" w:color="auto"/>
            </w:tcBorders>
            <w:shd w:val="clear" w:color="auto" w:fill="DEEAF6"/>
          </w:tcPr>
          <w:p>
            <w:pPr>
              <w:pStyle w:val="TableParagraph"/>
              <w:spacing w:line="319" w:lineRule="auto" w:before="46"/>
              <w:ind w:left="239" w:right="57"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28" w:type="dxa"/>
            <w:vMerge/>
            <w:tcBorders>
              <w:left w:val="nil" w:sz="6" w:space="0" w:color="auto"/>
              <w:right w:val="nil" w:sz="6" w:space="0" w:color="auto"/>
            </w:tcBorders>
            <w:shd w:val="clear" w:color="auto" w:fill="DEEAF6"/>
          </w:tcPr>
          <w:p>
            <w:pPr/>
          </w:p>
        </w:tc>
        <w:tc>
          <w:tcPr>
            <w:tcW w:w="1192" w:type="dxa"/>
            <w:vMerge w:val="restart"/>
            <w:tcBorders>
              <w:top w:val="nil" w:sz="6" w:space="0" w:color="auto"/>
              <w:left w:val="nil" w:sz="6" w:space="0" w:color="auto"/>
              <w:right w:val="nil" w:sz="6" w:space="0" w:color="auto"/>
            </w:tcBorders>
            <w:shd w:val="clear" w:color="auto" w:fill="DEEAF6"/>
          </w:tcPr>
          <w:p>
            <w:pPr>
              <w:pStyle w:val="TableParagraph"/>
              <w:spacing w:line="319" w:lineRule="auto" w:before="46"/>
              <w:ind w:left="509" w:right="50"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3500" w:type="dxa"/>
            <w:gridSpan w:val="3"/>
            <w:vMerge/>
            <w:tcBorders>
              <w:left w:val="nil" w:sz="6" w:space="0" w:color="auto"/>
              <w:bottom w:val="nil" w:sz="6" w:space="0" w:color="auto"/>
              <w:right w:val="nil" w:sz="6" w:space="0" w:color="auto"/>
            </w:tcBorders>
            <w:shd w:val="clear" w:color="auto" w:fill="DEEAF6"/>
          </w:tcPr>
          <w:p>
            <w:pPr/>
          </w:p>
        </w:tc>
      </w:tr>
      <w:tr>
        <w:trPr>
          <w:trHeight w:val="392" w:hRule="exact"/>
        </w:trPr>
        <w:tc>
          <w:tcPr>
            <w:tcW w:w="1198"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right="421"/>
              <w:jc w:val="right"/>
              <w:rPr>
                <w:rFonts w:ascii="宋体" w:hAnsi="宋体" w:cs="宋体" w:eastAsia="宋体" w:hint="default"/>
                <w:sz w:val="18"/>
                <w:szCs w:val="18"/>
              </w:rPr>
            </w:pPr>
            <w:r>
              <w:rPr>
                <w:rFonts w:ascii="宋体" w:hAnsi="宋体" w:cs="宋体" w:eastAsia="宋体" w:hint="default"/>
                <w:sz w:val="18"/>
                <w:szCs w:val="18"/>
              </w:rPr>
              <w:t>项目</w:t>
            </w:r>
          </w:p>
        </w:tc>
        <w:tc>
          <w:tcPr>
            <w:tcW w:w="1227"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34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99" w:type="dxa"/>
            <w:vMerge/>
            <w:tcBorders>
              <w:left w:val="nil" w:sz="6" w:space="0" w:color="auto"/>
              <w:right w:val="nil" w:sz="6" w:space="0" w:color="auto"/>
            </w:tcBorders>
            <w:shd w:val="clear" w:color="auto" w:fill="DEEAF6"/>
          </w:tcPr>
          <w:p>
            <w:pPr/>
          </w:p>
        </w:tc>
        <w:tc>
          <w:tcPr>
            <w:tcW w:w="1228" w:type="dxa"/>
            <w:vMerge/>
            <w:tcBorders>
              <w:left w:val="nil" w:sz="6" w:space="0" w:color="auto"/>
              <w:right w:val="nil" w:sz="6" w:space="0" w:color="auto"/>
            </w:tcBorders>
            <w:shd w:val="clear" w:color="auto" w:fill="DEEAF6"/>
          </w:tcPr>
          <w:p>
            <w:pPr/>
          </w:p>
        </w:tc>
        <w:tc>
          <w:tcPr>
            <w:tcW w:w="1192" w:type="dxa"/>
            <w:vMerge/>
            <w:tcBorders>
              <w:left w:val="nil" w:sz="6" w:space="0" w:color="auto"/>
              <w:right w:val="nil" w:sz="6" w:space="0" w:color="auto"/>
            </w:tcBorders>
            <w:shd w:val="clear" w:color="auto" w:fill="DEEAF6"/>
          </w:tcPr>
          <w:p>
            <w:pPr/>
          </w:p>
        </w:tc>
        <w:tc>
          <w:tcPr>
            <w:tcW w:w="1234"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79"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199"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59"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066"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27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2426" w:type="dxa"/>
            <w:gridSpan w:val="2"/>
            <w:vMerge w:val="restart"/>
            <w:tcBorders>
              <w:top w:val="nil" w:sz="6" w:space="0" w:color="auto"/>
              <w:left w:val="nil" w:sz="6" w:space="0" w:color="auto"/>
              <w:right w:val="nil" w:sz="6" w:space="0" w:color="auto"/>
            </w:tcBorders>
            <w:shd w:val="clear" w:color="auto" w:fill="DEEAF6"/>
          </w:tcPr>
          <w:p>
            <w:pPr/>
          </w:p>
        </w:tc>
        <w:tc>
          <w:tcPr>
            <w:tcW w:w="1199" w:type="dxa"/>
            <w:vMerge/>
            <w:tcBorders>
              <w:left w:val="nil" w:sz="6" w:space="0" w:color="auto"/>
              <w:bottom w:val="nil" w:sz="6" w:space="0" w:color="auto"/>
              <w:right w:val="nil" w:sz="6" w:space="0" w:color="auto"/>
            </w:tcBorders>
            <w:shd w:val="clear" w:color="auto" w:fill="DEEAF6"/>
          </w:tcPr>
          <w:p>
            <w:pPr/>
          </w:p>
        </w:tc>
        <w:tc>
          <w:tcPr>
            <w:tcW w:w="1228" w:type="dxa"/>
            <w:vMerge/>
            <w:tcBorders>
              <w:left w:val="nil" w:sz="6" w:space="0" w:color="auto"/>
              <w:right w:val="nil" w:sz="6" w:space="0" w:color="auto"/>
            </w:tcBorders>
            <w:shd w:val="clear" w:color="auto" w:fill="DEEAF6"/>
          </w:tcPr>
          <w:p>
            <w:pPr/>
          </w:p>
        </w:tc>
        <w:tc>
          <w:tcPr>
            <w:tcW w:w="1192" w:type="dxa"/>
            <w:vMerge/>
            <w:tcBorders>
              <w:left w:val="nil" w:sz="6" w:space="0" w:color="auto"/>
              <w:bottom w:val="nil" w:sz="6" w:space="0" w:color="auto"/>
              <w:right w:val="nil" w:sz="6" w:space="0" w:color="auto"/>
            </w:tcBorders>
            <w:shd w:val="clear" w:color="auto" w:fill="DEEAF6"/>
          </w:tcPr>
          <w:p>
            <w:pPr/>
          </w:p>
        </w:tc>
        <w:tc>
          <w:tcPr>
            <w:tcW w:w="3500" w:type="dxa"/>
            <w:gridSpan w:val="3"/>
            <w:vMerge w:val="restart"/>
            <w:tcBorders>
              <w:top w:val="nil" w:sz="6" w:space="0" w:color="auto"/>
              <w:left w:val="nil" w:sz="6" w:space="0" w:color="auto"/>
              <w:right w:val="nil" w:sz="6" w:space="0" w:color="auto"/>
            </w:tcBorders>
            <w:shd w:val="clear" w:color="auto" w:fill="DEEAF6"/>
          </w:tcPr>
          <w:p>
            <w:pPr/>
          </w:p>
        </w:tc>
      </w:tr>
      <w:tr>
        <w:trPr>
          <w:trHeight w:val="166" w:hRule="exact"/>
        </w:trPr>
        <w:tc>
          <w:tcPr>
            <w:tcW w:w="2426" w:type="dxa"/>
            <w:gridSpan w:val="2"/>
            <w:vMerge/>
            <w:tcBorders>
              <w:left w:val="nil" w:sz="6" w:space="0" w:color="auto"/>
              <w:bottom w:val="single" w:sz="4" w:space="0" w:color="5B9BD4"/>
              <w:right w:val="nil" w:sz="6" w:space="0" w:color="auto"/>
            </w:tcBorders>
            <w:shd w:val="clear" w:color="auto" w:fill="DEEAF6"/>
          </w:tcPr>
          <w:p>
            <w:pPr/>
          </w:p>
        </w:tc>
        <w:tc>
          <w:tcPr>
            <w:tcW w:w="1199" w:type="dxa"/>
            <w:tcBorders>
              <w:top w:val="nil" w:sz="6" w:space="0" w:color="auto"/>
              <w:left w:val="nil" w:sz="6" w:space="0" w:color="auto"/>
              <w:bottom w:val="single" w:sz="4" w:space="0" w:color="5B9BD4"/>
              <w:right w:val="nil" w:sz="6" w:space="0" w:color="auto"/>
            </w:tcBorders>
            <w:shd w:val="clear" w:color="auto" w:fill="DEEAF6"/>
          </w:tcPr>
          <w:p>
            <w:pPr/>
          </w:p>
        </w:tc>
        <w:tc>
          <w:tcPr>
            <w:tcW w:w="1228" w:type="dxa"/>
            <w:vMerge/>
            <w:tcBorders>
              <w:left w:val="nil" w:sz="6" w:space="0" w:color="auto"/>
              <w:bottom w:val="single" w:sz="4" w:space="0" w:color="5B9BD4"/>
              <w:right w:val="nil" w:sz="6" w:space="0" w:color="auto"/>
            </w:tcBorders>
            <w:shd w:val="clear" w:color="auto" w:fill="DEEAF6"/>
          </w:tcPr>
          <w:p>
            <w:pPr/>
          </w:p>
        </w:tc>
        <w:tc>
          <w:tcPr>
            <w:tcW w:w="1192" w:type="dxa"/>
            <w:tcBorders>
              <w:top w:val="nil" w:sz="6" w:space="0" w:color="auto"/>
              <w:left w:val="nil" w:sz="6" w:space="0" w:color="auto"/>
              <w:bottom w:val="single" w:sz="4" w:space="0" w:color="5B9BD4"/>
              <w:right w:val="nil" w:sz="6" w:space="0" w:color="auto"/>
            </w:tcBorders>
            <w:shd w:val="clear" w:color="auto" w:fill="DEEAF6"/>
          </w:tcPr>
          <w:p>
            <w:pPr/>
          </w:p>
        </w:tc>
        <w:tc>
          <w:tcPr>
            <w:tcW w:w="3500" w:type="dxa"/>
            <w:gridSpan w:val="3"/>
            <w:vMerge/>
            <w:tcBorders>
              <w:left w:val="nil" w:sz="6" w:space="0" w:color="auto"/>
              <w:bottom w:val="single" w:sz="4" w:space="0" w:color="5B9BD4"/>
              <w:right w:val="nil" w:sz="6" w:space="0" w:color="auto"/>
            </w:tcBorders>
            <w:shd w:val="clear" w:color="auto" w:fill="DEEAF6"/>
          </w:tcPr>
          <w:p>
            <w:pPr/>
          </w:p>
        </w:tc>
      </w:tr>
      <w:tr>
        <w:trPr>
          <w:trHeight w:val="392" w:hRule="exact"/>
        </w:trPr>
        <w:tc>
          <w:tcPr>
            <w:tcW w:w="119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1"/>
              <w:ind w:right="462"/>
              <w:jc w:val="right"/>
              <w:rPr>
                <w:rFonts w:ascii="宋体" w:hAnsi="宋体" w:cs="宋体" w:eastAsia="宋体" w:hint="default"/>
                <w:sz w:val="18"/>
                <w:szCs w:val="18"/>
              </w:rPr>
            </w:pPr>
            <w:r>
              <w:rPr>
                <w:rFonts w:ascii="宋体" w:hAnsi="宋体" w:cs="宋体" w:eastAsia="宋体" w:hint="default"/>
                <w:sz w:val="18"/>
                <w:szCs w:val="18"/>
              </w:rPr>
              <w:t>金融资产</w:t>
            </w:r>
          </w:p>
        </w:tc>
        <w:tc>
          <w:tcPr>
            <w:tcW w:w="8345" w:type="dxa"/>
            <w:gridSpan w:val="7"/>
            <w:tcBorders>
              <w:top w:val="single" w:sz="4" w:space="0" w:color="5B9BD4"/>
              <w:left w:val="nil" w:sz="6" w:space="0" w:color="auto"/>
              <w:bottom w:val="single" w:sz="4" w:space="0" w:color="5B9BD4"/>
              <w:right w:val="nil" w:sz="6" w:space="0" w:color="auto"/>
            </w:tcBorders>
            <w:shd w:val="clear" w:color="auto" w:fill="DEEAF6"/>
          </w:tcPr>
          <w:p>
            <w:pPr/>
          </w:p>
        </w:tc>
      </w:tr>
      <w:tr>
        <w:trPr>
          <w:trHeight w:val="615" w:hRule="exact"/>
        </w:trPr>
        <w:tc>
          <w:tcPr>
            <w:tcW w:w="1198" w:type="dxa"/>
            <w:vMerge w:val="restart"/>
            <w:tcBorders>
              <w:top w:val="single" w:sz="4" w:space="0" w:color="5B9BD4"/>
              <w:left w:val="nil" w:sz="6" w:space="0" w:color="auto"/>
              <w:right w:val="nil" w:sz="6" w:space="0" w:color="auto"/>
            </w:tcBorders>
            <w:shd w:val="clear" w:color="auto" w:fill="DEEAF6"/>
          </w:tcPr>
          <w:p>
            <w:pPr>
              <w:pStyle w:val="TableParagraph"/>
              <w:spacing w:line="312" w:lineRule="auto" w:before="51"/>
              <w:ind w:left="13" w:right="102"/>
              <w:jc w:val="both"/>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以公允价值 计量且其变动 计入当期损益 的金融资产</w:t>
            </w:r>
          </w:p>
          <w:p>
            <w:pPr>
              <w:pStyle w:val="TableParagraph"/>
              <w:spacing w:line="240" w:lineRule="auto" w:before="22"/>
              <w:ind w:left="13" w:right="0"/>
              <w:jc w:val="both"/>
              <w:rPr>
                <w:rFonts w:ascii="宋体" w:hAnsi="宋体" w:cs="宋体" w:eastAsia="宋体" w:hint="default"/>
                <w:sz w:val="18"/>
                <w:szCs w:val="18"/>
              </w:rPr>
            </w:pPr>
            <w:r>
              <w:rPr>
                <w:rFonts w:ascii="宋体" w:hAnsi="宋体" w:cs="宋体" w:eastAsia="宋体" w:hint="default"/>
                <w:sz w:val="18"/>
                <w:szCs w:val="18"/>
              </w:rPr>
              <w:t>（不含衍生金</w:t>
            </w:r>
          </w:p>
        </w:tc>
        <w:tc>
          <w:tcPr>
            <w:tcW w:w="1227" w:type="dxa"/>
            <w:vMerge w:val="restart"/>
            <w:tcBorders>
              <w:top w:val="single" w:sz="4" w:space="0" w:color="5B9BD4"/>
              <w:left w:val="single" w:sz="12" w:space="0" w:color="DEEAF6"/>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31" w:right="0"/>
              <w:jc w:val="left"/>
              <w:rPr>
                <w:rFonts w:ascii="Arial" w:hAnsi="Arial" w:cs="Arial" w:eastAsia="Arial" w:hint="default"/>
                <w:sz w:val="18"/>
                <w:szCs w:val="18"/>
              </w:rPr>
            </w:pPr>
            <w:r>
              <w:rPr>
                <w:rFonts w:ascii="Arial"/>
                <w:sz w:val="18"/>
              </w:rPr>
              <w:t>7,480,141.92</w:t>
            </w:r>
          </w:p>
        </w:tc>
        <w:tc>
          <w:tcPr>
            <w:tcW w:w="1199" w:type="dxa"/>
            <w:tcBorders>
              <w:top w:val="single" w:sz="4" w:space="0" w:color="5B9BD4"/>
              <w:left w:val="nil" w:sz="6" w:space="0" w:color="auto"/>
              <w:bottom w:val="nil" w:sz="6" w:space="0" w:color="auto"/>
              <w:right w:val="nil" w:sz="6" w:space="0" w:color="auto"/>
            </w:tcBorders>
            <w:shd w:val="clear" w:color="auto" w:fill="DEEAF6"/>
          </w:tcPr>
          <w:p>
            <w:pPr/>
          </w:p>
        </w:tc>
        <w:tc>
          <w:tcPr>
            <w:tcW w:w="1228" w:type="dxa"/>
            <w:vMerge w:val="restart"/>
            <w:tcBorders>
              <w:top w:val="single" w:sz="4" w:space="0" w:color="5B9BD4"/>
              <w:left w:val="nil" w:sz="6" w:space="0" w:color="auto"/>
              <w:right w:val="nil" w:sz="6" w:space="0" w:color="auto"/>
            </w:tcBorders>
          </w:tcPr>
          <w:p>
            <w:pPr/>
          </w:p>
        </w:tc>
        <w:tc>
          <w:tcPr>
            <w:tcW w:w="1192" w:type="dxa"/>
            <w:tcBorders>
              <w:top w:val="single" w:sz="4" w:space="0" w:color="5B9BD4"/>
              <w:left w:val="nil" w:sz="6" w:space="0" w:color="auto"/>
              <w:bottom w:val="nil" w:sz="6" w:space="0" w:color="auto"/>
              <w:right w:val="nil" w:sz="6" w:space="0" w:color="auto"/>
            </w:tcBorders>
            <w:shd w:val="clear" w:color="auto" w:fill="DEEAF6"/>
          </w:tcPr>
          <w:p>
            <w:pPr/>
          </w:p>
        </w:tc>
        <w:tc>
          <w:tcPr>
            <w:tcW w:w="1234" w:type="dxa"/>
            <w:vMerge w:val="restart"/>
            <w:tcBorders>
              <w:top w:val="single" w:sz="4" w:space="0" w:color="5B9BD4"/>
              <w:left w:val="nil" w:sz="6" w:space="0" w:color="auto"/>
              <w:right w:val="nil" w:sz="6" w:space="0" w:color="auto"/>
            </w:tcBorders>
          </w:tcPr>
          <w:p>
            <w:pPr/>
          </w:p>
        </w:tc>
        <w:tc>
          <w:tcPr>
            <w:tcW w:w="1199" w:type="dxa"/>
            <w:tcBorders>
              <w:top w:val="single" w:sz="4" w:space="0" w:color="5B9BD4"/>
              <w:left w:val="nil" w:sz="6" w:space="0" w:color="auto"/>
              <w:bottom w:val="nil" w:sz="6" w:space="0" w:color="auto"/>
              <w:right w:val="nil" w:sz="6" w:space="0" w:color="auto"/>
            </w:tcBorders>
            <w:shd w:val="clear" w:color="auto" w:fill="DEEAF6"/>
          </w:tcPr>
          <w:p>
            <w:pPr/>
          </w:p>
        </w:tc>
        <w:tc>
          <w:tcPr>
            <w:tcW w:w="1066"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1"/>
              <w:jc w:val="right"/>
              <w:rPr>
                <w:rFonts w:ascii="Arial" w:hAnsi="Arial" w:cs="Arial" w:eastAsia="Arial" w:hint="default"/>
                <w:sz w:val="18"/>
                <w:szCs w:val="18"/>
              </w:rPr>
            </w:pPr>
            <w:r>
              <w:rPr>
                <w:rFonts w:ascii="Arial"/>
                <w:w w:val="95"/>
                <w:sz w:val="18"/>
              </w:rPr>
              <w:t>30,565,784.</w:t>
            </w:r>
            <w:r>
              <w:rPr>
                <w:rFonts w:ascii="Arial"/>
                <w:sz w:val="18"/>
              </w:rPr>
            </w:r>
          </w:p>
          <w:p>
            <w:pPr>
              <w:pStyle w:val="TableParagraph"/>
              <w:spacing w:line="240" w:lineRule="auto" w:before="105"/>
              <w:ind w:right="11"/>
              <w:jc w:val="right"/>
              <w:rPr>
                <w:rFonts w:ascii="Arial" w:hAnsi="Arial" w:cs="Arial" w:eastAsia="Arial" w:hint="default"/>
                <w:sz w:val="18"/>
                <w:szCs w:val="18"/>
              </w:rPr>
            </w:pPr>
            <w:r>
              <w:rPr>
                <w:rFonts w:ascii="Arial"/>
                <w:spacing w:val="-1"/>
                <w:w w:val="95"/>
                <w:sz w:val="18"/>
              </w:rPr>
              <w:t>60</w:t>
            </w:r>
            <w:r>
              <w:rPr>
                <w:rFonts w:ascii="Arial"/>
                <w:sz w:val="18"/>
              </w:rPr>
            </w:r>
          </w:p>
        </w:tc>
      </w:tr>
      <w:tr>
        <w:trPr>
          <w:trHeight w:val="391" w:hRule="exact"/>
        </w:trPr>
        <w:tc>
          <w:tcPr>
            <w:tcW w:w="1198" w:type="dxa"/>
            <w:vMerge/>
            <w:tcBorders>
              <w:left w:val="nil" w:sz="6" w:space="0" w:color="auto"/>
              <w:right w:val="nil" w:sz="6" w:space="0" w:color="auto"/>
            </w:tcBorders>
            <w:shd w:val="clear" w:color="auto" w:fill="DEEAF6"/>
          </w:tcPr>
          <w:p>
            <w:pPr/>
          </w:p>
        </w:tc>
        <w:tc>
          <w:tcPr>
            <w:tcW w:w="1227" w:type="dxa"/>
            <w:vMerge/>
            <w:tcBorders>
              <w:left w:val="single" w:sz="12" w:space="0" w:color="DEEAF6"/>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left="30" w:right="0"/>
              <w:jc w:val="left"/>
              <w:rPr>
                <w:rFonts w:ascii="Arial" w:hAnsi="Arial" w:cs="Arial" w:eastAsia="Arial" w:hint="default"/>
                <w:sz w:val="18"/>
                <w:szCs w:val="18"/>
              </w:rPr>
            </w:pPr>
            <w:r>
              <w:rPr>
                <w:rFonts w:ascii="Arial"/>
                <w:sz w:val="18"/>
              </w:rPr>
              <w:t>23,085,642.68</w:t>
            </w:r>
          </w:p>
        </w:tc>
        <w:tc>
          <w:tcPr>
            <w:tcW w:w="1228" w:type="dxa"/>
            <w:vMerge/>
            <w:tcBorders>
              <w:left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shd w:val="clear" w:color="auto" w:fill="DEEAF6"/>
          </w:tcPr>
          <w:p>
            <w:pPr/>
          </w:p>
        </w:tc>
        <w:tc>
          <w:tcPr>
            <w:tcW w:w="1234" w:type="dxa"/>
            <w:vMerge/>
            <w:tcBorders>
              <w:left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shd w:val="clear" w:color="auto" w:fill="DEEAF6"/>
          </w:tcPr>
          <w:p>
            <w:pPr/>
          </w:p>
        </w:tc>
        <w:tc>
          <w:tcPr>
            <w:tcW w:w="1066" w:type="dxa"/>
            <w:vMerge/>
            <w:tcBorders>
              <w:left w:val="nil" w:sz="6" w:space="0" w:color="auto"/>
              <w:right w:val="nil" w:sz="6" w:space="0" w:color="auto"/>
            </w:tcBorders>
          </w:tcPr>
          <w:p>
            <w:pPr/>
          </w:p>
        </w:tc>
      </w:tr>
      <w:tr>
        <w:trPr>
          <w:trHeight w:val="610" w:hRule="exact"/>
        </w:trPr>
        <w:tc>
          <w:tcPr>
            <w:tcW w:w="1198" w:type="dxa"/>
            <w:vMerge/>
            <w:tcBorders>
              <w:left w:val="nil" w:sz="6" w:space="0" w:color="auto"/>
              <w:bottom w:val="single" w:sz="4" w:space="0" w:color="5B9BD4"/>
              <w:right w:val="nil" w:sz="6" w:space="0" w:color="auto"/>
            </w:tcBorders>
            <w:shd w:val="clear" w:color="auto" w:fill="DEEAF6"/>
          </w:tcPr>
          <w:p>
            <w:pPr/>
          </w:p>
        </w:tc>
        <w:tc>
          <w:tcPr>
            <w:tcW w:w="1227" w:type="dxa"/>
            <w:vMerge/>
            <w:tcBorders>
              <w:left w:val="single" w:sz="12" w:space="0" w:color="DEEAF6"/>
              <w:bottom w:val="single" w:sz="4" w:space="0" w:color="5B9BD4"/>
              <w:right w:val="nil" w:sz="6" w:space="0" w:color="auto"/>
            </w:tcBorders>
          </w:tcPr>
          <w:p>
            <w:pPr/>
          </w:p>
        </w:tc>
        <w:tc>
          <w:tcPr>
            <w:tcW w:w="1199" w:type="dxa"/>
            <w:tcBorders>
              <w:top w:val="nil" w:sz="6" w:space="0" w:color="auto"/>
              <w:left w:val="nil" w:sz="6" w:space="0" w:color="auto"/>
              <w:bottom w:val="single" w:sz="4" w:space="0" w:color="5B9BD4"/>
              <w:right w:val="nil" w:sz="6" w:space="0" w:color="auto"/>
            </w:tcBorders>
            <w:shd w:val="clear" w:color="auto" w:fill="DEEAF6"/>
          </w:tcPr>
          <w:p>
            <w:pPr/>
          </w:p>
        </w:tc>
        <w:tc>
          <w:tcPr>
            <w:tcW w:w="1228" w:type="dxa"/>
            <w:vMerge/>
            <w:tcBorders>
              <w:left w:val="nil" w:sz="6" w:space="0" w:color="auto"/>
              <w:bottom w:val="single" w:sz="4" w:space="0" w:color="5B9BD4"/>
              <w:right w:val="nil" w:sz="6" w:space="0" w:color="auto"/>
            </w:tcBorders>
          </w:tcPr>
          <w:p>
            <w:pPr/>
          </w:p>
        </w:tc>
        <w:tc>
          <w:tcPr>
            <w:tcW w:w="1192" w:type="dxa"/>
            <w:tcBorders>
              <w:top w:val="nil" w:sz="6" w:space="0" w:color="auto"/>
              <w:left w:val="nil" w:sz="6" w:space="0" w:color="auto"/>
              <w:bottom w:val="single" w:sz="4" w:space="0" w:color="5B9BD4"/>
              <w:right w:val="nil" w:sz="6" w:space="0" w:color="auto"/>
            </w:tcBorders>
            <w:shd w:val="clear" w:color="auto" w:fill="DEEAF6"/>
          </w:tcPr>
          <w:p>
            <w:pPr/>
          </w:p>
        </w:tc>
        <w:tc>
          <w:tcPr>
            <w:tcW w:w="1234" w:type="dxa"/>
            <w:vMerge/>
            <w:tcBorders>
              <w:left w:val="nil" w:sz="6" w:space="0" w:color="auto"/>
              <w:bottom w:val="single" w:sz="4" w:space="0" w:color="5B9BD4"/>
              <w:right w:val="nil" w:sz="6" w:space="0" w:color="auto"/>
            </w:tcBorders>
          </w:tcPr>
          <w:p>
            <w:pPr/>
          </w:p>
        </w:tc>
        <w:tc>
          <w:tcPr>
            <w:tcW w:w="1199" w:type="dxa"/>
            <w:tcBorders>
              <w:top w:val="nil" w:sz="6" w:space="0" w:color="auto"/>
              <w:left w:val="nil" w:sz="6" w:space="0" w:color="auto"/>
              <w:bottom w:val="single" w:sz="4" w:space="0" w:color="5B9BD4"/>
              <w:right w:val="nil" w:sz="6" w:space="0" w:color="auto"/>
            </w:tcBorders>
            <w:shd w:val="clear" w:color="auto" w:fill="DEEAF6"/>
          </w:tcPr>
          <w:p>
            <w:pPr/>
          </w:p>
        </w:tc>
        <w:tc>
          <w:tcPr>
            <w:tcW w:w="1066" w:type="dxa"/>
            <w:vMerge/>
            <w:tcBorders>
              <w:left w:val="nil" w:sz="6" w:space="0" w:color="auto"/>
              <w:bottom w:val="single" w:sz="4" w:space="0" w:color="5B9BD4"/>
              <w:right w:val="nil" w:sz="6" w:space="0" w:color="auto"/>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20"/>
        <w:gridCol w:w="1213"/>
        <w:gridCol w:w="1212"/>
        <w:gridCol w:w="1214"/>
        <w:gridCol w:w="1213"/>
        <w:gridCol w:w="1214"/>
        <w:gridCol w:w="1213"/>
        <w:gridCol w:w="1073"/>
      </w:tblGrid>
      <w:tr>
        <w:trPr>
          <w:trHeight w:val="362" w:hRule="exact"/>
        </w:trPr>
        <w:tc>
          <w:tcPr>
            <w:tcW w:w="122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left="27" w:right="0"/>
              <w:jc w:val="left"/>
              <w:rPr>
                <w:rFonts w:ascii="宋体" w:hAnsi="宋体" w:cs="宋体" w:eastAsia="宋体" w:hint="default"/>
                <w:sz w:val="18"/>
                <w:szCs w:val="18"/>
              </w:rPr>
            </w:pPr>
            <w:r>
              <w:rPr>
                <w:rFonts w:ascii="宋体" w:hAnsi="宋体" w:cs="宋体" w:eastAsia="宋体" w:hint="default"/>
                <w:sz w:val="18"/>
                <w:szCs w:val="18"/>
              </w:rPr>
              <w:t>融资产）</w:t>
            </w:r>
          </w:p>
        </w:tc>
        <w:tc>
          <w:tcPr>
            <w:tcW w:w="1213" w:type="dxa"/>
            <w:tcBorders>
              <w:top w:val="single" w:sz="4" w:space="0" w:color="5B9BD4"/>
              <w:left w:val="nil" w:sz="6" w:space="0" w:color="auto"/>
              <w:bottom w:val="single" w:sz="4" w:space="0" w:color="5B9BD4"/>
              <w:right w:val="nil" w:sz="6" w:space="0" w:color="auto"/>
            </w:tcBorders>
          </w:tcPr>
          <w:p>
            <w:pPr/>
          </w:p>
        </w:tc>
        <w:tc>
          <w:tcPr>
            <w:tcW w:w="1212" w:type="dxa"/>
            <w:tcBorders>
              <w:top w:val="single" w:sz="4" w:space="0" w:color="5B9BD4"/>
              <w:left w:val="nil" w:sz="6" w:space="0" w:color="auto"/>
              <w:bottom w:val="single" w:sz="4" w:space="0" w:color="5B9BD4"/>
              <w:right w:val="nil" w:sz="6" w:space="0" w:color="auto"/>
            </w:tcBorders>
            <w:shd w:val="clear" w:color="auto" w:fill="DEEAF6"/>
          </w:tcPr>
          <w:p>
            <w:pPr/>
          </w:p>
        </w:tc>
        <w:tc>
          <w:tcPr>
            <w:tcW w:w="1214" w:type="dxa"/>
            <w:tcBorders>
              <w:top w:val="single" w:sz="4" w:space="0" w:color="5B9BD4"/>
              <w:left w:val="nil" w:sz="6" w:space="0" w:color="auto"/>
              <w:bottom w:val="single" w:sz="4" w:space="0" w:color="5B9BD4"/>
              <w:right w:val="nil" w:sz="6" w:space="0" w:color="auto"/>
            </w:tcBorders>
          </w:tcPr>
          <w:p>
            <w:pPr/>
          </w:p>
        </w:tc>
        <w:tc>
          <w:tcPr>
            <w:tcW w:w="1213" w:type="dxa"/>
            <w:tcBorders>
              <w:top w:val="single" w:sz="4" w:space="0" w:color="5B9BD4"/>
              <w:left w:val="nil" w:sz="6" w:space="0" w:color="auto"/>
              <w:bottom w:val="single" w:sz="4" w:space="0" w:color="5B9BD4"/>
              <w:right w:val="nil" w:sz="6" w:space="0" w:color="auto"/>
            </w:tcBorders>
            <w:shd w:val="clear" w:color="auto" w:fill="DEEAF6"/>
          </w:tcPr>
          <w:p>
            <w:pPr/>
          </w:p>
        </w:tc>
        <w:tc>
          <w:tcPr>
            <w:tcW w:w="1214" w:type="dxa"/>
            <w:tcBorders>
              <w:top w:val="single" w:sz="4" w:space="0" w:color="5B9BD4"/>
              <w:left w:val="nil" w:sz="6" w:space="0" w:color="auto"/>
              <w:bottom w:val="single" w:sz="4" w:space="0" w:color="5B9BD4"/>
              <w:right w:val="nil" w:sz="6" w:space="0" w:color="auto"/>
            </w:tcBorders>
          </w:tcPr>
          <w:p>
            <w:pPr/>
          </w:p>
        </w:tc>
        <w:tc>
          <w:tcPr>
            <w:tcW w:w="1213" w:type="dxa"/>
            <w:tcBorders>
              <w:top w:val="single" w:sz="4" w:space="0" w:color="5B9BD4"/>
              <w:left w:val="nil" w:sz="6" w:space="0" w:color="auto"/>
              <w:bottom w:val="single" w:sz="4" w:space="0" w:color="5B9BD4"/>
              <w:right w:val="nil" w:sz="6" w:space="0" w:color="auto"/>
            </w:tcBorders>
            <w:shd w:val="clear" w:color="auto" w:fill="DEEAF6"/>
          </w:tcPr>
          <w:p>
            <w:pPr/>
          </w:p>
        </w:tc>
        <w:tc>
          <w:tcPr>
            <w:tcW w:w="1073" w:type="dxa"/>
            <w:tcBorders>
              <w:top w:val="single" w:sz="4" w:space="0" w:color="5B9BD4"/>
              <w:left w:val="nil" w:sz="6" w:space="0" w:color="auto"/>
              <w:bottom w:val="single" w:sz="4" w:space="0" w:color="5B9BD4"/>
              <w:right w:val="nil" w:sz="6" w:space="0" w:color="auto"/>
            </w:tcBorders>
          </w:tcPr>
          <w:p>
            <w:pPr/>
          </w:p>
        </w:tc>
      </w:tr>
      <w:tr>
        <w:trPr>
          <w:trHeight w:val="714" w:hRule="exact"/>
        </w:trPr>
        <w:tc>
          <w:tcPr>
            <w:tcW w:w="122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2" w:lineRule="auto" w:before="46"/>
              <w:ind w:left="27" w:right="141"/>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衍生金融资 产</w:t>
            </w:r>
          </w:p>
        </w:tc>
        <w:tc>
          <w:tcPr>
            <w:tcW w:w="1213" w:type="dxa"/>
            <w:tcBorders>
              <w:top w:val="single" w:sz="4" w:space="0" w:color="5B9BD4"/>
              <w:left w:val="nil" w:sz="6" w:space="0" w:color="auto"/>
              <w:bottom w:val="single" w:sz="4" w:space="0" w:color="5B9BD4"/>
              <w:right w:val="nil" w:sz="6" w:space="0" w:color="auto"/>
            </w:tcBorders>
          </w:tcPr>
          <w:p>
            <w:pPr/>
          </w:p>
        </w:tc>
        <w:tc>
          <w:tcPr>
            <w:tcW w:w="1212" w:type="dxa"/>
            <w:tcBorders>
              <w:top w:val="single" w:sz="4" w:space="0" w:color="5B9BD4"/>
              <w:left w:val="nil" w:sz="6" w:space="0" w:color="auto"/>
              <w:bottom w:val="single" w:sz="4" w:space="0" w:color="5B9BD4"/>
              <w:right w:val="nil" w:sz="6" w:space="0" w:color="auto"/>
            </w:tcBorders>
            <w:shd w:val="clear" w:color="auto" w:fill="DEEAF6"/>
          </w:tcPr>
          <w:p>
            <w:pPr/>
          </w:p>
        </w:tc>
        <w:tc>
          <w:tcPr>
            <w:tcW w:w="1214" w:type="dxa"/>
            <w:tcBorders>
              <w:top w:val="single" w:sz="4" w:space="0" w:color="5B9BD4"/>
              <w:left w:val="nil" w:sz="6" w:space="0" w:color="auto"/>
              <w:bottom w:val="single" w:sz="4" w:space="0" w:color="5B9BD4"/>
              <w:right w:val="nil" w:sz="6" w:space="0" w:color="auto"/>
            </w:tcBorders>
          </w:tcPr>
          <w:p>
            <w:pPr/>
          </w:p>
        </w:tc>
        <w:tc>
          <w:tcPr>
            <w:tcW w:w="1213" w:type="dxa"/>
            <w:tcBorders>
              <w:top w:val="single" w:sz="4" w:space="0" w:color="5B9BD4"/>
              <w:left w:val="nil" w:sz="6" w:space="0" w:color="auto"/>
              <w:bottom w:val="single" w:sz="4" w:space="0" w:color="5B9BD4"/>
              <w:right w:val="nil" w:sz="6" w:space="0" w:color="auto"/>
            </w:tcBorders>
            <w:shd w:val="clear" w:color="auto" w:fill="DEEAF6"/>
          </w:tcPr>
          <w:p>
            <w:pPr/>
          </w:p>
        </w:tc>
        <w:tc>
          <w:tcPr>
            <w:tcW w:w="1214" w:type="dxa"/>
            <w:tcBorders>
              <w:top w:val="single" w:sz="4" w:space="0" w:color="5B9BD4"/>
              <w:left w:val="nil" w:sz="6" w:space="0" w:color="auto"/>
              <w:bottom w:val="single" w:sz="4" w:space="0" w:color="5B9BD4"/>
              <w:right w:val="nil" w:sz="6" w:space="0" w:color="auto"/>
            </w:tcBorders>
          </w:tcPr>
          <w:p>
            <w:pPr/>
          </w:p>
        </w:tc>
        <w:tc>
          <w:tcPr>
            <w:tcW w:w="1213" w:type="dxa"/>
            <w:tcBorders>
              <w:top w:val="single" w:sz="4" w:space="0" w:color="5B9BD4"/>
              <w:left w:val="nil" w:sz="6" w:space="0" w:color="auto"/>
              <w:bottom w:val="single" w:sz="4" w:space="0" w:color="5B9BD4"/>
              <w:right w:val="nil" w:sz="6" w:space="0" w:color="auto"/>
            </w:tcBorders>
            <w:shd w:val="clear" w:color="auto" w:fill="DEEAF6"/>
          </w:tcPr>
          <w:p>
            <w:pPr/>
          </w:p>
        </w:tc>
        <w:tc>
          <w:tcPr>
            <w:tcW w:w="1073" w:type="dxa"/>
            <w:tcBorders>
              <w:top w:val="single" w:sz="4" w:space="0" w:color="5B9BD4"/>
              <w:left w:val="nil" w:sz="6" w:space="0" w:color="auto"/>
              <w:bottom w:val="single" w:sz="4" w:space="0" w:color="5B9BD4"/>
              <w:right w:val="nil" w:sz="6" w:space="0" w:color="auto"/>
            </w:tcBorders>
          </w:tcPr>
          <w:p>
            <w:pPr/>
          </w:p>
        </w:tc>
      </w:tr>
      <w:tr>
        <w:trPr>
          <w:trHeight w:val="714" w:hRule="exact"/>
        </w:trPr>
        <w:tc>
          <w:tcPr>
            <w:tcW w:w="122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2" w:lineRule="auto" w:before="46"/>
              <w:ind w:left="27" w:right="141"/>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可供出售金 融资产</w:t>
            </w:r>
          </w:p>
        </w:tc>
        <w:tc>
          <w:tcPr>
            <w:tcW w:w="1213" w:type="dxa"/>
            <w:tcBorders>
              <w:top w:val="single" w:sz="4" w:space="0" w:color="5B9BD4"/>
              <w:left w:val="nil" w:sz="6" w:space="0" w:color="auto"/>
              <w:bottom w:val="single" w:sz="4" w:space="0" w:color="5B9BD4"/>
              <w:right w:val="nil" w:sz="6" w:space="0" w:color="auto"/>
            </w:tcBorders>
          </w:tcPr>
          <w:p>
            <w:pPr/>
          </w:p>
        </w:tc>
        <w:tc>
          <w:tcPr>
            <w:tcW w:w="1212" w:type="dxa"/>
            <w:tcBorders>
              <w:top w:val="single" w:sz="4" w:space="0" w:color="5B9BD4"/>
              <w:left w:val="nil" w:sz="6" w:space="0" w:color="auto"/>
              <w:bottom w:val="single" w:sz="4" w:space="0" w:color="5B9BD4"/>
              <w:right w:val="nil" w:sz="6" w:space="0" w:color="auto"/>
            </w:tcBorders>
            <w:shd w:val="clear" w:color="auto" w:fill="DEEAF6"/>
          </w:tcPr>
          <w:p>
            <w:pPr/>
          </w:p>
        </w:tc>
        <w:tc>
          <w:tcPr>
            <w:tcW w:w="1214" w:type="dxa"/>
            <w:tcBorders>
              <w:top w:val="single" w:sz="4" w:space="0" w:color="5B9BD4"/>
              <w:left w:val="nil" w:sz="6" w:space="0" w:color="auto"/>
              <w:bottom w:val="single" w:sz="4" w:space="0" w:color="5B9BD4"/>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 w:right="0"/>
              <w:jc w:val="center"/>
              <w:rPr>
                <w:rFonts w:ascii="Arial" w:hAnsi="Arial" w:cs="Arial" w:eastAsia="Arial" w:hint="default"/>
                <w:sz w:val="18"/>
                <w:szCs w:val="18"/>
              </w:rPr>
            </w:pPr>
            <w:r>
              <w:rPr>
                <w:rFonts w:ascii="Arial"/>
                <w:sz w:val="18"/>
              </w:rPr>
              <w:t>53,647,192.03</w:t>
            </w:r>
          </w:p>
        </w:tc>
        <w:tc>
          <w:tcPr>
            <w:tcW w:w="1213" w:type="dxa"/>
            <w:tcBorders>
              <w:top w:val="single" w:sz="4" w:space="0" w:color="5B9BD4"/>
              <w:left w:val="nil" w:sz="6" w:space="0" w:color="auto"/>
              <w:bottom w:val="single" w:sz="4" w:space="0" w:color="5B9BD4"/>
              <w:right w:val="nil" w:sz="6" w:space="0" w:color="auto"/>
            </w:tcBorders>
            <w:shd w:val="clear" w:color="auto" w:fill="DEEAF6"/>
          </w:tcPr>
          <w:p>
            <w:pPr/>
          </w:p>
        </w:tc>
        <w:tc>
          <w:tcPr>
            <w:tcW w:w="1214"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27"/>
              <w:jc w:val="right"/>
              <w:rPr>
                <w:rFonts w:ascii="Arial" w:hAnsi="Arial" w:cs="Arial" w:eastAsia="Arial" w:hint="default"/>
                <w:sz w:val="18"/>
                <w:szCs w:val="18"/>
              </w:rPr>
            </w:pPr>
            <w:r>
              <w:rPr>
                <w:rFonts w:ascii="Arial"/>
                <w:w w:val="95"/>
                <w:sz w:val="18"/>
              </w:rPr>
              <w:t>327,123,817.9</w:t>
            </w:r>
            <w:r>
              <w:rPr>
                <w:rFonts w:ascii="Arial"/>
                <w:sz w:val="18"/>
              </w:rPr>
            </w:r>
          </w:p>
          <w:p>
            <w:pPr>
              <w:pStyle w:val="TableParagraph"/>
              <w:spacing w:line="240" w:lineRule="auto" w:before="105"/>
              <w:ind w:right="26"/>
              <w:jc w:val="right"/>
              <w:rPr>
                <w:rFonts w:ascii="Arial" w:hAnsi="Arial" w:cs="Arial" w:eastAsia="Arial" w:hint="default"/>
                <w:sz w:val="18"/>
                <w:szCs w:val="18"/>
              </w:rPr>
            </w:pPr>
            <w:r>
              <w:rPr>
                <w:rFonts w:ascii="Arial"/>
                <w:w w:val="99"/>
                <w:sz w:val="18"/>
              </w:rPr>
              <w:t>7</w:t>
            </w:r>
            <w:r>
              <w:rPr>
                <w:rFonts w:ascii="Arial"/>
                <w:sz w:val="18"/>
              </w:rPr>
            </w:r>
          </w:p>
        </w:tc>
        <w:tc>
          <w:tcPr>
            <w:tcW w:w="1213" w:type="dxa"/>
            <w:tcBorders>
              <w:top w:val="single" w:sz="4" w:space="0" w:color="5B9BD4"/>
              <w:left w:val="nil" w:sz="6" w:space="0" w:color="auto"/>
              <w:bottom w:val="single" w:sz="4" w:space="0" w:color="5B9BD4"/>
              <w:right w:val="nil" w:sz="6" w:space="0" w:color="auto"/>
            </w:tcBorders>
            <w:shd w:val="clear" w:color="auto" w:fill="DEEAF6"/>
          </w:tcPr>
          <w:p>
            <w:pPr/>
          </w:p>
        </w:tc>
        <w:tc>
          <w:tcPr>
            <w:tcW w:w="1073"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380,771,010</w:t>
            </w:r>
            <w:r>
              <w:rPr>
                <w:rFonts w:ascii="Arial"/>
                <w:sz w:val="18"/>
              </w:rPr>
            </w:r>
          </w:p>
          <w:p>
            <w:pPr>
              <w:pStyle w:val="TableParagraph"/>
              <w:spacing w:line="240" w:lineRule="auto" w:before="105"/>
              <w:ind w:right="25"/>
              <w:jc w:val="right"/>
              <w:rPr>
                <w:rFonts w:ascii="Arial" w:hAnsi="Arial" w:cs="Arial" w:eastAsia="Arial" w:hint="default"/>
                <w:sz w:val="18"/>
                <w:szCs w:val="18"/>
              </w:rPr>
            </w:pPr>
            <w:r>
              <w:rPr>
                <w:rFonts w:ascii="Arial"/>
                <w:w w:val="95"/>
                <w:sz w:val="18"/>
              </w:rPr>
              <w:t>.00</w:t>
            </w:r>
            <w:r>
              <w:rPr>
                <w:rFonts w:ascii="Arial"/>
                <w:sz w:val="18"/>
              </w:rPr>
            </w:r>
          </w:p>
        </w:tc>
      </w:tr>
      <w:tr>
        <w:trPr>
          <w:trHeight w:val="714" w:hRule="exact"/>
        </w:trPr>
        <w:tc>
          <w:tcPr>
            <w:tcW w:w="122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13"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5"/>
              <w:jc w:val="right"/>
              <w:rPr>
                <w:rFonts w:ascii="Arial" w:hAnsi="Arial" w:cs="Arial" w:eastAsia="Arial" w:hint="default"/>
                <w:sz w:val="18"/>
                <w:szCs w:val="18"/>
              </w:rPr>
            </w:pPr>
            <w:r>
              <w:rPr>
                <w:rFonts w:ascii="Arial"/>
                <w:w w:val="95"/>
                <w:sz w:val="18"/>
              </w:rPr>
              <w:t>7,480,141.92</w:t>
            </w:r>
            <w:r>
              <w:rPr>
                <w:rFonts w:ascii="Arial"/>
                <w:sz w:val="18"/>
              </w:rPr>
            </w:r>
          </w:p>
        </w:tc>
        <w:tc>
          <w:tcPr>
            <w:tcW w:w="121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7" w:right="0"/>
              <w:jc w:val="left"/>
              <w:rPr>
                <w:rFonts w:ascii="Arial" w:hAnsi="Arial" w:cs="Arial" w:eastAsia="Arial" w:hint="default"/>
                <w:sz w:val="18"/>
                <w:szCs w:val="18"/>
              </w:rPr>
            </w:pPr>
            <w:r>
              <w:rPr>
                <w:rFonts w:ascii="Arial"/>
                <w:sz w:val="18"/>
              </w:rPr>
              <w:t>23,085,642.68</w:t>
            </w:r>
          </w:p>
        </w:tc>
        <w:tc>
          <w:tcPr>
            <w:tcW w:w="1214"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 w:right="0"/>
              <w:jc w:val="center"/>
              <w:rPr>
                <w:rFonts w:ascii="Arial" w:hAnsi="Arial" w:cs="Arial" w:eastAsia="Arial" w:hint="default"/>
                <w:sz w:val="18"/>
                <w:szCs w:val="18"/>
              </w:rPr>
            </w:pPr>
            <w:r>
              <w:rPr>
                <w:rFonts w:ascii="Arial"/>
                <w:sz w:val="18"/>
              </w:rPr>
              <w:t>53,647,192.03</w:t>
            </w:r>
          </w:p>
        </w:tc>
        <w:tc>
          <w:tcPr>
            <w:tcW w:w="1213" w:type="dxa"/>
            <w:tcBorders>
              <w:top w:val="single" w:sz="4" w:space="0" w:color="5B9BD4"/>
              <w:left w:val="nil" w:sz="6" w:space="0" w:color="auto"/>
              <w:bottom w:val="single" w:sz="4" w:space="0" w:color="5B9BD4"/>
              <w:right w:val="nil" w:sz="6" w:space="0" w:color="auto"/>
            </w:tcBorders>
            <w:shd w:val="clear" w:color="auto" w:fill="DEEAF6"/>
          </w:tcPr>
          <w:p>
            <w:pPr/>
          </w:p>
        </w:tc>
        <w:tc>
          <w:tcPr>
            <w:tcW w:w="1214"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27"/>
              <w:jc w:val="right"/>
              <w:rPr>
                <w:rFonts w:ascii="Arial" w:hAnsi="Arial" w:cs="Arial" w:eastAsia="Arial" w:hint="default"/>
                <w:sz w:val="18"/>
                <w:szCs w:val="18"/>
              </w:rPr>
            </w:pPr>
            <w:r>
              <w:rPr>
                <w:rFonts w:ascii="Arial"/>
                <w:w w:val="95"/>
                <w:sz w:val="18"/>
              </w:rPr>
              <w:t>327,123,817.9</w:t>
            </w:r>
            <w:r>
              <w:rPr>
                <w:rFonts w:ascii="Arial"/>
                <w:sz w:val="18"/>
              </w:rPr>
            </w:r>
          </w:p>
          <w:p>
            <w:pPr>
              <w:pStyle w:val="TableParagraph"/>
              <w:spacing w:line="240" w:lineRule="auto" w:before="105"/>
              <w:ind w:right="26"/>
              <w:jc w:val="right"/>
              <w:rPr>
                <w:rFonts w:ascii="Arial" w:hAnsi="Arial" w:cs="Arial" w:eastAsia="Arial" w:hint="default"/>
                <w:sz w:val="18"/>
                <w:szCs w:val="18"/>
              </w:rPr>
            </w:pPr>
            <w:r>
              <w:rPr>
                <w:rFonts w:ascii="Arial"/>
                <w:w w:val="99"/>
                <w:sz w:val="18"/>
              </w:rPr>
              <w:t>7</w:t>
            </w:r>
            <w:r>
              <w:rPr>
                <w:rFonts w:ascii="Arial"/>
                <w:sz w:val="18"/>
              </w:rPr>
            </w:r>
          </w:p>
        </w:tc>
        <w:tc>
          <w:tcPr>
            <w:tcW w:w="1213" w:type="dxa"/>
            <w:tcBorders>
              <w:top w:val="single" w:sz="4" w:space="0" w:color="5B9BD4"/>
              <w:left w:val="nil" w:sz="6" w:space="0" w:color="auto"/>
              <w:bottom w:val="single" w:sz="4" w:space="0" w:color="5B9BD4"/>
              <w:right w:val="nil" w:sz="6" w:space="0" w:color="auto"/>
            </w:tcBorders>
            <w:shd w:val="clear" w:color="auto" w:fill="DEEAF6"/>
          </w:tcPr>
          <w:p>
            <w:pPr/>
          </w:p>
        </w:tc>
        <w:tc>
          <w:tcPr>
            <w:tcW w:w="1073"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411,336,794</w:t>
            </w:r>
            <w:r>
              <w:rPr>
                <w:rFonts w:ascii="Arial"/>
                <w:sz w:val="18"/>
              </w:rPr>
            </w:r>
          </w:p>
          <w:p>
            <w:pPr>
              <w:pStyle w:val="TableParagraph"/>
              <w:spacing w:line="240" w:lineRule="auto" w:before="105"/>
              <w:ind w:right="25"/>
              <w:jc w:val="right"/>
              <w:rPr>
                <w:rFonts w:ascii="Arial" w:hAnsi="Arial" w:cs="Arial" w:eastAsia="Arial" w:hint="default"/>
                <w:sz w:val="18"/>
                <w:szCs w:val="18"/>
              </w:rPr>
            </w:pPr>
            <w:r>
              <w:rPr>
                <w:rFonts w:ascii="Arial"/>
                <w:w w:val="95"/>
                <w:sz w:val="18"/>
              </w:rPr>
              <w:t>.60</w:t>
            </w:r>
            <w:r>
              <w:rPr>
                <w:rFonts w:ascii="Arial"/>
                <w:sz w:val="18"/>
              </w:rPr>
            </w:r>
          </w:p>
        </w:tc>
      </w:tr>
      <w:tr>
        <w:trPr>
          <w:trHeight w:val="714" w:hRule="exact"/>
        </w:trPr>
        <w:tc>
          <w:tcPr>
            <w:tcW w:w="122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13"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5"/>
              <w:jc w:val="right"/>
              <w:rPr>
                <w:rFonts w:ascii="Arial" w:hAnsi="Arial" w:cs="Arial" w:eastAsia="Arial" w:hint="default"/>
                <w:sz w:val="18"/>
                <w:szCs w:val="18"/>
              </w:rPr>
            </w:pPr>
            <w:r>
              <w:rPr>
                <w:rFonts w:ascii="Arial"/>
                <w:w w:val="95"/>
                <w:sz w:val="18"/>
              </w:rPr>
              <w:t>7,480,141.92</w:t>
            </w:r>
            <w:r>
              <w:rPr>
                <w:rFonts w:ascii="Arial"/>
                <w:sz w:val="18"/>
              </w:rPr>
            </w:r>
          </w:p>
        </w:tc>
        <w:tc>
          <w:tcPr>
            <w:tcW w:w="121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7" w:right="0"/>
              <w:jc w:val="left"/>
              <w:rPr>
                <w:rFonts w:ascii="Arial" w:hAnsi="Arial" w:cs="Arial" w:eastAsia="Arial" w:hint="default"/>
                <w:sz w:val="18"/>
                <w:szCs w:val="18"/>
              </w:rPr>
            </w:pPr>
            <w:r>
              <w:rPr>
                <w:rFonts w:ascii="Arial"/>
                <w:sz w:val="18"/>
              </w:rPr>
              <w:t>23,085,642.68</w:t>
            </w:r>
          </w:p>
        </w:tc>
        <w:tc>
          <w:tcPr>
            <w:tcW w:w="1214"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 w:right="0"/>
              <w:jc w:val="center"/>
              <w:rPr>
                <w:rFonts w:ascii="Arial" w:hAnsi="Arial" w:cs="Arial" w:eastAsia="Arial" w:hint="default"/>
                <w:sz w:val="18"/>
                <w:szCs w:val="18"/>
              </w:rPr>
            </w:pPr>
            <w:r>
              <w:rPr>
                <w:rFonts w:ascii="Arial"/>
                <w:sz w:val="18"/>
              </w:rPr>
              <w:t>53,647,192.03</w:t>
            </w:r>
          </w:p>
        </w:tc>
        <w:tc>
          <w:tcPr>
            <w:tcW w:w="1213" w:type="dxa"/>
            <w:tcBorders>
              <w:top w:val="single" w:sz="4" w:space="0" w:color="5B9BD4"/>
              <w:left w:val="nil" w:sz="6" w:space="0" w:color="auto"/>
              <w:bottom w:val="single" w:sz="4" w:space="0" w:color="5B9BD4"/>
              <w:right w:val="nil" w:sz="6" w:space="0" w:color="auto"/>
            </w:tcBorders>
            <w:shd w:val="clear" w:color="auto" w:fill="DEEAF6"/>
          </w:tcPr>
          <w:p>
            <w:pPr/>
          </w:p>
        </w:tc>
        <w:tc>
          <w:tcPr>
            <w:tcW w:w="1214"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27"/>
              <w:jc w:val="right"/>
              <w:rPr>
                <w:rFonts w:ascii="Arial" w:hAnsi="Arial" w:cs="Arial" w:eastAsia="Arial" w:hint="default"/>
                <w:sz w:val="18"/>
                <w:szCs w:val="18"/>
              </w:rPr>
            </w:pPr>
            <w:r>
              <w:rPr>
                <w:rFonts w:ascii="Arial"/>
                <w:w w:val="95"/>
                <w:sz w:val="18"/>
              </w:rPr>
              <w:t>327,123,817.9</w:t>
            </w:r>
            <w:r>
              <w:rPr>
                <w:rFonts w:ascii="Arial"/>
                <w:sz w:val="18"/>
              </w:rPr>
            </w:r>
          </w:p>
          <w:p>
            <w:pPr>
              <w:pStyle w:val="TableParagraph"/>
              <w:spacing w:line="240" w:lineRule="auto" w:before="105"/>
              <w:ind w:right="26"/>
              <w:jc w:val="right"/>
              <w:rPr>
                <w:rFonts w:ascii="Arial" w:hAnsi="Arial" w:cs="Arial" w:eastAsia="Arial" w:hint="default"/>
                <w:sz w:val="18"/>
                <w:szCs w:val="18"/>
              </w:rPr>
            </w:pPr>
            <w:r>
              <w:rPr>
                <w:rFonts w:ascii="Arial"/>
                <w:w w:val="99"/>
                <w:sz w:val="18"/>
              </w:rPr>
              <w:t>7</w:t>
            </w:r>
            <w:r>
              <w:rPr>
                <w:rFonts w:ascii="Arial"/>
                <w:sz w:val="18"/>
              </w:rPr>
            </w:r>
          </w:p>
        </w:tc>
        <w:tc>
          <w:tcPr>
            <w:tcW w:w="1213" w:type="dxa"/>
            <w:tcBorders>
              <w:top w:val="single" w:sz="4" w:space="0" w:color="5B9BD4"/>
              <w:left w:val="nil" w:sz="6" w:space="0" w:color="auto"/>
              <w:bottom w:val="single" w:sz="4" w:space="0" w:color="5B9BD4"/>
              <w:right w:val="nil" w:sz="6" w:space="0" w:color="auto"/>
            </w:tcBorders>
            <w:shd w:val="clear" w:color="auto" w:fill="DEEAF6"/>
          </w:tcPr>
          <w:p>
            <w:pPr/>
          </w:p>
        </w:tc>
        <w:tc>
          <w:tcPr>
            <w:tcW w:w="1073"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411,336,794</w:t>
            </w:r>
            <w:r>
              <w:rPr>
                <w:rFonts w:ascii="Arial"/>
                <w:sz w:val="18"/>
              </w:rPr>
            </w:r>
          </w:p>
          <w:p>
            <w:pPr>
              <w:pStyle w:val="TableParagraph"/>
              <w:spacing w:line="240" w:lineRule="auto" w:before="105"/>
              <w:ind w:right="25"/>
              <w:jc w:val="right"/>
              <w:rPr>
                <w:rFonts w:ascii="Arial" w:hAnsi="Arial" w:cs="Arial" w:eastAsia="Arial" w:hint="default"/>
                <w:sz w:val="18"/>
                <w:szCs w:val="18"/>
              </w:rPr>
            </w:pPr>
            <w:r>
              <w:rPr>
                <w:rFonts w:ascii="Arial"/>
                <w:w w:val="95"/>
                <w:sz w:val="18"/>
              </w:rPr>
              <w:t>.60</w:t>
            </w:r>
            <w:r>
              <w:rPr>
                <w:rFonts w:ascii="Arial"/>
                <w:sz w:val="18"/>
              </w:rPr>
            </w:r>
          </w:p>
        </w:tc>
      </w:tr>
      <w:tr>
        <w:trPr>
          <w:trHeight w:val="402" w:hRule="exact"/>
        </w:trPr>
        <w:tc>
          <w:tcPr>
            <w:tcW w:w="122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13"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26"/>
              <w:jc w:val="right"/>
              <w:rPr>
                <w:rFonts w:ascii="Arial" w:hAnsi="Arial" w:cs="Arial" w:eastAsia="Arial" w:hint="default"/>
                <w:sz w:val="18"/>
                <w:szCs w:val="18"/>
              </w:rPr>
            </w:pPr>
            <w:r>
              <w:rPr>
                <w:rFonts w:ascii="Arial"/>
                <w:w w:val="95"/>
                <w:sz w:val="18"/>
              </w:rPr>
              <w:t>0.00</w:t>
            </w:r>
            <w:r>
              <w:rPr>
                <w:rFonts w:ascii="Arial"/>
                <w:sz w:val="18"/>
              </w:rPr>
            </w:r>
          </w:p>
        </w:tc>
        <w:tc>
          <w:tcPr>
            <w:tcW w:w="1212" w:type="dxa"/>
            <w:tcBorders>
              <w:top w:val="single" w:sz="4" w:space="0" w:color="5B9BD4"/>
              <w:left w:val="nil" w:sz="6" w:space="0" w:color="auto"/>
              <w:bottom w:val="single" w:sz="4" w:space="0" w:color="5B9BD4"/>
              <w:right w:val="nil" w:sz="6" w:space="0" w:color="auto"/>
            </w:tcBorders>
            <w:shd w:val="clear" w:color="auto" w:fill="DEEAF6"/>
          </w:tcPr>
          <w:p>
            <w:pPr/>
          </w:p>
        </w:tc>
        <w:tc>
          <w:tcPr>
            <w:tcW w:w="1214" w:type="dxa"/>
            <w:tcBorders>
              <w:top w:val="single" w:sz="4" w:space="0" w:color="5B9BD4"/>
              <w:left w:val="nil" w:sz="6" w:space="0" w:color="auto"/>
              <w:bottom w:val="single" w:sz="4" w:space="0" w:color="5B9BD4"/>
              <w:right w:val="nil" w:sz="6" w:space="0" w:color="auto"/>
            </w:tcBorders>
          </w:tcPr>
          <w:p>
            <w:pPr/>
          </w:p>
        </w:tc>
        <w:tc>
          <w:tcPr>
            <w:tcW w:w="1213" w:type="dxa"/>
            <w:tcBorders>
              <w:top w:val="single" w:sz="4" w:space="0" w:color="5B9BD4"/>
              <w:left w:val="nil" w:sz="6" w:space="0" w:color="auto"/>
              <w:bottom w:val="single" w:sz="4" w:space="0" w:color="5B9BD4"/>
              <w:right w:val="nil" w:sz="6" w:space="0" w:color="auto"/>
            </w:tcBorders>
            <w:shd w:val="clear" w:color="auto" w:fill="DEEAF6"/>
          </w:tcPr>
          <w:p>
            <w:pPr/>
          </w:p>
        </w:tc>
        <w:tc>
          <w:tcPr>
            <w:tcW w:w="1214" w:type="dxa"/>
            <w:tcBorders>
              <w:top w:val="single" w:sz="4" w:space="0" w:color="5B9BD4"/>
              <w:left w:val="nil" w:sz="6" w:space="0" w:color="auto"/>
              <w:bottom w:val="single" w:sz="4" w:space="0" w:color="5B9BD4"/>
              <w:right w:val="nil" w:sz="6" w:space="0" w:color="auto"/>
            </w:tcBorders>
          </w:tcPr>
          <w:p>
            <w:pPr/>
          </w:p>
        </w:tc>
        <w:tc>
          <w:tcPr>
            <w:tcW w:w="1213" w:type="dxa"/>
            <w:tcBorders>
              <w:top w:val="single" w:sz="4" w:space="0" w:color="5B9BD4"/>
              <w:left w:val="nil" w:sz="6" w:space="0" w:color="auto"/>
              <w:bottom w:val="single" w:sz="4" w:space="0" w:color="5B9BD4"/>
              <w:right w:val="nil" w:sz="6" w:space="0" w:color="auto"/>
            </w:tcBorders>
            <w:shd w:val="clear" w:color="auto" w:fill="DEEAF6"/>
          </w:tcPr>
          <w:p>
            <w:pPr/>
          </w:p>
        </w:tc>
        <w:tc>
          <w:tcPr>
            <w:tcW w:w="1073"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left="695" w:right="0"/>
              <w:jc w:val="left"/>
              <w:rPr>
                <w:rFonts w:ascii="Arial" w:hAnsi="Arial" w:cs="Arial" w:eastAsia="Arial" w:hint="default"/>
                <w:sz w:val="18"/>
                <w:szCs w:val="18"/>
              </w:rPr>
            </w:pPr>
            <w:r>
              <w:rPr>
                <w:rFonts w:ascii="Arial"/>
                <w:sz w:val="18"/>
              </w:rPr>
              <w:t>0.00</w:t>
            </w:r>
          </w:p>
        </w:tc>
      </w:tr>
    </w:tbl>
    <w:p>
      <w:pPr>
        <w:spacing w:line="240" w:lineRule="auto" w:before="11"/>
        <w:rPr>
          <w:rFonts w:ascii="宋体" w:hAnsi="宋体" w:cs="宋体" w:eastAsia="宋体" w:hint="default"/>
          <w:sz w:val="6"/>
          <w:szCs w:val="6"/>
        </w:rPr>
      </w:pPr>
    </w:p>
    <w:p>
      <w:pPr>
        <w:pStyle w:val="Heading1"/>
        <w:spacing w:line="409" w:lineRule="exact"/>
        <w:ind w:left="154" w:right="0"/>
        <w:jc w:val="left"/>
        <w:rPr>
          <w:b w:val="0"/>
          <w:bCs w:val="0"/>
        </w:rPr>
      </w:pPr>
      <w:bookmarkStart w:name="4.5 投资状况分析" w:id="74"/>
      <w:bookmarkEnd w:id="74"/>
      <w:r>
        <w:rPr>
          <w:b w:val="0"/>
          <w:bCs w:val="0"/>
        </w:rPr>
      </w:r>
      <w:bookmarkStart w:name="_bookmark23" w:id="75"/>
      <w:bookmarkEnd w:id="75"/>
      <w:r>
        <w:rPr>
          <w:b w:val="0"/>
          <w:bCs w:val="0"/>
        </w:rPr>
      </w:r>
      <w:r>
        <w:rPr>
          <w:rFonts w:ascii="Trebuchet MS" w:hAnsi="Trebuchet MS" w:cs="Trebuchet MS" w:eastAsia="Trebuchet MS" w:hint="default"/>
        </w:rPr>
        <w:t>4.5</w:t>
      </w:r>
      <w:r>
        <w:rPr>
          <w:rFonts w:ascii="Trebuchet MS" w:hAnsi="Trebuchet MS" w:cs="Trebuchet MS" w:eastAsia="Trebuchet MS" w:hint="default"/>
          <w:spacing w:val="14"/>
        </w:rPr>
        <w:t> </w:t>
      </w:r>
      <w:r>
        <w:rPr/>
        <w:t>投资状况分析</w:t>
      </w:r>
      <w:r>
        <w:rPr>
          <w:b w:val="0"/>
          <w:bCs w:val="0"/>
        </w:rPr>
      </w:r>
    </w:p>
    <w:p>
      <w:pPr>
        <w:spacing w:line="240" w:lineRule="auto" w:before="17"/>
        <w:rPr>
          <w:rFonts w:ascii="Microsoft JhengHei" w:hAnsi="Microsoft JhengHei" w:cs="Microsoft JhengHei" w:eastAsia="Microsoft JhengHei" w:hint="default"/>
          <w:b/>
          <w:bCs/>
          <w:sz w:val="26"/>
          <w:szCs w:val="26"/>
        </w:rPr>
      </w:pPr>
    </w:p>
    <w:p>
      <w:pPr>
        <w:pStyle w:val="Heading2"/>
        <w:spacing w:line="240" w:lineRule="auto"/>
        <w:ind w:left="154" w:right="0"/>
        <w:jc w:val="left"/>
        <w:rPr>
          <w:b w:val="0"/>
          <w:bCs w:val="0"/>
        </w:rPr>
      </w:pPr>
      <w:bookmarkStart w:name="4.5.1 总体情况" w:id="76"/>
      <w:bookmarkEnd w:id="76"/>
      <w:r>
        <w:rPr>
          <w:b w:val="0"/>
          <w:bCs w:val="0"/>
        </w:rPr>
      </w:r>
      <w:r>
        <w:rPr>
          <w:rFonts w:ascii="Trebuchet MS" w:hAnsi="Trebuchet MS" w:cs="Trebuchet MS" w:eastAsia="Trebuchet MS" w:hint="default"/>
        </w:rPr>
        <w:t>4.5.1</w:t>
      </w:r>
      <w:r>
        <w:rPr>
          <w:rFonts w:ascii="Trebuchet MS" w:hAnsi="Trebuchet MS" w:cs="Trebuchet MS" w:eastAsia="Trebuchet MS" w:hint="default"/>
          <w:spacing w:val="-18"/>
        </w:rPr>
        <w:t> </w:t>
      </w:r>
      <w:r>
        <w:rPr/>
        <w:t>总体情况</w:t>
      </w:r>
      <w:r>
        <w:rPr>
          <w:b w:val="0"/>
          <w:bCs w:val="0"/>
        </w:rPr>
      </w:r>
    </w:p>
    <w:p>
      <w:pPr>
        <w:spacing w:line="240" w:lineRule="auto" w:before="9"/>
        <w:rPr>
          <w:rFonts w:ascii="Microsoft JhengHei" w:hAnsi="Microsoft JhengHei" w:cs="Microsoft JhengHei" w:eastAsia="Microsoft JhengHei"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3174"/>
        <w:gridCol w:w="3204"/>
        <w:gridCol w:w="3164"/>
      </w:tblGrid>
      <w:tr>
        <w:trPr>
          <w:trHeight w:val="402" w:hRule="exact"/>
        </w:trPr>
        <w:tc>
          <w:tcPr>
            <w:tcW w:w="317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77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20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695"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6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7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left="1899" w:right="0"/>
              <w:jc w:val="left"/>
              <w:rPr>
                <w:rFonts w:ascii="Arial" w:hAnsi="Arial" w:cs="Arial" w:eastAsia="Arial" w:hint="default"/>
                <w:sz w:val="18"/>
                <w:szCs w:val="18"/>
              </w:rPr>
            </w:pPr>
            <w:r>
              <w:rPr>
                <w:rFonts w:ascii="Arial"/>
                <w:sz w:val="18"/>
              </w:rPr>
              <w:t>515,323,817.97</w:t>
            </w:r>
          </w:p>
        </w:tc>
        <w:tc>
          <w:tcPr>
            <w:tcW w:w="3204"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88"/>
              <w:ind w:left="1901" w:right="0"/>
              <w:jc w:val="left"/>
              <w:rPr>
                <w:rFonts w:ascii="Arial" w:hAnsi="Arial" w:cs="Arial" w:eastAsia="Arial" w:hint="default"/>
                <w:sz w:val="18"/>
                <w:szCs w:val="18"/>
              </w:rPr>
            </w:pPr>
            <w:r>
              <w:rPr>
                <w:rFonts w:ascii="Arial"/>
                <w:sz w:val="18"/>
              </w:rPr>
              <w:t>350,144,800.34</w:t>
            </w:r>
          </w:p>
        </w:tc>
        <w:tc>
          <w:tcPr>
            <w:tcW w:w="316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1"/>
              <w:jc w:val="right"/>
              <w:rPr>
                <w:rFonts w:ascii="Arial" w:hAnsi="Arial" w:cs="Arial" w:eastAsia="Arial" w:hint="default"/>
                <w:sz w:val="18"/>
                <w:szCs w:val="18"/>
              </w:rPr>
            </w:pPr>
            <w:r>
              <w:rPr>
                <w:rFonts w:ascii="Arial"/>
                <w:w w:val="95"/>
                <w:sz w:val="18"/>
              </w:rPr>
              <w:t>47.17%</w:t>
            </w:r>
            <w:r>
              <w:rPr>
                <w:rFonts w:ascii="Arial"/>
                <w:sz w:val="18"/>
              </w:rPr>
            </w:r>
          </w:p>
        </w:tc>
      </w:tr>
    </w:tbl>
    <w:p>
      <w:pPr>
        <w:spacing w:after="0" w:line="240" w:lineRule="auto"/>
        <w:jc w:val="right"/>
        <w:rPr>
          <w:rFonts w:ascii="Arial" w:hAnsi="Arial" w:cs="Arial" w:eastAsia="Arial" w:hint="default"/>
          <w:sz w:val="18"/>
          <w:szCs w:val="18"/>
        </w:rPr>
        <w:sectPr>
          <w:pgSz w:w="11910" w:h="16840"/>
          <w:pgMar w:header="877" w:footer="979" w:top="1060" w:bottom="1160" w:left="980" w:right="0"/>
        </w:sectPr>
      </w:pPr>
    </w:p>
    <w:p>
      <w:pPr>
        <w:spacing w:line="240" w:lineRule="auto" w:before="0"/>
        <w:rPr>
          <w:rFonts w:ascii="宋体" w:hAnsi="宋体" w:cs="宋体" w:eastAsia="宋体" w:hint="default"/>
          <w:sz w:val="29"/>
          <w:szCs w:val="29"/>
        </w:rPr>
      </w:pPr>
    </w:p>
    <w:p>
      <w:pPr>
        <w:pStyle w:val="Heading2"/>
        <w:spacing w:line="348" w:lineRule="exact"/>
        <w:ind w:left="140" w:right="0"/>
        <w:jc w:val="left"/>
        <w:rPr>
          <w:b w:val="0"/>
          <w:bCs w:val="0"/>
        </w:rPr>
      </w:pPr>
      <w:bookmarkStart w:name="4.5.2 报告期内获取的重大的股权投资情况" w:id="77"/>
      <w:bookmarkEnd w:id="77"/>
      <w:r>
        <w:rPr>
          <w:b w:val="0"/>
          <w:bCs w:val="0"/>
        </w:rPr>
      </w:r>
      <w:r>
        <w:rPr>
          <w:rFonts w:ascii="Trebuchet MS" w:hAnsi="Trebuchet MS" w:cs="Trebuchet MS" w:eastAsia="Trebuchet MS" w:hint="default"/>
        </w:rPr>
        <w:t>4.5.2</w:t>
      </w:r>
      <w:r>
        <w:rPr>
          <w:rFonts w:ascii="Trebuchet MS" w:hAnsi="Trebuchet MS" w:cs="Trebuchet MS" w:eastAsia="Trebuchet MS" w:hint="default"/>
          <w:spacing w:val="-19"/>
        </w:rPr>
        <w:t> </w:t>
      </w:r>
      <w:r>
        <w:rPr/>
        <w:t>报告期内获取的重大的股权投资情况</w:t>
      </w:r>
      <w:r>
        <w:rPr>
          <w:b w:val="0"/>
          <w:bCs w:val="0"/>
        </w:rPr>
      </w:r>
    </w:p>
    <w:p>
      <w:pPr>
        <w:spacing w:line="240" w:lineRule="auto" w:before="14"/>
        <w:rPr>
          <w:rFonts w:ascii="Microsoft JhengHei" w:hAnsi="Microsoft JhengHei" w:cs="Microsoft JhengHei" w:eastAsia="Microsoft JhengHei" w:hint="default"/>
          <w:b/>
          <w:bCs/>
          <w:sz w:val="25"/>
          <w:szCs w:val="25"/>
        </w:rPr>
      </w:pPr>
    </w:p>
    <w:p>
      <w:pPr>
        <w:spacing w:before="29"/>
        <w:ind w:left="139"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before="116"/>
        <w:ind w:left="0" w:right="1436" w:firstLine="0"/>
        <w:jc w:val="right"/>
        <w:rPr>
          <w:rFonts w:ascii="宋体" w:hAnsi="宋体" w:cs="宋体" w:eastAsia="宋体" w:hint="default"/>
          <w:sz w:val="18"/>
          <w:szCs w:val="18"/>
        </w:rPr>
      </w:pPr>
      <w:r>
        <w:rPr/>
        <w:pict>
          <v:group style="position:absolute;margin-left:133.710007pt;margin-top:81.471718pt;width:.1pt;height:35.2pt;mso-position-horizontal-relative:page;mso-position-vertical-relative:paragraph;z-index:-1051528" coordorigin="2674,1629" coordsize="2,704">
            <v:shape style="position:absolute;left:2674;top:1629;width:2;height:704" coordorigin="2674,1629" coordsize="0,704" path="m2674,1629l2674,2333e" filled="false" stroked="true" strokeweight="1.38pt" strokecolor="#deeaf6">
              <v:path arrowok="t"/>
            </v:shape>
            <w10:wrap type="none"/>
          </v:group>
        </w:pict>
      </w:r>
      <w:r>
        <w:rPr/>
        <w:pict>
          <v:group style="position:absolute;margin-left:723.119995pt;margin-top:81.471718pt;width:.1pt;height:35.2pt;mso-position-horizontal-relative:page;mso-position-vertical-relative:paragraph;z-index:-1051504" coordorigin="14462,1629" coordsize="2,704">
            <v:shape style="position:absolute;left:14462;top:1629;width:2;height:704" coordorigin="14462,1629" coordsize="0,704" path="m14462,1629l14462,2333e" filled="false" stroked="true" strokeweight="1.44pt" strokecolor="#deeaf6">
              <v:path arrowok="t"/>
            </v:shape>
            <w10:wrap type="none"/>
          </v:group>
        </w:pict>
      </w:r>
      <w:r>
        <w:rPr/>
        <w:pict>
          <v:group style="position:absolute;margin-left:770.52002pt;margin-top:81.471718pt;width:.1pt;height:35.2pt;mso-position-horizontal-relative:page;mso-position-vertical-relative:paragraph;z-index:-1051480" coordorigin="15410,1629" coordsize="2,704">
            <v:shape style="position:absolute;left:15410;top:1629;width:2;height:704" coordorigin="15410,1629" coordsize="0,704" path="m15410,1629l15410,2333e" filled="false" stroked="true" strokeweight="1.44pt" strokecolor="#deeaf6">
              <v:path arrowok="t"/>
            </v:shape>
            <w10:wrap type="none"/>
          </v:group>
        </w:pict>
      </w: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20"/>
        <w:gridCol w:w="1020"/>
        <w:gridCol w:w="548"/>
        <w:gridCol w:w="1409"/>
        <w:gridCol w:w="878"/>
        <w:gridCol w:w="454"/>
        <w:gridCol w:w="1092"/>
        <w:gridCol w:w="711"/>
        <w:gridCol w:w="917"/>
        <w:gridCol w:w="952"/>
        <w:gridCol w:w="758"/>
        <w:gridCol w:w="1019"/>
        <w:gridCol w:w="1022"/>
        <w:gridCol w:w="1002"/>
        <w:gridCol w:w="955"/>
      </w:tblGrid>
      <w:tr>
        <w:trPr>
          <w:trHeight w:val="162" w:hRule="exact"/>
        </w:trPr>
        <w:tc>
          <w:tcPr>
            <w:tcW w:w="1220" w:type="dxa"/>
            <w:tcBorders>
              <w:top w:val="single" w:sz="4" w:space="0" w:color="5B9BD4"/>
              <w:left w:val="nil" w:sz="6" w:space="0" w:color="auto"/>
              <w:bottom w:val="nil" w:sz="6" w:space="0" w:color="auto"/>
              <w:right w:val="nil" w:sz="6" w:space="0" w:color="auto"/>
            </w:tcBorders>
            <w:shd w:val="clear" w:color="auto" w:fill="DEEAF6"/>
          </w:tcPr>
          <w:p>
            <w:pPr/>
          </w:p>
        </w:tc>
        <w:tc>
          <w:tcPr>
            <w:tcW w:w="1020" w:type="dxa"/>
            <w:vMerge w:val="restart"/>
            <w:tcBorders>
              <w:top w:val="single" w:sz="4" w:space="0" w:color="5B9BD4"/>
              <w:left w:val="nil" w:sz="6" w:space="0" w:color="auto"/>
              <w:right w:val="nil" w:sz="6" w:space="0" w:color="auto"/>
            </w:tcBorders>
            <w:shd w:val="clear" w:color="auto" w:fill="DEEAF6"/>
          </w:tcPr>
          <w:p>
            <w:pPr/>
          </w:p>
        </w:tc>
        <w:tc>
          <w:tcPr>
            <w:tcW w:w="548" w:type="dxa"/>
            <w:tcBorders>
              <w:top w:val="single" w:sz="4" w:space="0" w:color="5B9BD4"/>
              <w:left w:val="nil" w:sz="6" w:space="0" w:color="auto"/>
              <w:bottom w:val="nil" w:sz="6" w:space="0" w:color="auto"/>
              <w:right w:val="nil" w:sz="6" w:space="0" w:color="auto"/>
            </w:tcBorders>
            <w:shd w:val="clear" w:color="auto" w:fill="DEEAF6"/>
          </w:tcPr>
          <w:p>
            <w:pPr/>
          </w:p>
        </w:tc>
        <w:tc>
          <w:tcPr>
            <w:tcW w:w="2287" w:type="dxa"/>
            <w:gridSpan w:val="2"/>
            <w:vMerge w:val="restart"/>
            <w:tcBorders>
              <w:top w:val="single" w:sz="4" w:space="0" w:color="5B9BD4"/>
              <w:left w:val="nil" w:sz="6" w:space="0" w:color="auto"/>
              <w:right w:val="nil" w:sz="6" w:space="0" w:color="auto"/>
            </w:tcBorders>
            <w:shd w:val="clear" w:color="auto" w:fill="DEEAF6"/>
          </w:tcPr>
          <w:p>
            <w:pPr/>
          </w:p>
        </w:tc>
        <w:tc>
          <w:tcPr>
            <w:tcW w:w="454" w:type="dxa"/>
            <w:tcBorders>
              <w:top w:val="single" w:sz="4" w:space="0" w:color="5B9BD4"/>
              <w:left w:val="nil" w:sz="6" w:space="0" w:color="auto"/>
              <w:bottom w:val="nil" w:sz="6" w:space="0" w:color="auto"/>
              <w:right w:val="nil" w:sz="6" w:space="0" w:color="auto"/>
            </w:tcBorders>
            <w:shd w:val="clear" w:color="auto" w:fill="DEEAF6"/>
          </w:tcPr>
          <w:p>
            <w:pPr/>
          </w:p>
        </w:tc>
        <w:tc>
          <w:tcPr>
            <w:tcW w:w="1092" w:type="dxa"/>
            <w:vMerge w:val="restart"/>
            <w:tcBorders>
              <w:top w:val="single" w:sz="4" w:space="0" w:color="5B9BD4"/>
              <w:left w:val="nil" w:sz="6" w:space="0" w:color="auto"/>
              <w:right w:val="nil" w:sz="6" w:space="0" w:color="auto"/>
            </w:tcBorders>
            <w:shd w:val="clear" w:color="auto" w:fill="DEEAF6"/>
          </w:tcPr>
          <w:p>
            <w:pPr/>
          </w:p>
        </w:tc>
        <w:tc>
          <w:tcPr>
            <w:tcW w:w="711" w:type="dxa"/>
            <w:tcBorders>
              <w:top w:val="single" w:sz="4" w:space="0" w:color="5B9BD4"/>
              <w:left w:val="nil" w:sz="6" w:space="0" w:color="auto"/>
              <w:bottom w:val="nil" w:sz="6" w:space="0" w:color="auto"/>
              <w:right w:val="nil" w:sz="6" w:space="0" w:color="auto"/>
            </w:tcBorders>
            <w:shd w:val="clear" w:color="auto" w:fill="DEEAF6"/>
          </w:tcPr>
          <w:p>
            <w:pPr/>
          </w:p>
        </w:tc>
        <w:tc>
          <w:tcPr>
            <w:tcW w:w="917" w:type="dxa"/>
            <w:vMerge w:val="restart"/>
            <w:tcBorders>
              <w:top w:val="single" w:sz="4" w:space="0" w:color="5B9BD4"/>
              <w:left w:val="nil" w:sz="6" w:space="0" w:color="auto"/>
              <w:right w:val="nil" w:sz="6" w:space="0" w:color="auto"/>
            </w:tcBorders>
            <w:shd w:val="clear" w:color="auto" w:fill="DEEAF6"/>
          </w:tcPr>
          <w:p>
            <w:pPr/>
          </w:p>
        </w:tc>
        <w:tc>
          <w:tcPr>
            <w:tcW w:w="952"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7"/>
              <w:ind w:left="17" w:right="32"/>
              <w:jc w:val="center"/>
              <w:rPr>
                <w:rFonts w:ascii="宋体" w:hAnsi="宋体" w:cs="宋体" w:eastAsia="宋体" w:hint="default"/>
                <w:sz w:val="18"/>
                <w:szCs w:val="18"/>
              </w:rPr>
            </w:pPr>
            <w:r>
              <w:rPr>
                <w:rFonts w:ascii="宋体" w:hAnsi="宋体" w:cs="宋体" w:eastAsia="宋体" w:hint="default"/>
                <w:sz w:val="18"/>
                <w:szCs w:val="18"/>
              </w:rPr>
              <w:t>截至资产负 债表日的进 展情况</w:t>
            </w:r>
          </w:p>
        </w:tc>
        <w:tc>
          <w:tcPr>
            <w:tcW w:w="1777" w:type="dxa"/>
            <w:gridSpan w:val="2"/>
            <w:tcBorders>
              <w:top w:val="single" w:sz="4" w:space="0" w:color="5B9BD4"/>
              <w:left w:val="nil" w:sz="6" w:space="0" w:color="auto"/>
              <w:bottom w:val="nil" w:sz="6" w:space="0" w:color="auto"/>
              <w:right w:val="nil" w:sz="6" w:space="0" w:color="auto"/>
            </w:tcBorders>
            <w:shd w:val="clear" w:color="auto" w:fill="DEEAF6"/>
          </w:tcPr>
          <w:p>
            <w:pPr/>
          </w:p>
        </w:tc>
        <w:tc>
          <w:tcPr>
            <w:tcW w:w="1022" w:type="dxa"/>
            <w:vMerge w:val="restart"/>
            <w:tcBorders>
              <w:top w:val="single" w:sz="4" w:space="0" w:color="5B9BD4"/>
              <w:left w:val="nil" w:sz="6" w:space="0" w:color="auto"/>
              <w:right w:val="nil" w:sz="6" w:space="0" w:color="auto"/>
            </w:tcBorders>
            <w:shd w:val="clear" w:color="auto" w:fill="DEEAF6"/>
          </w:tcPr>
          <w:p>
            <w:pPr/>
          </w:p>
        </w:tc>
        <w:tc>
          <w:tcPr>
            <w:tcW w:w="1957" w:type="dxa"/>
            <w:gridSpan w:val="2"/>
            <w:tcBorders>
              <w:top w:val="single" w:sz="4" w:space="0" w:color="5B9BD4"/>
              <w:left w:val="nil" w:sz="6" w:space="0" w:color="auto"/>
              <w:bottom w:val="nil" w:sz="6" w:space="0" w:color="auto"/>
              <w:right w:val="nil" w:sz="6" w:space="0" w:color="auto"/>
            </w:tcBorders>
            <w:shd w:val="clear" w:color="auto" w:fill="DEEAF6"/>
          </w:tcPr>
          <w:p>
            <w:pPr/>
          </w:p>
        </w:tc>
      </w:tr>
      <w:tr>
        <w:trPr>
          <w:trHeight w:val="156" w:hRule="exact"/>
        </w:trPr>
        <w:tc>
          <w:tcPr>
            <w:tcW w:w="1220"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519" w:right="69" w:hanging="450"/>
              <w:jc w:val="left"/>
              <w:rPr>
                <w:rFonts w:ascii="宋体" w:hAnsi="宋体" w:cs="宋体" w:eastAsia="宋体" w:hint="default"/>
                <w:sz w:val="18"/>
                <w:szCs w:val="18"/>
              </w:rPr>
            </w:pPr>
            <w:r>
              <w:rPr>
                <w:rFonts w:ascii="宋体" w:hAnsi="宋体" w:cs="宋体" w:eastAsia="宋体" w:hint="default"/>
                <w:sz w:val="18"/>
                <w:szCs w:val="18"/>
              </w:rPr>
              <w:t>被投资公司名 称</w:t>
            </w:r>
          </w:p>
        </w:tc>
        <w:tc>
          <w:tcPr>
            <w:tcW w:w="1020" w:type="dxa"/>
            <w:vMerge/>
            <w:tcBorders>
              <w:left w:val="nil" w:sz="6" w:space="0" w:color="auto"/>
              <w:bottom w:val="nil" w:sz="6" w:space="0" w:color="auto"/>
              <w:right w:val="nil" w:sz="6" w:space="0" w:color="auto"/>
            </w:tcBorders>
            <w:shd w:val="clear" w:color="auto" w:fill="DEEAF6"/>
          </w:tcPr>
          <w:p>
            <w:pPr/>
          </w:p>
        </w:tc>
        <w:tc>
          <w:tcPr>
            <w:tcW w:w="548"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93" w:right="92"/>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2287" w:type="dxa"/>
            <w:gridSpan w:val="2"/>
            <w:vMerge/>
            <w:tcBorders>
              <w:left w:val="nil" w:sz="6" w:space="0" w:color="auto"/>
              <w:bottom w:val="nil" w:sz="6" w:space="0" w:color="auto"/>
              <w:right w:val="nil" w:sz="6" w:space="0" w:color="auto"/>
            </w:tcBorders>
            <w:shd w:val="clear" w:color="auto" w:fill="DEEAF6"/>
          </w:tcPr>
          <w:p>
            <w:pPr/>
          </w:p>
        </w:tc>
        <w:tc>
          <w:tcPr>
            <w:tcW w:w="454"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38" w:right="53"/>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1092" w:type="dxa"/>
            <w:vMerge/>
            <w:tcBorders>
              <w:left w:val="nil" w:sz="6" w:space="0" w:color="auto"/>
              <w:bottom w:val="nil" w:sz="6" w:space="0" w:color="auto"/>
              <w:right w:val="nil" w:sz="6" w:space="0" w:color="auto"/>
            </w:tcBorders>
            <w:shd w:val="clear" w:color="auto" w:fill="DEEAF6"/>
          </w:tcPr>
          <w:p>
            <w:pPr/>
          </w:p>
        </w:tc>
        <w:tc>
          <w:tcPr>
            <w:tcW w:w="711"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265" w:right="84"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917" w:type="dxa"/>
            <w:vMerge/>
            <w:tcBorders>
              <w:left w:val="nil" w:sz="6" w:space="0" w:color="auto"/>
              <w:bottom w:val="nil" w:sz="6" w:space="0" w:color="auto"/>
              <w:right w:val="nil" w:sz="6" w:space="0" w:color="auto"/>
            </w:tcBorders>
            <w:shd w:val="clear" w:color="auto" w:fill="DEEAF6"/>
          </w:tcPr>
          <w:p>
            <w:pPr/>
          </w:p>
        </w:tc>
        <w:tc>
          <w:tcPr>
            <w:tcW w:w="952" w:type="dxa"/>
            <w:vMerge/>
            <w:tcBorders>
              <w:left w:val="nil" w:sz="6" w:space="0" w:color="auto"/>
              <w:right w:val="nil" w:sz="6" w:space="0" w:color="auto"/>
            </w:tcBorders>
            <w:shd w:val="clear" w:color="auto" w:fill="DEEAF6"/>
          </w:tcPr>
          <w:p>
            <w:pPr/>
          </w:p>
        </w:tc>
        <w:tc>
          <w:tcPr>
            <w:tcW w:w="758"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292" w:right="103"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1019"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422" w:right="54" w:hanging="360"/>
              <w:jc w:val="left"/>
              <w:rPr>
                <w:rFonts w:ascii="宋体" w:hAnsi="宋体" w:cs="宋体" w:eastAsia="宋体" w:hint="default"/>
                <w:sz w:val="18"/>
                <w:szCs w:val="18"/>
              </w:rPr>
            </w:pPr>
            <w:r>
              <w:rPr>
                <w:rFonts w:ascii="宋体" w:hAnsi="宋体" w:cs="宋体" w:eastAsia="宋体" w:hint="default"/>
                <w:sz w:val="18"/>
                <w:szCs w:val="18"/>
              </w:rPr>
              <w:t>本期投资盈 亏</w:t>
            </w:r>
          </w:p>
        </w:tc>
        <w:tc>
          <w:tcPr>
            <w:tcW w:w="1022" w:type="dxa"/>
            <w:vMerge/>
            <w:tcBorders>
              <w:left w:val="nil" w:sz="6" w:space="0" w:color="auto"/>
              <w:bottom w:val="nil" w:sz="6" w:space="0" w:color="auto"/>
              <w:right w:val="nil" w:sz="6" w:space="0" w:color="auto"/>
            </w:tcBorders>
            <w:shd w:val="clear" w:color="auto" w:fill="DEEAF6"/>
          </w:tcPr>
          <w:p>
            <w:pPr/>
          </w:p>
        </w:tc>
        <w:tc>
          <w:tcPr>
            <w:tcW w:w="1002" w:type="dxa"/>
            <w:vMerge w:val="restart"/>
            <w:tcBorders>
              <w:top w:val="nil" w:sz="6" w:space="0" w:color="auto"/>
              <w:left w:val="nil" w:sz="6" w:space="0" w:color="auto"/>
              <w:right w:val="nil" w:sz="6" w:space="0" w:color="auto"/>
            </w:tcBorders>
            <w:shd w:val="clear" w:color="auto" w:fill="DEEAF6"/>
          </w:tcPr>
          <w:p>
            <w:pPr>
              <w:pStyle w:val="TableParagraph"/>
              <w:spacing w:line="240" w:lineRule="auto" w:before="46"/>
              <w:ind w:left="128"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128"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955" w:type="dxa"/>
            <w:vMerge w:val="restart"/>
            <w:tcBorders>
              <w:top w:val="nil" w:sz="6" w:space="0" w:color="auto"/>
              <w:left w:val="nil" w:sz="6" w:space="0" w:color="auto"/>
              <w:right w:val="nil" w:sz="6" w:space="0" w:color="auto"/>
            </w:tcBorders>
            <w:shd w:val="clear" w:color="auto" w:fill="DEEAF6"/>
          </w:tcPr>
          <w:p>
            <w:pPr>
              <w:pStyle w:val="TableParagraph"/>
              <w:spacing w:line="240" w:lineRule="auto" w:before="46"/>
              <w:ind w:left="120" w:right="0"/>
              <w:jc w:val="left"/>
              <w:rPr>
                <w:rFonts w:ascii="宋体" w:hAnsi="宋体" w:cs="宋体" w:eastAsia="宋体" w:hint="default"/>
                <w:sz w:val="18"/>
                <w:szCs w:val="18"/>
              </w:rPr>
            </w:pPr>
            <w:r>
              <w:rPr>
                <w:rFonts w:ascii="宋体" w:hAnsi="宋体" w:cs="宋体" w:eastAsia="宋体" w:hint="default"/>
                <w:sz w:val="18"/>
                <w:szCs w:val="18"/>
              </w:rPr>
              <w:t>披露索引</w:t>
            </w:r>
          </w:p>
          <w:p>
            <w:pPr>
              <w:pStyle w:val="TableParagraph"/>
              <w:spacing w:line="240" w:lineRule="auto" w:before="76"/>
              <w:ind w:left="120" w:right="0"/>
              <w:jc w:val="left"/>
              <w:rPr>
                <w:rFonts w:ascii="宋体" w:hAnsi="宋体" w:cs="宋体" w:eastAsia="宋体" w:hint="default"/>
                <w:sz w:val="18"/>
                <w:szCs w:val="18"/>
              </w:rPr>
            </w:pPr>
            <w:r>
              <w:rPr>
                <w:rFonts w:ascii="宋体" w:hAnsi="宋体" w:cs="宋体" w:eastAsia="宋体" w:hint="default"/>
                <w:sz w:val="18"/>
                <w:szCs w:val="18"/>
              </w:rPr>
              <w:t>（如有）</w:t>
            </w:r>
          </w:p>
        </w:tc>
      </w:tr>
      <w:tr>
        <w:trPr>
          <w:trHeight w:val="391" w:hRule="exact"/>
        </w:trPr>
        <w:tc>
          <w:tcPr>
            <w:tcW w:w="1220" w:type="dxa"/>
            <w:vMerge/>
            <w:tcBorders>
              <w:left w:val="nil" w:sz="6" w:space="0" w:color="auto"/>
              <w:right w:val="nil" w:sz="6" w:space="0" w:color="auto"/>
            </w:tcBorders>
            <w:shd w:val="clear" w:color="auto" w:fill="DEEAF6"/>
          </w:tcPr>
          <w:p>
            <w:pPr/>
          </w:p>
        </w:tc>
        <w:tc>
          <w:tcPr>
            <w:tcW w:w="1020"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149"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548" w:type="dxa"/>
            <w:vMerge/>
            <w:tcBorders>
              <w:left w:val="nil" w:sz="6" w:space="0" w:color="auto"/>
              <w:right w:val="nil" w:sz="6" w:space="0" w:color="auto"/>
            </w:tcBorders>
            <w:shd w:val="clear" w:color="auto" w:fill="DEEAF6"/>
          </w:tcPr>
          <w:p>
            <w:pPr/>
          </w:p>
        </w:tc>
        <w:tc>
          <w:tcPr>
            <w:tcW w:w="1409"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348"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878"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6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454" w:type="dxa"/>
            <w:vMerge/>
            <w:tcBorders>
              <w:left w:val="nil" w:sz="6" w:space="0" w:color="auto"/>
              <w:right w:val="nil" w:sz="6" w:space="0" w:color="auto"/>
            </w:tcBorders>
            <w:shd w:val="clear" w:color="auto" w:fill="DEEAF6"/>
          </w:tcPr>
          <w:p>
            <w:pPr/>
          </w:p>
        </w:tc>
        <w:tc>
          <w:tcPr>
            <w:tcW w:w="1092"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274"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711" w:type="dxa"/>
            <w:vMerge/>
            <w:tcBorders>
              <w:left w:val="nil" w:sz="6" w:space="0" w:color="auto"/>
              <w:right w:val="nil" w:sz="6" w:space="0" w:color="auto"/>
            </w:tcBorders>
            <w:shd w:val="clear" w:color="auto" w:fill="DEEAF6"/>
          </w:tcPr>
          <w:p>
            <w:pPr/>
          </w:p>
        </w:tc>
        <w:tc>
          <w:tcPr>
            <w:tcW w:w="917"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91"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952" w:type="dxa"/>
            <w:vMerge/>
            <w:tcBorders>
              <w:left w:val="nil" w:sz="6" w:space="0" w:color="auto"/>
              <w:right w:val="nil" w:sz="6" w:space="0" w:color="auto"/>
            </w:tcBorders>
            <w:shd w:val="clear" w:color="auto" w:fill="DEEAF6"/>
          </w:tcPr>
          <w:p>
            <w:pPr/>
          </w:p>
        </w:tc>
        <w:tc>
          <w:tcPr>
            <w:tcW w:w="758" w:type="dxa"/>
            <w:vMerge/>
            <w:tcBorders>
              <w:left w:val="nil" w:sz="6" w:space="0" w:color="auto"/>
              <w:right w:val="nil" w:sz="6" w:space="0" w:color="auto"/>
            </w:tcBorders>
            <w:shd w:val="clear" w:color="auto" w:fill="DEEAF6"/>
          </w:tcPr>
          <w:p>
            <w:pPr/>
          </w:p>
        </w:tc>
        <w:tc>
          <w:tcPr>
            <w:tcW w:w="1019" w:type="dxa"/>
            <w:vMerge/>
            <w:tcBorders>
              <w:left w:val="nil" w:sz="6" w:space="0" w:color="auto"/>
              <w:right w:val="nil" w:sz="6" w:space="0" w:color="auto"/>
            </w:tcBorders>
            <w:shd w:val="clear" w:color="auto" w:fill="DEEAF6"/>
          </w:tcPr>
          <w:p>
            <w:pPr/>
          </w:p>
        </w:tc>
        <w:tc>
          <w:tcPr>
            <w:tcW w:w="1022"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142" w:right="0"/>
              <w:jc w:val="left"/>
              <w:rPr>
                <w:rFonts w:ascii="宋体" w:hAnsi="宋体" w:cs="宋体" w:eastAsia="宋体" w:hint="default"/>
                <w:sz w:val="18"/>
                <w:szCs w:val="18"/>
              </w:rPr>
            </w:pPr>
            <w:r>
              <w:rPr>
                <w:rFonts w:ascii="宋体" w:hAnsi="宋体" w:cs="宋体" w:eastAsia="宋体" w:hint="default"/>
                <w:sz w:val="18"/>
                <w:szCs w:val="18"/>
              </w:rPr>
              <w:t>是否涉诉</w:t>
            </w:r>
          </w:p>
        </w:tc>
        <w:tc>
          <w:tcPr>
            <w:tcW w:w="1002" w:type="dxa"/>
            <w:vMerge/>
            <w:tcBorders>
              <w:left w:val="nil" w:sz="6" w:space="0" w:color="auto"/>
              <w:right w:val="nil" w:sz="6" w:space="0" w:color="auto"/>
            </w:tcBorders>
            <w:shd w:val="clear" w:color="auto" w:fill="DEEAF6"/>
          </w:tcPr>
          <w:p>
            <w:pPr/>
          </w:p>
        </w:tc>
        <w:tc>
          <w:tcPr>
            <w:tcW w:w="955" w:type="dxa"/>
            <w:vMerge/>
            <w:tcBorders>
              <w:left w:val="nil" w:sz="6" w:space="0" w:color="auto"/>
              <w:right w:val="nil" w:sz="6" w:space="0" w:color="auto"/>
            </w:tcBorders>
            <w:shd w:val="clear" w:color="auto" w:fill="DEEAF6"/>
          </w:tcPr>
          <w:p>
            <w:pPr/>
          </w:p>
        </w:tc>
      </w:tr>
      <w:tr>
        <w:trPr>
          <w:trHeight w:val="156" w:hRule="exact"/>
        </w:trPr>
        <w:tc>
          <w:tcPr>
            <w:tcW w:w="1220" w:type="dxa"/>
            <w:vMerge/>
            <w:tcBorders>
              <w:left w:val="nil" w:sz="6" w:space="0" w:color="auto"/>
              <w:bottom w:val="nil" w:sz="6" w:space="0" w:color="auto"/>
              <w:right w:val="nil" w:sz="6" w:space="0" w:color="auto"/>
            </w:tcBorders>
            <w:shd w:val="clear" w:color="auto" w:fill="DEEAF6"/>
          </w:tcPr>
          <w:p>
            <w:pPr/>
          </w:p>
        </w:tc>
        <w:tc>
          <w:tcPr>
            <w:tcW w:w="1020" w:type="dxa"/>
            <w:vMerge w:val="restart"/>
            <w:tcBorders>
              <w:top w:val="nil" w:sz="6" w:space="0" w:color="auto"/>
              <w:left w:val="nil" w:sz="6" w:space="0" w:color="auto"/>
              <w:right w:val="nil" w:sz="6" w:space="0" w:color="auto"/>
            </w:tcBorders>
            <w:shd w:val="clear" w:color="auto" w:fill="DEEAF6"/>
          </w:tcPr>
          <w:p>
            <w:pPr/>
          </w:p>
        </w:tc>
        <w:tc>
          <w:tcPr>
            <w:tcW w:w="548" w:type="dxa"/>
            <w:vMerge/>
            <w:tcBorders>
              <w:left w:val="nil" w:sz="6" w:space="0" w:color="auto"/>
              <w:bottom w:val="nil" w:sz="6" w:space="0" w:color="auto"/>
              <w:right w:val="nil" w:sz="6" w:space="0" w:color="auto"/>
            </w:tcBorders>
            <w:shd w:val="clear" w:color="auto" w:fill="DEEAF6"/>
          </w:tcPr>
          <w:p>
            <w:pPr/>
          </w:p>
        </w:tc>
        <w:tc>
          <w:tcPr>
            <w:tcW w:w="2287" w:type="dxa"/>
            <w:gridSpan w:val="2"/>
            <w:vMerge w:val="restart"/>
            <w:tcBorders>
              <w:top w:val="nil" w:sz="6" w:space="0" w:color="auto"/>
              <w:left w:val="nil" w:sz="6" w:space="0" w:color="auto"/>
              <w:right w:val="nil" w:sz="6" w:space="0" w:color="auto"/>
            </w:tcBorders>
            <w:shd w:val="clear" w:color="auto" w:fill="DEEAF6"/>
          </w:tcPr>
          <w:p>
            <w:pPr/>
          </w:p>
        </w:tc>
        <w:tc>
          <w:tcPr>
            <w:tcW w:w="454" w:type="dxa"/>
            <w:vMerge/>
            <w:tcBorders>
              <w:left w:val="nil" w:sz="6" w:space="0" w:color="auto"/>
              <w:bottom w:val="nil" w:sz="6" w:space="0" w:color="auto"/>
              <w:right w:val="nil" w:sz="6" w:space="0" w:color="auto"/>
            </w:tcBorders>
            <w:shd w:val="clear" w:color="auto" w:fill="DEEAF6"/>
          </w:tcPr>
          <w:p>
            <w:pPr/>
          </w:p>
        </w:tc>
        <w:tc>
          <w:tcPr>
            <w:tcW w:w="1092" w:type="dxa"/>
            <w:vMerge w:val="restart"/>
            <w:tcBorders>
              <w:top w:val="nil" w:sz="6" w:space="0" w:color="auto"/>
              <w:left w:val="nil" w:sz="6" w:space="0" w:color="auto"/>
              <w:right w:val="nil" w:sz="6" w:space="0" w:color="auto"/>
            </w:tcBorders>
            <w:shd w:val="clear" w:color="auto" w:fill="DEEAF6"/>
          </w:tcPr>
          <w:p>
            <w:pPr/>
          </w:p>
        </w:tc>
        <w:tc>
          <w:tcPr>
            <w:tcW w:w="711" w:type="dxa"/>
            <w:vMerge/>
            <w:tcBorders>
              <w:left w:val="nil" w:sz="6" w:space="0" w:color="auto"/>
              <w:bottom w:val="nil" w:sz="6" w:space="0" w:color="auto"/>
              <w:right w:val="nil" w:sz="6" w:space="0" w:color="auto"/>
            </w:tcBorders>
            <w:shd w:val="clear" w:color="auto" w:fill="DEEAF6"/>
          </w:tcPr>
          <w:p>
            <w:pPr/>
          </w:p>
        </w:tc>
        <w:tc>
          <w:tcPr>
            <w:tcW w:w="917" w:type="dxa"/>
            <w:vMerge w:val="restart"/>
            <w:tcBorders>
              <w:top w:val="nil" w:sz="6" w:space="0" w:color="auto"/>
              <w:left w:val="nil" w:sz="6" w:space="0" w:color="auto"/>
              <w:right w:val="nil" w:sz="6" w:space="0" w:color="auto"/>
            </w:tcBorders>
            <w:shd w:val="clear" w:color="auto" w:fill="DEEAF6"/>
          </w:tcPr>
          <w:p>
            <w:pPr/>
          </w:p>
        </w:tc>
        <w:tc>
          <w:tcPr>
            <w:tcW w:w="952" w:type="dxa"/>
            <w:vMerge/>
            <w:tcBorders>
              <w:left w:val="nil" w:sz="6" w:space="0" w:color="auto"/>
              <w:right w:val="nil" w:sz="6" w:space="0" w:color="auto"/>
            </w:tcBorders>
            <w:shd w:val="clear" w:color="auto" w:fill="DEEAF6"/>
          </w:tcPr>
          <w:p>
            <w:pPr/>
          </w:p>
        </w:tc>
        <w:tc>
          <w:tcPr>
            <w:tcW w:w="758" w:type="dxa"/>
            <w:vMerge/>
            <w:tcBorders>
              <w:left w:val="nil" w:sz="6" w:space="0" w:color="auto"/>
              <w:bottom w:val="nil" w:sz="6" w:space="0" w:color="auto"/>
              <w:right w:val="nil" w:sz="6" w:space="0" w:color="auto"/>
            </w:tcBorders>
            <w:shd w:val="clear" w:color="auto" w:fill="DEEAF6"/>
          </w:tcPr>
          <w:p>
            <w:pPr/>
          </w:p>
        </w:tc>
        <w:tc>
          <w:tcPr>
            <w:tcW w:w="1019" w:type="dxa"/>
            <w:vMerge/>
            <w:tcBorders>
              <w:left w:val="nil" w:sz="6" w:space="0" w:color="auto"/>
              <w:bottom w:val="nil" w:sz="6" w:space="0" w:color="auto"/>
              <w:right w:val="nil" w:sz="6" w:space="0" w:color="auto"/>
            </w:tcBorders>
            <w:shd w:val="clear" w:color="auto" w:fill="DEEAF6"/>
          </w:tcPr>
          <w:p>
            <w:pPr/>
          </w:p>
        </w:tc>
        <w:tc>
          <w:tcPr>
            <w:tcW w:w="1022" w:type="dxa"/>
            <w:vMerge w:val="restart"/>
            <w:tcBorders>
              <w:top w:val="nil" w:sz="6" w:space="0" w:color="auto"/>
              <w:left w:val="nil" w:sz="6" w:space="0" w:color="auto"/>
              <w:right w:val="nil" w:sz="6" w:space="0" w:color="auto"/>
            </w:tcBorders>
            <w:shd w:val="clear" w:color="auto" w:fill="DEEAF6"/>
          </w:tcPr>
          <w:p>
            <w:pPr/>
          </w:p>
        </w:tc>
        <w:tc>
          <w:tcPr>
            <w:tcW w:w="1002" w:type="dxa"/>
            <w:vMerge/>
            <w:tcBorders>
              <w:left w:val="nil" w:sz="6" w:space="0" w:color="auto"/>
              <w:bottom w:val="nil" w:sz="6" w:space="0" w:color="auto"/>
              <w:right w:val="nil" w:sz="6" w:space="0" w:color="auto"/>
            </w:tcBorders>
            <w:shd w:val="clear" w:color="auto" w:fill="DEEAF6"/>
          </w:tcPr>
          <w:p>
            <w:pPr/>
          </w:p>
        </w:tc>
        <w:tc>
          <w:tcPr>
            <w:tcW w:w="955" w:type="dxa"/>
            <w:vMerge/>
            <w:tcBorders>
              <w:left w:val="nil" w:sz="6" w:space="0" w:color="auto"/>
              <w:bottom w:val="nil" w:sz="6" w:space="0" w:color="auto"/>
              <w:right w:val="nil" w:sz="6" w:space="0" w:color="auto"/>
            </w:tcBorders>
            <w:shd w:val="clear" w:color="auto" w:fill="DEEAF6"/>
          </w:tcPr>
          <w:p>
            <w:pPr/>
          </w:p>
        </w:tc>
      </w:tr>
      <w:tr>
        <w:trPr>
          <w:trHeight w:val="161" w:hRule="exact"/>
        </w:trPr>
        <w:tc>
          <w:tcPr>
            <w:tcW w:w="1220" w:type="dxa"/>
            <w:tcBorders>
              <w:top w:val="nil" w:sz="6" w:space="0" w:color="auto"/>
              <w:left w:val="nil" w:sz="6" w:space="0" w:color="auto"/>
              <w:bottom w:val="single" w:sz="4" w:space="0" w:color="5B9BD4"/>
              <w:right w:val="nil" w:sz="6" w:space="0" w:color="auto"/>
            </w:tcBorders>
            <w:shd w:val="clear" w:color="auto" w:fill="DEEAF6"/>
          </w:tcPr>
          <w:p>
            <w:pPr/>
          </w:p>
        </w:tc>
        <w:tc>
          <w:tcPr>
            <w:tcW w:w="1020" w:type="dxa"/>
            <w:vMerge/>
            <w:tcBorders>
              <w:left w:val="nil" w:sz="6" w:space="0" w:color="auto"/>
              <w:bottom w:val="single" w:sz="4" w:space="0" w:color="5B9BD4"/>
              <w:right w:val="nil" w:sz="6" w:space="0" w:color="auto"/>
            </w:tcBorders>
            <w:shd w:val="clear" w:color="auto" w:fill="DEEAF6"/>
          </w:tcPr>
          <w:p>
            <w:pPr/>
          </w:p>
        </w:tc>
        <w:tc>
          <w:tcPr>
            <w:tcW w:w="548" w:type="dxa"/>
            <w:tcBorders>
              <w:top w:val="nil" w:sz="6" w:space="0" w:color="auto"/>
              <w:left w:val="nil" w:sz="6" w:space="0" w:color="auto"/>
              <w:bottom w:val="single" w:sz="4" w:space="0" w:color="5B9BD4"/>
              <w:right w:val="nil" w:sz="6" w:space="0" w:color="auto"/>
            </w:tcBorders>
            <w:shd w:val="clear" w:color="auto" w:fill="DEEAF6"/>
          </w:tcPr>
          <w:p>
            <w:pPr/>
          </w:p>
        </w:tc>
        <w:tc>
          <w:tcPr>
            <w:tcW w:w="2287" w:type="dxa"/>
            <w:gridSpan w:val="2"/>
            <w:vMerge/>
            <w:tcBorders>
              <w:left w:val="nil" w:sz="6" w:space="0" w:color="auto"/>
              <w:bottom w:val="single" w:sz="4" w:space="0" w:color="5B9BD4"/>
              <w:right w:val="nil" w:sz="6" w:space="0" w:color="auto"/>
            </w:tcBorders>
            <w:shd w:val="clear" w:color="auto" w:fill="DEEAF6"/>
          </w:tcPr>
          <w:p>
            <w:pPr/>
          </w:p>
        </w:tc>
        <w:tc>
          <w:tcPr>
            <w:tcW w:w="454" w:type="dxa"/>
            <w:tcBorders>
              <w:top w:val="nil" w:sz="6" w:space="0" w:color="auto"/>
              <w:left w:val="nil" w:sz="6" w:space="0" w:color="auto"/>
              <w:bottom w:val="single" w:sz="4" w:space="0" w:color="5B9BD4"/>
              <w:right w:val="nil" w:sz="6" w:space="0" w:color="auto"/>
            </w:tcBorders>
            <w:shd w:val="clear" w:color="auto" w:fill="DEEAF6"/>
          </w:tcPr>
          <w:p>
            <w:pPr/>
          </w:p>
        </w:tc>
        <w:tc>
          <w:tcPr>
            <w:tcW w:w="1092" w:type="dxa"/>
            <w:vMerge/>
            <w:tcBorders>
              <w:left w:val="nil" w:sz="6" w:space="0" w:color="auto"/>
              <w:bottom w:val="single" w:sz="4" w:space="0" w:color="5B9BD4"/>
              <w:right w:val="nil" w:sz="6" w:space="0" w:color="auto"/>
            </w:tcBorders>
            <w:shd w:val="clear" w:color="auto" w:fill="DEEAF6"/>
          </w:tcPr>
          <w:p>
            <w:pPr/>
          </w:p>
        </w:tc>
        <w:tc>
          <w:tcPr>
            <w:tcW w:w="711" w:type="dxa"/>
            <w:tcBorders>
              <w:top w:val="nil" w:sz="6" w:space="0" w:color="auto"/>
              <w:left w:val="nil" w:sz="6" w:space="0" w:color="auto"/>
              <w:bottom w:val="single" w:sz="4" w:space="0" w:color="5B9BD4"/>
              <w:right w:val="nil" w:sz="6" w:space="0" w:color="auto"/>
            </w:tcBorders>
            <w:shd w:val="clear" w:color="auto" w:fill="DEEAF6"/>
          </w:tcPr>
          <w:p>
            <w:pPr/>
          </w:p>
        </w:tc>
        <w:tc>
          <w:tcPr>
            <w:tcW w:w="917" w:type="dxa"/>
            <w:vMerge/>
            <w:tcBorders>
              <w:left w:val="nil" w:sz="6" w:space="0" w:color="auto"/>
              <w:bottom w:val="single" w:sz="4" w:space="0" w:color="5B9BD4"/>
              <w:right w:val="nil" w:sz="6" w:space="0" w:color="auto"/>
            </w:tcBorders>
            <w:shd w:val="clear" w:color="auto" w:fill="DEEAF6"/>
          </w:tcPr>
          <w:p>
            <w:pPr/>
          </w:p>
        </w:tc>
        <w:tc>
          <w:tcPr>
            <w:tcW w:w="952" w:type="dxa"/>
            <w:vMerge/>
            <w:tcBorders>
              <w:left w:val="nil" w:sz="6" w:space="0" w:color="auto"/>
              <w:bottom w:val="single" w:sz="4" w:space="0" w:color="5B9BD4"/>
              <w:right w:val="nil" w:sz="6" w:space="0" w:color="auto"/>
            </w:tcBorders>
            <w:shd w:val="clear" w:color="auto" w:fill="DEEAF6"/>
          </w:tcPr>
          <w:p>
            <w:pPr/>
          </w:p>
        </w:tc>
        <w:tc>
          <w:tcPr>
            <w:tcW w:w="1777" w:type="dxa"/>
            <w:gridSpan w:val="2"/>
            <w:tcBorders>
              <w:top w:val="nil" w:sz="6" w:space="0" w:color="auto"/>
              <w:left w:val="nil" w:sz="6" w:space="0" w:color="auto"/>
              <w:bottom w:val="single" w:sz="4" w:space="0" w:color="5B9BD4"/>
              <w:right w:val="nil" w:sz="6" w:space="0" w:color="auto"/>
            </w:tcBorders>
            <w:shd w:val="clear" w:color="auto" w:fill="DEEAF6"/>
          </w:tcPr>
          <w:p>
            <w:pPr/>
          </w:p>
        </w:tc>
        <w:tc>
          <w:tcPr>
            <w:tcW w:w="1022" w:type="dxa"/>
            <w:vMerge/>
            <w:tcBorders>
              <w:left w:val="nil" w:sz="6" w:space="0" w:color="auto"/>
              <w:bottom w:val="single" w:sz="4" w:space="0" w:color="5B9BD4"/>
              <w:right w:val="nil" w:sz="6" w:space="0" w:color="auto"/>
            </w:tcBorders>
            <w:shd w:val="clear" w:color="auto" w:fill="DEEAF6"/>
          </w:tcPr>
          <w:p>
            <w:pPr/>
          </w:p>
        </w:tc>
        <w:tc>
          <w:tcPr>
            <w:tcW w:w="1957" w:type="dxa"/>
            <w:gridSpan w:val="2"/>
            <w:tcBorders>
              <w:top w:val="nil" w:sz="6" w:space="0" w:color="auto"/>
              <w:left w:val="nil" w:sz="6" w:space="0" w:color="auto"/>
              <w:bottom w:val="single" w:sz="4" w:space="0" w:color="5B9BD4"/>
              <w:right w:val="nil" w:sz="6" w:space="0" w:color="auto"/>
            </w:tcBorders>
            <w:shd w:val="clear" w:color="auto" w:fill="DEEAF6"/>
          </w:tcPr>
          <w:p>
            <w:pPr/>
          </w:p>
        </w:tc>
      </w:tr>
      <w:tr>
        <w:trPr>
          <w:trHeight w:val="294" w:hRule="exact"/>
        </w:trPr>
        <w:tc>
          <w:tcPr>
            <w:tcW w:w="1220" w:type="dxa"/>
            <w:tcBorders>
              <w:top w:val="single" w:sz="4" w:space="0" w:color="5B9BD4"/>
              <w:left w:val="nil" w:sz="6" w:space="0" w:color="auto"/>
              <w:bottom w:val="nil" w:sz="6" w:space="0" w:color="auto"/>
              <w:right w:val="nil" w:sz="6" w:space="0" w:color="auto"/>
            </w:tcBorders>
            <w:shd w:val="clear" w:color="auto" w:fill="DEEAF6"/>
          </w:tcPr>
          <w:p>
            <w:pPr/>
          </w:p>
        </w:tc>
        <w:tc>
          <w:tcPr>
            <w:tcW w:w="1020" w:type="dxa"/>
            <w:tcBorders>
              <w:top w:val="single" w:sz="4" w:space="0" w:color="5B9BD4"/>
              <w:left w:val="nil" w:sz="6" w:space="0" w:color="auto"/>
              <w:bottom w:val="nil" w:sz="6" w:space="0" w:color="auto"/>
              <w:right w:val="nil" w:sz="6" w:space="0" w:color="auto"/>
            </w:tcBorders>
          </w:tcPr>
          <w:p>
            <w:pPr/>
          </w:p>
        </w:tc>
        <w:tc>
          <w:tcPr>
            <w:tcW w:w="548" w:type="dxa"/>
            <w:tcBorders>
              <w:top w:val="single" w:sz="4" w:space="0" w:color="5B9BD4"/>
              <w:left w:val="nil" w:sz="6" w:space="0" w:color="auto"/>
              <w:bottom w:val="nil" w:sz="6" w:space="0" w:color="auto"/>
              <w:right w:val="nil" w:sz="6" w:space="0" w:color="auto"/>
            </w:tcBorders>
            <w:shd w:val="clear" w:color="auto" w:fill="DEEAF6"/>
          </w:tcPr>
          <w:p>
            <w:pPr/>
          </w:p>
        </w:tc>
        <w:tc>
          <w:tcPr>
            <w:tcW w:w="1409"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327" w:right="0"/>
              <w:jc w:val="left"/>
              <w:rPr>
                <w:rFonts w:ascii="Arial" w:hAnsi="Arial" w:cs="Arial" w:eastAsia="Arial" w:hint="default"/>
                <w:sz w:val="18"/>
                <w:szCs w:val="18"/>
              </w:rPr>
            </w:pPr>
            <w:r>
              <w:rPr>
                <w:rFonts w:ascii="Arial"/>
                <w:sz w:val="18"/>
              </w:rPr>
              <w:t>9,000,000.00</w:t>
            </w:r>
          </w:p>
        </w:tc>
        <w:tc>
          <w:tcPr>
            <w:tcW w:w="878" w:type="dxa"/>
            <w:tcBorders>
              <w:top w:val="single" w:sz="4" w:space="0" w:color="5B9BD4"/>
              <w:left w:val="nil" w:sz="6" w:space="0" w:color="auto"/>
              <w:bottom w:val="nil" w:sz="6" w:space="0" w:color="auto"/>
              <w:right w:val="nil" w:sz="6" w:space="0" w:color="auto"/>
            </w:tcBorders>
            <w:shd w:val="clear" w:color="auto" w:fill="DEEAF6"/>
          </w:tcPr>
          <w:p>
            <w:pPr/>
          </w:p>
        </w:tc>
        <w:tc>
          <w:tcPr>
            <w:tcW w:w="454" w:type="dxa"/>
            <w:vMerge w:val="restart"/>
            <w:tcBorders>
              <w:top w:val="single" w:sz="4" w:space="0" w:color="5B9BD4"/>
              <w:left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316" w:lineRule="auto"/>
              <w:ind w:left="13" w:right="78"/>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092" w:type="dxa"/>
            <w:tcBorders>
              <w:top w:val="single" w:sz="4" w:space="0" w:color="5B9BD4"/>
              <w:left w:val="nil" w:sz="6" w:space="0" w:color="auto"/>
              <w:bottom w:val="nil" w:sz="6" w:space="0" w:color="auto"/>
              <w:right w:val="nil" w:sz="6" w:space="0" w:color="auto"/>
            </w:tcBorders>
            <w:shd w:val="clear" w:color="auto" w:fill="DEEAF6"/>
          </w:tcPr>
          <w:p>
            <w:pPr/>
          </w:p>
        </w:tc>
        <w:tc>
          <w:tcPr>
            <w:tcW w:w="711"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7" w:right="0"/>
              <w:jc w:val="left"/>
              <w:rPr>
                <w:rFonts w:ascii="Arial" w:hAnsi="Arial" w:cs="Arial" w:eastAsia="Arial" w:hint="default"/>
                <w:sz w:val="18"/>
                <w:szCs w:val="18"/>
              </w:rPr>
            </w:pPr>
            <w:r>
              <w:rPr>
                <w:rFonts w:ascii="Arial"/>
                <w:w w:val="157"/>
                <w:sz w:val="18"/>
              </w:rPr>
              <w:t>/</w:t>
            </w:r>
            <w:r>
              <w:rPr>
                <w:rFonts w:ascii="Arial"/>
                <w:sz w:val="18"/>
              </w:rPr>
            </w:r>
          </w:p>
        </w:tc>
        <w:tc>
          <w:tcPr>
            <w:tcW w:w="917" w:type="dxa"/>
            <w:tcBorders>
              <w:top w:val="single" w:sz="4" w:space="0" w:color="5B9BD4"/>
              <w:left w:val="nil" w:sz="6" w:space="0" w:color="auto"/>
              <w:bottom w:val="nil" w:sz="6" w:space="0" w:color="auto"/>
              <w:right w:val="nil" w:sz="6" w:space="0" w:color="auto"/>
            </w:tcBorders>
            <w:shd w:val="clear" w:color="auto" w:fill="DEEAF6"/>
          </w:tcPr>
          <w:p>
            <w:pPr/>
          </w:p>
        </w:tc>
        <w:tc>
          <w:tcPr>
            <w:tcW w:w="952" w:type="dxa"/>
            <w:vMerge w:val="restart"/>
            <w:tcBorders>
              <w:top w:val="single" w:sz="4" w:space="0" w:color="5B9BD4"/>
              <w:left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316" w:lineRule="auto"/>
              <w:ind w:left="13" w:right="35"/>
              <w:jc w:val="left"/>
              <w:rPr>
                <w:rFonts w:ascii="宋体" w:hAnsi="宋体" w:cs="宋体" w:eastAsia="宋体" w:hint="default"/>
                <w:sz w:val="18"/>
                <w:szCs w:val="18"/>
              </w:rPr>
            </w:pPr>
            <w:r>
              <w:rPr>
                <w:rFonts w:ascii="宋体" w:hAnsi="宋体" w:cs="宋体" w:eastAsia="宋体" w:hint="default"/>
                <w:sz w:val="18"/>
                <w:szCs w:val="18"/>
              </w:rPr>
              <w:t>工商变更完 成</w:t>
            </w:r>
          </w:p>
        </w:tc>
        <w:tc>
          <w:tcPr>
            <w:tcW w:w="758" w:type="dxa"/>
            <w:tcBorders>
              <w:top w:val="single" w:sz="4" w:space="0" w:color="5B9BD4"/>
              <w:left w:val="nil" w:sz="6" w:space="0" w:color="auto"/>
              <w:bottom w:val="nil" w:sz="6" w:space="0" w:color="auto"/>
              <w:right w:val="nil" w:sz="6" w:space="0" w:color="auto"/>
            </w:tcBorders>
            <w:shd w:val="clear" w:color="auto" w:fill="DEEAF6"/>
          </w:tcPr>
          <w:p>
            <w:pPr/>
          </w:p>
        </w:tc>
        <w:tc>
          <w:tcPr>
            <w:tcW w:w="1019" w:type="dxa"/>
            <w:vMerge w:val="restart"/>
            <w:tcBorders>
              <w:top w:val="single" w:sz="4" w:space="0" w:color="5B9BD4"/>
              <w:left w:val="nil" w:sz="6" w:space="0" w:color="auto"/>
              <w:right w:val="nil" w:sz="6" w:space="0" w:color="auto"/>
            </w:tcBorders>
          </w:tcPr>
          <w:p>
            <w:pPr/>
          </w:p>
        </w:tc>
        <w:tc>
          <w:tcPr>
            <w:tcW w:w="1022" w:type="dxa"/>
            <w:tcBorders>
              <w:top w:val="single" w:sz="4" w:space="0" w:color="5B9BD4"/>
              <w:left w:val="nil" w:sz="6" w:space="0" w:color="auto"/>
              <w:bottom w:val="nil" w:sz="6" w:space="0" w:color="auto"/>
              <w:right w:val="nil" w:sz="6" w:space="0" w:color="auto"/>
            </w:tcBorders>
            <w:shd w:val="clear" w:color="auto" w:fill="DEEAF6"/>
          </w:tcPr>
          <w:p>
            <w:pPr/>
          </w:p>
        </w:tc>
        <w:tc>
          <w:tcPr>
            <w:tcW w:w="1002" w:type="dxa"/>
            <w:tcBorders>
              <w:top w:val="single" w:sz="4" w:space="0" w:color="5B9BD4"/>
              <w:left w:val="nil" w:sz="6" w:space="0" w:color="auto"/>
              <w:bottom w:val="nil" w:sz="6" w:space="0" w:color="auto"/>
              <w:right w:val="nil" w:sz="6" w:space="0" w:color="auto"/>
            </w:tcBorders>
          </w:tcPr>
          <w:p>
            <w:pPr/>
          </w:p>
        </w:tc>
        <w:tc>
          <w:tcPr>
            <w:tcW w:w="955" w:type="dxa"/>
            <w:tcBorders>
              <w:top w:val="single" w:sz="4" w:space="0" w:color="5B9BD4"/>
              <w:left w:val="nil" w:sz="6" w:space="0" w:color="auto"/>
              <w:bottom w:val="nil" w:sz="6" w:space="0" w:color="auto"/>
              <w:right w:val="nil" w:sz="6" w:space="0" w:color="auto"/>
            </w:tcBorders>
            <w:shd w:val="clear" w:color="auto" w:fill="DEEAF6"/>
          </w:tcPr>
          <w:p>
            <w:pPr/>
          </w:p>
        </w:tc>
      </w:tr>
      <w:tr>
        <w:trPr>
          <w:trHeight w:val="391" w:hRule="exact"/>
        </w:trPr>
        <w:tc>
          <w:tcPr>
            <w:tcW w:w="1220" w:type="dxa"/>
            <w:vMerge w:val="restart"/>
            <w:tcBorders>
              <w:top w:val="nil" w:sz="6" w:space="0" w:color="auto"/>
              <w:left w:val="nil" w:sz="6" w:space="0" w:color="auto"/>
              <w:right w:val="nil" w:sz="6" w:space="0" w:color="auto"/>
            </w:tcBorders>
            <w:shd w:val="clear" w:color="auto" w:fill="DEEAF6"/>
          </w:tcPr>
          <w:p>
            <w:pPr>
              <w:pStyle w:val="TableParagraph"/>
              <w:spacing w:line="126" w:lineRule="exact"/>
              <w:ind w:left="13" w:right="0"/>
              <w:jc w:val="left"/>
              <w:rPr>
                <w:rFonts w:ascii="宋体" w:hAnsi="宋体" w:cs="宋体" w:eastAsia="宋体" w:hint="default"/>
                <w:sz w:val="18"/>
                <w:szCs w:val="18"/>
              </w:rPr>
            </w:pPr>
            <w:r>
              <w:rPr>
                <w:rFonts w:ascii="宋体" w:hAnsi="宋体" w:cs="宋体" w:eastAsia="宋体" w:hint="default"/>
                <w:sz w:val="18"/>
                <w:szCs w:val="18"/>
              </w:rPr>
              <w:t>北京暴风魔镜</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020" w:type="dxa"/>
            <w:vMerge w:val="restart"/>
            <w:tcBorders>
              <w:top w:val="nil" w:sz="6" w:space="0" w:color="auto"/>
              <w:left w:val="nil" w:sz="6" w:space="0" w:color="auto"/>
              <w:right w:val="nil" w:sz="6" w:space="0" w:color="auto"/>
            </w:tcBorders>
          </w:tcPr>
          <w:p>
            <w:pPr>
              <w:pStyle w:val="TableParagraph"/>
              <w:spacing w:line="139" w:lineRule="exact"/>
              <w:ind w:left="41" w:right="0"/>
              <w:jc w:val="left"/>
              <w:rPr>
                <w:rFonts w:ascii="宋体" w:hAnsi="宋体" w:cs="宋体" w:eastAsia="宋体" w:hint="default"/>
                <w:sz w:val="18"/>
                <w:szCs w:val="18"/>
              </w:rPr>
            </w:pPr>
            <w:r>
              <w:rPr>
                <w:rFonts w:ascii="Arial" w:hAnsi="Arial" w:cs="Arial" w:eastAsia="Arial" w:hint="default"/>
                <w:spacing w:val="-4"/>
                <w:sz w:val="18"/>
                <w:szCs w:val="18"/>
              </w:rPr>
              <w:t>VR</w:t>
            </w:r>
            <w:r>
              <w:rPr>
                <w:rFonts w:ascii="宋体" w:hAnsi="宋体" w:cs="宋体" w:eastAsia="宋体" w:hint="default"/>
                <w:spacing w:val="-4"/>
                <w:sz w:val="18"/>
                <w:szCs w:val="18"/>
              </w:rPr>
              <w:t>（虚拟现</w:t>
            </w:r>
          </w:p>
          <w:p>
            <w:pPr>
              <w:pStyle w:val="TableParagraph"/>
              <w:spacing w:line="240" w:lineRule="auto" w:before="63"/>
              <w:ind w:left="41" w:right="0"/>
              <w:jc w:val="left"/>
              <w:rPr>
                <w:rFonts w:ascii="宋体" w:hAnsi="宋体" w:cs="宋体" w:eastAsia="宋体" w:hint="default"/>
                <w:sz w:val="18"/>
                <w:szCs w:val="18"/>
              </w:rPr>
            </w:pPr>
            <w:r>
              <w:rPr>
                <w:rFonts w:ascii="宋体" w:hAnsi="宋体" w:cs="宋体" w:eastAsia="宋体" w:hint="default"/>
                <w:sz w:val="18"/>
                <w:szCs w:val="18"/>
              </w:rPr>
              <w:t>实）</w:t>
            </w:r>
          </w:p>
        </w:tc>
        <w:tc>
          <w:tcPr>
            <w:tcW w:w="548"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9" w:type="dxa"/>
            <w:vMerge/>
            <w:tcBorders>
              <w:left w:val="nil" w:sz="6" w:space="0" w:color="auto"/>
              <w:right w:val="nil" w:sz="6" w:space="0" w:color="auto"/>
            </w:tcBorders>
          </w:tcPr>
          <w:p>
            <w:pPr/>
          </w:p>
        </w:tc>
        <w:tc>
          <w:tcPr>
            <w:tcW w:w="878"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39"/>
              <w:jc w:val="right"/>
              <w:rPr>
                <w:rFonts w:ascii="Arial" w:hAnsi="Arial" w:cs="Arial" w:eastAsia="Arial" w:hint="default"/>
                <w:sz w:val="18"/>
                <w:szCs w:val="18"/>
              </w:rPr>
            </w:pPr>
            <w:r>
              <w:rPr>
                <w:rFonts w:ascii="Arial"/>
                <w:w w:val="95"/>
                <w:sz w:val="18"/>
              </w:rPr>
              <w:t>2.97%</w:t>
            </w:r>
            <w:r>
              <w:rPr>
                <w:rFonts w:ascii="Arial"/>
                <w:sz w:val="18"/>
              </w:rPr>
            </w:r>
          </w:p>
        </w:tc>
        <w:tc>
          <w:tcPr>
            <w:tcW w:w="454" w:type="dxa"/>
            <w:vMerge/>
            <w:tcBorders>
              <w:left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暴风科技等</w:t>
            </w:r>
          </w:p>
        </w:tc>
        <w:tc>
          <w:tcPr>
            <w:tcW w:w="711" w:type="dxa"/>
            <w:vMerge/>
            <w:tcBorders>
              <w:left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硬件</w:t>
            </w:r>
          </w:p>
        </w:tc>
        <w:tc>
          <w:tcPr>
            <w:tcW w:w="952" w:type="dxa"/>
            <w:vMerge/>
            <w:tcBorders>
              <w:left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shd w:val="clear" w:color="auto" w:fill="DEEAF6"/>
          </w:tcPr>
          <w:p>
            <w:pPr/>
          </w:p>
        </w:tc>
        <w:tc>
          <w:tcPr>
            <w:tcW w:w="1019" w:type="dxa"/>
            <w:vMerge/>
            <w:tcBorders>
              <w:left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2" w:type="dxa"/>
            <w:vMerge w:val="restart"/>
            <w:tcBorders>
              <w:top w:val="nil" w:sz="6" w:space="0" w:color="auto"/>
              <w:left w:val="nil" w:sz="6" w:space="0" w:color="auto"/>
              <w:right w:val="nil" w:sz="6" w:space="0" w:color="auto"/>
            </w:tcBorders>
          </w:tcPr>
          <w:p>
            <w:pPr>
              <w:pStyle w:val="TableParagraph"/>
              <w:spacing w:line="139" w:lineRule="exact"/>
              <w:ind w:left="13" w:right="0"/>
              <w:jc w:val="left"/>
              <w:rPr>
                <w:rFonts w:ascii="Arial" w:hAnsi="Arial" w:cs="Arial" w:eastAsia="Arial" w:hint="default"/>
                <w:sz w:val="18"/>
                <w:szCs w:val="18"/>
              </w:rPr>
            </w:pPr>
            <w:r>
              <w:rPr>
                <w:rFonts w:ascii="Arial" w:hAnsi="Arial" w:cs="Arial" w:eastAsia="Arial" w:hint="default"/>
                <w:sz w:val="18"/>
                <w:szCs w:val="18"/>
              </w:rPr>
              <w:t>2015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Arial" w:hAnsi="Arial" w:cs="Arial" w:eastAsia="Arial" w:hint="default"/>
                <w:sz w:val="18"/>
                <w:szCs w:val="18"/>
              </w:rPr>
              <w:t>04</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14</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955" w:type="dxa"/>
            <w:vMerge w:val="restart"/>
            <w:tcBorders>
              <w:top w:val="nil" w:sz="6" w:space="0" w:color="auto"/>
              <w:left w:val="nil" w:sz="6" w:space="0" w:color="auto"/>
              <w:right w:val="nil" w:sz="6" w:space="0" w:color="auto"/>
            </w:tcBorders>
            <w:shd w:val="clear" w:color="auto" w:fill="DEEAF6"/>
          </w:tcPr>
          <w:p>
            <w:pPr>
              <w:pStyle w:val="TableParagraph"/>
              <w:spacing w:line="139" w:lineRule="exact"/>
              <w:ind w:left="21" w:right="0"/>
              <w:jc w:val="left"/>
              <w:rPr>
                <w:rFonts w:ascii="Arial" w:hAnsi="Arial" w:cs="Arial" w:eastAsia="Arial" w:hint="default"/>
                <w:sz w:val="18"/>
                <w:szCs w:val="18"/>
              </w:rPr>
            </w:pPr>
            <w:r>
              <w:rPr>
                <w:rFonts w:ascii="Arial"/>
                <w:w w:val="115"/>
                <w:sz w:val="18"/>
              </w:rPr>
              <w:t>www.cnin</w:t>
            </w:r>
            <w:r>
              <w:rPr>
                <w:rFonts w:ascii="Arial"/>
                <w:sz w:val="18"/>
              </w:rPr>
            </w:r>
          </w:p>
          <w:p>
            <w:pPr>
              <w:pStyle w:val="TableParagraph"/>
              <w:spacing w:line="240" w:lineRule="auto" w:before="105"/>
              <w:ind w:left="21" w:right="0"/>
              <w:jc w:val="left"/>
              <w:rPr>
                <w:rFonts w:ascii="Arial" w:hAnsi="Arial" w:cs="Arial" w:eastAsia="Arial" w:hint="default"/>
                <w:sz w:val="18"/>
                <w:szCs w:val="18"/>
              </w:rPr>
            </w:pPr>
            <w:r>
              <w:rPr>
                <w:rFonts w:ascii="Arial"/>
                <w:w w:val="115"/>
                <w:sz w:val="18"/>
              </w:rPr>
              <w:t>fo.com</w:t>
            </w:r>
            <w:r>
              <w:rPr>
                <w:rFonts w:ascii="Arial"/>
                <w:sz w:val="18"/>
              </w:rPr>
            </w:r>
          </w:p>
        </w:tc>
      </w:tr>
      <w:tr>
        <w:trPr>
          <w:trHeight w:val="293" w:hRule="exact"/>
        </w:trPr>
        <w:tc>
          <w:tcPr>
            <w:tcW w:w="1220" w:type="dxa"/>
            <w:vMerge/>
            <w:tcBorders>
              <w:left w:val="nil" w:sz="6" w:space="0" w:color="auto"/>
              <w:bottom w:val="single" w:sz="4" w:space="0" w:color="5B9BD4"/>
              <w:right w:val="nil" w:sz="6" w:space="0" w:color="auto"/>
            </w:tcBorders>
            <w:shd w:val="clear" w:color="auto" w:fill="DEEAF6"/>
          </w:tcPr>
          <w:p>
            <w:pPr/>
          </w:p>
        </w:tc>
        <w:tc>
          <w:tcPr>
            <w:tcW w:w="1020" w:type="dxa"/>
            <w:vMerge/>
            <w:tcBorders>
              <w:left w:val="nil" w:sz="6" w:space="0" w:color="auto"/>
              <w:bottom w:val="single" w:sz="4" w:space="0" w:color="5B9BD4"/>
              <w:right w:val="nil" w:sz="6" w:space="0" w:color="auto"/>
            </w:tcBorders>
          </w:tcPr>
          <w:p>
            <w:pPr/>
          </w:p>
        </w:tc>
        <w:tc>
          <w:tcPr>
            <w:tcW w:w="548" w:type="dxa"/>
            <w:tcBorders>
              <w:top w:val="nil" w:sz="6" w:space="0" w:color="auto"/>
              <w:left w:val="nil" w:sz="6" w:space="0" w:color="auto"/>
              <w:bottom w:val="single" w:sz="4" w:space="0" w:color="5B9BD4"/>
              <w:right w:val="nil" w:sz="6" w:space="0" w:color="auto"/>
            </w:tcBorders>
            <w:shd w:val="clear" w:color="auto" w:fill="DEEAF6"/>
          </w:tcPr>
          <w:p>
            <w:pPr/>
          </w:p>
        </w:tc>
        <w:tc>
          <w:tcPr>
            <w:tcW w:w="1409" w:type="dxa"/>
            <w:vMerge/>
            <w:tcBorders>
              <w:left w:val="nil" w:sz="6" w:space="0" w:color="auto"/>
              <w:bottom w:val="single" w:sz="4" w:space="0" w:color="5B9BD4"/>
              <w:right w:val="nil" w:sz="6" w:space="0" w:color="auto"/>
            </w:tcBorders>
          </w:tcPr>
          <w:p>
            <w:pPr/>
          </w:p>
        </w:tc>
        <w:tc>
          <w:tcPr>
            <w:tcW w:w="878" w:type="dxa"/>
            <w:tcBorders>
              <w:top w:val="nil" w:sz="6" w:space="0" w:color="auto"/>
              <w:left w:val="nil" w:sz="6" w:space="0" w:color="auto"/>
              <w:bottom w:val="single" w:sz="4" w:space="0" w:color="5B9BD4"/>
              <w:right w:val="nil" w:sz="6" w:space="0" w:color="auto"/>
            </w:tcBorders>
            <w:shd w:val="clear" w:color="auto" w:fill="DEEAF6"/>
          </w:tcPr>
          <w:p>
            <w:pPr/>
          </w:p>
        </w:tc>
        <w:tc>
          <w:tcPr>
            <w:tcW w:w="454" w:type="dxa"/>
            <w:vMerge/>
            <w:tcBorders>
              <w:left w:val="nil" w:sz="6" w:space="0" w:color="auto"/>
              <w:bottom w:val="single" w:sz="4" w:space="0" w:color="5B9BD4"/>
              <w:right w:val="nil" w:sz="6" w:space="0" w:color="auto"/>
            </w:tcBorders>
          </w:tcPr>
          <w:p>
            <w:pPr/>
          </w:p>
        </w:tc>
        <w:tc>
          <w:tcPr>
            <w:tcW w:w="1092" w:type="dxa"/>
            <w:tcBorders>
              <w:top w:val="nil" w:sz="6" w:space="0" w:color="auto"/>
              <w:left w:val="nil" w:sz="6" w:space="0" w:color="auto"/>
              <w:bottom w:val="single" w:sz="4" w:space="0" w:color="5B9BD4"/>
              <w:right w:val="nil" w:sz="6" w:space="0" w:color="auto"/>
            </w:tcBorders>
            <w:shd w:val="clear" w:color="auto" w:fill="DEEAF6"/>
          </w:tcPr>
          <w:p>
            <w:pPr/>
          </w:p>
        </w:tc>
        <w:tc>
          <w:tcPr>
            <w:tcW w:w="711" w:type="dxa"/>
            <w:vMerge/>
            <w:tcBorders>
              <w:left w:val="nil" w:sz="6" w:space="0" w:color="auto"/>
              <w:bottom w:val="single" w:sz="4" w:space="0" w:color="5B9BD4"/>
              <w:right w:val="nil" w:sz="6" w:space="0" w:color="auto"/>
            </w:tcBorders>
          </w:tcPr>
          <w:p>
            <w:pPr/>
          </w:p>
        </w:tc>
        <w:tc>
          <w:tcPr>
            <w:tcW w:w="917" w:type="dxa"/>
            <w:tcBorders>
              <w:top w:val="nil" w:sz="6" w:space="0" w:color="auto"/>
              <w:left w:val="nil" w:sz="6" w:space="0" w:color="auto"/>
              <w:bottom w:val="single" w:sz="4" w:space="0" w:color="5B9BD4"/>
              <w:right w:val="nil" w:sz="6" w:space="0" w:color="auto"/>
            </w:tcBorders>
            <w:shd w:val="clear" w:color="auto" w:fill="DEEAF6"/>
          </w:tcPr>
          <w:p>
            <w:pPr/>
          </w:p>
        </w:tc>
        <w:tc>
          <w:tcPr>
            <w:tcW w:w="952" w:type="dxa"/>
            <w:vMerge/>
            <w:tcBorders>
              <w:left w:val="nil" w:sz="6" w:space="0" w:color="auto"/>
              <w:bottom w:val="single" w:sz="4" w:space="0" w:color="5B9BD4"/>
              <w:right w:val="nil" w:sz="6" w:space="0" w:color="auto"/>
            </w:tcBorders>
          </w:tcPr>
          <w:p>
            <w:pPr/>
          </w:p>
        </w:tc>
        <w:tc>
          <w:tcPr>
            <w:tcW w:w="758" w:type="dxa"/>
            <w:tcBorders>
              <w:top w:val="nil" w:sz="6" w:space="0" w:color="auto"/>
              <w:left w:val="nil" w:sz="6" w:space="0" w:color="auto"/>
              <w:bottom w:val="single" w:sz="4" w:space="0" w:color="5B9BD4"/>
              <w:right w:val="nil" w:sz="6" w:space="0" w:color="auto"/>
            </w:tcBorders>
            <w:shd w:val="clear" w:color="auto" w:fill="DEEAF6"/>
          </w:tcPr>
          <w:p>
            <w:pPr/>
          </w:p>
        </w:tc>
        <w:tc>
          <w:tcPr>
            <w:tcW w:w="1019" w:type="dxa"/>
            <w:vMerge/>
            <w:tcBorders>
              <w:left w:val="nil" w:sz="6" w:space="0" w:color="auto"/>
              <w:bottom w:val="single" w:sz="4" w:space="0" w:color="5B9BD4"/>
              <w:right w:val="nil" w:sz="6" w:space="0" w:color="auto"/>
            </w:tcBorders>
          </w:tcPr>
          <w:p>
            <w:pPr/>
          </w:p>
        </w:tc>
        <w:tc>
          <w:tcPr>
            <w:tcW w:w="1022" w:type="dxa"/>
            <w:tcBorders>
              <w:top w:val="nil" w:sz="6" w:space="0" w:color="auto"/>
              <w:left w:val="nil" w:sz="6" w:space="0" w:color="auto"/>
              <w:bottom w:val="single" w:sz="4" w:space="0" w:color="5B9BD4"/>
              <w:right w:val="nil" w:sz="6" w:space="0" w:color="auto"/>
            </w:tcBorders>
            <w:shd w:val="clear" w:color="auto" w:fill="DEEAF6"/>
          </w:tcPr>
          <w:p>
            <w:pPr/>
          </w:p>
        </w:tc>
        <w:tc>
          <w:tcPr>
            <w:tcW w:w="1002" w:type="dxa"/>
            <w:vMerge/>
            <w:tcBorders>
              <w:left w:val="nil" w:sz="6" w:space="0" w:color="auto"/>
              <w:bottom w:val="single" w:sz="4" w:space="0" w:color="5B9BD4"/>
              <w:right w:val="nil" w:sz="6" w:space="0" w:color="auto"/>
            </w:tcBorders>
          </w:tcPr>
          <w:p>
            <w:pPr/>
          </w:p>
        </w:tc>
        <w:tc>
          <w:tcPr>
            <w:tcW w:w="955" w:type="dxa"/>
            <w:vMerge/>
            <w:tcBorders>
              <w:left w:val="nil" w:sz="6" w:space="0" w:color="auto"/>
              <w:bottom w:val="single" w:sz="4" w:space="0" w:color="5B9BD4"/>
              <w:right w:val="nil" w:sz="6" w:space="0" w:color="auto"/>
            </w:tcBorders>
            <w:shd w:val="clear" w:color="auto" w:fill="DEEAF6"/>
          </w:tcPr>
          <w:p>
            <w:pPr/>
          </w:p>
        </w:tc>
      </w:tr>
      <w:tr>
        <w:trPr>
          <w:trHeight w:val="162" w:hRule="exact"/>
        </w:trPr>
        <w:tc>
          <w:tcPr>
            <w:tcW w:w="1220"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7"/>
              <w:ind w:left="13" w:right="14"/>
              <w:jc w:val="left"/>
              <w:rPr>
                <w:rFonts w:ascii="宋体" w:hAnsi="宋体" w:cs="宋体" w:eastAsia="宋体" w:hint="default"/>
                <w:sz w:val="18"/>
                <w:szCs w:val="18"/>
              </w:rPr>
            </w:pPr>
            <w:r>
              <w:rPr>
                <w:rFonts w:ascii="宋体" w:hAnsi="宋体" w:cs="宋体" w:eastAsia="宋体" w:hint="default"/>
                <w:sz w:val="18"/>
                <w:szCs w:val="18"/>
              </w:rPr>
              <w:t>北京德丰杰龙 脉投资基金管 </w:t>
            </w:r>
            <w:r>
              <w:rPr>
                <w:rFonts w:ascii="宋体" w:hAnsi="宋体" w:cs="宋体" w:eastAsia="宋体" w:hint="default"/>
                <w:spacing w:val="-10"/>
                <w:sz w:val="18"/>
                <w:szCs w:val="18"/>
              </w:rPr>
              <w:t>理中心（有限合</w:t>
            </w:r>
            <w:r>
              <w:rPr>
                <w:rFonts w:ascii="宋体" w:hAnsi="宋体" w:cs="宋体" w:eastAsia="宋体" w:hint="default"/>
                <w:sz w:val="18"/>
                <w:szCs w:val="18"/>
              </w:rPr>
              <w:t> 伙）</w:t>
            </w:r>
          </w:p>
        </w:tc>
        <w:tc>
          <w:tcPr>
            <w:tcW w:w="1020" w:type="dxa"/>
            <w:vMerge w:val="restart"/>
            <w:tcBorders>
              <w:top w:val="single" w:sz="4" w:space="0" w:color="5B9BD4"/>
              <w:left w:val="single" w:sz="11" w:space="0" w:color="DEEAF6"/>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7" w:right="78"/>
              <w:jc w:val="left"/>
              <w:rPr>
                <w:rFonts w:ascii="宋体" w:hAnsi="宋体" w:cs="宋体" w:eastAsia="宋体" w:hint="default"/>
                <w:sz w:val="18"/>
                <w:szCs w:val="18"/>
              </w:rPr>
            </w:pPr>
            <w:r>
              <w:rPr>
                <w:rFonts w:ascii="宋体" w:hAnsi="宋体" w:cs="宋体" w:eastAsia="宋体" w:hint="default"/>
                <w:sz w:val="18"/>
                <w:szCs w:val="18"/>
              </w:rPr>
              <w:t>移动互联网 投资基金</w:t>
            </w:r>
          </w:p>
        </w:tc>
        <w:tc>
          <w:tcPr>
            <w:tcW w:w="548" w:type="dxa"/>
            <w:vMerge w:val="restart"/>
            <w:tcBorders>
              <w:top w:val="single" w:sz="4" w:space="0" w:color="5B9BD4"/>
              <w:left w:val="nil" w:sz="6" w:space="0" w:color="auto"/>
              <w:right w:val="nil" w:sz="6" w:space="0" w:color="auto"/>
            </w:tcBorders>
            <w:shd w:val="clear" w:color="auto" w:fill="DEEAF6"/>
          </w:tcPr>
          <w:p>
            <w:pPr/>
          </w:p>
        </w:tc>
        <w:tc>
          <w:tcPr>
            <w:tcW w:w="1409"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6" w:right="0"/>
              <w:jc w:val="left"/>
              <w:rPr>
                <w:rFonts w:ascii="Arial" w:hAnsi="Arial" w:cs="Arial" w:eastAsia="Arial" w:hint="default"/>
                <w:sz w:val="18"/>
                <w:szCs w:val="18"/>
              </w:rPr>
            </w:pPr>
            <w:r>
              <w:rPr>
                <w:rFonts w:ascii="Arial"/>
                <w:sz w:val="18"/>
              </w:rPr>
              <w:t>10,000,000.00</w:t>
            </w:r>
          </w:p>
        </w:tc>
        <w:tc>
          <w:tcPr>
            <w:tcW w:w="878" w:type="dxa"/>
            <w:vMerge w:val="restart"/>
            <w:tcBorders>
              <w:top w:val="single" w:sz="4" w:space="0" w:color="5B9BD4"/>
              <w:left w:val="nil" w:sz="6" w:space="0" w:color="auto"/>
              <w:right w:val="nil" w:sz="6" w:space="0" w:color="auto"/>
            </w:tcBorders>
            <w:shd w:val="clear" w:color="auto" w:fill="DEEAF6"/>
          </w:tcPr>
          <w:p>
            <w:pPr/>
          </w:p>
        </w:tc>
        <w:tc>
          <w:tcPr>
            <w:tcW w:w="454"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3" w:right="78"/>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092" w:type="dxa"/>
            <w:tcBorders>
              <w:top w:val="single" w:sz="4" w:space="0" w:color="5B9BD4"/>
              <w:left w:val="nil" w:sz="6" w:space="0" w:color="auto"/>
              <w:bottom w:val="nil" w:sz="6" w:space="0" w:color="auto"/>
              <w:right w:val="nil" w:sz="6" w:space="0" w:color="auto"/>
            </w:tcBorders>
            <w:shd w:val="clear" w:color="auto" w:fill="DEEAF6"/>
          </w:tcPr>
          <w:p>
            <w:pPr/>
          </w:p>
        </w:tc>
        <w:tc>
          <w:tcPr>
            <w:tcW w:w="711"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7" w:right="0"/>
              <w:jc w:val="left"/>
              <w:rPr>
                <w:rFonts w:ascii="宋体" w:hAnsi="宋体" w:cs="宋体" w:eastAsia="宋体" w:hint="default"/>
                <w:sz w:val="18"/>
                <w:szCs w:val="18"/>
              </w:rPr>
            </w:pPr>
            <w:r>
              <w:rPr>
                <w:rFonts w:ascii="Arial" w:hAnsi="Arial" w:cs="Arial" w:eastAsia="Arial" w:hint="default"/>
                <w:sz w:val="18"/>
                <w:szCs w:val="18"/>
              </w:rPr>
              <w:t>6</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917" w:type="dxa"/>
            <w:vMerge w:val="restart"/>
            <w:tcBorders>
              <w:top w:val="single" w:sz="4" w:space="0" w:color="5B9BD4"/>
              <w:left w:val="nil" w:sz="6" w:space="0" w:color="auto"/>
              <w:right w:val="nil" w:sz="6" w:space="0" w:color="auto"/>
            </w:tcBorders>
            <w:shd w:val="clear" w:color="auto" w:fill="DEEAF6"/>
          </w:tcPr>
          <w:p>
            <w:pPr/>
          </w:p>
        </w:tc>
        <w:tc>
          <w:tcPr>
            <w:tcW w:w="952"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股权已过户</w:t>
            </w:r>
          </w:p>
        </w:tc>
        <w:tc>
          <w:tcPr>
            <w:tcW w:w="758" w:type="dxa"/>
            <w:vMerge w:val="restart"/>
            <w:tcBorders>
              <w:top w:val="single" w:sz="4" w:space="0" w:color="5B9BD4"/>
              <w:left w:val="nil" w:sz="6" w:space="0" w:color="auto"/>
              <w:right w:val="nil" w:sz="6" w:space="0" w:color="auto"/>
            </w:tcBorders>
            <w:shd w:val="clear" w:color="auto" w:fill="DEEAF6"/>
          </w:tcPr>
          <w:p>
            <w:pPr/>
          </w:p>
        </w:tc>
        <w:tc>
          <w:tcPr>
            <w:tcW w:w="1019" w:type="dxa"/>
            <w:vMerge w:val="restart"/>
            <w:tcBorders>
              <w:top w:val="single" w:sz="4" w:space="0" w:color="5B9BD4"/>
              <w:left w:val="nil" w:sz="6" w:space="0" w:color="auto"/>
              <w:right w:val="nil" w:sz="6" w:space="0" w:color="auto"/>
            </w:tcBorders>
          </w:tcPr>
          <w:p>
            <w:pPr/>
          </w:p>
        </w:tc>
        <w:tc>
          <w:tcPr>
            <w:tcW w:w="1022" w:type="dxa"/>
            <w:vMerge w:val="restart"/>
            <w:tcBorders>
              <w:top w:val="single" w:sz="4" w:space="0" w:color="5B9BD4"/>
              <w:left w:val="nil" w:sz="6" w:space="0" w:color="auto"/>
              <w:right w:val="nil" w:sz="6" w:space="0" w:color="auto"/>
            </w:tcBorders>
            <w:shd w:val="clear" w:color="auto" w:fill="DEEAF6"/>
          </w:tcPr>
          <w:p>
            <w:pPr/>
          </w:p>
        </w:tc>
        <w:tc>
          <w:tcPr>
            <w:tcW w:w="1002" w:type="dxa"/>
            <w:vMerge w:val="restart"/>
            <w:tcBorders>
              <w:top w:val="single" w:sz="4" w:space="0" w:color="5B9BD4"/>
              <w:left w:val="nil" w:sz="6" w:space="0" w:color="auto"/>
              <w:right w:val="nil" w:sz="6" w:space="0" w:color="auto"/>
            </w:tcBorders>
          </w:tcPr>
          <w:p>
            <w:pPr/>
          </w:p>
        </w:tc>
        <w:tc>
          <w:tcPr>
            <w:tcW w:w="955" w:type="dxa"/>
            <w:vMerge w:val="restart"/>
            <w:tcBorders>
              <w:top w:val="single" w:sz="4" w:space="0" w:color="5B9BD4"/>
              <w:left w:val="nil" w:sz="6" w:space="0" w:color="auto"/>
              <w:right w:val="nil" w:sz="6" w:space="0" w:color="auto"/>
            </w:tcBorders>
            <w:shd w:val="clear" w:color="auto" w:fill="DEEAF6"/>
          </w:tcPr>
          <w:p>
            <w:pPr/>
          </w:p>
        </w:tc>
      </w:tr>
      <w:tr>
        <w:trPr>
          <w:trHeight w:val="312" w:hRule="exact"/>
        </w:trPr>
        <w:tc>
          <w:tcPr>
            <w:tcW w:w="1220" w:type="dxa"/>
            <w:vMerge/>
            <w:tcBorders>
              <w:left w:val="nil" w:sz="6" w:space="0" w:color="auto"/>
              <w:right w:val="nil" w:sz="6" w:space="0" w:color="auto"/>
            </w:tcBorders>
            <w:shd w:val="clear" w:color="auto" w:fill="DEEAF6"/>
          </w:tcPr>
          <w:p>
            <w:pPr/>
          </w:p>
        </w:tc>
        <w:tc>
          <w:tcPr>
            <w:tcW w:w="1020" w:type="dxa"/>
            <w:vMerge/>
            <w:tcBorders>
              <w:left w:val="single" w:sz="11" w:space="0" w:color="DEEAF6"/>
              <w:right w:val="nil" w:sz="6" w:space="0" w:color="auto"/>
            </w:tcBorders>
          </w:tcPr>
          <w:p>
            <w:pPr/>
          </w:p>
        </w:tc>
        <w:tc>
          <w:tcPr>
            <w:tcW w:w="548" w:type="dxa"/>
            <w:vMerge/>
            <w:tcBorders>
              <w:left w:val="nil" w:sz="6" w:space="0" w:color="auto"/>
              <w:bottom w:val="nil" w:sz="6" w:space="0" w:color="auto"/>
              <w:right w:val="nil" w:sz="6" w:space="0" w:color="auto"/>
            </w:tcBorders>
            <w:shd w:val="clear" w:color="auto" w:fill="DEEAF6"/>
          </w:tcPr>
          <w:p>
            <w:pPr/>
          </w:p>
        </w:tc>
        <w:tc>
          <w:tcPr>
            <w:tcW w:w="1409" w:type="dxa"/>
            <w:vMerge/>
            <w:tcBorders>
              <w:left w:val="nil" w:sz="6" w:space="0" w:color="auto"/>
              <w:right w:val="nil" w:sz="6" w:space="0" w:color="auto"/>
            </w:tcBorders>
          </w:tcPr>
          <w:p>
            <w:pPr/>
          </w:p>
        </w:tc>
        <w:tc>
          <w:tcPr>
            <w:tcW w:w="878" w:type="dxa"/>
            <w:vMerge/>
            <w:tcBorders>
              <w:left w:val="nil" w:sz="6" w:space="0" w:color="auto"/>
              <w:bottom w:val="nil" w:sz="6" w:space="0" w:color="auto"/>
              <w:right w:val="nil" w:sz="6" w:space="0" w:color="auto"/>
            </w:tcBorders>
            <w:shd w:val="clear" w:color="auto" w:fill="DEEAF6"/>
          </w:tcPr>
          <w:p>
            <w:pPr/>
          </w:p>
        </w:tc>
        <w:tc>
          <w:tcPr>
            <w:tcW w:w="454" w:type="dxa"/>
            <w:vMerge/>
            <w:tcBorders>
              <w:left w:val="nil" w:sz="6" w:space="0" w:color="auto"/>
              <w:right w:val="nil" w:sz="6" w:space="0" w:color="auto"/>
            </w:tcBorders>
          </w:tcPr>
          <w:p>
            <w:pPr/>
          </w:p>
        </w:tc>
        <w:tc>
          <w:tcPr>
            <w:tcW w:w="1092"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27" w:right="162"/>
              <w:jc w:val="both"/>
              <w:rPr>
                <w:rFonts w:ascii="宋体" w:hAnsi="宋体" w:cs="宋体" w:eastAsia="宋体" w:hint="default"/>
                <w:sz w:val="18"/>
                <w:szCs w:val="18"/>
              </w:rPr>
            </w:pPr>
            <w:r>
              <w:rPr>
                <w:rFonts w:ascii="宋体" w:hAnsi="宋体" w:cs="宋体" w:eastAsia="宋体" w:hint="default"/>
                <w:sz w:val="18"/>
                <w:szCs w:val="18"/>
              </w:rPr>
              <w:t>深圳恒益大 通等企业及 自然人</w:t>
            </w:r>
          </w:p>
        </w:tc>
        <w:tc>
          <w:tcPr>
            <w:tcW w:w="711" w:type="dxa"/>
            <w:vMerge/>
            <w:tcBorders>
              <w:left w:val="nil" w:sz="6" w:space="0" w:color="auto"/>
              <w:right w:val="nil" w:sz="6" w:space="0" w:color="auto"/>
            </w:tcBorders>
          </w:tcPr>
          <w:p>
            <w:pPr/>
          </w:p>
        </w:tc>
        <w:tc>
          <w:tcPr>
            <w:tcW w:w="917" w:type="dxa"/>
            <w:vMerge/>
            <w:tcBorders>
              <w:left w:val="nil" w:sz="6" w:space="0" w:color="auto"/>
              <w:bottom w:val="nil" w:sz="6" w:space="0" w:color="auto"/>
              <w:right w:val="nil" w:sz="6" w:space="0" w:color="auto"/>
            </w:tcBorders>
            <w:shd w:val="clear" w:color="auto" w:fill="DEEAF6"/>
          </w:tcPr>
          <w:p>
            <w:pPr/>
          </w:p>
        </w:tc>
        <w:tc>
          <w:tcPr>
            <w:tcW w:w="952" w:type="dxa"/>
            <w:vMerge/>
            <w:tcBorders>
              <w:left w:val="nil" w:sz="6" w:space="0" w:color="auto"/>
              <w:right w:val="nil" w:sz="6" w:space="0" w:color="auto"/>
            </w:tcBorders>
          </w:tcPr>
          <w:p>
            <w:pPr/>
          </w:p>
        </w:tc>
        <w:tc>
          <w:tcPr>
            <w:tcW w:w="758" w:type="dxa"/>
            <w:vMerge/>
            <w:tcBorders>
              <w:left w:val="nil" w:sz="6" w:space="0" w:color="auto"/>
              <w:bottom w:val="nil" w:sz="6" w:space="0" w:color="auto"/>
              <w:right w:val="nil" w:sz="6" w:space="0" w:color="auto"/>
            </w:tcBorders>
            <w:shd w:val="clear" w:color="auto" w:fill="DEEAF6"/>
          </w:tcPr>
          <w:p>
            <w:pPr/>
          </w:p>
        </w:tc>
        <w:tc>
          <w:tcPr>
            <w:tcW w:w="1019" w:type="dxa"/>
            <w:vMerge/>
            <w:tcBorders>
              <w:left w:val="nil" w:sz="6" w:space="0" w:color="auto"/>
              <w:right w:val="nil" w:sz="6" w:space="0" w:color="auto"/>
            </w:tcBorders>
          </w:tcPr>
          <w:p>
            <w:pPr/>
          </w:p>
        </w:tc>
        <w:tc>
          <w:tcPr>
            <w:tcW w:w="1022" w:type="dxa"/>
            <w:vMerge/>
            <w:tcBorders>
              <w:left w:val="nil" w:sz="6" w:space="0" w:color="auto"/>
              <w:bottom w:val="nil" w:sz="6" w:space="0" w:color="auto"/>
              <w:right w:val="nil" w:sz="6" w:space="0" w:color="auto"/>
            </w:tcBorders>
            <w:shd w:val="clear" w:color="auto" w:fill="DEEAF6"/>
          </w:tcPr>
          <w:p>
            <w:pPr/>
          </w:p>
        </w:tc>
        <w:tc>
          <w:tcPr>
            <w:tcW w:w="1002" w:type="dxa"/>
            <w:vMerge/>
            <w:tcBorders>
              <w:left w:val="nil" w:sz="6" w:space="0" w:color="auto"/>
              <w:right w:val="nil" w:sz="6" w:space="0" w:color="auto"/>
            </w:tcBorders>
          </w:tcPr>
          <w:p>
            <w:pPr/>
          </w:p>
        </w:tc>
        <w:tc>
          <w:tcPr>
            <w:tcW w:w="955" w:type="dxa"/>
            <w:vMerge/>
            <w:tcBorders>
              <w:left w:val="nil" w:sz="6" w:space="0" w:color="auto"/>
              <w:bottom w:val="nil" w:sz="6" w:space="0" w:color="auto"/>
              <w:right w:val="nil" w:sz="6" w:space="0" w:color="auto"/>
            </w:tcBorders>
            <w:shd w:val="clear" w:color="auto" w:fill="DEEAF6"/>
          </w:tcPr>
          <w:p>
            <w:pPr/>
          </w:p>
        </w:tc>
      </w:tr>
      <w:tr>
        <w:trPr>
          <w:trHeight w:val="391" w:hRule="exact"/>
        </w:trPr>
        <w:tc>
          <w:tcPr>
            <w:tcW w:w="1220" w:type="dxa"/>
            <w:vMerge/>
            <w:tcBorders>
              <w:left w:val="nil" w:sz="6" w:space="0" w:color="auto"/>
              <w:right w:val="nil" w:sz="6" w:space="0" w:color="auto"/>
            </w:tcBorders>
            <w:shd w:val="clear" w:color="auto" w:fill="DEEAF6"/>
          </w:tcPr>
          <w:p>
            <w:pPr/>
          </w:p>
        </w:tc>
        <w:tc>
          <w:tcPr>
            <w:tcW w:w="1020" w:type="dxa"/>
            <w:vMerge/>
            <w:tcBorders>
              <w:left w:val="single" w:sz="11" w:space="0" w:color="DEEAF6"/>
              <w:right w:val="nil" w:sz="6" w:space="0" w:color="auto"/>
            </w:tcBorders>
          </w:tcPr>
          <w:p>
            <w:pPr/>
          </w:p>
        </w:tc>
        <w:tc>
          <w:tcPr>
            <w:tcW w:w="548"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9" w:type="dxa"/>
            <w:vMerge/>
            <w:tcBorders>
              <w:left w:val="nil" w:sz="6" w:space="0" w:color="auto"/>
              <w:right w:val="nil" w:sz="6" w:space="0" w:color="auto"/>
            </w:tcBorders>
          </w:tcPr>
          <w:p>
            <w:pPr/>
          </w:p>
        </w:tc>
        <w:tc>
          <w:tcPr>
            <w:tcW w:w="878"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39"/>
              <w:jc w:val="right"/>
              <w:rPr>
                <w:rFonts w:ascii="Arial" w:hAnsi="Arial" w:cs="Arial" w:eastAsia="Arial" w:hint="default"/>
                <w:sz w:val="18"/>
                <w:szCs w:val="18"/>
              </w:rPr>
            </w:pPr>
            <w:r>
              <w:rPr>
                <w:rFonts w:ascii="Arial"/>
                <w:w w:val="95"/>
                <w:sz w:val="18"/>
              </w:rPr>
              <w:t>6.08%</w:t>
            </w:r>
            <w:r>
              <w:rPr>
                <w:rFonts w:ascii="Arial"/>
                <w:sz w:val="18"/>
              </w:rPr>
            </w:r>
          </w:p>
        </w:tc>
        <w:tc>
          <w:tcPr>
            <w:tcW w:w="454" w:type="dxa"/>
            <w:vMerge/>
            <w:tcBorders>
              <w:left w:val="nil" w:sz="6" w:space="0" w:color="auto"/>
              <w:right w:val="nil" w:sz="6" w:space="0" w:color="auto"/>
            </w:tcBorders>
          </w:tcPr>
          <w:p>
            <w:pPr/>
          </w:p>
        </w:tc>
        <w:tc>
          <w:tcPr>
            <w:tcW w:w="1092" w:type="dxa"/>
            <w:vMerge/>
            <w:tcBorders>
              <w:left w:val="nil" w:sz="6" w:space="0" w:color="auto"/>
              <w:right w:val="nil" w:sz="6" w:space="0" w:color="auto"/>
            </w:tcBorders>
            <w:shd w:val="clear" w:color="auto" w:fill="DEEAF6"/>
          </w:tcPr>
          <w:p>
            <w:pPr/>
          </w:p>
        </w:tc>
        <w:tc>
          <w:tcPr>
            <w:tcW w:w="711" w:type="dxa"/>
            <w:vMerge/>
            <w:tcBorders>
              <w:left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952" w:type="dxa"/>
            <w:vMerge/>
            <w:tcBorders>
              <w:left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shd w:val="clear" w:color="auto" w:fill="DEEAF6"/>
          </w:tcPr>
          <w:p>
            <w:pPr/>
          </w:p>
        </w:tc>
        <w:tc>
          <w:tcPr>
            <w:tcW w:w="1019" w:type="dxa"/>
            <w:vMerge/>
            <w:tcBorders>
              <w:left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2" w:type="dxa"/>
            <w:vMerge/>
            <w:tcBorders>
              <w:left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shd w:val="clear" w:color="auto" w:fill="DEEAF6"/>
          </w:tcPr>
          <w:p>
            <w:pPr/>
          </w:p>
        </w:tc>
      </w:tr>
      <w:tr>
        <w:trPr>
          <w:trHeight w:val="312" w:hRule="exact"/>
        </w:trPr>
        <w:tc>
          <w:tcPr>
            <w:tcW w:w="1220" w:type="dxa"/>
            <w:vMerge/>
            <w:tcBorders>
              <w:left w:val="nil" w:sz="6" w:space="0" w:color="auto"/>
              <w:right w:val="nil" w:sz="6" w:space="0" w:color="auto"/>
            </w:tcBorders>
            <w:shd w:val="clear" w:color="auto" w:fill="DEEAF6"/>
          </w:tcPr>
          <w:p>
            <w:pPr/>
          </w:p>
        </w:tc>
        <w:tc>
          <w:tcPr>
            <w:tcW w:w="1020" w:type="dxa"/>
            <w:vMerge/>
            <w:tcBorders>
              <w:left w:val="single" w:sz="11" w:space="0" w:color="DEEAF6"/>
              <w:right w:val="nil" w:sz="6" w:space="0" w:color="auto"/>
            </w:tcBorders>
          </w:tcPr>
          <w:p>
            <w:pPr/>
          </w:p>
        </w:tc>
        <w:tc>
          <w:tcPr>
            <w:tcW w:w="548" w:type="dxa"/>
            <w:vMerge w:val="restart"/>
            <w:tcBorders>
              <w:top w:val="nil" w:sz="6" w:space="0" w:color="auto"/>
              <w:left w:val="nil" w:sz="6" w:space="0" w:color="auto"/>
              <w:right w:val="nil" w:sz="6" w:space="0" w:color="auto"/>
            </w:tcBorders>
            <w:shd w:val="clear" w:color="auto" w:fill="DEEAF6"/>
          </w:tcPr>
          <w:p>
            <w:pPr/>
          </w:p>
        </w:tc>
        <w:tc>
          <w:tcPr>
            <w:tcW w:w="1409" w:type="dxa"/>
            <w:vMerge/>
            <w:tcBorders>
              <w:left w:val="nil" w:sz="6" w:space="0" w:color="auto"/>
              <w:right w:val="nil" w:sz="6" w:space="0" w:color="auto"/>
            </w:tcBorders>
          </w:tcPr>
          <w:p>
            <w:pPr/>
          </w:p>
        </w:tc>
        <w:tc>
          <w:tcPr>
            <w:tcW w:w="878" w:type="dxa"/>
            <w:vMerge w:val="restart"/>
            <w:tcBorders>
              <w:top w:val="nil" w:sz="6" w:space="0" w:color="auto"/>
              <w:left w:val="nil" w:sz="6" w:space="0" w:color="auto"/>
              <w:right w:val="nil" w:sz="6" w:space="0" w:color="auto"/>
            </w:tcBorders>
            <w:shd w:val="clear" w:color="auto" w:fill="DEEAF6"/>
          </w:tcPr>
          <w:p>
            <w:pPr/>
          </w:p>
        </w:tc>
        <w:tc>
          <w:tcPr>
            <w:tcW w:w="454" w:type="dxa"/>
            <w:vMerge/>
            <w:tcBorders>
              <w:left w:val="nil" w:sz="6" w:space="0" w:color="auto"/>
              <w:right w:val="nil" w:sz="6" w:space="0" w:color="auto"/>
            </w:tcBorders>
          </w:tcPr>
          <w:p>
            <w:pPr/>
          </w:p>
        </w:tc>
        <w:tc>
          <w:tcPr>
            <w:tcW w:w="1092" w:type="dxa"/>
            <w:vMerge/>
            <w:tcBorders>
              <w:left w:val="nil" w:sz="6" w:space="0" w:color="auto"/>
              <w:bottom w:val="nil" w:sz="6" w:space="0" w:color="auto"/>
              <w:right w:val="nil" w:sz="6" w:space="0" w:color="auto"/>
            </w:tcBorders>
            <w:shd w:val="clear" w:color="auto" w:fill="DEEAF6"/>
          </w:tcPr>
          <w:p>
            <w:pPr/>
          </w:p>
        </w:tc>
        <w:tc>
          <w:tcPr>
            <w:tcW w:w="711" w:type="dxa"/>
            <w:vMerge/>
            <w:tcBorders>
              <w:left w:val="nil" w:sz="6" w:space="0" w:color="auto"/>
              <w:right w:val="nil" w:sz="6" w:space="0" w:color="auto"/>
            </w:tcBorders>
          </w:tcPr>
          <w:p>
            <w:pPr/>
          </w:p>
        </w:tc>
        <w:tc>
          <w:tcPr>
            <w:tcW w:w="917" w:type="dxa"/>
            <w:vMerge w:val="restart"/>
            <w:tcBorders>
              <w:top w:val="nil" w:sz="6" w:space="0" w:color="auto"/>
              <w:left w:val="nil" w:sz="6" w:space="0" w:color="auto"/>
              <w:right w:val="nil" w:sz="6" w:space="0" w:color="auto"/>
            </w:tcBorders>
            <w:shd w:val="clear" w:color="auto" w:fill="DEEAF6"/>
          </w:tcPr>
          <w:p>
            <w:pPr/>
          </w:p>
        </w:tc>
        <w:tc>
          <w:tcPr>
            <w:tcW w:w="952" w:type="dxa"/>
            <w:vMerge/>
            <w:tcBorders>
              <w:left w:val="nil" w:sz="6" w:space="0" w:color="auto"/>
              <w:right w:val="nil" w:sz="6" w:space="0" w:color="auto"/>
            </w:tcBorders>
          </w:tcPr>
          <w:p>
            <w:pPr/>
          </w:p>
        </w:tc>
        <w:tc>
          <w:tcPr>
            <w:tcW w:w="758" w:type="dxa"/>
            <w:vMerge w:val="restart"/>
            <w:tcBorders>
              <w:top w:val="nil" w:sz="6" w:space="0" w:color="auto"/>
              <w:left w:val="nil" w:sz="6" w:space="0" w:color="auto"/>
              <w:right w:val="nil" w:sz="6" w:space="0" w:color="auto"/>
            </w:tcBorders>
            <w:shd w:val="clear" w:color="auto" w:fill="DEEAF6"/>
          </w:tcPr>
          <w:p>
            <w:pPr/>
          </w:p>
        </w:tc>
        <w:tc>
          <w:tcPr>
            <w:tcW w:w="1019" w:type="dxa"/>
            <w:vMerge/>
            <w:tcBorders>
              <w:left w:val="nil" w:sz="6" w:space="0" w:color="auto"/>
              <w:right w:val="nil" w:sz="6" w:space="0" w:color="auto"/>
            </w:tcBorders>
          </w:tcPr>
          <w:p>
            <w:pPr/>
          </w:p>
        </w:tc>
        <w:tc>
          <w:tcPr>
            <w:tcW w:w="1022" w:type="dxa"/>
            <w:vMerge w:val="restart"/>
            <w:tcBorders>
              <w:top w:val="nil" w:sz="6" w:space="0" w:color="auto"/>
              <w:left w:val="nil" w:sz="6" w:space="0" w:color="auto"/>
              <w:right w:val="nil" w:sz="6" w:space="0" w:color="auto"/>
            </w:tcBorders>
            <w:shd w:val="clear" w:color="auto" w:fill="DEEAF6"/>
          </w:tcPr>
          <w:p>
            <w:pPr/>
          </w:p>
        </w:tc>
        <w:tc>
          <w:tcPr>
            <w:tcW w:w="1002" w:type="dxa"/>
            <w:vMerge/>
            <w:tcBorders>
              <w:left w:val="nil" w:sz="6" w:space="0" w:color="auto"/>
              <w:right w:val="nil" w:sz="6" w:space="0" w:color="auto"/>
            </w:tcBorders>
          </w:tcPr>
          <w:p>
            <w:pPr/>
          </w:p>
        </w:tc>
        <w:tc>
          <w:tcPr>
            <w:tcW w:w="955" w:type="dxa"/>
            <w:vMerge w:val="restart"/>
            <w:tcBorders>
              <w:top w:val="nil" w:sz="6" w:space="0" w:color="auto"/>
              <w:left w:val="nil" w:sz="6" w:space="0" w:color="auto"/>
              <w:right w:val="nil" w:sz="6" w:space="0" w:color="auto"/>
            </w:tcBorders>
            <w:shd w:val="clear" w:color="auto" w:fill="DEEAF6"/>
          </w:tcPr>
          <w:p>
            <w:pPr/>
          </w:p>
        </w:tc>
      </w:tr>
      <w:tr>
        <w:trPr>
          <w:trHeight w:val="161" w:hRule="exact"/>
        </w:trPr>
        <w:tc>
          <w:tcPr>
            <w:tcW w:w="1220" w:type="dxa"/>
            <w:vMerge/>
            <w:tcBorders>
              <w:left w:val="nil" w:sz="6" w:space="0" w:color="auto"/>
              <w:bottom w:val="single" w:sz="4" w:space="0" w:color="5B9BD4"/>
              <w:right w:val="nil" w:sz="6" w:space="0" w:color="auto"/>
            </w:tcBorders>
            <w:shd w:val="clear" w:color="auto" w:fill="DEEAF6"/>
          </w:tcPr>
          <w:p>
            <w:pPr/>
          </w:p>
        </w:tc>
        <w:tc>
          <w:tcPr>
            <w:tcW w:w="1020" w:type="dxa"/>
            <w:vMerge/>
            <w:tcBorders>
              <w:left w:val="single" w:sz="11" w:space="0" w:color="DEEAF6"/>
              <w:bottom w:val="single" w:sz="4" w:space="0" w:color="5B9BD4"/>
              <w:right w:val="nil" w:sz="6" w:space="0" w:color="auto"/>
            </w:tcBorders>
          </w:tcPr>
          <w:p>
            <w:pPr/>
          </w:p>
        </w:tc>
        <w:tc>
          <w:tcPr>
            <w:tcW w:w="548" w:type="dxa"/>
            <w:vMerge/>
            <w:tcBorders>
              <w:left w:val="nil" w:sz="6" w:space="0" w:color="auto"/>
              <w:bottom w:val="single" w:sz="4" w:space="0" w:color="5B9BD4"/>
              <w:right w:val="nil" w:sz="6" w:space="0" w:color="auto"/>
            </w:tcBorders>
            <w:shd w:val="clear" w:color="auto" w:fill="DEEAF6"/>
          </w:tcPr>
          <w:p>
            <w:pPr/>
          </w:p>
        </w:tc>
        <w:tc>
          <w:tcPr>
            <w:tcW w:w="1409" w:type="dxa"/>
            <w:vMerge/>
            <w:tcBorders>
              <w:left w:val="nil" w:sz="6" w:space="0" w:color="auto"/>
              <w:bottom w:val="single" w:sz="4" w:space="0" w:color="5B9BD4"/>
              <w:right w:val="nil" w:sz="6" w:space="0" w:color="auto"/>
            </w:tcBorders>
          </w:tcPr>
          <w:p>
            <w:pPr/>
          </w:p>
        </w:tc>
        <w:tc>
          <w:tcPr>
            <w:tcW w:w="878" w:type="dxa"/>
            <w:vMerge/>
            <w:tcBorders>
              <w:left w:val="nil" w:sz="6" w:space="0" w:color="auto"/>
              <w:bottom w:val="single" w:sz="4" w:space="0" w:color="5B9BD4"/>
              <w:right w:val="nil" w:sz="6" w:space="0" w:color="auto"/>
            </w:tcBorders>
            <w:shd w:val="clear" w:color="auto" w:fill="DEEAF6"/>
          </w:tcPr>
          <w:p>
            <w:pPr/>
          </w:p>
        </w:tc>
        <w:tc>
          <w:tcPr>
            <w:tcW w:w="454" w:type="dxa"/>
            <w:vMerge/>
            <w:tcBorders>
              <w:left w:val="nil" w:sz="6" w:space="0" w:color="auto"/>
              <w:bottom w:val="single" w:sz="4" w:space="0" w:color="5B9BD4"/>
              <w:right w:val="nil" w:sz="6" w:space="0" w:color="auto"/>
            </w:tcBorders>
          </w:tcPr>
          <w:p>
            <w:pPr/>
          </w:p>
        </w:tc>
        <w:tc>
          <w:tcPr>
            <w:tcW w:w="1092" w:type="dxa"/>
            <w:tcBorders>
              <w:top w:val="nil" w:sz="6" w:space="0" w:color="auto"/>
              <w:left w:val="nil" w:sz="6" w:space="0" w:color="auto"/>
              <w:bottom w:val="single" w:sz="4" w:space="0" w:color="5B9BD4"/>
              <w:right w:val="nil" w:sz="6" w:space="0" w:color="auto"/>
            </w:tcBorders>
            <w:shd w:val="clear" w:color="auto" w:fill="DEEAF6"/>
          </w:tcPr>
          <w:p>
            <w:pPr/>
          </w:p>
        </w:tc>
        <w:tc>
          <w:tcPr>
            <w:tcW w:w="711" w:type="dxa"/>
            <w:vMerge/>
            <w:tcBorders>
              <w:left w:val="nil" w:sz="6" w:space="0" w:color="auto"/>
              <w:bottom w:val="single" w:sz="4" w:space="0" w:color="5B9BD4"/>
              <w:right w:val="nil" w:sz="6" w:space="0" w:color="auto"/>
            </w:tcBorders>
          </w:tcPr>
          <w:p>
            <w:pPr/>
          </w:p>
        </w:tc>
        <w:tc>
          <w:tcPr>
            <w:tcW w:w="917" w:type="dxa"/>
            <w:vMerge/>
            <w:tcBorders>
              <w:left w:val="nil" w:sz="6" w:space="0" w:color="auto"/>
              <w:bottom w:val="single" w:sz="4" w:space="0" w:color="5B9BD4"/>
              <w:right w:val="nil" w:sz="6" w:space="0" w:color="auto"/>
            </w:tcBorders>
            <w:shd w:val="clear" w:color="auto" w:fill="DEEAF6"/>
          </w:tcPr>
          <w:p>
            <w:pPr/>
          </w:p>
        </w:tc>
        <w:tc>
          <w:tcPr>
            <w:tcW w:w="952" w:type="dxa"/>
            <w:vMerge/>
            <w:tcBorders>
              <w:left w:val="nil" w:sz="6" w:space="0" w:color="auto"/>
              <w:bottom w:val="single" w:sz="4" w:space="0" w:color="5B9BD4"/>
              <w:right w:val="nil" w:sz="6" w:space="0" w:color="auto"/>
            </w:tcBorders>
          </w:tcPr>
          <w:p>
            <w:pPr/>
          </w:p>
        </w:tc>
        <w:tc>
          <w:tcPr>
            <w:tcW w:w="758" w:type="dxa"/>
            <w:vMerge/>
            <w:tcBorders>
              <w:left w:val="nil" w:sz="6" w:space="0" w:color="auto"/>
              <w:bottom w:val="single" w:sz="4" w:space="0" w:color="5B9BD4"/>
              <w:right w:val="nil" w:sz="6" w:space="0" w:color="auto"/>
            </w:tcBorders>
            <w:shd w:val="clear" w:color="auto" w:fill="DEEAF6"/>
          </w:tcPr>
          <w:p>
            <w:pPr/>
          </w:p>
        </w:tc>
        <w:tc>
          <w:tcPr>
            <w:tcW w:w="1019" w:type="dxa"/>
            <w:vMerge/>
            <w:tcBorders>
              <w:left w:val="nil" w:sz="6" w:space="0" w:color="auto"/>
              <w:bottom w:val="single" w:sz="4" w:space="0" w:color="5B9BD4"/>
              <w:right w:val="nil" w:sz="6" w:space="0" w:color="auto"/>
            </w:tcBorders>
          </w:tcPr>
          <w:p>
            <w:pPr/>
          </w:p>
        </w:tc>
        <w:tc>
          <w:tcPr>
            <w:tcW w:w="1022" w:type="dxa"/>
            <w:vMerge/>
            <w:tcBorders>
              <w:left w:val="nil" w:sz="6" w:space="0" w:color="auto"/>
              <w:bottom w:val="single" w:sz="4" w:space="0" w:color="5B9BD4"/>
              <w:right w:val="nil" w:sz="6" w:space="0" w:color="auto"/>
            </w:tcBorders>
            <w:shd w:val="clear" w:color="auto" w:fill="DEEAF6"/>
          </w:tcPr>
          <w:p>
            <w:pPr/>
          </w:p>
        </w:tc>
        <w:tc>
          <w:tcPr>
            <w:tcW w:w="1002" w:type="dxa"/>
            <w:vMerge/>
            <w:tcBorders>
              <w:left w:val="nil" w:sz="6" w:space="0" w:color="auto"/>
              <w:bottom w:val="single" w:sz="4" w:space="0" w:color="5B9BD4"/>
              <w:right w:val="nil" w:sz="6" w:space="0" w:color="auto"/>
            </w:tcBorders>
          </w:tcPr>
          <w:p>
            <w:pPr/>
          </w:p>
        </w:tc>
        <w:tc>
          <w:tcPr>
            <w:tcW w:w="955" w:type="dxa"/>
            <w:vMerge/>
            <w:tcBorders>
              <w:left w:val="nil" w:sz="6" w:space="0" w:color="auto"/>
              <w:bottom w:val="single" w:sz="4" w:space="0" w:color="5B9BD4"/>
              <w:right w:val="nil" w:sz="6" w:space="0" w:color="auto"/>
            </w:tcBorders>
            <w:shd w:val="clear" w:color="auto" w:fill="DEEAF6"/>
          </w:tcPr>
          <w:p>
            <w:pPr/>
          </w:p>
        </w:tc>
      </w:tr>
      <w:tr>
        <w:trPr>
          <w:trHeight w:val="190" w:hRule="exact"/>
        </w:trPr>
        <w:tc>
          <w:tcPr>
            <w:tcW w:w="1220"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75"/>
              <w:ind w:left="13" w:right="14"/>
              <w:jc w:val="left"/>
              <w:rPr>
                <w:rFonts w:ascii="宋体" w:hAnsi="宋体" w:cs="宋体" w:eastAsia="宋体" w:hint="default"/>
                <w:sz w:val="18"/>
                <w:szCs w:val="18"/>
              </w:rPr>
            </w:pPr>
            <w:r>
              <w:rPr>
                <w:rFonts w:ascii="宋体" w:hAnsi="宋体" w:cs="宋体" w:eastAsia="宋体" w:hint="default"/>
                <w:sz w:val="18"/>
                <w:szCs w:val="18"/>
              </w:rPr>
              <w:t>店商互联（北 </w:t>
            </w:r>
            <w:r>
              <w:rPr>
                <w:rFonts w:ascii="宋体" w:hAnsi="宋体" w:cs="宋体" w:eastAsia="宋体" w:hint="default"/>
                <w:spacing w:val="-10"/>
                <w:sz w:val="18"/>
                <w:szCs w:val="18"/>
              </w:rPr>
              <w:t>京）科技发展有</w:t>
            </w:r>
            <w:r>
              <w:rPr>
                <w:rFonts w:ascii="宋体" w:hAnsi="宋体" w:cs="宋体" w:eastAsia="宋体" w:hint="default"/>
                <w:sz w:val="18"/>
                <w:szCs w:val="18"/>
              </w:rPr>
              <w:t> 限公司</w:t>
            </w:r>
          </w:p>
        </w:tc>
        <w:tc>
          <w:tcPr>
            <w:tcW w:w="1020" w:type="dxa"/>
            <w:vMerge w:val="restart"/>
            <w:tcBorders>
              <w:top w:val="single" w:sz="4" w:space="0" w:color="5B9BD4"/>
              <w:left w:val="single" w:sz="11" w:space="0" w:color="DEEAF6"/>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316" w:lineRule="auto"/>
              <w:ind w:left="27" w:right="78"/>
              <w:jc w:val="left"/>
              <w:rPr>
                <w:rFonts w:ascii="宋体" w:hAnsi="宋体" w:cs="宋体" w:eastAsia="宋体" w:hint="default"/>
                <w:sz w:val="18"/>
                <w:szCs w:val="18"/>
              </w:rPr>
            </w:pPr>
            <w:r>
              <w:rPr>
                <w:rFonts w:ascii="宋体" w:hAnsi="宋体" w:cs="宋体" w:eastAsia="宋体" w:hint="default"/>
                <w:sz w:val="18"/>
                <w:szCs w:val="18"/>
              </w:rPr>
              <w:t>移动电商物 流金融服务</w:t>
            </w:r>
          </w:p>
        </w:tc>
        <w:tc>
          <w:tcPr>
            <w:tcW w:w="548" w:type="dxa"/>
            <w:vMerge w:val="restart"/>
            <w:tcBorders>
              <w:top w:val="single" w:sz="4" w:space="0" w:color="5B9BD4"/>
              <w:left w:val="nil" w:sz="6" w:space="0" w:color="auto"/>
              <w:right w:val="nil" w:sz="6" w:space="0" w:color="auto"/>
            </w:tcBorders>
            <w:shd w:val="clear" w:color="auto" w:fill="DEEAF6"/>
          </w:tcPr>
          <w:p>
            <w:pPr/>
          </w:p>
        </w:tc>
        <w:tc>
          <w:tcPr>
            <w:tcW w:w="1409"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26" w:right="0"/>
              <w:jc w:val="left"/>
              <w:rPr>
                <w:rFonts w:ascii="Arial" w:hAnsi="Arial" w:cs="Arial" w:eastAsia="Arial" w:hint="default"/>
                <w:sz w:val="18"/>
                <w:szCs w:val="18"/>
              </w:rPr>
            </w:pPr>
            <w:r>
              <w:rPr>
                <w:rFonts w:ascii="Arial"/>
                <w:sz w:val="18"/>
              </w:rPr>
              <w:t>30,000,000.00</w:t>
            </w:r>
          </w:p>
        </w:tc>
        <w:tc>
          <w:tcPr>
            <w:tcW w:w="878" w:type="dxa"/>
            <w:vMerge w:val="restart"/>
            <w:tcBorders>
              <w:top w:val="single" w:sz="4" w:space="0" w:color="5B9BD4"/>
              <w:left w:val="nil" w:sz="6" w:space="0" w:color="auto"/>
              <w:right w:val="nil" w:sz="6" w:space="0" w:color="auto"/>
            </w:tcBorders>
            <w:shd w:val="clear" w:color="auto" w:fill="DEEAF6"/>
          </w:tcPr>
          <w:p>
            <w:pPr/>
          </w:p>
        </w:tc>
        <w:tc>
          <w:tcPr>
            <w:tcW w:w="454" w:type="dxa"/>
            <w:vMerge w:val="restart"/>
            <w:tcBorders>
              <w:top w:val="single" w:sz="4" w:space="0" w:color="5B9BD4"/>
              <w:left w:val="nil" w:sz="6" w:space="0" w:color="auto"/>
              <w:right w:val="single" w:sz="11" w:space="0" w:color="DEEAF6"/>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316" w:lineRule="auto"/>
              <w:ind w:left="13" w:right="6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092"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75"/>
              <w:ind w:left="27" w:right="162"/>
              <w:jc w:val="both"/>
              <w:rPr>
                <w:rFonts w:ascii="宋体" w:hAnsi="宋体" w:cs="宋体" w:eastAsia="宋体" w:hint="default"/>
                <w:sz w:val="18"/>
                <w:szCs w:val="18"/>
              </w:rPr>
            </w:pPr>
            <w:r>
              <w:rPr>
                <w:rFonts w:ascii="宋体" w:hAnsi="宋体" w:cs="宋体" w:eastAsia="宋体" w:hint="default"/>
                <w:sz w:val="18"/>
                <w:szCs w:val="18"/>
              </w:rPr>
              <w:t>真如投资等 公司及自然 人</w:t>
            </w:r>
          </w:p>
        </w:tc>
        <w:tc>
          <w:tcPr>
            <w:tcW w:w="711" w:type="dxa"/>
            <w:vMerge w:val="restart"/>
            <w:tcBorders>
              <w:top w:val="single" w:sz="4" w:space="0" w:color="5B9BD4"/>
              <w:left w:val="single" w:sz="11" w:space="0" w:color="DEEAF6"/>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3" w:right="0"/>
              <w:jc w:val="left"/>
              <w:rPr>
                <w:rFonts w:ascii="Arial" w:hAnsi="Arial" w:cs="Arial" w:eastAsia="Arial" w:hint="default"/>
                <w:sz w:val="18"/>
                <w:szCs w:val="18"/>
              </w:rPr>
            </w:pPr>
            <w:r>
              <w:rPr>
                <w:rFonts w:ascii="Arial"/>
                <w:w w:val="157"/>
                <w:sz w:val="18"/>
              </w:rPr>
              <w:t>/</w:t>
            </w:r>
            <w:r>
              <w:rPr>
                <w:rFonts w:ascii="Arial"/>
                <w:sz w:val="18"/>
              </w:rPr>
            </w:r>
          </w:p>
        </w:tc>
        <w:tc>
          <w:tcPr>
            <w:tcW w:w="917" w:type="dxa"/>
            <w:tcBorders>
              <w:top w:val="single" w:sz="4" w:space="0" w:color="5B9BD4"/>
              <w:left w:val="nil" w:sz="6" w:space="0" w:color="auto"/>
              <w:bottom w:val="nil" w:sz="6" w:space="0" w:color="auto"/>
              <w:right w:val="nil" w:sz="6" w:space="0" w:color="auto"/>
            </w:tcBorders>
            <w:shd w:val="clear" w:color="auto" w:fill="DEEAF6"/>
          </w:tcPr>
          <w:p>
            <w:pPr/>
          </w:p>
        </w:tc>
        <w:tc>
          <w:tcPr>
            <w:tcW w:w="952" w:type="dxa"/>
            <w:vMerge w:val="restart"/>
            <w:tcBorders>
              <w:top w:val="single" w:sz="4" w:space="0" w:color="5B9BD4"/>
              <w:left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316" w:lineRule="auto"/>
              <w:ind w:left="13" w:right="35"/>
              <w:jc w:val="left"/>
              <w:rPr>
                <w:rFonts w:ascii="宋体" w:hAnsi="宋体" w:cs="宋体" w:eastAsia="宋体" w:hint="default"/>
                <w:sz w:val="18"/>
                <w:szCs w:val="18"/>
              </w:rPr>
            </w:pPr>
            <w:r>
              <w:rPr>
                <w:rFonts w:ascii="宋体" w:hAnsi="宋体" w:cs="宋体" w:eastAsia="宋体" w:hint="default"/>
                <w:sz w:val="18"/>
                <w:szCs w:val="18"/>
              </w:rPr>
              <w:t>工商登记完 成</w:t>
            </w:r>
          </w:p>
        </w:tc>
        <w:tc>
          <w:tcPr>
            <w:tcW w:w="758" w:type="dxa"/>
            <w:vMerge w:val="restart"/>
            <w:tcBorders>
              <w:top w:val="single" w:sz="4" w:space="0" w:color="5B9BD4"/>
              <w:left w:val="nil" w:sz="6" w:space="0" w:color="auto"/>
              <w:right w:val="nil" w:sz="6" w:space="0" w:color="auto"/>
            </w:tcBorders>
            <w:shd w:val="clear" w:color="auto" w:fill="DEEAF6"/>
          </w:tcPr>
          <w:p>
            <w:pPr/>
          </w:p>
        </w:tc>
        <w:tc>
          <w:tcPr>
            <w:tcW w:w="1019" w:type="dxa"/>
            <w:vMerge w:val="restart"/>
            <w:tcBorders>
              <w:top w:val="single" w:sz="4" w:space="0" w:color="5B9BD4"/>
              <w:left w:val="nil" w:sz="6" w:space="0" w:color="auto"/>
              <w:right w:val="nil" w:sz="6" w:space="0" w:color="auto"/>
            </w:tcBorders>
          </w:tcPr>
          <w:p>
            <w:pPr/>
          </w:p>
        </w:tc>
        <w:tc>
          <w:tcPr>
            <w:tcW w:w="1022" w:type="dxa"/>
            <w:vMerge w:val="restart"/>
            <w:tcBorders>
              <w:top w:val="single" w:sz="4" w:space="0" w:color="5B9BD4"/>
              <w:left w:val="nil" w:sz="6" w:space="0" w:color="auto"/>
              <w:right w:val="nil" w:sz="6" w:space="0" w:color="auto"/>
            </w:tcBorders>
            <w:shd w:val="clear" w:color="auto" w:fill="DEEAF6"/>
          </w:tcPr>
          <w:p>
            <w:pPr/>
          </w:p>
        </w:tc>
        <w:tc>
          <w:tcPr>
            <w:tcW w:w="1002" w:type="dxa"/>
            <w:vMerge w:val="restart"/>
            <w:tcBorders>
              <w:top w:val="single" w:sz="4" w:space="0" w:color="5B9BD4"/>
              <w:left w:val="nil" w:sz="6" w:space="0" w:color="auto"/>
              <w:right w:val="nil" w:sz="6" w:space="0" w:color="auto"/>
            </w:tcBorders>
          </w:tcPr>
          <w:p>
            <w:pPr/>
          </w:p>
        </w:tc>
        <w:tc>
          <w:tcPr>
            <w:tcW w:w="955" w:type="dxa"/>
            <w:vMerge w:val="restart"/>
            <w:tcBorders>
              <w:top w:val="single" w:sz="4" w:space="0" w:color="5B9BD4"/>
              <w:left w:val="nil" w:sz="6" w:space="0" w:color="auto"/>
              <w:right w:val="nil" w:sz="6" w:space="0" w:color="auto"/>
            </w:tcBorders>
            <w:shd w:val="clear" w:color="auto" w:fill="DEEAF6"/>
          </w:tcPr>
          <w:p>
            <w:pPr/>
          </w:p>
        </w:tc>
      </w:tr>
      <w:tr>
        <w:trPr>
          <w:trHeight w:val="156" w:hRule="exact"/>
        </w:trPr>
        <w:tc>
          <w:tcPr>
            <w:tcW w:w="1220" w:type="dxa"/>
            <w:vMerge/>
            <w:tcBorders>
              <w:left w:val="nil" w:sz="6" w:space="0" w:color="auto"/>
              <w:right w:val="nil" w:sz="6" w:space="0" w:color="auto"/>
            </w:tcBorders>
            <w:shd w:val="clear" w:color="auto" w:fill="DEEAF6"/>
          </w:tcPr>
          <w:p>
            <w:pPr/>
          </w:p>
        </w:tc>
        <w:tc>
          <w:tcPr>
            <w:tcW w:w="1020" w:type="dxa"/>
            <w:vMerge/>
            <w:tcBorders>
              <w:left w:val="single" w:sz="11" w:space="0" w:color="DEEAF6"/>
              <w:right w:val="nil" w:sz="6" w:space="0" w:color="auto"/>
            </w:tcBorders>
          </w:tcPr>
          <w:p>
            <w:pPr/>
          </w:p>
        </w:tc>
        <w:tc>
          <w:tcPr>
            <w:tcW w:w="548" w:type="dxa"/>
            <w:vMerge/>
            <w:tcBorders>
              <w:left w:val="nil" w:sz="6" w:space="0" w:color="auto"/>
              <w:bottom w:val="nil" w:sz="6" w:space="0" w:color="auto"/>
              <w:right w:val="nil" w:sz="6" w:space="0" w:color="auto"/>
            </w:tcBorders>
            <w:shd w:val="clear" w:color="auto" w:fill="DEEAF6"/>
          </w:tcPr>
          <w:p>
            <w:pPr/>
          </w:p>
        </w:tc>
        <w:tc>
          <w:tcPr>
            <w:tcW w:w="1409" w:type="dxa"/>
            <w:vMerge/>
            <w:tcBorders>
              <w:left w:val="nil" w:sz="6" w:space="0" w:color="auto"/>
              <w:right w:val="nil" w:sz="6" w:space="0" w:color="auto"/>
            </w:tcBorders>
          </w:tcPr>
          <w:p>
            <w:pPr/>
          </w:p>
        </w:tc>
        <w:tc>
          <w:tcPr>
            <w:tcW w:w="878" w:type="dxa"/>
            <w:vMerge/>
            <w:tcBorders>
              <w:left w:val="nil" w:sz="6" w:space="0" w:color="auto"/>
              <w:bottom w:val="nil" w:sz="6" w:space="0" w:color="auto"/>
              <w:right w:val="nil" w:sz="6" w:space="0" w:color="auto"/>
            </w:tcBorders>
            <w:shd w:val="clear" w:color="auto" w:fill="DEEAF6"/>
          </w:tcPr>
          <w:p>
            <w:pPr/>
          </w:p>
        </w:tc>
        <w:tc>
          <w:tcPr>
            <w:tcW w:w="454" w:type="dxa"/>
            <w:vMerge/>
            <w:tcBorders>
              <w:left w:val="nil" w:sz="6" w:space="0" w:color="auto"/>
              <w:right w:val="single" w:sz="11" w:space="0" w:color="DEEAF6"/>
            </w:tcBorders>
          </w:tcPr>
          <w:p>
            <w:pPr/>
          </w:p>
        </w:tc>
        <w:tc>
          <w:tcPr>
            <w:tcW w:w="1092" w:type="dxa"/>
            <w:vMerge/>
            <w:tcBorders>
              <w:left w:val="nil" w:sz="6" w:space="0" w:color="auto"/>
              <w:right w:val="nil" w:sz="6" w:space="0" w:color="auto"/>
            </w:tcBorders>
            <w:shd w:val="clear" w:color="auto" w:fill="DEEAF6"/>
          </w:tcPr>
          <w:p>
            <w:pPr/>
          </w:p>
        </w:tc>
        <w:tc>
          <w:tcPr>
            <w:tcW w:w="711" w:type="dxa"/>
            <w:vMerge/>
            <w:tcBorders>
              <w:left w:val="single" w:sz="11" w:space="0" w:color="DEEAF6"/>
              <w:right w:val="nil" w:sz="6" w:space="0" w:color="auto"/>
            </w:tcBorders>
          </w:tcPr>
          <w:p>
            <w:pPr/>
          </w:p>
        </w:tc>
        <w:tc>
          <w:tcPr>
            <w:tcW w:w="917"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28" w:right="166"/>
              <w:jc w:val="left"/>
              <w:rPr>
                <w:rFonts w:ascii="宋体" w:hAnsi="宋体" w:cs="宋体" w:eastAsia="宋体" w:hint="default"/>
                <w:sz w:val="18"/>
                <w:szCs w:val="18"/>
              </w:rPr>
            </w:pPr>
            <w:r>
              <w:rPr>
                <w:rFonts w:ascii="宋体" w:hAnsi="宋体" w:cs="宋体" w:eastAsia="宋体" w:hint="default"/>
                <w:sz w:val="18"/>
                <w:szCs w:val="18"/>
              </w:rPr>
              <w:t>金融及物 流服务</w:t>
            </w:r>
          </w:p>
        </w:tc>
        <w:tc>
          <w:tcPr>
            <w:tcW w:w="952" w:type="dxa"/>
            <w:vMerge/>
            <w:tcBorders>
              <w:left w:val="nil" w:sz="6" w:space="0" w:color="auto"/>
              <w:right w:val="nil" w:sz="6" w:space="0" w:color="auto"/>
            </w:tcBorders>
          </w:tcPr>
          <w:p>
            <w:pPr/>
          </w:p>
        </w:tc>
        <w:tc>
          <w:tcPr>
            <w:tcW w:w="758" w:type="dxa"/>
            <w:vMerge/>
            <w:tcBorders>
              <w:left w:val="nil" w:sz="6" w:space="0" w:color="auto"/>
              <w:bottom w:val="nil" w:sz="6" w:space="0" w:color="auto"/>
              <w:right w:val="nil" w:sz="6" w:space="0" w:color="auto"/>
            </w:tcBorders>
            <w:shd w:val="clear" w:color="auto" w:fill="DEEAF6"/>
          </w:tcPr>
          <w:p>
            <w:pPr/>
          </w:p>
        </w:tc>
        <w:tc>
          <w:tcPr>
            <w:tcW w:w="1019" w:type="dxa"/>
            <w:vMerge/>
            <w:tcBorders>
              <w:left w:val="nil" w:sz="6" w:space="0" w:color="auto"/>
              <w:right w:val="nil" w:sz="6" w:space="0" w:color="auto"/>
            </w:tcBorders>
          </w:tcPr>
          <w:p>
            <w:pPr/>
          </w:p>
        </w:tc>
        <w:tc>
          <w:tcPr>
            <w:tcW w:w="1022" w:type="dxa"/>
            <w:vMerge/>
            <w:tcBorders>
              <w:left w:val="nil" w:sz="6" w:space="0" w:color="auto"/>
              <w:bottom w:val="nil" w:sz="6" w:space="0" w:color="auto"/>
              <w:right w:val="nil" w:sz="6" w:space="0" w:color="auto"/>
            </w:tcBorders>
            <w:shd w:val="clear" w:color="auto" w:fill="DEEAF6"/>
          </w:tcPr>
          <w:p>
            <w:pPr/>
          </w:p>
        </w:tc>
        <w:tc>
          <w:tcPr>
            <w:tcW w:w="1002" w:type="dxa"/>
            <w:vMerge/>
            <w:tcBorders>
              <w:left w:val="nil" w:sz="6" w:space="0" w:color="auto"/>
              <w:right w:val="nil" w:sz="6" w:space="0" w:color="auto"/>
            </w:tcBorders>
          </w:tcPr>
          <w:p>
            <w:pPr/>
          </w:p>
        </w:tc>
        <w:tc>
          <w:tcPr>
            <w:tcW w:w="955" w:type="dxa"/>
            <w:vMerge/>
            <w:tcBorders>
              <w:left w:val="nil" w:sz="6" w:space="0" w:color="auto"/>
              <w:bottom w:val="nil" w:sz="6" w:space="0" w:color="auto"/>
              <w:right w:val="nil" w:sz="6" w:space="0" w:color="auto"/>
            </w:tcBorders>
            <w:shd w:val="clear" w:color="auto" w:fill="DEEAF6"/>
          </w:tcPr>
          <w:p>
            <w:pPr/>
          </w:p>
        </w:tc>
      </w:tr>
      <w:tr>
        <w:trPr>
          <w:trHeight w:val="392" w:hRule="exact"/>
        </w:trPr>
        <w:tc>
          <w:tcPr>
            <w:tcW w:w="1220" w:type="dxa"/>
            <w:vMerge/>
            <w:tcBorders>
              <w:left w:val="nil" w:sz="6" w:space="0" w:color="auto"/>
              <w:right w:val="nil" w:sz="6" w:space="0" w:color="auto"/>
            </w:tcBorders>
            <w:shd w:val="clear" w:color="auto" w:fill="DEEAF6"/>
          </w:tcPr>
          <w:p>
            <w:pPr/>
          </w:p>
        </w:tc>
        <w:tc>
          <w:tcPr>
            <w:tcW w:w="1020" w:type="dxa"/>
            <w:vMerge/>
            <w:tcBorders>
              <w:left w:val="single" w:sz="11" w:space="0" w:color="DEEAF6"/>
              <w:right w:val="nil" w:sz="6" w:space="0" w:color="auto"/>
            </w:tcBorders>
          </w:tcPr>
          <w:p>
            <w:pPr/>
          </w:p>
        </w:tc>
        <w:tc>
          <w:tcPr>
            <w:tcW w:w="548"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1409" w:type="dxa"/>
            <w:vMerge/>
            <w:tcBorders>
              <w:left w:val="nil" w:sz="6" w:space="0" w:color="auto"/>
              <w:right w:val="nil" w:sz="6" w:space="0" w:color="auto"/>
            </w:tcBorders>
          </w:tcPr>
          <w:p>
            <w:pPr/>
          </w:p>
        </w:tc>
        <w:tc>
          <w:tcPr>
            <w:tcW w:w="878"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39"/>
              <w:jc w:val="right"/>
              <w:rPr>
                <w:rFonts w:ascii="Arial" w:hAnsi="Arial" w:cs="Arial" w:eastAsia="Arial" w:hint="default"/>
                <w:sz w:val="18"/>
                <w:szCs w:val="18"/>
              </w:rPr>
            </w:pPr>
            <w:r>
              <w:rPr>
                <w:rFonts w:ascii="Arial"/>
                <w:w w:val="95"/>
                <w:sz w:val="18"/>
              </w:rPr>
              <w:t>5.00%</w:t>
            </w:r>
            <w:r>
              <w:rPr>
                <w:rFonts w:ascii="Arial"/>
                <w:sz w:val="18"/>
              </w:rPr>
            </w:r>
          </w:p>
        </w:tc>
        <w:tc>
          <w:tcPr>
            <w:tcW w:w="454" w:type="dxa"/>
            <w:vMerge/>
            <w:tcBorders>
              <w:left w:val="nil" w:sz="6" w:space="0" w:color="auto"/>
              <w:right w:val="single" w:sz="11" w:space="0" w:color="DEEAF6"/>
            </w:tcBorders>
          </w:tcPr>
          <w:p>
            <w:pPr/>
          </w:p>
        </w:tc>
        <w:tc>
          <w:tcPr>
            <w:tcW w:w="1092" w:type="dxa"/>
            <w:vMerge/>
            <w:tcBorders>
              <w:left w:val="nil" w:sz="6" w:space="0" w:color="auto"/>
              <w:right w:val="nil" w:sz="6" w:space="0" w:color="auto"/>
            </w:tcBorders>
            <w:shd w:val="clear" w:color="auto" w:fill="DEEAF6"/>
          </w:tcPr>
          <w:p>
            <w:pPr/>
          </w:p>
        </w:tc>
        <w:tc>
          <w:tcPr>
            <w:tcW w:w="711" w:type="dxa"/>
            <w:vMerge/>
            <w:tcBorders>
              <w:left w:val="single" w:sz="11" w:space="0" w:color="DEEAF6"/>
              <w:right w:val="nil" w:sz="6" w:space="0" w:color="auto"/>
            </w:tcBorders>
          </w:tcPr>
          <w:p>
            <w:pPr/>
          </w:p>
        </w:tc>
        <w:tc>
          <w:tcPr>
            <w:tcW w:w="917" w:type="dxa"/>
            <w:vMerge/>
            <w:tcBorders>
              <w:left w:val="nil" w:sz="6" w:space="0" w:color="auto"/>
              <w:right w:val="nil" w:sz="6" w:space="0" w:color="auto"/>
            </w:tcBorders>
            <w:shd w:val="clear" w:color="auto" w:fill="DEEAF6"/>
          </w:tcPr>
          <w:p>
            <w:pPr/>
          </w:p>
        </w:tc>
        <w:tc>
          <w:tcPr>
            <w:tcW w:w="952" w:type="dxa"/>
            <w:vMerge/>
            <w:tcBorders>
              <w:left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shd w:val="clear" w:color="auto" w:fill="DEEAF6"/>
          </w:tcPr>
          <w:p>
            <w:pPr/>
          </w:p>
        </w:tc>
        <w:tc>
          <w:tcPr>
            <w:tcW w:w="1019" w:type="dxa"/>
            <w:vMerge/>
            <w:tcBorders>
              <w:left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2" w:type="dxa"/>
            <w:vMerge/>
            <w:tcBorders>
              <w:left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shd w:val="clear" w:color="auto" w:fill="DEEAF6"/>
          </w:tcPr>
          <w:p>
            <w:pPr/>
          </w:p>
        </w:tc>
      </w:tr>
      <w:tr>
        <w:trPr>
          <w:trHeight w:val="156" w:hRule="exact"/>
        </w:trPr>
        <w:tc>
          <w:tcPr>
            <w:tcW w:w="1220" w:type="dxa"/>
            <w:vMerge/>
            <w:tcBorders>
              <w:left w:val="nil" w:sz="6" w:space="0" w:color="auto"/>
              <w:right w:val="nil" w:sz="6" w:space="0" w:color="auto"/>
            </w:tcBorders>
            <w:shd w:val="clear" w:color="auto" w:fill="DEEAF6"/>
          </w:tcPr>
          <w:p>
            <w:pPr/>
          </w:p>
        </w:tc>
        <w:tc>
          <w:tcPr>
            <w:tcW w:w="1020" w:type="dxa"/>
            <w:vMerge/>
            <w:tcBorders>
              <w:left w:val="single" w:sz="11" w:space="0" w:color="DEEAF6"/>
              <w:right w:val="nil" w:sz="6" w:space="0" w:color="auto"/>
            </w:tcBorders>
          </w:tcPr>
          <w:p>
            <w:pPr/>
          </w:p>
        </w:tc>
        <w:tc>
          <w:tcPr>
            <w:tcW w:w="548" w:type="dxa"/>
            <w:vMerge w:val="restart"/>
            <w:tcBorders>
              <w:top w:val="nil" w:sz="6" w:space="0" w:color="auto"/>
              <w:left w:val="nil" w:sz="6" w:space="0" w:color="auto"/>
              <w:right w:val="nil" w:sz="6" w:space="0" w:color="auto"/>
            </w:tcBorders>
            <w:shd w:val="clear" w:color="auto" w:fill="DEEAF6"/>
          </w:tcPr>
          <w:p>
            <w:pPr/>
          </w:p>
        </w:tc>
        <w:tc>
          <w:tcPr>
            <w:tcW w:w="1409" w:type="dxa"/>
            <w:vMerge/>
            <w:tcBorders>
              <w:left w:val="nil" w:sz="6" w:space="0" w:color="auto"/>
              <w:right w:val="nil" w:sz="6" w:space="0" w:color="auto"/>
            </w:tcBorders>
          </w:tcPr>
          <w:p>
            <w:pPr/>
          </w:p>
        </w:tc>
        <w:tc>
          <w:tcPr>
            <w:tcW w:w="878" w:type="dxa"/>
            <w:vMerge w:val="restart"/>
            <w:tcBorders>
              <w:top w:val="nil" w:sz="6" w:space="0" w:color="auto"/>
              <w:left w:val="nil" w:sz="6" w:space="0" w:color="auto"/>
              <w:right w:val="nil" w:sz="6" w:space="0" w:color="auto"/>
            </w:tcBorders>
            <w:shd w:val="clear" w:color="auto" w:fill="DEEAF6"/>
          </w:tcPr>
          <w:p>
            <w:pPr/>
          </w:p>
        </w:tc>
        <w:tc>
          <w:tcPr>
            <w:tcW w:w="454" w:type="dxa"/>
            <w:vMerge/>
            <w:tcBorders>
              <w:left w:val="nil" w:sz="6" w:space="0" w:color="auto"/>
              <w:right w:val="single" w:sz="11" w:space="0" w:color="DEEAF6"/>
            </w:tcBorders>
          </w:tcPr>
          <w:p>
            <w:pPr/>
          </w:p>
        </w:tc>
        <w:tc>
          <w:tcPr>
            <w:tcW w:w="1092" w:type="dxa"/>
            <w:vMerge/>
            <w:tcBorders>
              <w:left w:val="nil" w:sz="6" w:space="0" w:color="auto"/>
              <w:right w:val="nil" w:sz="6" w:space="0" w:color="auto"/>
            </w:tcBorders>
            <w:shd w:val="clear" w:color="auto" w:fill="DEEAF6"/>
          </w:tcPr>
          <w:p>
            <w:pPr/>
          </w:p>
        </w:tc>
        <w:tc>
          <w:tcPr>
            <w:tcW w:w="711" w:type="dxa"/>
            <w:vMerge/>
            <w:tcBorders>
              <w:left w:val="single" w:sz="11" w:space="0" w:color="DEEAF6"/>
              <w:right w:val="nil" w:sz="6" w:space="0" w:color="auto"/>
            </w:tcBorders>
          </w:tcPr>
          <w:p>
            <w:pPr/>
          </w:p>
        </w:tc>
        <w:tc>
          <w:tcPr>
            <w:tcW w:w="917" w:type="dxa"/>
            <w:vMerge/>
            <w:tcBorders>
              <w:left w:val="nil" w:sz="6" w:space="0" w:color="auto"/>
              <w:bottom w:val="nil" w:sz="6" w:space="0" w:color="auto"/>
              <w:right w:val="nil" w:sz="6" w:space="0" w:color="auto"/>
            </w:tcBorders>
            <w:shd w:val="clear" w:color="auto" w:fill="DEEAF6"/>
          </w:tcPr>
          <w:p>
            <w:pPr/>
          </w:p>
        </w:tc>
        <w:tc>
          <w:tcPr>
            <w:tcW w:w="952" w:type="dxa"/>
            <w:vMerge/>
            <w:tcBorders>
              <w:left w:val="nil" w:sz="6" w:space="0" w:color="auto"/>
              <w:right w:val="nil" w:sz="6" w:space="0" w:color="auto"/>
            </w:tcBorders>
          </w:tcPr>
          <w:p>
            <w:pPr/>
          </w:p>
        </w:tc>
        <w:tc>
          <w:tcPr>
            <w:tcW w:w="758" w:type="dxa"/>
            <w:vMerge w:val="restart"/>
            <w:tcBorders>
              <w:top w:val="nil" w:sz="6" w:space="0" w:color="auto"/>
              <w:left w:val="nil" w:sz="6" w:space="0" w:color="auto"/>
              <w:right w:val="nil" w:sz="6" w:space="0" w:color="auto"/>
            </w:tcBorders>
            <w:shd w:val="clear" w:color="auto" w:fill="DEEAF6"/>
          </w:tcPr>
          <w:p>
            <w:pPr/>
          </w:p>
        </w:tc>
        <w:tc>
          <w:tcPr>
            <w:tcW w:w="1019" w:type="dxa"/>
            <w:vMerge/>
            <w:tcBorders>
              <w:left w:val="nil" w:sz="6" w:space="0" w:color="auto"/>
              <w:right w:val="nil" w:sz="6" w:space="0" w:color="auto"/>
            </w:tcBorders>
          </w:tcPr>
          <w:p>
            <w:pPr/>
          </w:p>
        </w:tc>
        <w:tc>
          <w:tcPr>
            <w:tcW w:w="1022" w:type="dxa"/>
            <w:vMerge w:val="restart"/>
            <w:tcBorders>
              <w:top w:val="nil" w:sz="6" w:space="0" w:color="auto"/>
              <w:left w:val="nil" w:sz="6" w:space="0" w:color="auto"/>
              <w:right w:val="nil" w:sz="6" w:space="0" w:color="auto"/>
            </w:tcBorders>
            <w:shd w:val="clear" w:color="auto" w:fill="DEEAF6"/>
          </w:tcPr>
          <w:p>
            <w:pPr/>
          </w:p>
        </w:tc>
        <w:tc>
          <w:tcPr>
            <w:tcW w:w="1002" w:type="dxa"/>
            <w:vMerge/>
            <w:tcBorders>
              <w:left w:val="nil" w:sz="6" w:space="0" w:color="auto"/>
              <w:right w:val="nil" w:sz="6" w:space="0" w:color="auto"/>
            </w:tcBorders>
          </w:tcPr>
          <w:p>
            <w:pPr/>
          </w:p>
        </w:tc>
        <w:tc>
          <w:tcPr>
            <w:tcW w:w="955" w:type="dxa"/>
            <w:vMerge w:val="restart"/>
            <w:tcBorders>
              <w:top w:val="nil" w:sz="6" w:space="0" w:color="auto"/>
              <w:left w:val="nil" w:sz="6" w:space="0" w:color="auto"/>
              <w:right w:val="nil" w:sz="6" w:space="0" w:color="auto"/>
            </w:tcBorders>
            <w:shd w:val="clear" w:color="auto" w:fill="DEEAF6"/>
          </w:tcPr>
          <w:p>
            <w:pPr/>
          </w:p>
        </w:tc>
      </w:tr>
      <w:tr>
        <w:trPr>
          <w:trHeight w:val="188" w:hRule="exact"/>
        </w:trPr>
        <w:tc>
          <w:tcPr>
            <w:tcW w:w="1220" w:type="dxa"/>
            <w:vMerge/>
            <w:tcBorders>
              <w:left w:val="nil" w:sz="6" w:space="0" w:color="auto"/>
              <w:bottom w:val="single" w:sz="4" w:space="0" w:color="5B9BD4"/>
              <w:right w:val="nil" w:sz="6" w:space="0" w:color="auto"/>
            </w:tcBorders>
            <w:shd w:val="clear" w:color="auto" w:fill="DEEAF6"/>
          </w:tcPr>
          <w:p>
            <w:pPr/>
          </w:p>
        </w:tc>
        <w:tc>
          <w:tcPr>
            <w:tcW w:w="1020" w:type="dxa"/>
            <w:vMerge/>
            <w:tcBorders>
              <w:left w:val="single" w:sz="11" w:space="0" w:color="DEEAF6"/>
              <w:bottom w:val="single" w:sz="4" w:space="0" w:color="5B9BD4"/>
              <w:right w:val="nil" w:sz="6" w:space="0" w:color="auto"/>
            </w:tcBorders>
          </w:tcPr>
          <w:p>
            <w:pPr/>
          </w:p>
        </w:tc>
        <w:tc>
          <w:tcPr>
            <w:tcW w:w="548" w:type="dxa"/>
            <w:vMerge/>
            <w:tcBorders>
              <w:left w:val="nil" w:sz="6" w:space="0" w:color="auto"/>
              <w:bottom w:val="single" w:sz="4" w:space="0" w:color="5B9BD4"/>
              <w:right w:val="nil" w:sz="6" w:space="0" w:color="auto"/>
            </w:tcBorders>
            <w:shd w:val="clear" w:color="auto" w:fill="DEEAF6"/>
          </w:tcPr>
          <w:p>
            <w:pPr/>
          </w:p>
        </w:tc>
        <w:tc>
          <w:tcPr>
            <w:tcW w:w="1409" w:type="dxa"/>
            <w:vMerge/>
            <w:tcBorders>
              <w:left w:val="nil" w:sz="6" w:space="0" w:color="auto"/>
              <w:bottom w:val="single" w:sz="4" w:space="0" w:color="5B9BD4"/>
              <w:right w:val="nil" w:sz="6" w:space="0" w:color="auto"/>
            </w:tcBorders>
          </w:tcPr>
          <w:p>
            <w:pPr/>
          </w:p>
        </w:tc>
        <w:tc>
          <w:tcPr>
            <w:tcW w:w="878" w:type="dxa"/>
            <w:vMerge/>
            <w:tcBorders>
              <w:left w:val="nil" w:sz="6" w:space="0" w:color="auto"/>
              <w:bottom w:val="single" w:sz="4" w:space="0" w:color="5B9BD4"/>
              <w:right w:val="nil" w:sz="6" w:space="0" w:color="auto"/>
            </w:tcBorders>
            <w:shd w:val="clear" w:color="auto" w:fill="DEEAF6"/>
          </w:tcPr>
          <w:p>
            <w:pPr/>
          </w:p>
        </w:tc>
        <w:tc>
          <w:tcPr>
            <w:tcW w:w="454" w:type="dxa"/>
            <w:vMerge/>
            <w:tcBorders>
              <w:left w:val="nil" w:sz="6" w:space="0" w:color="auto"/>
              <w:bottom w:val="single" w:sz="4" w:space="0" w:color="5B9BD4"/>
              <w:right w:val="single" w:sz="11" w:space="0" w:color="DEEAF6"/>
            </w:tcBorders>
          </w:tcPr>
          <w:p>
            <w:pPr/>
          </w:p>
        </w:tc>
        <w:tc>
          <w:tcPr>
            <w:tcW w:w="1092" w:type="dxa"/>
            <w:vMerge/>
            <w:tcBorders>
              <w:left w:val="nil" w:sz="6" w:space="0" w:color="auto"/>
              <w:bottom w:val="single" w:sz="4" w:space="0" w:color="5B9BD4"/>
              <w:right w:val="nil" w:sz="6" w:space="0" w:color="auto"/>
            </w:tcBorders>
            <w:shd w:val="clear" w:color="auto" w:fill="DEEAF6"/>
          </w:tcPr>
          <w:p>
            <w:pPr/>
          </w:p>
        </w:tc>
        <w:tc>
          <w:tcPr>
            <w:tcW w:w="711" w:type="dxa"/>
            <w:vMerge/>
            <w:tcBorders>
              <w:left w:val="single" w:sz="11" w:space="0" w:color="DEEAF6"/>
              <w:bottom w:val="single" w:sz="4" w:space="0" w:color="5B9BD4"/>
              <w:right w:val="nil" w:sz="6" w:space="0" w:color="auto"/>
            </w:tcBorders>
          </w:tcPr>
          <w:p>
            <w:pPr/>
          </w:p>
        </w:tc>
        <w:tc>
          <w:tcPr>
            <w:tcW w:w="917" w:type="dxa"/>
            <w:tcBorders>
              <w:top w:val="nil" w:sz="6" w:space="0" w:color="auto"/>
              <w:left w:val="nil" w:sz="6" w:space="0" w:color="auto"/>
              <w:bottom w:val="single" w:sz="4" w:space="0" w:color="5B9BD4"/>
              <w:right w:val="nil" w:sz="6" w:space="0" w:color="auto"/>
            </w:tcBorders>
            <w:shd w:val="clear" w:color="auto" w:fill="DEEAF6"/>
          </w:tcPr>
          <w:p>
            <w:pPr/>
          </w:p>
        </w:tc>
        <w:tc>
          <w:tcPr>
            <w:tcW w:w="952" w:type="dxa"/>
            <w:vMerge/>
            <w:tcBorders>
              <w:left w:val="nil" w:sz="6" w:space="0" w:color="auto"/>
              <w:bottom w:val="single" w:sz="4" w:space="0" w:color="5B9BD4"/>
              <w:right w:val="nil" w:sz="6" w:space="0" w:color="auto"/>
            </w:tcBorders>
          </w:tcPr>
          <w:p>
            <w:pPr/>
          </w:p>
        </w:tc>
        <w:tc>
          <w:tcPr>
            <w:tcW w:w="758" w:type="dxa"/>
            <w:vMerge/>
            <w:tcBorders>
              <w:left w:val="nil" w:sz="6" w:space="0" w:color="auto"/>
              <w:bottom w:val="single" w:sz="4" w:space="0" w:color="5B9BD4"/>
              <w:right w:val="nil" w:sz="6" w:space="0" w:color="auto"/>
            </w:tcBorders>
            <w:shd w:val="clear" w:color="auto" w:fill="DEEAF6"/>
          </w:tcPr>
          <w:p>
            <w:pPr/>
          </w:p>
        </w:tc>
        <w:tc>
          <w:tcPr>
            <w:tcW w:w="1019" w:type="dxa"/>
            <w:vMerge/>
            <w:tcBorders>
              <w:left w:val="nil" w:sz="6" w:space="0" w:color="auto"/>
              <w:bottom w:val="single" w:sz="4" w:space="0" w:color="5B9BD4"/>
              <w:right w:val="nil" w:sz="6" w:space="0" w:color="auto"/>
            </w:tcBorders>
          </w:tcPr>
          <w:p>
            <w:pPr/>
          </w:p>
        </w:tc>
        <w:tc>
          <w:tcPr>
            <w:tcW w:w="1022" w:type="dxa"/>
            <w:vMerge/>
            <w:tcBorders>
              <w:left w:val="nil" w:sz="6" w:space="0" w:color="auto"/>
              <w:bottom w:val="single" w:sz="4" w:space="0" w:color="5B9BD4"/>
              <w:right w:val="nil" w:sz="6" w:space="0" w:color="auto"/>
            </w:tcBorders>
            <w:shd w:val="clear" w:color="auto" w:fill="DEEAF6"/>
          </w:tcPr>
          <w:p>
            <w:pPr/>
          </w:p>
        </w:tc>
        <w:tc>
          <w:tcPr>
            <w:tcW w:w="1002" w:type="dxa"/>
            <w:vMerge/>
            <w:tcBorders>
              <w:left w:val="nil" w:sz="6" w:space="0" w:color="auto"/>
              <w:bottom w:val="single" w:sz="4" w:space="0" w:color="5B9BD4"/>
              <w:right w:val="nil" w:sz="6" w:space="0" w:color="auto"/>
            </w:tcBorders>
          </w:tcPr>
          <w:p>
            <w:pPr/>
          </w:p>
        </w:tc>
        <w:tc>
          <w:tcPr>
            <w:tcW w:w="955" w:type="dxa"/>
            <w:vMerge/>
            <w:tcBorders>
              <w:left w:val="nil" w:sz="6" w:space="0" w:color="auto"/>
              <w:bottom w:val="single" w:sz="4" w:space="0" w:color="5B9BD4"/>
              <w:right w:val="nil" w:sz="6" w:space="0" w:color="auto"/>
            </w:tcBorders>
            <w:shd w:val="clear" w:color="auto" w:fill="DEEAF6"/>
          </w:tcPr>
          <w:p>
            <w:pPr/>
          </w:p>
        </w:tc>
      </w:tr>
      <w:tr>
        <w:trPr>
          <w:trHeight w:val="317" w:hRule="exact"/>
        </w:trPr>
        <w:tc>
          <w:tcPr>
            <w:tcW w:w="1220" w:type="dxa"/>
            <w:vMerge w:val="restart"/>
            <w:tcBorders>
              <w:top w:val="single" w:sz="4" w:space="0" w:color="5B9BD4"/>
              <w:left w:val="nil" w:sz="6" w:space="0" w:color="auto"/>
              <w:right w:val="nil" w:sz="6" w:space="0" w:color="auto"/>
            </w:tcBorders>
            <w:shd w:val="clear" w:color="auto" w:fill="DEEAF6"/>
          </w:tcPr>
          <w:p>
            <w:pPr>
              <w:pStyle w:val="TableParagraph"/>
              <w:spacing w:line="319" w:lineRule="auto" w:before="46"/>
              <w:ind w:left="13" w:right="14"/>
              <w:jc w:val="left"/>
              <w:rPr>
                <w:rFonts w:ascii="宋体" w:hAnsi="宋体" w:cs="宋体" w:eastAsia="宋体" w:hint="default"/>
                <w:sz w:val="18"/>
                <w:szCs w:val="18"/>
              </w:rPr>
            </w:pPr>
            <w:r>
              <w:rPr>
                <w:rFonts w:ascii="宋体" w:hAnsi="宋体" w:cs="宋体" w:eastAsia="宋体" w:hint="default"/>
                <w:sz w:val="18"/>
                <w:szCs w:val="18"/>
              </w:rPr>
              <w:t>深圳国鑫创沅 移动互联网股 </w:t>
            </w:r>
            <w:r>
              <w:rPr>
                <w:rFonts w:ascii="宋体" w:hAnsi="宋体" w:cs="宋体" w:eastAsia="宋体" w:hint="default"/>
                <w:spacing w:val="-10"/>
                <w:sz w:val="18"/>
                <w:szCs w:val="18"/>
              </w:rPr>
              <w:t>权投资中心（有</w:t>
            </w:r>
            <w:r>
              <w:rPr>
                <w:rFonts w:ascii="宋体" w:hAnsi="宋体" w:cs="宋体" w:eastAsia="宋体" w:hint="default"/>
                <w:sz w:val="18"/>
                <w:szCs w:val="18"/>
              </w:rPr>
              <w:t> 限合伙）</w:t>
            </w:r>
          </w:p>
        </w:tc>
        <w:tc>
          <w:tcPr>
            <w:tcW w:w="1020" w:type="dxa"/>
            <w:vMerge w:val="restart"/>
            <w:tcBorders>
              <w:top w:val="single" w:sz="4" w:space="0" w:color="5B9BD4"/>
              <w:left w:val="single" w:sz="11" w:space="0" w:color="DEEAF6"/>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3"/>
              <w:ind w:left="27" w:right="78"/>
              <w:jc w:val="left"/>
              <w:rPr>
                <w:rFonts w:ascii="宋体" w:hAnsi="宋体" w:cs="宋体" w:eastAsia="宋体" w:hint="default"/>
                <w:sz w:val="18"/>
                <w:szCs w:val="18"/>
              </w:rPr>
            </w:pPr>
            <w:r>
              <w:rPr>
                <w:rFonts w:ascii="宋体" w:hAnsi="宋体" w:cs="宋体" w:eastAsia="宋体" w:hint="default"/>
                <w:sz w:val="18"/>
                <w:szCs w:val="18"/>
              </w:rPr>
              <w:t>股权投资、 投资管理</w:t>
            </w:r>
          </w:p>
        </w:tc>
        <w:tc>
          <w:tcPr>
            <w:tcW w:w="548" w:type="dxa"/>
            <w:vMerge w:val="restart"/>
            <w:tcBorders>
              <w:top w:val="single" w:sz="4" w:space="0" w:color="5B9BD4"/>
              <w:left w:val="nil" w:sz="6" w:space="0" w:color="auto"/>
              <w:right w:val="nil" w:sz="6" w:space="0" w:color="auto"/>
            </w:tcBorders>
            <w:shd w:val="clear" w:color="auto" w:fill="DEEAF6"/>
          </w:tcPr>
          <w:p>
            <w:pPr/>
          </w:p>
        </w:tc>
        <w:tc>
          <w:tcPr>
            <w:tcW w:w="1409"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26" w:right="0"/>
              <w:jc w:val="left"/>
              <w:rPr>
                <w:rFonts w:ascii="Arial" w:hAnsi="Arial" w:cs="Arial" w:eastAsia="Arial" w:hint="default"/>
                <w:sz w:val="18"/>
                <w:szCs w:val="18"/>
              </w:rPr>
            </w:pPr>
            <w:r>
              <w:rPr>
                <w:rFonts w:ascii="Arial"/>
                <w:sz w:val="18"/>
              </w:rPr>
              <w:t>30,000,000.00</w:t>
            </w:r>
          </w:p>
        </w:tc>
        <w:tc>
          <w:tcPr>
            <w:tcW w:w="878" w:type="dxa"/>
            <w:vMerge w:val="restart"/>
            <w:tcBorders>
              <w:top w:val="single" w:sz="4" w:space="0" w:color="5B9BD4"/>
              <w:left w:val="nil" w:sz="6" w:space="0" w:color="auto"/>
              <w:right w:val="nil" w:sz="6" w:space="0" w:color="auto"/>
            </w:tcBorders>
            <w:shd w:val="clear" w:color="auto" w:fill="DEEAF6"/>
          </w:tcPr>
          <w:p>
            <w:pPr/>
          </w:p>
        </w:tc>
        <w:tc>
          <w:tcPr>
            <w:tcW w:w="454" w:type="dxa"/>
            <w:vMerge w:val="restart"/>
            <w:tcBorders>
              <w:top w:val="single" w:sz="4" w:space="0" w:color="5B9BD4"/>
              <w:left w:val="nil" w:sz="6" w:space="0" w:color="auto"/>
              <w:right w:val="single" w:sz="11" w:space="0" w:color="DEEAF6"/>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3"/>
              <w:ind w:left="13" w:right="6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092" w:type="dxa"/>
            <w:vMerge w:val="restart"/>
            <w:tcBorders>
              <w:top w:val="single" w:sz="4" w:space="0" w:color="5B9BD4"/>
              <w:left w:val="nil" w:sz="6" w:space="0" w:color="auto"/>
              <w:right w:val="nil" w:sz="6" w:space="0" w:color="auto"/>
            </w:tcBorders>
            <w:shd w:val="clear" w:color="auto" w:fill="DEEAF6"/>
          </w:tcPr>
          <w:p>
            <w:pPr>
              <w:pStyle w:val="TableParagraph"/>
              <w:spacing w:line="319" w:lineRule="auto" w:before="46"/>
              <w:ind w:left="27" w:right="162"/>
              <w:jc w:val="both"/>
              <w:rPr>
                <w:rFonts w:ascii="宋体" w:hAnsi="宋体" w:cs="宋体" w:eastAsia="宋体" w:hint="default"/>
                <w:sz w:val="18"/>
                <w:szCs w:val="18"/>
              </w:rPr>
            </w:pPr>
            <w:r>
              <w:rPr>
                <w:rFonts w:ascii="宋体" w:hAnsi="宋体" w:cs="宋体" w:eastAsia="宋体" w:hint="default"/>
                <w:sz w:val="18"/>
                <w:szCs w:val="18"/>
              </w:rPr>
              <w:t>深圳国鑫创 沅资本管理 有限责任公 司</w:t>
            </w:r>
          </w:p>
        </w:tc>
        <w:tc>
          <w:tcPr>
            <w:tcW w:w="711" w:type="dxa"/>
            <w:vMerge w:val="restart"/>
            <w:tcBorders>
              <w:top w:val="single" w:sz="4" w:space="0" w:color="5B9BD4"/>
              <w:left w:val="single" w:sz="11" w:space="0" w:color="DEEAF6"/>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3" w:right="0"/>
              <w:jc w:val="left"/>
              <w:rPr>
                <w:rFonts w:ascii="宋体" w:hAnsi="宋体" w:cs="宋体" w:eastAsia="宋体" w:hint="default"/>
                <w:sz w:val="18"/>
                <w:szCs w:val="18"/>
              </w:rPr>
            </w:pPr>
            <w:r>
              <w:rPr>
                <w:rFonts w:ascii="Arial" w:hAnsi="Arial" w:cs="Arial" w:eastAsia="Arial" w:hint="default"/>
                <w:sz w:val="18"/>
                <w:szCs w:val="18"/>
              </w:rPr>
              <w:t>5-7</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917" w:type="dxa"/>
            <w:vMerge w:val="restart"/>
            <w:tcBorders>
              <w:top w:val="single" w:sz="4" w:space="0" w:color="5B9BD4"/>
              <w:left w:val="nil" w:sz="6" w:space="0" w:color="auto"/>
              <w:right w:val="nil" w:sz="6" w:space="0" w:color="auto"/>
            </w:tcBorders>
            <w:shd w:val="clear" w:color="auto" w:fill="DEEAF6"/>
          </w:tcPr>
          <w:p>
            <w:pPr/>
          </w:p>
        </w:tc>
        <w:tc>
          <w:tcPr>
            <w:tcW w:w="952"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3"/>
              <w:ind w:left="13" w:right="35"/>
              <w:jc w:val="left"/>
              <w:rPr>
                <w:rFonts w:ascii="宋体" w:hAnsi="宋体" w:cs="宋体" w:eastAsia="宋体" w:hint="default"/>
                <w:sz w:val="18"/>
                <w:szCs w:val="18"/>
              </w:rPr>
            </w:pPr>
            <w:r>
              <w:rPr>
                <w:rFonts w:ascii="宋体" w:hAnsi="宋体" w:cs="宋体" w:eastAsia="宋体" w:hint="default"/>
                <w:sz w:val="18"/>
                <w:szCs w:val="18"/>
              </w:rPr>
              <w:t>工商登记完 成</w:t>
            </w:r>
          </w:p>
        </w:tc>
        <w:tc>
          <w:tcPr>
            <w:tcW w:w="758" w:type="dxa"/>
            <w:vMerge w:val="restart"/>
            <w:tcBorders>
              <w:top w:val="single" w:sz="4" w:space="0" w:color="5B9BD4"/>
              <w:left w:val="nil" w:sz="6" w:space="0" w:color="auto"/>
              <w:right w:val="nil" w:sz="6" w:space="0" w:color="auto"/>
            </w:tcBorders>
            <w:shd w:val="clear" w:color="auto" w:fill="DEEAF6"/>
          </w:tcPr>
          <w:p>
            <w:pPr/>
          </w:p>
        </w:tc>
        <w:tc>
          <w:tcPr>
            <w:tcW w:w="1019" w:type="dxa"/>
            <w:vMerge w:val="restart"/>
            <w:tcBorders>
              <w:top w:val="single" w:sz="4" w:space="0" w:color="5B9BD4"/>
              <w:left w:val="nil" w:sz="6" w:space="0" w:color="auto"/>
              <w:right w:val="nil" w:sz="6" w:space="0" w:color="auto"/>
            </w:tcBorders>
          </w:tcPr>
          <w:p>
            <w:pPr/>
          </w:p>
        </w:tc>
        <w:tc>
          <w:tcPr>
            <w:tcW w:w="1022" w:type="dxa"/>
            <w:vMerge w:val="restart"/>
            <w:tcBorders>
              <w:top w:val="single" w:sz="4" w:space="0" w:color="5B9BD4"/>
              <w:left w:val="nil" w:sz="6" w:space="0" w:color="auto"/>
              <w:right w:val="nil" w:sz="6" w:space="0" w:color="auto"/>
            </w:tcBorders>
            <w:shd w:val="clear" w:color="auto" w:fill="DEEAF6"/>
          </w:tcPr>
          <w:p>
            <w:pPr/>
          </w:p>
        </w:tc>
        <w:tc>
          <w:tcPr>
            <w:tcW w:w="1002"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3" w:right="0"/>
              <w:jc w:val="left"/>
              <w:rPr>
                <w:rFonts w:ascii="Arial" w:hAnsi="Arial" w:cs="Arial" w:eastAsia="Arial" w:hint="default"/>
                <w:sz w:val="18"/>
                <w:szCs w:val="18"/>
              </w:rPr>
            </w:pPr>
            <w:r>
              <w:rPr>
                <w:rFonts w:ascii="Arial" w:hAnsi="Arial" w:cs="Arial" w:eastAsia="Arial" w:hint="default"/>
                <w:sz w:val="18"/>
                <w:szCs w:val="18"/>
              </w:rPr>
              <w:t>2015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Arial" w:hAnsi="Arial" w:cs="Arial" w:eastAsia="Arial" w:hint="default"/>
                <w:sz w:val="18"/>
                <w:szCs w:val="18"/>
              </w:rPr>
              <w:t>05</w:t>
            </w:r>
          </w:p>
          <w:p>
            <w:pPr>
              <w:pStyle w:val="TableParagraph"/>
              <w:spacing w:line="240" w:lineRule="auto" w:before="65"/>
              <w:ind w:left="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955" w:type="dxa"/>
            <w:tcBorders>
              <w:top w:val="single" w:sz="4" w:space="0" w:color="5B9BD4"/>
              <w:left w:val="nil" w:sz="6" w:space="0" w:color="auto"/>
              <w:bottom w:val="nil" w:sz="6" w:space="0" w:color="auto"/>
              <w:right w:val="nil" w:sz="6" w:space="0" w:color="auto"/>
            </w:tcBorders>
            <w:shd w:val="clear" w:color="auto" w:fill="DEEAF6"/>
          </w:tcPr>
          <w:p>
            <w:pPr/>
          </w:p>
        </w:tc>
      </w:tr>
      <w:tr>
        <w:trPr>
          <w:trHeight w:val="156" w:hRule="exact"/>
        </w:trPr>
        <w:tc>
          <w:tcPr>
            <w:tcW w:w="1220" w:type="dxa"/>
            <w:vMerge/>
            <w:tcBorders>
              <w:left w:val="nil" w:sz="6" w:space="0" w:color="auto"/>
              <w:right w:val="nil" w:sz="6" w:space="0" w:color="auto"/>
            </w:tcBorders>
            <w:shd w:val="clear" w:color="auto" w:fill="DEEAF6"/>
          </w:tcPr>
          <w:p>
            <w:pPr/>
          </w:p>
        </w:tc>
        <w:tc>
          <w:tcPr>
            <w:tcW w:w="1020" w:type="dxa"/>
            <w:vMerge/>
            <w:tcBorders>
              <w:left w:val="single" w:sz="11" w:space="0" w:color="DEEAF6"/>
              <w:right w:val="nil" w:sz="6" w:space="0" w:color="auto"/>
            </w:tcBorders>
          </w:tcPr>
          <w:p>
            <w:pPr/>
          </w:p>
        </w:tc>
        <w:tc>
          <w:tcPr>
            <w:tcW w:w="548" w:type="dxa"/>
            <w:vMerge/>
            <w:tcBorders>
              <w:left w:val="nil" w:sz="6" w:space="0" w:color="auto"/>
              <w:bottom w:val="nil" w:sz="6" w:space="0" w:color="auto"/>
              <w:right w:val="nil" w:sz="6" w:space="0" w:color="auto"/>
            </w:tcBorders>
            <w:shd w:val="clear" w:color="auto" w:fill="DEEAF6"/>
          </w:tcPr>
          <w:p>
            <w:pPr/>
          </w:p>
        </w:tc>
        <w:tc>
          <w:tcPr>
            <w:tcW w:w="1409" w:type="dxa"/>
            <w:vMerge/>
            <w:tcBorders>
              <w:left w:val="nil" w:sz="6" w:space="0" w:color="auto"/>
              <w:right w:val="nil" w:sz="6" w:space="0" w:color="auto"/>
            </w:tcBorders>
          </w:tcPr>
          <w:p>
            <w:pPr/>
          </w:p>
        </w:tc>
        <w:tc>
          <w:tcPr>
            <w:tcW w:w="878" w:type="dxa"/>
            <w:vMerge/>
            <w:tcBorders>
              <w:left w:val="nil" w:sz="6" w:space="0" w:color="auto"/>
              <w:bottom w:val="nil" w:sz="6" w:space="0" w:color="auto"/>
              <w:right w:val="nil" w:sz="6" w:space="0" w:color="auto"/>
            </w:tcBorders>
            <w:shd w:val="clear" w:color="auto" w:fill="DEEAF6"/>
          </w:tcPr>
          <w:p>
            <w:pPr/>
          </w:p>
        </w:tc>
        <w:tc>
          <w:tcPr>
            <w:tcW w:w="454" w:type="dxa"/>
            <w:vMerge/>
            <w:tcBorders>
              <w:left w:val="nil" w:sz="6" w:space="0" w:color="auto"/>
              <w:right w:val="single" w:sz="11" w:space="0" w:color="DEEAF6"/>
            </w:tcBorders>
          </w:tcPr>
          <w:p>
            <w:pPr/>
          </w:p>
        </w:tc>
        <w:tc>
          <w:tcPr>
            <w:tcW w:w="1092" w:type="dxa"/>
            <w:vMerge/>
            <w:tcBorders>
              <w:left w:val="nil" w:sz="6" w:space="0" w:color="auto"/>
              <w:right w:val="nil" w:sz="6" w:space="0" w:color="auto"/>
            </w:tcBorders>
            <w:shd w:val="clear" w:color="auto" w:fill="DEEAF6"/>
          </w:tcPr>
          <w:p>
            <w:pPr/>
          </w:p>
        </w:tc>
        <w:tc>
          <w:tcPr>
            <w:tcW w:w="711" w:type="dxa"/>
            <w:vMerge/>
            <w:tcBorders>
              <w:left w:val="single" w:sz="11" w:space="0" w:color="DEEAF6"/>
              <w:right w:val="nil" w:sz="6" w:space="0" w:color="auto"/>
            </w:tcBorders>
          </w:tcPr>
          <w:p>
            <w:pPr/>
          </w:p>
        </w:tc>
        <w:tc>
          <w:tcPr>
            <w:tcW w:w="917" w:type="dxa"/>
            <w:vMerge/>
            <w:tcBorders>
              <w:left w:val="nil" w:sz="6" w:space="0" w:color="auto"/>
              <w:bottom w:val="nil" w:sz="6" w:space="0" w:color="auto"/>
              <w:right w:val="nil" w:sz="6" w:space="0" w:color="auto"/>
            </w:tcBorders>
            <w:shd w:val="clear" w:color="auto" w:fill="DEEAF6"/>
          </w:tcPr>
          <w:p>
            <w:pPr/>
          </w:p>
        </w:tc>
        <w:tc>
          <w:tcPr>
            <w:tcW w:w="952" w:type="dxa"/>
            <w:vMerge/>
            <w:tcBorders>
              <w:left w:val="nil" w:sz="6" w:space="0" w:color="auto"/>
              <w:right w:val="nil" w:sz="6" w:space="0" w:color="auto"/>
            </w:tcBorders>
          </w:tcPr>
          <w:p>
            <w:pPr/>
          </w:p>
        </w:tc>
        <w:tc>
          <w:tcPr>
            <w:tcW w:w="758" w:type="dxa"/>
            <w:vMerge/>
            <w:tcBorders>
              <w:left w:val="nil" w:sz="6" w:space="0" w:color="auto"/>
              <w:bottom w:val="nil" w:sz="6" w:space="0" w:color="auto"/>
              <w:right w:val="nil" w:sz="6" w:space="0" w:color="auto"/>
            </w:tcBorders>
            <w:shd w:val="clear" w:color="auto" w:fill="DEEAF6"/>
          </w:tcPr>
          <w:p>
            <w:pPr/>
          </w:p>
        </w:tc>
        <w:tc>
          <w:tcPr>
            <w:tcW w:w="1019" w:type="dxa"/>
            <w:vMerge/>
            <w:tcBorders>
              <w:left w:val="nil" w:sz="6" w:space="0" w:color="auto"/>
              <w:right w:val="nil" w:sz="6" w:space="0" w:color="auto"/>
            </w:tcBorders>
          </w:tcPr>
          <w:p>
            <w:pPr/>
          </w:p>
        </w:tc>
        <w:tc>
          <w:tcPr>
            <w:tcW w:w="1022" w:type="dxa"/>
            <w:vMerge/>
            <w:tcBorders>
              <w:left w:val="nil" w:sz="6" w:space="0" w:color="auto"/>
              <w:bottom w:val="nil" w:sz="6" w:space="0" w:color="auto"/>
              <w:right w:val="nil" w:sz="6" w:space="0" w:color="auto"/>
            </w:tcBorders>
            <w:shd w:val="clear" w:color="auto" w:fill="DEEAF6"/>
          </w:tcPr>
          <w:p>
            <w:pPr/>
          </w:p>
        </w:tc>
        <w:tc>
          <w:tcPr>
            <w:tcW w:w="1002" w:type="dxa"/>
            <w:vMerge/>
            <w:tcBorders>
              <w:left w:val="nil" w:sz="6" w:space="0" w:color="auto"/>
              <w:right w:val="nil" w:sz="6" w:space="0" w:color="auto"/>
            </w:tcBorders>
          </w:tcPr>
          <w:p>
            <w:pPr/>
          </w:p>
        </w:tc>
        <w:tc>
          <w:tcPr>
            <w:tcW w:w="955" w:type="dxa"/>
            <w:vMerge w:val="restart"/>
            <w:tcBorders>
              <w:top w:val="nil" w:sz="6" w:space="0" w:color="auto"/>
              <w:left w:val="nil" w:sz="6" w:space="0" w:color="auto"/>
              <w:right w:val="nil" w:sz="6" w:space="0" w:color="auto"/>
            </w:tcBorders>
            <w:shd w:val="clear" w:color="auto" w:fill="DEEAF6"/>
          </w:tcPr>
          <w:p>
            <w:pPr>
              <w:pStyle w:val="TableParagraph"/>
              <w:spacing w:line="364" w:lineRule="auto" w:before="88"/>
              <w:ind w:left="21" w:right="60"/>
              <w:jc w:val="left"/>
              <w:rPr>
                <w:rFonts w:ascii="Arial" w:hAnsi="Arial" w:cs="Arial" w:eastAsia="Arial" w:hint="default"/>
                <w:sz w:val="18"/>
                <w:szCs w:val="18"/>
              </w:rPr>
            </w:pPr>
            <w:r>
              <w:rPr>
                <w:rFonts w:ascii="Arial"/>
                <w:w w:val="110"/>
                <w:sz w:val="18"/>
              </w:rPr>
              <w:t>www.cnin</w:t>
            </w:r>
            <w:r>
              <w:rPr>
                <w:rFonts w:ascii="Arial"/>
                <w:spacing w:val="-33"/>
                <w:w w:val="110"/>
                <w:sz w:val="18"/>
              </w:rPr>
              <w:t> </w:t>
            </w:r>
            <w:r>
              <w:rPr>
                <w:rFonts w:ascii="Arial"/>
                <w:spacing w:val="-33"/>
                <w:w w:val="110"/>
                <w:sz w:val="18"/>
              </w:rPr>
            </w:r>
            <w:r>
              <w:rPr>
                <w:rFonts w:ascii="Arial"/>
                <w:w w:val="115"/>
                <w:sz w:val="18"/>
              </w:rPr>
              <w:t>fo.com</w:t>
            </w:r>
            <w:r>
              <w:rPr>
                <w:rFonts w:ascii="Arial"/>
                <w:sz w:val="18"/>
              </w:rPr>
            </w:r>
          </w:p>
        </w:tc>
      </w:tr>
      <w:tr>
        <w:trPr>
          <w:trHeight w:val="393" w:hRule="exact"/>
        </w:trPr>
        <w:tc>
          <w:tcPr>
            <w:tcW w:w="1220" w:type="dxa"/>
            <w:vMerge/>
            <w:tcBorders>
              <w:left w:val="nil" w:sz="6" w:space="0" w:color="auto"/>
              <w:right w:val="nil" w:sz="6" w:space="0" w:color="auto"/>
            </w:tcBorders>
            <w:shd w:val="clear" w:color="auto" w:fill="DEEAF6"/>
          </w:tcPr>
          <w:p>
            <w:pPr/>
          </w:p>
        </w:tc>
        <w:tc>
          <w:tcPr>
            <w:tcW w:w="1020" w:type="dxa"/>
            <w:vMerge/>
            <w:tcBorders>
              <w:left w:val="single" w:sz="11" w:space="0" w:color="DEEAF6"/>
              <w:right w:val="nil" w:sz="6" w:space="0" w:color="auto"/>
            </w:tcBorders>
          </w:tcPr>
          <w:p>
            <w:pPr/>
          </w:p>
        </w:tc>
        <w:tc>
          <w:tcPr>
            <w:tcW w:w="548"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1409" w:type="dxa"/>
            <w:vMerge/>
            <w:tcBorders>
              <w:left w:val="nil" w:sz="6" w:space="0" w:color="auto"/>
              <w:right w:val="nil" w:sz="6" w:space="0" w:color="auto"/>
            </w:tcBorders>
          </w:tcPr>
          <w:p>
            <w:pPr/>
          </w:p>
        </w:tc>
        <w:tc>
          <w:tcPr>
            <w:tcW w:w="878"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39"/>
              <w:jc w:val="right"/>
              <w:rPr>
                <w:rFonts w:ascii="Arial" w:hAnsi="Arial" w:cs="Arial" w:eastAsia="Arial" w:hint="default"/>
                <w:sz w:val="18"/>
                <w:szCs w:val="18"/>
              </w:rPr>
            </w:pPr>
            <w:r>
              <w:rPr>
                <w:rFonts w:ascii="Arial"/>
                <w:w w:val="95"/>
                <w:sz w:val="18"/>
              </w:rPr>
              <w:t>21.43%</w:t>
            </w:r>
            <w:r>
              <w:rPr>
                <w:rFonts w:ascii="Arial"/>
                <w:sz w:val="18"/>
              </w:rPr>
            </w:r>
          </w:p>
        </w:tc>
        <w:tc>
          <w:tcPr>
            <w:tcW w:w="454" w:type="dxa"/>
            <w:vMerge/>
            <w:tcBorders>
              <w:left w:val="nil" w:sz="6" w:space="0" w:color="auto"/>
              <w:right w:val="single" w:sz="11" w:space="0" w:color="DEEAF6"/>
            </w:tcBorders>
          </w:tcPr>
          <w:p>
            <w:pPr/>
          </w:p>
        </w:tc>
        <w:tc>
          <w:tcPr>
            <w:tcW w:w="1092" w:type="dxa"/>
            <w:vMerge/>
            <w:tcBorders>
              <w:left w:val="nil" w:sz="6" w:space="0" w:color="auto"/>
              <w:right w:val="nil" w:sz="6" w:space="0" w:color="auto"/>
            </w:tcBorders>
            <w:shd w:val="clear" w:color="auto" w:fill="DEEAF6"/>
          </w:tcPr>
          <w:p>
            <w:pPr/>
          </w:p>
        </w:tc>
        <w:tc>
          <w:tcPr>
            <w:tcW w:w="711" w:type="dxa"/>
            <w:vMerge/>
            <w:tcBorders>
              <w:left w:val="single" w:sz="11" w:space="0" w:color="DEEAF6"/>
              <w:right w:val="nil" w:sz="6" w:space="0" w:color="auto"/>
            </w:tcBorders>
          </w:tcPr>
          <w:p>
            <w:pPr/>
          </w:p>
        </w:tc>
        <w:tc>
          <w:tcPr>
            <w:tcW w:w="917"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7"/>
              <w:ind w:left="28"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952" w:type="dxa"/>
            <w:vMerge/>
            <w:tcBorders>
              <w:left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shd w:val="clear" w:color="auto" w:fill="DEEAF6"/>
          </w:tcPr>
          <w:p>
            <w:pPr/>
          </w:p>
        </w:tc>
        <w:tc>
          <w:tcPr>
            <w:tcW w:w="1019" w:type="dxa"/>
            <w:vMerge/>
            <w:tcBorders>
              <w:left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7"/>
              <w:ind w:left="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2" w:type="dxa"/>
            <w:vMerge/>
            <w:tcBorders>
              <w:left w:val="nil" w:sz="6" w:space="0" w:color="auto"/>
              <w:right w:val="nil" w:sz="6" w:space="0" w:color="auto"/>
            </w:tcBorders>
          </w:tcPr>
          <w:p>
            <w:pPr/>
          </w:p>
        </w:tc>
        <w:tc>
          <w:tcPr>
            <w:tcW w:w="955" w:type="dxa"/>
            <w:vMerge/>
            <w:tcBorders>
              <w:left w:val="nil" w:sz="6" w:space="0" w:color="auto"/>
              <w:right w:val="nil" w:sz="6" w:space="0" w:color="auto"/>
            </w:tcBorders>
            <w:shd w:val="clear" w:color="auto" w:fill="DEEAF6"/>
          </w:tcPr>
          <w:p>
            <w:pPr/>
          </w:p>
        </w:tc>
      </w:tr>
      <w:tr>
        <w:trPr>
          <w:trHeight w:val="156" w:hRule="exact"/>
        </w:trPr>
        <w:tc>
          <w:tcPr>
            <w:tcW w:w="1220" w:type="dxa"/>
            <w:vMerge/>
            <w:tcBorders>
              <w:left w:val="nil" w:sz="6" w:space="0" w:color="auto"/>
              <w:right w:val="nil" w:sz="6" w:space="0" w:color="auto"/>
            </w:tcBorders>
            <w:shd w:val="clear" w:color="auto" w:fill="DEEAF6"/>
          </w:tcPr>
          <w:p>
            <w:pPr/>
          </w:p>
        </w:tc>
        <w:tc>
          <w:tcPr>
            <w:tcW w:w="1020" w:type="dxa"/>
            <w:vMerge/>
            <w:tcBorders>
              <w:left w:val="single" w:sz="11" w:space="0" w:color="DEEAF6"/>
              <w:right w:val="nil" w:sz="6" w:space="0" w:color="auto"/>
            </w:tcBorders>
          </w:tcPr>
          <w:p>
            <w:pPr/>
          </w:p>
        </w:tc>
        <w:tc>
          <w:tcPr>
            <w:tcW w:w="548" w:type="dxa"/>
            <w:vMerge w:val="restart"/>
            <w:tcBorders>
              <w:top w:val="nil" w:sz="6" w:space="0" w:color="auto"/>
              <w:left w:val="nil" w:sz="6" w:space="0" w:color="auto"/>
              <w:right w:val="nil" w:sz="6" w:space="0" w:color="auto"/>
            </w:tcBorders>
            <w:shd w:val="clear" w:color="auto" w:fill="DEEAF6"/>
          </w:tcPr>
          <w:p>
            <w:pPr/>
          </w:p>
        </w:tc>
        <w:tc>
          <w:tcPr>
            <w:tcW w:w="1409" w:type="dxa"/>
            <w:vMerge/>
            <w:tcBorders>
              <w:left w:val="nil" w:sz="6" w:space="0" w:color="auto"/>
              <w:right w:val="nil" w:sz="6" w:space="0" w:color="auto"/>
            </w:tcBorders>
          </w:tcPr>
          <w:p>
            <w:pPr/>
          </w:p>
        </w:tc>
        <w:tc>
          <w:tcPr>
            <w:tcW w:w="878" w:type="dxa"/>
            <w:vMerge w:val="restart"/>
            <w:tcBorders>
              <w:top w:val="nil" w:sz="6" w:space="0" w:color="auto"/>
              <w:left w:val="nil" w:sz="6" w:space="0" w:color="auto"/>
              <w:right w:val="nil" w:sz="6" w:space="0" w:color="auto"/>
            </w:tcBorders>
            <w:shd w:val="clear" w:color="auto" w:fill="DEEAF6"/>
          </w:tcPr>
          <w:p>
            <w:pPr/>
          </w:p>
        </w:tc>
        <w:tc>
          <w:tcPr>
            <w:tcW w:w="454" w:type="dxa"/>
            <w:vMerge/>
            <w:tcBorders>
              <w:left w:val="nil" w:sz="6" w:space="0" w:color="auto"/>
              <w:right w:val="single" w:sz="11" w:space="0" w:color="DEEAF6"/>
            </w:tcBorders>
          </w:tcPr>
          <w:p>
            <w:pPr/>
          </w:p>
        </w:tc>
        <w:tc>
          <w:tcPr>
            <w:tcW w:w="1092" w:type="dxa"/>
            <w:vMerge/>
            <w:tcBorders>
              <w:left w:val="nil" w:sz="6" w:space="0" w:color="auto"/>
              <w:right w:val="nil" w:sz="6" w:space="0" w:color="auto"/>
            </w:tcBorders>
            <w:shd w:val="clear" w:color="auto" w:fill="DEEAF6"/>
          </w:tcPr>
          <w:p>
            <w:pPr/>
          </w:p>
        </w:tc>
        <w:tc>
          <w:tcPr>
            <w:tcW w:w="711" w:type="dxa"/>
            <w:vMerge/>
            <w:tcBorders>
              <w:left w:val="single" w:sz="11" w:space="0" w:color="DEEAF6"/>
              <w:right w:val="nil" w:sz="6" w:space="0" w:color="auto"/>
            </w:tcBorders>
          </w:tcPr>
          <w:p>
            <w:pPr/>
          </w:p>
        </w:tc>
        <w:tc>
          <w:tcPr>
            <w:tcW w:w="917" w:type="dxa"/>
            <w:vMerge w:val="restart"/>
            <w:tcBorders>
              <w:top w:val="nil" w:sz="6" w:space="0" w:color="auto"/>
              <w:left w:val="nil" w:sz="6" w:space="0" w:color="auto"/>
              <w:right w:val="nil" w:sz="6" w:space="0" w:color="auto"/>
            </w:tcBorders>
            <w:shd w:val="clear" w:color="auto" w:fill="DEEAF6"/>
          </w:tcPr>
          <w:p>
            <w:pPr/>
          </w:p>
        </w:tc>
        <w:tc>
          <w:tcPr>
            <w:tcW w:w="952" w:type="dxa"/>
            <w:vMerge/>
            <w:tcBorders>
              <w:left w:val="nil" w:sz="6" w:space="0" w:color="auto"/>
              <w:right w:val="nil" w:sz="6" w:space="0" w:color="auto"/>
            </w:tcBorders>
          </w:tcPr>
          <w:p>
            <w:pPr/>
          </w:p>
        </w:tc>
        <w:tc>
          <w:tcPr>
            <w:tcW w:w="758" w:type="dxa"/>
            <w:vMerge w:val="restart"/>
            <w:tcBorders>
              <w:top w:val="nil" w:sz="6" w:space="0" w:color="auto"/>
              <w:left w:val="nil" w:sz="6" w:space="0" w:color="auto"/>
              <w:right w:val="nil" w:sz="6" w:space="0" w:color="auto"/>
            </w:tcBorders>
            <w:shd w:val="clear" w:color="auto" w:fill="DEEAF6"/>
          </w:tcPr>
          <w:p>
            <w:pPr/>
          </w:p>
        </w:tc>
        <w:tc>
          <w:tcPr>
            <w:tcW w:w="1019" w:type="dxa"/>
            <w:vMerge/>
            <w:tcBorders>
              <w:left w:val="nil" w:sz="6" w:space="0" w:color="auto"/>
              <w:right w:val="nil" w:sz="6" w:space="0" w:color="auto"/>
            </w:tcBorders>
          </w:tcPr>
          <w:p>
            <w:pPr/>
          </w:p>
        </w:tc>
        <w:tc>
          <w:tcPr>
            <w:tcW w:w="1022" w:type="dxa"/>
            <w:vMerge w:val="restart"/>
            <w:tcBorders>
              <w:top w:val="nil" w:sz="6" w:space="0" w:color="auto"/>
              <w:left w:val="nil" w:sz="6" w:space="0" w:color="auto"/>
              <w:right w:val="nil" w:sz="6" w:space="0" w:color="auto"/>
            </w:tcBorders>
            <w:shd w:val="clear" w:color="auto" w:fill="DEEAF6"/>
          </w:tcPr>
          <w:p>
            <w:pPr/>
          </w:p>
        </w:tc>
        <w:tc>
          <w:tcPr>
            <w:tcW w:w="1002" w:type="dxa"/>
            <w:vMerge/>
            <w:tcBorders>
              <w:left w:val="nil" w:sz="6" w:space="0" w:color="auto"/>
              <w:right w:val="nil" w:sz="6" w:space="0" w:color="auto"/>
            </w:tcBorders>
          </w:tcPr>
          <w:p>
            <w:pPr/>
          </w:p>
        </w:tc>
        <w:tc>
          <w:tcPr>
            <w:tcW w:w="955" w:type="dxa"/>
            <w:vMerge/>
            <w:tcBorders>
              <w:left w:val="nil" w:sz="6" w:space="0" w:color="auto"/>
              <w:bottom w:val="nil" w:sz="6" w:space="0" w:color="auto"/>
              <w:right w:val="nil" w:sz="6" w:space="0" w:color="auto"/>
            </w:tcBorders>
            <w:shd w:val="clear" w:color="auto" w:fill="DEEAF6"/>
          </w:tcPr>
          <w:p>
            <w:pPr/>
          </w:p>
        </w:tc>
      </w:tr>
      <w:tr>
        <w:trPr>
          <w:trHeight w:val="317" w:hRule="exact"/>
        </w:trPr>
        <w:tc>
          <w:tcPr>
            <w:tcW w:w="1220" w:type="dxa"/>
            <w:vMerge/>
            <w:tcBorders>
              <w:left w:val="nil" w:sz="6" w:space="0" w:color="auto"/>
              <w:bottom w:val="single" w:sz="4" w:space="0" w:color="5B9BD4"/>
              <w:right w:val="nil" w:sz="6" w:space="0" w:color="auto"/>
            </w:tcBorders>
            <w:shd w:val="clear" w:color="auto" w:fill="DEEAF6"/>
          </w:tcPr>
          <w:p>
            <w:pPr/>
          </w:p>
        </w:tc>
        <w:tc>
          <w:tcPr>
            <w:tcW w:w="1020" w:type="dxa"/>
            <w:vMerge/>
            <w:tcBorders>
              <w:left w:val="single" w:sz="11" w:space="0" w:color="DEEAF6"/>
              <w:bottom w:val="single" w:sz="4" w:space="0" w:color="5B9BD4"/>
              <w:right w:val="nil" w:sz="6" w:space="0" w:color="auto"/>
            </w:tcBorders>
          </w:tcPr>
          <w:p>
            <w:pPr/>
          </w:p>
        </w:tc>
        <w:tc>
          <w:tcPr>
            <w:tcW w:w="548" w:type="dxa"/>
            <w:vMerge/>
            <w:tcBorders>
              <w:left w:val="nil" w:sz="6" w:space="0" w:color="auto"/>
              <w:bottom w:val="single" w:sz="4" w:space="0" w:color="5B9BD4"/>
              <w:right w:val="nil" w:sz="6" w:space="0" w:color="auto"/>
            </w:tcBorders>
            <w:shd w:val="clear" w:color="auto" w:fill="DEEAF6"/>
          </w:tcPr>
          <w:p>
            <w:pPr/>
          </w:p>
        </w:tc>
        <w:tc>
          <w:tcPr>
            <w:tcW w:w="1409" w:type="dxa"/>
            <w:vMerge/>
            <w:tcBorders>
              <w:left w:val="nil" w:sz="6" w:space="0" w:color="auto"/>
              <w:bottom w:val="single" w:sz="4" w:space="0" w:color="5B9BD4"/>
              <w:right w:val="nil" w:sz="6" w:space="0" w:color="auto"/>
            </w:tcBorders>
          </w:tcPr>
          <w:p>
            <w:pPr/>
          </w:p>
        </w:tc>
        <w:tc>
          <w:tcPr>
            <w:tcW w:w="878" w:type="dxa"/>
            <w:vMerge/>
            <w:tcBorders>
              <w:left w:val="nil" w:sz="6" w:space="0" w:color="auto"/>
              <w:bottom w:val="single" w:sz="4" w:space="0" w:color="5B9BD4"/>
              <w:right w:val="nil" w:sz="6" w:space="0" w:color="auto"/>
            </w:tcBorders>
            <w:shd w:val="clear" w:color="auto" w:fill="DEEAF6"/>
          </w:tcPr>
          <w:p>
            <w:pPr/>
          </w:p>
        </w:tc>
        <w:tc>
          <w:tcPr>
            <w:tcW w:w="454" w:type="dxa"/>
            <w:vMerge/>
            <w:tcBorders>
              <w:left w:val="nil" w:sz="6" w:space="0" w:color="auto"/>
              <w:bottom w:val="single" w:sz="4" w:space="0" w:color="5B9BD4"/>
              <w:right w:val="single" w:sz="11" w:space="0" w:color="DEEAF6"/>
            </w:tcBorders>
          </w:tcPr>
          <w:p>
            <w:pPr/>
          </w:p>
        </w:tc>
        <w:tc>
          <w:tcPr>
            <w:tcW w:w="1092" w:type="dxa"/>
            <w:vMerge/>
            <w:tcBorders>
              <w:left w:val="nil" w:sz="6" w:space="0" w:color="auto"/>
              <w:bottom w:val="single" w:sz="4" w:space="0" w:color="5B9BD4"/>
              <w:right w:val="nil" w:sz="6" w:space="0" w:color="auto"/>
            </w:tcBorders>
            <w:shd w:val="clear" w:color="auto" w:fill="DEEAF6"/>
          </w:tcPr>
          <w:p>
            <w:pPr/>
          </w:p>
        </w:tc>
        <w:tc>
          <w:tcPr>
            <w:tcW w:w="711" w:type="dxa"/>
            <w:vMerge/>
            <w:tcBorders>
              <w:left w:val="single" w:sz="11" w:space="0" w:color="DEEAF6"/>
              <w:bottom w:val="single" w:sz="4" w:space="0" w:color="5B9BD4"/>
              <w:right w:val="nil" w:sz="6" w:space="0" w:color="auto"/>
            </w:tcBorders>
          </w:tcPr>
          <w:p>
            <w:pPr/>
          </w:p>
        </w:tc>
        <w:tc>
          <w:tcPr>
            <w:tcW w:w="917" w:type="dxa"/>
            <w:vMerge/>
            <w:tcBorders>
              <w:left w:val="nil" w:sz="6" w:space="0" w:color="auto"/>
              <w:bottom w:val="single" w:sz="4" w:space="0" w:color="5B9BD4"/>
              <w:right w:val="nil" w:sz="6" w:space="0" w:color="auto"/>
            </w:tcBorders>
            <w:shd w:val="clear" w:color="auto" w:fill="DEEAF6"/>
          </w:tcPr>
          <w:p>
            <w:pPr/>
          </w:p>
        </w:tc>
        <w:tc>
          <w:tcPr>
            <w:tcW w:w="952" w:type="dxa"/>
            <w:vMerge/>
            <w:tcBorders>
              <w:left w:val="nil" w:sz="6" w:space="0" w:color="auto"/>
              <w:bottom w:val="single" w:sz="4" w:space="0" w:color="5B9BD4"/>
              <w:right w:val="nil" w:sz="6" w:space="0" w:color="auto"/>
            </w:tcBorders>
          </w:tcPr>
          <w:p>
            <w:pPr/>
          </w:p>
        </w:tc>
        <w:tc>
          <w:tcPr>
            <w:tcW w:w="758" w:type="dxa"/>
            <w:vMerge/>
            <w:tcBorders>
              <w:left w:val="nil" w:sz="6" w:space="0" w:color="auto"/>
              <w:bottom w:val="single" w:sz="4" w:space="0" w:color="5B9BD4"/>
              <w:right w:val="nil" w:sz="6" w:space="0" w:color="auto"/>
            </w:tcBorders>
            <w:shd w:val="clear" w:color="auto" w:fill="DEEAF6"/>
          </w:tcPr>
          <w:p>
            <w:pPr/>
          </w:p>
        </w:tc>
        <w:tc>
          <w:tcPr>
            <w:tcW w:w="1019" w:type="dxa"/>
            <w:vMerge/>
            <w:tcBorders>
              <w:left w:val="nil" w:sz="6" w:space="0" w:color="auto"/>
              <w:bottom w:val="single" w:sz="4" w:space="0" w:color="5B9BD4"/>
              <w:right w:val="nil" w:sz="6" w:space="0" w:color="auto"/>
            </w:tcBorders>
          </w:tcPr>
          <w:p>
            <w:pPr/>
          </w:p>
        </w:tc>
        <w:tc>
          <w:tcPr>
            <w:tcW w:w="1022" w:type="dxa"/>
            <w:vMerge/>
            <w:tcBorders>
              <w:left w:val="nil" w:sz="6" w:space="0" w:color="auto"/>
              <w:bottom w:val="single" w:sz="4" w:space="0" w:color="5B9BD4"/>
              <w:right w:val="nil" w:sz="6" w:space="0" w:color="auto"/>
            </w:tcBorders>
            <w:shd w:val="clear" w:color="auto" w:fill="DEEAF6"/>
          </w:tcPr>
          <w:p>
            <w:pPr/>
          </w:p>
        </w:tc>
        <w:tc>
          <w:tcPr>
            <w:tcW w:w="1002" w:type="dxa"/>
            <w:vMerge/>
            <w:tcBorders>
              <w:left w:val="nil" w:sz="6" w:space="0" w:color="auto"/>
              <w:bottom w:val="single" w:sz="4" w:space="0" w:color="5B9BD4"/>
              <w:right w:val="nil" w:sz="6" w:space="0" w:color="auto"/>
            </w:tcBorders>
          </w:tcPr>
          <w:p>
            <w:pPr/>
          </w:p>
        </w:tc>
        <w:tc>
          <w:tcPr>
            <w:tcW w:w="955" w:type="dxa"/>
            <w:tcBorders>
              <w:top w:val="nil" w:sz="6" w:space="0" w:color="auto"/>
              <w:left w:val="nil" w:sz="6" w:space="0" w:color="auto"/>
              <w:bottom w:val="single" w:sz="4" w:space="0" w:color="5B9BD4"/>
              <w:right w:val="nil" w:sz="6" w:space="0" w:color="auto"/>
            </w:tcBorders>
            <w:shd w:val="clear" w:color="auto" w:fill="DEEAF6"/>
          </w:tcPr>
          <w:p>
            <w:pPr/>
          </w:p>
        </w:tc>
      </w:tr>
      <w:tr>
        <w:trPr>
          <w:trHeight w:val="161" w:hRule="exact"/>
        </w:trPr>
        <w:tc>
          <w:tcPr>
            <w:tcW w:w="1220" w:type="dxa"/>
            <w:tcBorders>
              <w:top w:val="single" w:sz="4" w:space="0" w:color="5B9BD4"/>
              <w:left w:val="nil" w:sz="6" w:space="0" w:color="auto"/>
              <w:bottom w:val="nil" w:sz="6" w:space="0" w:color="auto"/>
              <w:right w:val="nil" w:sz="6" w:space="0" w:color="auto"/>
            </w:tcBorders>
            <w:shd w:val="clear" w:color="auto" w:fill="DEEAF6"/>
          </w:tcPr>
          <w:p>
            <w:pPr/>
          </w:p>
        </w:tc>
        <w:tc>
          <w:tcPr>
            <w:tcW w:w="1020"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41" w:right="0"/>
              <w:jc w:val="left"/>
              <w:rPr>
                <w:rFonts w:ascii="宋体" w:hAnsi="宋体" w:cs="宋体" w:eastAsia="宋体" w:hint="default"/>
                <w:sz w:val="18"/>
                <w:szCs w:val="18"/>
              </w:rPr>
            </w:pPr>
            <w:r>
              <w:rPr>
                <w:rFonts w:ascii="宋体" w:hAnsi="宋体" w:cs="宋体" w:eastAsia="宋体" w:hint="default"/>
                <w:sz w:val="18"/>
                <w:szCs w:val="18"/>
              </w:rPr>
              <w:t>商业保险</w:t>
            </w:r>
          </w:p>
        </w:tc>
        <w:tc>
          <w:tcPr>
            <w:tcW w:w="548" w:type="dxa"/>
            <w:vMerge w:val="restart"/>
            <w:tcBorders>
              <w:top w:val="single" w:sz="4" w:space="0" w:color="5B9BD4"/>
              <w:left w:val="nil" w:sz="6" w:space="0" w:color="auto"/>
              <w:right w:val="nil" w:sz="6" w:space="0" w:color="auto"/>
            </w:tcBorders>
            <w:shd w:val="clear" w:color="auto" w:fill="DEEAF6"/>
          </w:tcPr>
          <w:p>
            <w:pPr/>
          </w:p>
        </w:tc>
        <w:tc>
          <w:tcPr>
            <w:tcW w:w="1409"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27" w:right="0"/>
              <w:jc w:val="left"/>
              <w:rPr>
                <w:rFonts w:ascii="Arial" w:hAnsi="Arial" w:cs="Arial" w:eastAsia="Arial" w:hint="default"/>
                <w:sz w:val="18"/>
                <w:szCs w:val="18"/>
              </w:rPr>
            </w:pPr>
            <w:r>
              <w:rPr>
                <w:rFonts w:ascii="Arial"/>
                <w:sz w:val="18"/>
              </w:rPr>
              <w:t>5,000,000.00</w:t>
            </w:r>
          </w:p>
        </w:tc>
        <w:tc>
          <w:tcPr>
            <w:tcW w:w="878" w:type="dxa"/>
            <w:vMerge w:val="restart"/>
            <w:tcBorders>
              <w:top w:val="single" w:sz="4" w:space="0" w:color="5B9BD4"/>
              <w:left w:val="nil" w:sz="6" w:space="0" w:color="auto"/>
              <w:right w:val="nil" w:sz="6" w:space="0" w:color="auto"/>
            </w:tcBorders>
            <w:shd w:val="clear" w:color="auto" w:fill="DEEAF6"/>
          </w:tcPr>
          <w:p>
            <w:pPr/>
          </w:p>
        </w:tc>
        <w:tc>
          <w:tcPr>
            <w:tcW w:w="454"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3"/>
              <w:ind w:left="13" w:right="78"/>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092" w:type="dxa"/>
            <w:vMerge w:val="restart"/>
            <w:tcBorders>
              <w:top w:val="single" w:sz="4" w:space="0" w:color="5B9BD4"/>
              <w:left w:val="nil" w:sz="6" w:space="0" w:color="auto"/>
              <w:right w:val="nil" w:sz="6" w:space="0" w:color="auto"/>
            </w:tcBorders>
            <w:shd w:val="clear" w:color="auto" w:fill="DEEAF6"/>
          </w:tcPr>
          <w:p>
            <w:pPr/>
          </w:p>
        </w:tc>
        <w:tc>
          <w:tcPr>
            <w:tcW w:w="711"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7" w:right="0"/>
              <w:jc w:val="left"/>
              <w:rPr>
                <w:rFonts w:ascii="Arial" w:hAnsi="Arial" w:cs="Arial" w:eastAsia="Arial" w:hint="default"/>
                <w:sz w:val="18"/>
                <w:szCs w:val="18"/>
              </w:rPr>
            </w:pPr>
            <w:r>
              <w:rPr>
                <w:rFonts w:ascii="Arial"/>
                <w:w w:val="157"/>
                <w:sz w:val="18"/>
              </w:rPr>
              <w:t>/</w:t>
            </w:r>
            <w:r>
              <w:rPr>
                <w:rFonts w:ascii="Arial"/>
                <w:sz w:val="18"/>
              </w:rPr>
            </w:r>
          </w:p>
        </w:tc>
        <w:tc>
          <w:tcPr>
            <w:tcW w:w="917" w:type="dxa"/>
            <w:vMerge w:val="restart"/>
            <w:tcBorders>
              <w:top w:val="single" w:sz="4" w:space="0" w:color="5B9BD4"/>
              <w:left w:val="nil" w:sz="6" w:space="0" w:color="auto"/>
              <w:right w:val="nil" w:sz="6" w:space="0" w:color="auto"/>
            </w:tcBorders>
            <w:shd w:val="clear" w:color="auto" w:fill="DEEAF6"/>
          </w:tcPr>
          <w:p>
            <w:pPr/>
          </w:p>
        </w:tc>
        <w:tc>
          <w:tcPr>
            <w:tcW w:w="952" w:type="dxa"/>
            <w:vMerge w:val="restart"/>
            <w:tcBorders>
              <w:top w:val="single" w:sz="4" w:space="0" w:color="5B9BD4"/>
              <w:left w:val="nil" w:sz="6" w:space="0" w:color="auto"/>
              <w:right w:val="nil" w:sz="6" w:space="0" w:color="auto"/>
            </w:tcBorders>
          </w:tcPr>
          <w:p>
            <w:pPr>
              <w:pStyle w:val="TableParagraph"/>
              <w:spacing w:line="319" w:lineRule="auto" w:before="46"/>
              <w:ind w:left="13" w:right="35"/>
              <w:jc w:val="both"/>
              <w:rPr>
                <w:rFonts w:ascii="宋体" w:hAnsi="宋体" w:cs="宋体" w:eastAsia="宋体" w:hint="default"/>
                <w:sz w:val="18"/>
                <w:szCs w:val="18"/>
              </w:rPr>
            </w:pPr>
            <w:r>
              <w:rPr>
                <w:rFonts w:ascii="宋体" w:hAnsi="宋体" w:cs="宋体" w:eastAsia="宋体" w:hint="default"/>
                <w:sz w:val="18"/>
                <w:szCs w:val="18"/>
              </w:rPr>
              <w:t>报告期内支 付投资筹备 款，保监会 审核</w:t>
            </w:r>
          </w:p>
        </w:tc>
        <w:tc>
          <w:tcPr>
            <w:tcW w:w="758" w:type="dxa"/>
            <w:vMerge w:val="restart"/>
            <w:tcBorders>
              <w:top w:val="single" w:sz="4" w:space="0" w:color="5B9BD4"/>
              <w:left w:val="nil" w:sz="6" w:space="0" w:color="auto"/>
              <w:right w:val="nil" w:sz="6" w:space="0" w:color="auto"/>
            </w:tcBorders>
            <w:shd w:val="clear" w:color="auto" w:fill="DEEAF6"/>
          </w:tcPr>
          <w:p>
            <w:pPr/>
          </w:p>
        </w:tc>
        <w:tc>
          <w:tcPr>
            <w:tcW w:w="1019" w:type="dxa"/>
            <w:vMerge w:val="restart"/>
            <w:tcBorders>
              <w:top w:val="single" w:sz="4" w:space="0" w:color="5B9BD4"/>
              <w:left w:val="nil" w:sz="6" w:space="0" w:color="auto"/>
              <w:right w:val="nil" w:sz="6" w:space="0" w:color="auto"/>
            </w:tcBorders>
          </w:tcPr>
          <w:p>
            <w:pPr/>
          </w:p>
        </w:tc>
        <w:tc>
          <w:tcPr>
            <w:tcW w:w="1022" w:type="dxa"/>
            <w:vMerge w:val="restart"/>
            <w:tcBorders>
              <w:top w:val="single" w:sz="4" w:space="0" w:color="5B9BD4"/>
              <w:left w:val="nil" w:sz="6" w:space="0" w:color="auto"/>
              <w:right w:val="nil" w:sz="6" w:space="0" w:color="auto"/>
            </w:tcBorders>
            <w:shd w:val="clear" w:color="auto" w:fill="DEEAF6"/>
          </w:tcPr>
          <w:p>
            <w:pPr/>
          </w:p>
        </w:tc>
        <w:tc>
          <w:tcPr>
            <w:tcW w:w="1002"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3" w:right="0"/>
              <w:jc w:val="left"/>
              <w:rPr>
                <w:rFonts w:ascii="Arial" w:hAnsi="Arial" w:cs="Arial" w:eastAsia="Arial" w:hint="default"/>
                <w:sz w:val="18"/>
                <w:szCs w:val="18"/>
              </w:rPr>
            </w:pPr>
            <w:r>
              <w:rPr>
                <w:rFonts w:ascii="Arial" w:hAnsi="Arial" w:cs="Arial" w:eastAsia="Arial" w:hint="default"/>
                <w:sz w:val="18"/>
                <w:szCs w:val="18"/>
              </w:rPr>
              <w:t>2015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Arial" w:hAnsi="Arial" w:cs="Arial" w:eastAsia="Arial" w:hint="default"/>
                <w:sz w:val="18"/>
                <w:szCs w:val="18"/>
              </w:rPr>
              <w:t>09</w:t>
            </w:r>
          </w:p>
          <w:p>
            <w:pPr>
              <w:pStyle w:val="TableParagraph"/>
              <w:spacing w:line="240" w:lineRule="auto" w:before="65"/>
              <w:ind w:left="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19</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955" w:type="dxa"/>
            <w:vMerge w:val="restart"/>
            <w:tcBorders>
              <w:top w:val="single" w:sz="4" w:space="0" w:color="5B9BD4"/>
              <w:left w:val="nil" w:sz="6" w:space="0" w:color="auto"/>
              <w:right w:val="nil" w:sz="6" w:space="0" w:color="auto"/>
            </w:tcBorders>
            <w:shd w:val="clear" w:color="auto" w:fill="DEEAF6"/>
          </w:tcPr>
          <w:p>
            <w:pPr/>
          </w:p>
        </w:tc>
      </w:tr>
      <w:tr>
        <w:trPr>
          <w:trHeight w:val="156" w:hRule="exact"/>
        </w:trPr>
        <w:tc>
          <w:tcPr>
            <w:tcW w:w="1220"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13" w:right="124"/>
              <w:jc w:val="left"/>
              <w:rPr>
                <w:rFonts w:ascii="宋体" w:hAnsi="宋体" w:cs="宋体" w:eastAsia="宋体" w:hint="default"/>
                <w:sz w:val="18"/>
                <w:szCs w:val="18"/>
              </w:rPr>
            </w:pPr>
            <w:r>
              <w:rPr>
                <w:rFonts w:ascii="宋体" w:hAnsi="宋体" w:cs="宋体" w:eastAsia="宋体" w:hint="default"/>
                <w:sz w:val="18"/>
                <w:szCs w:val="18"/>
              </w:rPr>
              <w:t>华贵人寿保险 股份有限公司</w:t>
            </w:r>
          </w:p>
          <w:p>
            <w:pPr>
              <w:pStyle w:val="TableParagraph"/>
              <w:spacing w:line="240" w:lineRule="auto" w:before="20"/>
              <w:ind w:left="13" w:right="0"/>
              <w:jc w:val="left"/>
              <w:rPr>
                <w:rFonts w:ascii="宋体" w:hAnsi="宋体" w:cs="宋体" w:eastAsia="宋体" w:hint="default"/>
                <w:sz w:val="18"/>
                <w:szCs w:val="18"/>
              </w:rPr>
            </w:pPr>
            <w:r>
              <w:rPr>
                <w:rFonts w:ascii="宋体" w:hAnsi="宋体" w:cs="宋体" w:eastAsia="宋体" w:hint="default"/>
                <w:sz w:val="18"/>
                <w:szCs w:val="18"/>
              </w:rPr>
              <w:t>（暂定名）</w:t>
            </w:r>
          </w:p>
        </w:tc>
        <w:tc>
          <w:tcPr>
            <w:tcW w:w="1020" w:type="dxa"/>
            <w:vMerge/>
            <w:tcBorders>
              <w:left w:val="nil" w:sz="6" w:space="0" w:color="auto"/>
              <w:right w:val="nil" w:sz="6" w:space="0" w:color="auto"/>
            </w:tcBorders>
          </w:tcPr>
          <w:p>
            <w:pPr/>
          </w:p>
        </w:tc>
        <w:tc>
          <w:tcPr>
            <w:tcW w:w="548" w:type="dxa"/>
            <w:vMerge/>
            <w:tcBorders>
              <w:left w:val="nil" w:sz="6" w:space="0" w:color="auto"/>
              <w:right w:val="nil" w:sz="6" w:space="0" w:color="auto"/>
            </w:tcBorders>
            <w:shd w:val="clear" w:color="auto" w:fill="DEEAF6"/>
          </w:tcPr>
          <w:p>
            <w:pPr/>
          </w:p>
        </w:tc>
        <w:tc>
          <w:tcPr>
            <w:tcW w:w="1409" w:type="dxa"/>
            <w:vMerge/>
            <w:tcBorders>
              <w:left w:val="nil" w:sz="6" w:space="0" w:color="auto"/>
              <w:right w:val="nil" w:sz="6" w:space="0" w:color="auto"/>
            </w:tcBorders>
          </w:tcPr>
          <w:p>
            <w:pPr/>
          </w:p>
        </w:tc>
        <w:tc>
          <w:tcPr>
            <w:tcW w:w="878" w:type="dxa"/>
            <w:vMerge/>
            <w:tcBorders>
              <w:left w:val="nil" w:sz="6" w:space="0" w:color="auto"/>
              <w:right w:val="nil" w:sz="6" w:space="0" w:color="auto"/>
            </w:tcBorders>
            <w:shd w:val="clear" w:color="auto" w:fill="DEEAF6"/>
          </w:tcPr>
          <w:p>
            <w:pPr/>
          </w:p>
        </w:tc>
        <w:tc>
          <w:tcPr>
            <w:tcW w:w="454" w:type="dxa"/>
            <w:vMerge/>
            <w:tcBorders>
              <w:left w:val="nil" w:sz="6" w:space="0" w:color="auto"/>
              <w:right w:val="nil" w:sz="6" w:space="0" w:color="auto"/>
            </w:tcBorders>
          </w:tcPr>
          <w:p>
            <w:pPr/>
          </w:p>
        </w:tc>
        <w:tc>
          <w:tcPr>
            <w:tcW w:w="1092" w:type="dxa"/>
            <w:vMerge/>
            <w:tcBorders>
              <w:left w:val="nil" w:sz="6" w:space="0" w:color="auto"/>
              <w:right w:val="nil" w:sz="6" w:space="0" w:color="auto"/>
            </w:tcBorders>
            <w:shd w:val="clear" w:color="auto" w:fill="DEEAF6"/>
          </w:tcPr>
          <w:p>
            <w:pPr/>
          </w:p>
        </w:tc>
        <w:tc>
          <w:tcPr>
            <w:tcW w:w="711" w:type="dxa"/>
            <w:vMerge/>
            <w:tcBorders>
              <w:left w:val="nil" w:sz="6" w:space="0" w:color="auto"/>
              <w:right w:val="nil" w:sz="6" w:space="0" w:color="auto"/>
            </w:tcBorders>
          </w:tcPr>
          <w:p>
            <w:pPr/>
          </w:p>
        </w:tc>
        <w:tc>
          <w:tcPr>
            <w:tcW w:w="917" w:type="dxa"/>
            <w:vMerge/>
            <w:tcBorders>
              <w:left w:val="nil" w:sz="6" w:space="0" w:color="auto"/>
              <w:right w:val="nil" w:sz="6" w:space="0" w:color="auto"/>
            </w:tcBorders>
            <w:shd w:val="clear" w:color="auto" w:fill="DEEAF6"/>
          </w:tcPr>
          <w:p>
            <w:pPr/>
          </w:p>
        </w:tc>
        <w:tc>
          <w:tcPr>
            <w:tcW w:w="952" w:type="dxa"/>
            <w:vMerge/>
            <w:tcBorders>
              <w:left w:val="nil" w:sz="6" w:space="0" w:color="auto"/>
              <w:right w:val="nil" w:sz="6" w:space="0" w:color="auto"/>
            </w:tcBorders>
          </w:tcPr>
          <w:p>
            <w:pPr/>
          </w:p>
        </w:tc>
        <w:tc>
          <w:tcPr>
            <w:tcW w:w="758" w:type="dxa"/>
            <w:vMerge/>
            <w:tcBorders>
              <w:left w:val="nil" w:sz="6" w:space="0" w:color="auto"/>
              <w:right w:val="nil" w:sz="6" w:space="0" w:color="auto"/>
            </w:tcBorders>
            <w:shd w:val="clear" w:color="auto" w:fill="DEEAF6"/>
          </w:tcPr>
          <w:p>
            <w:pPr/>
          </w:p>
        </w:tc>
        <w:tc>
          <w:tcPr>
            <w:tcW w:w="1019" w:type="dxa"/>
            <w:vMerge/>
            <w:tcBorders>
              <w:left w:val="nil" w:sz="6" w:space="0" w:color="auto"/>
              <w:right w:val="nil" w:sz="6" w:space="0" w:color="auto"/>
            </w:tcBorders>
          </w:tcPr>
          <w:p>
            <w:pPr/>
          </w:p>
        </w:tc>
        <w:tc>
          <w:tcPr>
            <w:tcW w:w="1022" w:type="dxa"/>
            <w:vMerge/>
            <w:tcBorders>
              <w:left w:val="nil" w:sz="6" w:space="0" w:color="auto"/>
              <w:right w:val="nil" w:sz="6" w:space="0" w:color="auto"/>
            </w:tcBorders>
            <w:shd w:val="clear" w:color="auto" w:fill="DEEAF6"/>
          </w:tcPr>
          <w:p>
            <w:pPr/>
          </w:p>
        </w:tc>
        <w:tc>
          <w:tcPr>
            <w:tcW w:w="1002" w:type="dxa"/>
            <w:vMerge/>
            <w:tcBorders>
              <w:left w:val="nil" w:sz="6" w:space="0" w:color="auto"/>
              <w:right w:val="nil" w:sz="6" w:space="0" w:color="auto"/>
            </w:tcBorders>
          </w:tcPr>
          <w:p>
            <w:pPr/>
          </w:p>
        </w:tc>
        <w:tc>
          <w:tcPr>
            <w:tcW w:w="955" w:type="dxa"/>
            <w:vMerge/>
            <w:tcBorders>
              <w:left w:val="nil" w:sz="6" w:space="0" w:color="auto"/>
              <w:bottom w:val="nil" w:sz="6" w:space="0" w:color="auto"/>
              <w:right w:val="nil" w:sz="6" w:space="0" w:color="auto"/>
            </w:tcBorders>
            <w:shd w:val="clear" w:color="auto" w:fill="DEEAF6"/>
          </w:tcPr>
          <w:p>
            <w:pPr/>
          </w:p>
        </w:tc>
      </w:tr>
      <w:tr>
        <w:trPr>
          <w:trHeight w:val="156" w:hRule="exact"/>
        </w:trPr>
        <w:tc>
          <w:tcPr>
            <w:tcW w:w="1220" w:type="dxa"/>
            <w:vMerge/>
            <w:tcBorders>
              <w:left w:val="nil" w:sz="6" w:space="0" w:color="auto"/>
              <w:right w:val="nil" w:sz="6" w:space="0" w:color="auto"/>
            </w:tcBorders>
            <w:shd w:val="clear" w:color="auto" w:fill="DEEAF6"/>
          </w:tcPr>
          <w:p>
            <w:pPr/>
          </w:p>
        </w:tc>
        <w:tc>
          <w:tcPr>
            <w:tcW w:w="1020" w:type="dxa"/>
            <w:vMerge/>
            <w:tcBorders>
              <w:left w:val="nil" w:sz="6" w:space="0" w:color="auto"/>
              <w:right w:val="nil" w:sz="6" w:space="0" w:color="auto"/>
            </w:tcBorders>
          </w:tcPr>
          <w:p>
            <w:pPr/>
          </w:p>
        </w:tc>
        <w:tc>
          <w:tcPr>
            <w:tcW w:w="548" w:type="dxa"/>
            <w:vMerge/>
            <w:tcBorders>
              <w:left w:val="nil" w:sz="6" w:space="0" w:color="auto"/>
              <w:bottom w:val="nil" w:sz="6" w:space="0" w:color="auto"/>
              <w:right w:val="nil" w:sz="6" w:space="0" w:color="auto"/>
            </w:tcBorders>
            <w:shd w:val="clear" w:color="auto" w:fill="DEEAF6"/>
          </w:tcPr>
          <w:p>
            <w:pPr/>
          </w:p>
        </w:tc>
        <w:tc>
          <w:tcPr>
            <w:tcW w:w="1409" w:type="dxa"/>
            <w:vMerge/>
            <w:tcBorders>
              <w:left w:val="nil" w:sz="6" w:space="0" w:color="auto"/>
              <w:right w:val="nil" w:sz="6" w:space="0" w:color="auto"/>
            </w:tcBorders>
          </w:tcPr>
          <w:p>
            <w:pPr/>
          </w:p>
        </w:tc>
        <w:tc>
          <w:tcPr>
            <w:tcW w:w="878" w:type="dxa"/>
            <w:vMerge/>
            <w:tcBorders>
              <w:left w:val="nil" w:sz="6" w:space="0" w:color="auto"/>
              <w:bottom w:val="nil" w:sz="6" w:space="0" w:color="auto"/>
              <w:right w:val="nil" w:sz="6" w:space="0" w:color="auto"/>
            </w:tcBorders>
            <w:shd w:val="clear" w:color="auto" w:fill="DEEAF6"/>
          </w:tcPr>
          <w:p>
            <w:pPr/>
          </w:p>
        </w:tc>
        <w:tc>
          <w:tcPr>
            <w:tcW w:w="454" w:type="dxa"/>
            <w:vMerge/>
            <w:tcBorders>
              <w:left w:val="nil" w:sz="6" w:space="0" w:color="auto"/>
              <w:right w:val="nil" w:sz="6" w:space="0" w:color="auto"/>
            </w:tcBorders>
          </w:tcPr>
          <w:p>
            <w:pPr/>
          </w:p>
        </w:tc>
        <w:tc>
          <w:tcPr>
            <w:tcW w:w="1092" w:type="dxa"/>
            <w:vMerge/>
            <w:tcBorders>
              <w:left w:val="nil" w:sz="6" w:space="0" w:color="auto"/>
              <w:bottom w:val="nil" w:sz="6" w:space="0" w:color="auto"/>
              <w:right w:val="nil" w:sz="6" w:space="0" w:color="auto"/>
            </w:tcBorders>
            <w:shd w:val="clear" w:color="auto" w:fill="DEEAF6"/>
          </w:tcPr>
          <w:p>
            <w:pPr/>
          </w:p>
        </w:tc>
        <w:tc>
          <w:tcPr>
            <w:tcW w:w="711" w:type="dxa"/>
            <w:vMerge/>
            <w:tcBorders>
              <w:left w:val="nil" w:sz="6" w:space="0" w:color="auto"/>
              <w:right w:val="nil" w:sz="6" w:space="0" w:color="auto"/>
            </w:tcBorders>
          </w:tcPr>
          <w:p>
            <w:pPr/>
          </w:p>
        </w:tc>
        <w:tc>
          <w:tcPr>
            <w:tcW w:w="917" w:type="dxa"/>
            <w:vMerge/>
            <w:tcBorders>
              <w:left w:val="nil" w:sz="6" w:space="0" w:color="auto"/>
              <w:bottom w:val="nil" w:sz="6" w:space="0" w:color="auto"/>
              <w:right w:val="nil" w:sz="6" w:space="0" w:color="auto"/>
            </w:tcBorders>
            <w:shd w:val="clear" w:color="auto" w:fill="DEEAF6"/>
          </w:tcPr>
          <w:p>
            <w:pPr/>
          </w:p>
        </w:tc>
        <w:tc>
          <w:tcPr>
            <w:tcW w:w="952" w:type="dxa"/>
            <w:vMerge/>
            <w:tcBorders>
              <w:left w:val="nil" w:sz="6" w:space="0" w:color="auto"/>
              <w:right w:val="nil" w:sz="6" w:space="0" w:color="auto"/>
            </w:tcBorders>
          </w:tcPr>
          <w:p>
            <w:pPr/>
          </w:p>
        </w:tc>
        <w:tc>
          <w:tcPr>
            <w:tcW w:w="758" w:type="dxa"/>
            <w:vMerge/>
            <w:tcBorders>
              <w:left w:val="nil" w:sz="6" w:space="0" w:color="auto"/>
              <w:bottom w:val="nil" w:sz="6" w:space="0" w:color="auto"/>
              <w:right w:val="nil" w:sz="6" w:space="0" w:color="auto"/>
            </w:tcBorders>
            <w:shd w:val="clear" w:color="auto" w:fill="DEEAF6"/>
          </w:tcPr>
          <w:p>
            <w:pPr/>
          </w:p>
        </w:tc>
        <w:tc>
          <w:tcPr>
            <w:tcW w:w="1019" w:type="dxa"/>
            <w:vMerge/>
            <w:tcBorders>
              <w:left w:val="nil" w:sz="6" w:space="0" w:color="auto"/>
              <w:right w:val="nil" w:sz="6" w:space="0" w:color="auto"/>
            </w:tcBorders>
          </w:tcPr>
          <w:p>
            <w:pPr/>
          </w:p>
        </w:tc>
        <w:tc>
          <w:tcPr>
            <w:tcW w:w="1022" w:type="dxa"/>
            <w:vMerge/>
            <w:tcBorders>
              <w:left w:val="nil" w:sz="6" w:space="0" w:color="auto"/>
              <w:bottom w:val="nil" w:sz="6" w:space="0" w:color="auto"/>
              <w:right w:val="nil" w:sz="6" w:space="0" w:color="auto"/>
            </w:tcBorders>
            <w:shd w:val="clear" w:color="auto" w:fill="DEEAF6"/>
          </w:tcPr>
          <w:p>
            <w:pPr/>
          </w:p>
        </w:tc>
        <w:tc>
          <w:tcPr>
            <w:tcW w:w="1002" w:type="dxa"/>
            <w:vMerge/>
            <w:tcBorders>
              <w:left w:val="nil" w:sz="6" w:space="0" w:color="auto"/>
              <w:right w:val="nil" w:sz="6" w:space="0" w:color="auto"/>
            </w:tcBorders>
          </w:tcPr>
          <w:p>
            <w:pPr/>
          </w:p>
        </w:tc>
        <w:tc>
          <w:tcPr>
            <w:tcW w:w="955" w:type="dxa"/>
            <w:vMerge w:val="restart"/>
            <w:tcBorders>
              <w:top w:val="nil" w:sz="6" w:space="0" w:color="auto"/>
              <w:left w:val="nil" w:sz="6" w:space="0" w:color="auto"/>
              <w:right w:val="nil" w:sz="6" w:space="0" w:color="auto"/>
            </w:tcBorders>
            <w:shd w:val="clear" w:color="auto" w:fill="DEEAF6"/>
          </w:tcPr>
          <w:p>
            <w:pPr>
              <w:pStyle w:val="TableParagraph"/>
              <w:spacing w:line="362" w:lineRule="auto" w:before="88"/>
              <w:ind w:left="21" w:right="60"/>
              <w:jc w:val="left"/>
              <w:rPr>
                <w:rFonts w:ascii="Arial" w:hAnsi="Arial" w:cs="Arial" w:eastAsia="Arial" w:hint="default"/>
                <w:sz w:val="18"/>
                <w:szCs w:val="18"/>
              </w:rPr>
            </w:pPr>
            <w:r>
              <w:rPr>
                <w:rFonts w:ascii="Arial"/>
                <w:w w:val="110"/>
                <w:sz w:val="18"/>
              </w:rPr>
              <w:t>www.cnin</w:t>
            </w:r>
            <w:r>
              <w:rPr>
                <w:rFonts w:ascii="Arial"/>
                <w:spacing w:val="-33"/>
                <w:w w:val="110"/>
                <w:sz w:val="18"/>
              </w:rPr>
              <w:t> </w:t>
            </w:r>
            <w:r>
              <w:rPr>
                <w:rFonts w:ascii="Arial"/>
                <w:spacing w:val="-33"/>
                <w:w w:val="110"/>
                <w:sz w:val="18"/>
              </w:rPr>
            </w:r>
            <w:r>
              <w:rPr>
                <w:rFonts w:ascii="Arial"/>
                <w:w w:val="115"/>
                <w:sz w:val="18"/>
              </w:rPr>
              <w:t>fo.com</w:t>
            </w:r>
            <w:r>
              <w:rPr>
                <w:rFonts w:ascii="Arial"/>
                <w:sz w:val="18"/>
              </w:rPr>
            </w:r>
          </w:p>
        </w:tc>
      </w:tr>
      <w:tr>
        <w:trPr>
          <w:trHeight w:val="392" w:hRule="exact"/>
        </w:trPr>
        <w:tc>
          <w:tcPr>
            <w:tcW w:w="1220" w:type="dxa"/>
            <w:vMerge/>
            <w:tcBorders>
              <w:left w:val="nil" w:sz="6" w:space="0" w:color="auto"/>
              <w:right w:val="nil" w:sz="6" w:space="0" w:color="auto"/>
            </w:tcBorders>
            <w:shd w:val="clear" w:color="auto" w:fill="DEEAF6"/>
          </w:tcPr>
          <w:p>
            <w:pPr/>
          </w:p>
        </w:tc>
        <w:tc>
          <w:tcPr>
            <w:tcW w:w="1020" w:type="dxa"/>
            <w:vMerge/>
            <w:tcBorders>
              <w:left w:val="nil" w:sz="6" w:space="0" w:color="auto"/>
              <w:right w:val="nil" w:sz="6" w:space="0" w:color="auto"/>
            </w:tcBorders>
          </w:tcPr>
          <w:p>
            <w:pPr/>
          </w:p>
        </w:tc>
        <w:tc>
          <w:tcPr>
            <w:tcW w:w="548"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1409" w:type="dxa"/>
            <w:vMerge/>
            <w:tcBorders>
              <w:left w:val="nil" w:sz="6" w:space="0" w:color="auto"/>
              <w:right w:val="nil" w:sz="6" w:space="0" w:color="auto"/>
            </w:tcBorders>
          </w:tcPr>
          <w:p>
            <w:pPr/>
          </w:p>
        </w:tc>
        <w:tc>
          <w:tcPr>
            <w:tcW w:w="878"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39"/>
              <w:jc w:val="right"/>
              <w:rPr>
                <w:rFonts w:ascii="Arial" w:hAnsi="Arial" w:cs="Arial" w:eastAsia="Arial" w:hint="default"/>
                <w:sz w:val="18"/>
                <w:szCs w:val="18"/>
              </w:rPr>
            </w:pPr>
            <w:r>
              <w:rPr>
                <w:rFonts w:ascii="Arial"/>
                <w:w w:val="95"/>
                <w:sz w:val="18"/>
              </w:rPr>
              <w:t>10.00%</w:t>
            </w:r>
            <w:r>
              <w:rPr>
                <w:rFonts w:ascii="Arial"/>
                <w:sz w:val="18"/>
              </w:rPr>
            </w:r>
          </w:p>
        </w:tc>
        <w:tc>
          <w:tcPr>
            <w:tcW w:w="454" w:type="dxa"/>
            <w:vMerge/>
            <w:tcBorders>
              <w:left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left="27" w:right="0"/>
              <w:jc w:val="left"/>
              <w:rPr>
                <w:rFonts w:ascii="Arial" w:hAnsi="Arial" w:cs="Arial" w:eastAsia="Arial" w:hint="default"/>
                <w:sz w:val="18"/>
                <w:szCs w:val="18"/>
              </w:rPr>
            </w:pPr>
            <w:r>
              <w:rPr>
                <w:rFonts w:ascii="Arial"/>
                <w:w w:val="157"/>
                <w:sz w:val="18"/>
              </w:rPr>
              <w:t>/</w:t>
            </w:r>
            <w:r>
              <w:rPr>
                <w:rFonts w:ascii="Arial"/>
                <w:sz w:val="18"/>
              </w:rPr>
            </w:r>
          </w:p>
        </w:tc>
        <w:tc>
          <w:tcPr>
            <w:tcW w:w="711" w:type="dxa"/>
            <w:vMerge/>
            <w:tcBorders>
              <w:left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952" w:type="dxa"/>
            <w:vMerge/>
            <w:tcBorders>
              <w:left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shd w:val="clear" w:color="auto" w:fill="DEEAF6"/>
          </w:tcPr>
          <w:p>
            <w:pPr/>
          </w:p>
        </w:tc>
        <w:tc>
          <w:tcPr>
            <w:tcW w:w="1019" w:type="dxa"/>
            <w:vMerge/>
            <w:tcBorders>
              <w:left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2" w:type="dxa"/>
            <w:vMerge/>
            <w:tcBorders>
              <w:left w:val="nil" w:sz="6" w:space="0" w:color="auto"/>
              <w:right w:val="nil" w:sz="6" w:space="0" w:color="auto"/>
            </w:tcBorders>
          </w:tcPr>
          <w:p>
            <w:pPr/>
          </w:p>
        </w:tc>
        <w:tc>
          <w:tcPr>
            <w:tcW w:w="955" w:type="dxa"/>
            <w:vMerge/>
            <w:tcBorders>
              <w:left w:val="nil" w:sz="6" w:space="0" w:color="auto"/>
              <w:right w:val="nil" w:sz="6" w:space="0" w:color="auto"/>
            </w:tcBorders>
            <w:shd w:val="clear" w:color="auto" w:fill="DEEAF6"/>
          </w:tcPr>
          <w:p>
            <w:pPr/>
          </w:p>
        </w:tc>
      </w:tr>
      <w:tr>
        <w:trPr>
          <w:trHeight w:val="156" w:hRule="exact"/>
        </w:trPr>
        <w:tc>
          <w:tcPr>
            <w:tcW w:w="1220" w:type="dxa"/>
            <w:vMerge/>
            <w:tcBorders>
              <w:left w:val="nil" w:sz="6" w:space="0" w:color="auto"/>
              <w:right w:val="nil" w:sz="6" w:space="0" w:color="auto"/>
            </w:tcBorders>
            <w:shd w:val="clear" w:color="auto" w:fill="DEEAF6"/>
          </w:tcPr>
          <w:p>
            <w:pPr/>
          </w:p>
        </w:tc>
        <w:tc>
          <w:tcPr>
            <w:tcW w:w="1020" w:type="dxa"/>
            <w:vMerge/>
            <w:tcBorders>
              <w:left w:val="nil" w:sz="6" w:space="0" w:color="auto"/>
              <w:right w:val="nil" w:sz="6" w:space="0" w:color="auto"/>
            </w:tcBorders>
          </w:tcPr>
          <w:p>
            <w:pPr/>
          </w:p>
        </w:tc>
        <w:tc>
          <w:tcPr>
            <w:tcW w:w="548" w:type="dxa"/>
            <w:vMerge w:val="restart"/>
            <w:tcBorders>
              <w:top w:val="nil" w:sz="6" w:space="0" w:color="auto"/>
              <w:left w:val="nil" w:sz="6" w:space="0" w:color="auto"/>
              <w:right w:val="nil" w:sz="6" w:space="0" w:color="auto"/>
            </w:tcBorders>
            <w:shd w:val="clear" w:color="auto" w:fill="DEEAF6"/>
          </w:tcPr>
          <w:p>
            <w:pPr/>
          </w:p>
        </w:tc>
        <w:tc>
          <w:tcPr>
            <w:tcW w:w="1409" w:type="dxa"/>
            <w:vMerge/>
            <w:tcBorders>
              <w:left w:val="nil" w:sz="6" w:space="0" w:color="auto"/>
              <w:right w:val="nil" w:sz="6" w:space="0" w:color="auto"/>
            </w:tcBorders>
          </w:tcPr>
          <w:p>
            <w:pPr/>
          </w:p>
        </w:tc>
        <w:tc>
          <w:tcPr>
            <w:tcW w:w="878" w:type="dxa"/>
            <w:vMerge w:val="restart"/>
            <w:tcBorders>
              <w:top w:val="nil" w:sz="6" w:space="0" w:color="auto"/>
              <w:left w:val="nil" w:sz="6" w:space="0" w:color="auto"/>
              <w:right w:val="nil" w:sz="6" w:space="0" w:color="auto"/>
            </w:tcBorders>
            <w:shd w:val="clear" w:color="auto" w:fill="DEEAF6"/>
          </w:tcPr>
          <w:p>
            <w:pPr/>
          </w:p>
        </w:tc>
        <w:tc>
          <w:tcPr>
            <w:tcW w:w="454" w:type="dxa"/>
            <w:vMerge/>
            <w:tcBorders>
              <w:left w:val="nil" w:sz="6" w:space="0" w:color="auto"/>
              <w:right w:val="nil" w:sz="6" w:space="0" w:color="auto"/>
            </w:tcBorders>
          </w:tcPr>
          <w:p>
            <w:pPr/>
          </w:p>
        </w:tc>
        <w:tc>
          <w:tcPr>
            <w:tcW w:w="1092" w:type="dxa"/>
            <w:vMerge w:val="restart"/>
            <w:tcBorders>
              <w:top w:val="nil" w:sz="6" w:space="0" w:color="auto"/>
              <w:left w:val="nil" w:sz="6" w:space="0" w:color="auto"/>
              <w:right w:val="nil" w:sz="6" w:space="0" w:color="auto"/>
            </w:tcBorders>
            <w:shd w:val="clear" w:color="auto" w:fill="DEEAF6"/>
          </w:tcPr>
          <w:p>
            <w:pPr/>
          </w:p>
        </w:tc>
        <w:tc>
          <w:tcPr>
            <w:tcW w:w="711" w:type="dxa"/>
            <w:vMerge/>
            <w:tcBorders>
              <w:left w:val="nil" w:sz="6" w:space="0" w:color="auto"/>
              <w:right w:val="nil" w:sz="6" w:space="0" w:color="auto"/>
            </w:tcBorders>
          </w:tcPr>
          <w:p>
            <w:pPr/>
          </w:p>
        </w:tc>
        <w:tc>
          <w:tcPr>
            <w:tcW w:w="917" w:type="dxa"/>
            <w:vMerge w:val="restart"/>
            <w:tcBorders>
              <w:top w:val="nil" w:sz="6" w:space="0" w:color="auto"/>
              <w:left w:val="nil" w:sz="6" w:space="0" w:color="auto"/>
              <w:right w:val="nil" w:sz="6" w:space="0" w:color="auto"/>
            </w:tcBorders>
            <w:shd w:val="clear" w:color="auto" w:fill="DEEAF6"/>
          </w:tcPr>
          <w:p>
            <w:pPr/>
          </w:p>
        </w:tc>
        <w:tc>
          <w:tcPr>
            <w:tcW w:w="952" w:type="dxa"/>
            <w:vMerge/>
            <w:tcBorders>
              <w:left w:val="nil" w:sz="6" w:space="0" w:color="auto"/>
              <w:right w:val="nil" w:sz="6" w:space="0" w:color="auto"/>
            </w:tcBorders>
          </w:tcPr>
          <w:p>
            <w:pPr/>
          </w:p>
        </w:tc>
        <w:tc>
          <w:tcPr>
            <w:tcW w:w="758" w:type="dxa"/>
            <w:vMerge w:val="restart"/>
            <w:tcBorders>
              <w:top w:val="nil" w:sz="6" w:space="0" w:color="auto"/>
              <w:left w:val="nil" w:sz="6" w:space="0" w:color="auto"/>
              <w:right w:val="nil" w:sz="6" w:space="0" w:color="auto"/>
            </w:tcBorders>
            <w:shd w:val="clear" w:color="auto" w:fill="DEEAF6"/>
          </w:tcPr>
          <w:p>
            <w:pPr/>
          </w:p>
        </w:tc>
        <w:tc>
          <w:tcPr>
            <w:tcW w:w="1019" w:type="dxa"/>
            <w:vMerge/>
            <w:tcBorders>
              <w:left w:val="nil" w:sz="6" w:space="0" w:color="auto"/>
              <w:right w:val="nil" w:sz="6" w:space="0" w:color="auto"/>
            </w:tcBorders>
          </w:tcPr>
          <w:p>
            <w:pPr/>
          </w:p>
        </w:tc>
        <w:tc>
          <w:tcPr>
            <w:tcW w:w="1022" w:type="dxa"/>
            <w:vMerge w:val="restart"/>
            <w:tcBorders>
              <w:top w:val="nil" w:sz="6" w:space="0" w:color="auto"/>
              <w:left w:val="nil" w:sz="6" w:space="0" w:color="auto"/>
              <w:right w:val="nil" w:sz="6" w:space="0" w:color="auto"/>
            </w:tcBorders>
            <w:shd w:val="clear" w:color="auto" w:fill="DEEAF6"/>
          </w:tcPr>
          <w:p>
            <w:pPr/>
          </w:p>
        </w:tc>
        <w:tc>
          <w:tcPr>
            <w:tcW w:w="1002" w:type="dxa"/>
            <w:vMerge/>
            <w:tcBorders>
              <w:left w:val="nil" w:sz="6" w:space="0" w:color="auto"/>
              <w:right w:val="nil" w:sz="6" w:space="0" w:color="auto"/>
            </w:tcBorders>
          </w:tcPr>
          <w:p>
            <w:pPr/>
          </w:p>
        </w:tc>
        <w:tc>
          <w:tcPr>
            <w:tcW w:w="955" w:type="dxa"/>
            <w:vMerge/>
            <w:tcBorders>
              <w:left w:val="nil" w:sz="6" w:space="0" w:color="auto"/>
              <w:bottom w:val="nil" w:sz="6" w:space="0" w:color="auto"/>
              <w:right w:val="nil" w:sz="6" w:space="0" w:color="auto"/>
            </w:tcBorders>
            <w:shd w:val="clear" w:color="auto" w:fill="DEEAF6"/>
          </w:tcPr>
          <w:p>
            <w:pPr/>
          </w:p>
        </w:tc>
      </w:tr>
      <w:tr>
        <w:trPr>
          <w:trHeight w:val="156" w:hRule="exact"/>
        </w:trPr>
        <w:tc>
          <w:tcPr>
            <w:tcW w:w="1220" w:type="dxa"/>
            <w:vMerge/>
            <w:tcBorders>
              <w:left w:val="nil" w:sz="6" w:space="0" w:color="auto"/>
              <w:bottom w:val="nil" w:sz="6" w:space="0" w:color="auto"/>
              <w:right w:val="nil" w:sz="6" w:space="0" w:color="auto"/>
            </w:tcBorders>
            <w:shd w:val="clear" w:color="auto" w:fill="DEEAF6"/>
          </w:tcPr>
          <w:p>
            <w:pPr/>
          </w:p>
        </w:tc>
        <w:tc>
          <w:tcPr>
            <w:tcW w:w="1020" w:type="dxa"/>
            <w:vMerge/>
            <w:tcBorders>
              <w:left w:val="nil" w:sz="6" w:space="0" w:color="auto"/>
              <w:bottom w:val="nil" w:sz="6" w:space="0" w:color="auto"/>
              <w:right w:val="nil" w:sz="6" w:space="0" w:color="auto"/>
            </w:tcBorders>
          </w:tcPr>
          <w:p>
            <w:pPr/>
          </w:p>
        </w:tc>
        <w:tc>
          <w:tcPr>
            <w:tcW w:w="548" w:type="dxa"/>
            <w:vMerge/>
            <w:tcBorders>
              <w:left w:val="nil" w:sz="6" w:space="0" w:color="auto"/>
              <w:right w:val="nil" w:sz="6" w:space="0" w:color="auto"/>
            </w:tcBorders>
            <w:shd w:val="clear" w:color="auto" w:fill="DEEAF6"/>
          </w:tcPr>
          <w:p>
            <w:pPr/>
          </w:p>
        </w:tc>
        <w:tc>
          <w:tcPr>
            <w:tcW w:w="1409" w:type="dxa"/>
            <w:vMerge/>
            <w:tcBorders>
              <w:left w:val="nil" w:sz="6" w:space="0" w:color="auto"/>
              <w:right w:val="nil" w:sz="6" w:space="0" w:color="auto"/>
            </w:tcBorders>
          </w:tcPr>
          <w:p>
            <w:pPr/>
          </w:p>
        </w:tc>
        <w:tc>
          <w:tcPr>
            <w:tcW w:w="878" w:type="dxa"/>
            <w:vMerge/>
            <w:tcBorders>
              <w:left w:val="nil" w:sz="6" w:space="0" w:color="auto"/>
              <w:right w:val="nil" w:sz="6" w:space="0" w:color="auto"/>
            </w:tcBorders>
            <w:shd w:val="clear" w:color="auto" w:fill="DEEAF6"/>
          </w:tcPr>
          <w:p>
            <w:pPr/>
          </w:p>
        </w:tc>
        <w:tc>
          <w:tcPr>
            <w:tcW w:w="454" w:type="dxa"/>
            <w:vMerge/>
            <w:tcBorders>
              <w:left w:val="nil" w:sz="6" w:space="0" w:color="auto"/>
              <w:right w:val="nil" w:sz="6" w:space="0" w:color="auto"/>
            </w:tcBorders>
          </w:tcPr>
          <w:p>
            <w:pPr/>
          </w:p>
        </w:tc>
        <w:tc>
          <w:tcPr>
            <w:tcW w:w="1092" w:type="dxa"/>
            <w:vMerge/>
            <w:tcBorders>
              <w:left w:val="nil" w:sz="6" w:space="0" w:color="auto"/>
              <w:right w:val="nil" w:sz="6" w:space="0" w:color="auto"/>
            </w:tcBorders>
            <w:shd w:val="clear" w:color="auto" w:fill="DEEAF6"/>
          </w:tcPr>
          <w:p>
            <w:pPr/>
          </w:p>
        </w:tc>
        <w:tc>
          <w:tcPr>
            <w:tcW w:w="711" w:type="dxa"/>
            <w:vMerge/>
            <w:tcBorders>
              <w:left w:val="nil" w:sz="6" w:space="0" w:color="auto"/>
              <w:right w:val="nil" w:sz="6" w:space="0" w:color="auto"/>
            </w:tcBorders>
          </w:tcPr>
          <w:p>
            <w:pPr/>
          </w:p>
        </w:tc>
        <w:tc>
          <w:tcPr>
            <w:tcW w:w="917" w:type="dxa"/>
            <w:vMerge/>
            <w:tcBorders>
              <w:left w:val="nil" w:sz="6" w:space="0" w:color="auto"/>
              <w:right w:val="nil" w:sz="6" w:space="0" w:color="auto"/>
            </w:tcBorders>
            <w:shd w:val="clear" w:color="auto" w:fill="DEEAF6"/>
          </w:tcPr>
          <w:p>
            <w:pPr/>
          </w:p>
        </w:tc>
        <w:tc>
          <w:tcPr>
            <w:tcW w:w="952" w:type="dxa"/>
            <w:vMerge/>
            <w:tcBorders>
              <w:left w:val="nil" w:sz="6" w:space="0" w:color="auto"/>
              <w:right w:val="nil" w:sz="6" w:space="0" w:color="auto"/>
            </w:tcBorders>
          </w:tcPr>
          <w:p>
            <w:pPr/>
          </w:p>
        </w:tc>
        <w:tc>
          <w:tcPr>
            <w:tcW w:w="758" w:type="dxa"/>
            <w:vMerge/>
            <w:tcBorders>
              <w:left w:val="nil" w:sz="6" w:space="0" w:color="auto"/>
              <w:right w:val="nil" w:sz="6" w:space="0" w:color="auto"/>
            </w:tcBorders>
            <w:shd w:val="clear" w:color="auto" w:fill="DEEAF6"/>
          </w:tcPr>
          <w:p>
            <w:pPr/>
          </w:p>
        </w:tc>
        <w:tc>
          <w:tcPr>
            <w:tcW w:w="1019" w:type="dxa"/>
            <w:vMerge/>
            <w:tcBorders>
              <w:left w:val="nil" w:sz="6" w:space="0" w:color="auto"/>
              <w:right w:val="nil" w:sz="6" w:space="0" w:color="auto"/>
            </w:tcBorders>
          </w:tcPr>
          <w:p>
            <w:pPr/>
          </w:p>
        </w:tc>
        <w:tc>
          <w:tcPr>
            <w:tcW w:w="1022" w:type="dxa"/>
            <w:vMerge/>
            <w:tcBorders>
              <w:left w:val="nil" w:sz="6" w:space="0" w:color="auto"/>
              <w:right w:val="nil" w:sz="6" w:space="0" w:color="auto"/>
            </w:tcBorders>
            <w:shd w:val="clear" w:color="auto" w:fill="DEEAF6"/>
          </w:tcPr>
          <w:p>
            <w:pPr/>
          </w:p>
        </w:tc>
        <w:tc>
          <w:tcPr>
            <w:tcW w:w="1002" w:type="dxa"/>
            <w:vMerge/>
            <w:tcBorders>
              <w:left w:val="nil" w:sz="6" w:space="0" w:color="auto"/>
              <w:right w:val="nil" w:sz="6" w:space="0" w:color="auto"/>
            </w:tcBorders>
          </w:tcPr>
          <w:p>
            <w:pPr/>
          </w:p>
        </w:tc>
        <w:tc>
          <w:tcPr>
            <w:tcW w:w="955" w:type="dxa"/>
            <w:vMerge w:val="restart"/>
            <w:tcBorders>
              <w:top w:val="nil" w:sz="6" w:space="0" w:color="auto"/>
              <w:left w:val="nil" w:sz="6" w:space="0" w:color="auto"/>
              <w:right w:val="nil" w:sz="6" w:space="0" w:color="auto"/>
            </w:tcBorders>
            <w:shd w:val="clear" w:color="auto" w:fill="DEEAF6"/>
          </w:tcPr>
          <w:p>
            <w:pPr/>
          </w:p>
        </w:tc>
      </w:tr>
      <w:tr>
        <w:trPr>
          <w:trHeight w:val="161" w:hRule="exact"/>
        </w:trPr>
        <w:tc>
          <w:tcPr>
            <w:tcW w:w="2241" w:type="dxa"/>
            <w:gridSpan w:val="2"/>
            <w:tcBorders>
              <w:top w:val="nil" w:sz="6" w:space="0" w:color="auto"/>
              <w:left w:val="nil" w:sz="6" w:space="0" w:color="auto"/>
              <w:bottom w:val="single" w:sz="4" w:space="0" w:color="5B9BD4"/>
              <w:right w:val="nil" w:sz="6" w:space="0" w:color="auto"/>
            </w:tcBorders>
            <w:shd w:val="clear" w:color="auto" w:fill="DEEAF6"/>
          </w:tcPr>
          <w:p>
            <w:pPr/>
          </w:p>
        </w:tc>
        <w:tc>
          <w:tcPr>
            <w:tcW w:w="548" w:type="dxa"/>
            <w:vMerge/>
            <w:tcBorders>
              <w:left w:val="nil" w:sz="6" w:space="0" w:color="auto"/>
              <w:bottom w:val="single" w:sz="4" w:space="0" w:color="5B9BD4"/>
              <w:right w:val="nil" w:sz="6" w:space="0" w:color="auto"/>
            </w:tcBorders>
            <w:shd w:val="clear" w:color="auto" w:fill="DEEAF6"/>
          </w:tcPr>
          <w:p>
            <w:pPr/>
          </w:p>
        </w:tc>
        <w:tc>
          <w:tcPr>
            <w:tcW w:w="1409" w:type="dxa"/>
            <w:vMerge/>
            <w:tcBorders>
              <w:left w:val="nil" w:sz="6" w:space="0" w:color="auto"/>
              <w:bottom w:val="single" w:sz="4" w:space="0" w:color="5B9BD4"/>
              <w:right w:val="nil" w:sz="6" w:space="0" w:color="auto"/>
            </w:tcBorders>
          </w:tcPr>
          <w:p>
            <w:pPr/>
          </w:p>
        </w:tc>
        <w:tc>
          <w:tcPr>
            <w:tcW w:w="878" w:type="dxa"/>
            <w:vMerge/>
            <w:tcBorders>
              <w:left w:val="nil" w:sz="6" w:space="0" w:color="auto"/>
              <w:bottom w:val="single" w:sz="4" w:space="0" w:color="5B9BD4"/>
              <w:right w:val="nil" w:sz="6" w:space="0" w:color="auto"/>
            </w:tcBorders>
            <w:shd w:val="clear" w:color="auto" w:fill="DEEAF6"/>
          </w:tcPr>
          <w:p>
            <w:pPr/>
          </w:p>
        </w:tc>
        <w:tc>
          <w:tcPr>
            <w:tcW w:w="454" w:type="dxa"/>
            <w:vMerge/>
            <w:tcBorders>
              <w:left w:val="nil" w:sz="6" w:space="0" w:color="auto"/>
              <w:bottom w:val="single" w:sz="4" w:space="0" w:color="5B9BD4"/>
              <w:right w:val="nil" w:sz="6" w:space="0" w:color="auto"/>
            </w:tcBorders>
          </w:tcPr>
          <w:p>
            <w:pPr/>
          </w:p>
        </w:tc>
        <w:tc>
          <w:tcPr>
            <w:tcW w:w="1092" w:type="dxa"/>
            <w:vMerge/>
            <w:tcBorders>
              <w:left w:val="nil" w:sz="6" w:space="0" w:color="auto"/>
              <w:bottom w:val="single" w:sz="4" w:space="0" w:color="5B9BD4"/>
              <w:right w:val="nil" w:sz="6" w:space="0" w:color="auto"/>
            </w:tcBorders>
            <w:shd w:val="clear" w:color="auto" w:fill="DEEAF6"/>
          </w:tcPr>
          <w:p>
            <w:pPr/>
          </w:p>
        </w:tc>
        <w:tc>
          <w:tcPr>
            <w:tcW w:w="711" w:type="dxa"/>
            <w:vMerge/>
            <w:tcBorders>
              <w:left w:val="nil" w:sz="6" w:space="0" w:color="auto"/>
              <w:bottom w:val="single" w:sz="4" w:space="0" w:color="5B9BD4"/>
              <w:right w:val="nil" w:sz="6" w:space="0" w:color="auto"/>
            </w:tcBorders>
          </w:tcPr>
          <w:p>
            <w:pPr/>
          </w:p>
        </w:tc>
        <w:tc>
          <w:tcPr>
            <w:tcW w:w="917" w:type="dxa"/>
            <w:vMerge/>
            <w:tcBorders>
              <w:left w:val="nil" w:sz="6" w:space="0" w:color="auto"/>
              <w:bottom w:val="single" w:sz="4" w:space="0" w:color="5B9BD4"/>
              <w:right w:val="nil" w:sz="6" w:space="0" w:color="auto"/>
            </w:tcBorders>
            <w:shd w:val="clear" w:color="auto" w:fill="DEEAF6"/>
          </w:tcPr>
          <w:p>
            <w:pPr/>
          </w:p>
        </w:tc>
        <w:tc>
          <w:tcPr>
            <w:tcW w:w="952" w:type="dxa"/>
            <w:vMerge/>
            <w:tcBorders>
              <w:left w:val="nil" w:sz="6" w:space="0" w:color="auto"/>
              <w:bottom w:val="single" w:sz="4" w:space="0" w:color="5B9BD4"/>
              <w:right w:val="nil" w:sz="6" w:space="0" w:color="auto"/>
            </w:tcBorders>
          </w:tcPr>
          <w:p>
            <w:pPr/>
          </w:p>
        </w:tc>
        <w:tc>
          <w:tcPr>
            <w:tcW w:w="758" w:type="dxa"/>
            <w:vMerge/>
            <w:tcBorders>
              <w:left w:val="nil" w:sz="6" w:space="0" w:color="auto"/>
              <w:bottom w:val="single" w:sz="4" w:space="0" w:color="5B9BD4"/>
              <w:right w:val="nil" w:sz="6" w:space="0" w:color="auto"/>
            </w:tcBorders>
            <w:shd w:val="clear" w:color="auto" w:fill="DEEAF6"/>
          </w:tcPr>
          <w:p>
            <w:pPr/>
          </w:p>
        </w:tc>
        <w:tc>
          <w:tcPr>
            <w:tcW w:w="1019" w:type="dxa"/>
            <w:vMerge/>
            <w:tcBorders>
              <w:left w:val="nil" w:sz="6" w:space="0" w:color="auto"/>
              <w:bottom w:val="single" w:sz="4" w:space="0" w:color="5B9BD4"/>
              <w:right w:val="nil" w:sz="6" w:space="0" w:color="auto"/>
            </w:tcBorders>
          </w:tcPr>
          <w:p>
            <w:pPr/>
          </w:p>
        </w:tc>
        <w:tc>
          <w:tcPr>
            <w:tcW w:w="1022" w:type="dxa"/>
            <w:vMerge/>
            <w:tcBorders>
              <w:left w:val="nil" w:sz="6" w:space="0" w:color="auto"/>
              <w:bottom w:val="single" w:sz="4" w:space="0" w:color="5B9BD4"/>
              <w:right w:val="nil" w:sz="6" w:space="0" w:color="auto"/>
            </w:tcBorders>
            <w:shd w:val="clear" w:color="auto" w:fill="DEEAF6"/>
          </w:tcPr>
          <w:p>
            <w:pPr/>
          </w:p>
        </w:tc>
        <w:tc>
          <w:tcPr>
            <w:tcW w:w="1002" w:type="dxa"/>
            <w:vMerge/>
            <w:tcBorders>
              <w:left w:val="nil" w:sz="6" w:space="0" w:color="auto"/>
              <w:bottom w:val="single" w:sz="4" w:space="0" w:color="5B9BD4"/>
              <w:right w:val="nil" w:sz="6" w:space="0" w:color="auto"/>
            </w:tcBorders>
          </w:tcPr>
          <w:p>
            <w:pPr/>
          </w:p>
        </w:tc>
        <w:tc>
          <w:tcPr>
            <w:tcW w:w="955" w:type="dxa"/>
            <w:vMerge/>
            <w:tcBorders>
              <w:left w:val="nil" w:sz="6" w:space="0" w:color="auto"/>
              <w:bottom w:val="single" w:sz="4" w:space="0" w:color="5B9BD4"/>
              <w:right w:val="nil" w:sz="6" w:space="0" w:color="auto"/>
            </w:tcBorders>
            <w:shd w:val="clear" w:color="auto" w:fill="DEEAF6"/>
          </w:tcPr>
          <w:p>
            <w:pPr/>
          </w:p>
        </w:tc>
      </w:tr>
    </w:tbl>
    <w:p>
      <w:pPr>
        <w:spacing w:after="0"/>
        <w:sectPr>
          <w:headerReference w:type="default" r:id="rId33"/>
          <w:footerReference w:type="default" r:id="rId34"/>
          <w:pgSz w:w="16840" w:h="11910" w:orient="landscape"/>
          <w:pgMar w:header="877" w:footer="979" w:top="1100" w:bottom="1160" w:left="1300" w:right="0"/>
          <w:pgNumType w:start="27"/>
        </w:sectPr>
      </w:pPr>
    </w:p>
    <w:tbl>
      <w:tblPr>
        <w:tblW w:w="0" w:type="auto"/>
        <w:jc w:val="left"/>
        <w:tblInd w:w="135" w:type="dxa"/>
        <w:tblLayout w:type="fixed"/>
        <w:tblCellMar>
          <w:top w:w="0" w:type="dxa"/>
          <w:left w:w="0" w:type="dxa"/>
          <w:bottom w:w="0" w:type="dxa"/>
          <w:right w:w="0" w:type="dxa"/>
        </w:tblCellMar>
        <w:tblLook w:val="01E0"/>
      </w:tblPr>
      <w:tblGrid>
        <w:gridCol w:w="1248"/>
        <w:gridCol w:w="993"/>
        <w:gridCol w:w="576"/>
        <w:gridCol w:w="1387"/>
        <w:gridCol w:w="871"/>
        <w:gridCol w:w="468"/>
        <w:gridCol w:w="1092"/>
        <w:gridCol w:w="712"/>
        <w:gridCol w:w="902"/>
        <w:gridCol w:w="965"/>
        <w:gridCol w:w="766"/>
        <w:gridCol w:w="1012"/>
        <w:gridCol w:w="1008"/>
        <w:gridCol w:w="1008"/>
        <w:gridCol w:w="977"/>
      </w:tblGrid>
      <w:tr>
        <w:trPr>
          <w:trHeight w:val="1338" w:hRule="exact"/>
        </w:trPr>
        <w:tc>
          <w:tcPr>
            <w:tcW w:w="124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7" w:right="26"/>
              <w:jc w:val="left"/>
              <w:rPr>
                <w:rFonts w:ascii="宋体" w:hAnsi="宋体" w:cs="宋体" w:eastAsia="宋体" w:hint="default"/>
                <w:sz w:val="18"/>
                <w:szCs w:val="18"/>
              </w:rPr>
            </w:pPr>
            <w:r>
              <w:rPr>
                <w:rFonts w:ascii="宋体" w:hAnsi="宋体" w:cs="宋体" w:eastAsia="宋体" w:hint="default"/>
                <w:sz w:val="18"/>
                <w:szCs w:val="18"/>
              </w:rPr>
              <w:t>国鑫基金管理 </w:t>
            </w:r>
            <w:r>
              <w:rPr>
                <w:rFonts w:ascii="宋体" w:hAnsi="宋体" w:cs="宋体" w:eastAsia="宋体" w:hint="default"/>
                <w:spacing w:val="-10"/>
                <w:sz w:val="18"/>
                <w:szCs w:val="18"/>
              </w:rPr>
              <w:t>有限公司（暂用</w:t>
            </w:r>
            <w:r>
              <w:rPr>
                <w:rFonts w:ascii="宋体" w:hAnsi="宋体" w:cs="宋体" w:eastAsia="宋体" w:hint="default"/>
                <w:sz w:val="18"/>
                <w:szCs w:val="18"/>
              </w:rPr>
              <w:t> 名）</w:t>
            </w:r>
          </w:p>
        </w:tc>
        <w:tc>
          <w:tcPr>
            <w:tcW w:w="993"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公募基金</w:t>
            </w:r>
          </w:p>
        </w:tc>
        <w:tc>
          <w:tcPr>
            <w:tcW w:w="57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86"/>
              <w:jc w:val="right"/>
              <w:rPr>
                <w:rFonts w:ascii="宋体" w:hAnsi="宋体" w:cs="宋体" w:eastAsia="宋体" w:hint="default"/>
                <w:sz w:val="18"/>
                <w:szCs w:val="18"/>
              </w:rPr>
            </w:pPr>
            <w:r>
              <w:rPr>
                <w:rFonts w:ascii="宋体" w:hAnsi="宋体" w:cs="宋体" w:eastAsia="宋体" w:hint="default"/>
                <w:sz w:val="18"/>
                <w:szCs w:val="18"/>
              </w:rPr>
              <w:t>新设</w:t>
            </w:r>
          </w:p>
        </w:tc>
        <w:tc>
          <w:tcPr>
            <w:tcW w:w="138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4"/>
              <w:jc w:val="right"/>
              <w:rPr>
                <w:rFonts w:ascii="Arial" w:hAnsi="Arial" w:cs="Arial" w:eastAsia="Arial" w:hint="default"/>
                <w:sz w:val="18"/>
                <w:szCs w:val="18"/>
              </w:rPr>
            </w:pPr>
            <w:r>
              <w:rPr>
                <w:rFonts w:ascii="Arial"/>
                <w:w w:val="95"/>
                <w:sz w:val="18"/>
              </w:rPr>
              <w:t>8,000,000.00</w:t>
            </w:r>
            <w:r>
              <w:rPr>
                <w:rFonts w:ascii="Arial"/>
                <w:sz w:val="18"/>
              </w:rPr>
            </w:r>
          </w:p>
        </w:tc>
        <w:tc>
          <w:tcPr>
            <w:tcW w:w="87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5"/>
              <w:jc w:val="right"/>
              <w:rPr>
                <w:rFonts w:ascii="Arial" w:hAnsi="Arial" w:cs="Arial" w:eastAsia="Arial" w:hint="default"/>
                <w:sz w:val="18"/>
                <w:szCs w:val="18"/>
              </w:rPr>
            </w:pPr>
            <w:r>
              <w:rPr>
                <w:rFonts w:ascii="Arial"/>
                <w:w w:val="95"/>
                <w:sz w:val="18"/>
              </w:rPr>
              <w:t>40.00%</w:t>
            </w:r>
            <w:r>
              <w:rPr>
                <w:rFonts w:ascii="Arial"/>
                <w:sz w:val="18"/>
              </w:rPr>
            </w:r>
          </w:p>
        </w:tc>
        <w:tc>
          <w:tcPr>
            <w:tcW w:w="468"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3"/>
              <w:ind w:left="27" w:right="78"/>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0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张礼庆</w:t>
            </w:r>
          </w:p>
        </w:tc>
        <w:tc>
          <w:tcPr>
            <w:tcW w:w="712"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7" w:right="0"/>
              <w:jc w:val="left"/>
              <w:rPr>
                <w:rFonts w:ascii="Arial" w:hAnsi="Arial" w:cs="Arial" w:eastAsia="Arial" w:hint="default"/>
                <w:sz w:val="18"/>
                <w:szCs w:val="18"/>
              </w:rPr>
            </w:pPr>
            <w:r>
              <w:rPr>
                <w:rFonts w:ascii="Arial"/>
                <w:w w:val="157"/>
                <w:sz w:val="18"/>
              </w:rPr>
              <w:t>/</w:t>
            </w:r>
            <w:r>
              <w:rPr>
                <w:rFonts w:ascii="Arial"/>
                <w:sz w:val="18"/>
              </w:rPr>
            </w:r>
          </w:p>
        </w:tc>
        <w:tc>
          <w:tcPr>
            <w:tcW w:w="9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965" w:type="dxa"/>
            <w:tcBorders>
              <w:top w:val="single" w:sz="4" w:space="0" w:color="5B9BD4"/>
              <w:left w:val="nil" w:sz="6" w:space="0" w:color="auto"/>
              <w:bottom w:val="single" w:sz="4" w:space="0" w:color="5B9BD4"/>
              <w:right w:val="nil" w:sz="6" w:space="0" w:color="auto"/>
            </w:tcBorders>
          </w:tcPr>
          <w:p>
            <w:pPr>
              <w:pStyle w:val="TableParagraph"/>
              <w:spacing w:line="319" w:lineRule="auto" w:before="46"/>
              <w:ind w:left="27" w:right="35"/>
              <w:jc w:val="both"/>
              <w:rPr>
                <w:rFonts w:ascii="宋体" w:hAnsi="宋体" w:cs="宋体" w:eastAsia="宋体" w:hint="default"/>
                <w:sz w:val="18"/>
                <w:szCs w:val="18"/>
              </w:rPr>
            </w:pPr>
            <w:r>
              <w:rPr>
                <w:rFonts w:ascii="宋体" w:hAnsi="宋体" w:cs="宋体" w:eastAsia="宋体" w:hint="default"/>
                <w:sz w:val="18"/>
                <w:szCs w:val="18"/>
              </w:rPr>
              <w:t>报告期内支 付投资筹备 款，证监会 审核</w:t>
            </w:r>
          </w:p>
        </w:tc>
        <w:tc>
          <w:tcPr>
            <w:tcW w:w="766" w:type="dxa"/>
            <w:tcBorders>
              <w:top w:val="single" w:sz="4" w:space="0" w:color="5B9BD4"/>
              <w:left w:val="nil" w:sz="6" w:space="0" w:color="auto"/>
              <w:bottom w:val="single" w:sz="4" w:space="0" w:color="5B9BD4"/>
              <w:right w:val="nil" w:sz="6" w:space="0" w:color="auto"/>
            </w:tcBorders>
            <w:shd w:val="clear" w:color="auto" w:fill="DEEAF6"/>
          </w:tcPr>
          <w:p>
            <w:pPr/>
          </w:p>
        </w:tc>
        <w:tc>
          <w:tcPr>
            <w:tcW w:w="1012" w:type="dxa"/>
            <w:tcBorders>
              <w:top w:val="single" w:sz="4" w:space="0" w:color="5B9BD4"/>
              <w:left w:val="nil" w:sz="6" w:space="0" w:color="auto"/>
              <w:bottom w:val="single" w:sz="4" w:space="0" w:color="5B9BD4"/>
              <w:right w:val="nil" w:sz="6" w:space="0" w:color="auto"/>
            </w:tcBorders>
          </w:tcPr>
          <w:p>
            <w:pPr/>
          </w:p>
        </w:tc>
        <w:tc>
          <w:tcPr>
            <w:tcW w:w="100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8"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7" w:right="0"/>
              <w:jc w:val="left"/>
              <w:rPr>
                <w:rFonts w:ascii="Arial" w:hAnsi="Arial" w:cs="Arial" w:eastAsia="Arial" w:hint="default"/>
                <w:sz w:val="18"/>
                <w:szCs w:val="18"/>
              </w:rPr>
            </w:pPr>
            <w:r>
              <w:rPr>
                <w:rFonts w:ascii="Arial" w:hAnsi="Arial" w:cs="Arial" w:eastAsia="Arial" w:hint="default"/>
                <w:sz w:val="18"/>
                <w:szCs w:val="18"/>
              </w:rPr>
              <w:t>2015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Arial" w:hAnsi="Arial" w:cs="Arial" w:eastAsia="Arial" w:hint="default"/>
                <w:sz w:val="18"/>
                <w:szCs w:val="18"/>
              </w:rPr>
              <w:t>09</w:t>
            </w:r>
          </w:p>
          <w:p>
            <w:pPr>
              <w:pStyle w:val="TableParagraph"/>
              <w:spacing w:line="240" w:lineRule="auto" w:before="65"/>
              <w:ind w:left="2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23</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97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362" w:lineRule="auto"/>
              <w:ind w:left="28" w:right="75"/>
              <w:jc w:val="left"/>
              <w:rPr>
                <w:rFonts w:ascii="Arial" w:hAnsi="Arial" w:cs="Arial" w:eastAsia="Arial" w:hint="default"/>
                <w:sz w:val="18"/>
                <w:szCs w:val="18"/>
              </w:rPr>
            </w:pPr>
            <w:r>
              <w:rPr>
                <w:rFonts w:ascii="Arial"/>
                <w:w w:val="110"/>
                <w:sz w:val="18"/>
              </w:rPr>
              <w:t>www.cnin</w:t>
            </w:r>
            <w:r>
              <w:rPr>
                <w:rFonts w:ascii="Arial"/>
                <w:spacing w:val="-33"/>
                <w:w w:val="110"/>
                <w:sz w:val="18"/>
              </w:rPr>
              <w:t> </w:t>
            </w:r>
            <w:r>
              <w:rPr>
                <w:rFonts w:ascii="Arial"/>
                <w:spacing w:val="-33"/>
                <w:w w:val="110"/>
                <w:sz w:val="18"/>
              </w:rPr>
            </w:r>
            <w:r>
              <w:rPr>
                <w:rFonts w:ascii="Arial"/>
                <w:w w:val="115"/>
                <w:sz w:val="18"/>
              </w:rPr>
              <w:t>fo.com</w:t>
            </w:r>
            <w:r>
              <w:rPr>
                <w:rFonts w:ascii="Arial"/>
                <w:sz w:val="18"/>
              </w:rPr>
            </w:r>
          </w:p>
        </w:tc>
      </w:tr>
      <w:tr>
        <w:trPr>
          <w:trHeight w:val="1338" w:hRule="exact"/>
        </w:trPr>
        <w:tc>
          <w:tcPr>
            <w:tcW w:w="124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7" w:right="138"/>
              <w:jc w:val="both"/>
              <w:rPr>
                <w:rFonts w:ascii="宋体" w:hAnsi="宋体" w:cs="宋体" w:eastAsia="宋体" w:hint="default"/>
                <w:sz w:val="18"/>
                <w:szCs w:val="18"/>
              </w:rPr>
            </w:pPr>
            <w:r>
              <w:rPr>
                <w:rFonts w:ascii="宋体" w:hAnsi="宋体" w:cs="宋体" w:eastAsia="宋体" w:hint="default"/>
                <w:sz w:val="18"/>
                <w:szCs w:val="18"/>
              </w:rPr>
              <w:t>海南先锋网信 小额贷款有限 公司</w:t>
            </w:r>
          </w:p>
        </w:tc>
        <w:tc>
          <w:tcPr>
            <w:tcW w:w="993"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小额贷款业</w:t>
            </w:r>
          </w:p>
        </w:tc>
        <w:tc>
          <w:tcPr>
            <w:tcW w:w="57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86"/>
              <w:jc w:val="right"/>
              <w:rPr>
                <w:rFonts w:ascii="宋体" w:hAnsi="宋体" w:cs="宋体" w:eastAsia="宋体" w:hint="default"/>
                <w:sz w:val="18"/>
                <w:szCs w:val="18"/>
              </w:rPr>
            </w:pPr>
            <w:r>
              <w:rPr>
                <w:rFonts w:ascii="宋体" w:hAnsi="宋体" w:cs="宋体" w:eastAsia="宋体" w:hint="default"/>
                <w:sz w:val="18"/>
                <w:szCs w:val="18"/>
              </w:rPr>
              <w:t>收购</w:t>
            </w:r>
          </w:p>
        </w:tc>
        <w:tc>
          <w:tcPr>
            <w:tcW w:w="138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4"/>
              <w:jc w:val="right"/>
              <w:rPr>
                <w:rFonts w:ascii="Arial" w:hAnsi="Arial" w:cs="Arial" w:eastAsia="Arial" w:hint="default"/>
                <w:sz w:val="18"/>
                <w:szCs w:val="18"/>
              </w:rPr>
            </w:pPr>
            <w:r>
              <w:rPr>
                <w:rFonts w:ascii="Arial"/>
                <w:w w:val="95"/>
                <w:sz w:val="18"/>
              </w:rPr>
              <w:t>5,000,000.00</w:t>
            </w:r>
            <w:r>
              <w:rPr>
                <w:rFonts w:ascii="Arial"/>
                <w:sz w:val="18"/>
              </w:rPr>
            </w:r>
          </w:p>
        </w:tc>
        <w:tc>
          <w:tcPr>
            <w:tcW w:w="87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5"/>
              <w:jc w:val="right"/>
              <w:rPr>
                <w:rFonts w:ascii="Arial" w:hAnsi="Arial" w:cs="Arial" w:eastAsia="Arial" w:hint="default"/>
                <w:sz w:val="18"/>
                <w:szCs w:val="18"/>
              </w:rPr>
            </w:pPr>
            <w:r>
              <w:rPr>
                <w:rFonts w:ascii="Arial"/>
                <w:w w:val="95"/>
                <w:sz w:val="18"/>
              </w:rPr>
              <w:t>51.00%</w:t>
            </w:r>
            <w:r>
              <w:rPr>
                <w:rFonts w:ascii="Arial"/>
                <w:sz w:val="18"/>
              </w:rPr>
            </w:r>
          </w:p>
        </w:tc>
        <w:tc>
          <w:tcPr>
            <w:tcW w:w="468"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3"/>
              <w:ind w:left="27" w:right="78"/>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0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7" w:right="0"/>
              <w:jc w:val="left"/>
              <w:rPr>
                <w:rFonts w:ascii="Arial" w:hAnsi="Arial" w:cs="Arial" w:eastAsia="Arial" w:hint="default"/>
                <w:sz w:val="18"/>
                <w:szCs w:val="18"/>
              </w:rPr>
            </w:pPr>
            <w:r>
              <w:rPr>
                <w:rFonts w:ascii="Arial"/>
                <w:w w:val="157"/>
                <w:sz w:val="18"/>
              </w:rPr>
              <w:t>/</w:t>
            </w:r>
            <w:r>
              <w:rPr>
                <w:rFonts w:ascii="Arial"/>
                <w:sz w:val="18"/>
              </w:rPr>
            </w:r>
          </w:p>
        </w:tc>
        <w:tc>
          <w:tcPr>
            <w:tcW w:w="712"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7" w:right="0"/>
              <w:jc w:val="left"/>
              <w:rPr>
                <w:rFonts w:ascii="Arial" w:hAnsi="Arial" w:cs="Arial" w:eastAsia="Arial" w:hint="default"/>
                <w:sz w:val="18"/>
                <w:szCs w:val="18"/>
              </w:rPr>
            </w:pPr>
            <w:r>
              <w:rPr>
                <w:rFonts w:ascii="Arial"/>
                <w:w w:val="157"/>
                <w:sz w:val="18"/>
              </w:rPr>
              <w:t>/</w:t>
            </w:r>
            <w:r>
              <w:rPr>
                <w:rFonts w:ascii="Arial"/>
                <w:sz w:val="18"/>
              </w:rPr>
            </w:r>
          </w:p>
        </w:tc>
        <w:tc>
          <w:tcPr>
            <w:tcW w:w="9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965" w:type="dxa"/>
            <w:tcBorders>
              <w:top w:val="single" w:sz="4" w:space="0" w:color="5B9BD4"/>
              <w:left w:val="nil" w:sz="6" w:space="0" w:color="auto"/>
              <w:bottom w:val="single" w:sz="4" w:space="0" w:color="5B9BD4"/>
              <w:right w:val="nil" w:sz="6" w:space="0" w:color="auto"/>
            </w:tcBorders>
          </w:tcPr>
          <w:p>
            <w:pPr>
              <w:pStyle w:val="TableParagraph"/>
              <w:spacing w:line="319" w:lineRule="auto" w:before="46"/>
              <w:ind w:left="27" w:right="35"/>
              <w:jc w:val="both"/>
              <w:rPr>
                <w:rFonts w:ascii="宋体" w:hAnsi="宋体" w:cs="宋体" w:eastAsia="宋体" w:hint="default"/>
                <w:sz w:val="18"/>
                <w:szCs w:val="18"/>
              </w:rPr>
            </w:pPr>
            <w:r>
              <w:rPr>
                <w:rFonts w:ascii="宋体" w:hAnsi="宋体" w:cs="宋体" w:eastAsia="宋体" w:hint="default"/>
                <w:sz w:val="18"/>
                <w:szCs w:val="18"/>
              </w:rPr>
              <w:t>报告期内支 付首期投资 款，工商变 更尚未完成</w:t>
            </w:r>
          </w:p>
        </w:tc>
        <w:tc>
          <w:tcPr>
            <w:tcW w:w="766" w:type="dxa"/>
            <w:tcBorders>
              <w:top w:val="single" w:sz="4" w:space="0" w:color="5B9BD4"/>
              <w:left w:val="nil" w:sz="6" w:space="0" w:color="auto"/>
              <w:bottom w:val="single" w:sz="4" w:space="0" w:color="5B9BD4"/>
              <w:right w:val="nil" w:sz="6" w:space="0" w:color="auto"/>
            </w:tcBorders>
            <w:shd w:val="clear" w:color="auto" w:fill="DEEAF6"/>
          </w:tcPr>
          <w:p>
            <w:pPr/>
          </w:p>
        </w:tc>
        <w:tc>
          <w:tcPr>
            <w:tcW w:w="1012" w:type="dxa"/>
            <w:tcBorders>
              <w:top w:val="single" w:sz="4" w:space="0" w:color="5B9BD4"/>
              <w:left w:val="nil" w:sz="6" w:space="0" w:color="auto"/>
              <w:bottom w:val="single" w:sz="4" w:space="0" w:color="5B9BD4"/>
              <w:right w:val="nil" w:sz="6" w:space="0" w:color="auto"/>
            </w:tcBorders>
          </w:tcPr>
          <w:p>
            <w:pPr/>
          </w:p>
        </w:tc>
        <w:tc>
          <w:tcPr>
            <w:tcW w:w="100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8"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7" w:right="0"/>
              <w:jc w:val="left"/>
              <w:rPr>
                <w:rFonts w:ascii="Arial" w:hAnsi="Arial" w:cs="Arial" w:eastAsia="Arial" w:hint="default"/>
                <w:sz w:val="18"/>
                <w:szCs w:val="18"/>
              </w:rPr>
            </w:pPr>
            <w:r>
              <w:rPr>
                <w:rFonts w:ascii="Arial" w:hAnsi="Arial" w:cs="Arial" w:eastAsia="Arial" w:hint="default"/>
                <w:sz w:val="18"/>
                <w:szCs w:val="18"/>
              </w:rPr>
              <w:t>2015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Arial" w:hAnsi="Arial" w:cs="Arial" w:eastAsia="Arial" w:hint="default"/>
                <w:sz w:val="18"/>
                <w:szCs w:val="18"/>
              </w:rPr>
              <w:t>11</w:t>
            </w:r>
          </w:p>
          <w:p>
            <w:pPr>
              <w:pStyle w:val="TableParagraph"/>
              <w:spacing w:line="240" w:lineRule="auto" w:before="65"/>
              <w:ind w:left="2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18</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97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62" w:lineRule="auto"/>
              <w:ind w:left="28" w:right="75"/>
              <w:jc w:val="left"/>
              <w:rPr>
                <w:rFonts w:ascii="Arial" w:hAnsi="Arial" w:cs="Arial" w:eastAsia="Arial" w:hint="default"/>
                <w:sz w:val="18"/>
                <w:szCs w:val="18"/>
              </w:rPr>
            </w:pPr>
            <w:r>
              <w:rPr>
                <w:rFonts w:ascii="Arial"/>
                <w:w w:val="110"/>
                <w:sz w:val="18"/>
              </w:rPr>
              <w:t>www.cnin</w:t>
            </w:r>
            <w:r>
              <w:rPr>
                <w:rFonts w:ascii="Arial"/>
                <w:spacing w:val="-33"/>
                <w:w w:val="110"/>
                <w:sz w:val="18"/>
              </w:rPr>
              <w:t> </w:t>
            </w:r>
            <w:r>
              <w:rPr>
                <w:rFonts w:ascii="Arial"/>
                <w:spacing w:val="-33"/>
                <w:w w:val="110"/>
                <w:sz w:val="18"/>
              </w:rPr>
            </w:r>
            <w:r>
              <w:rPr>
                <w:rFonts w:ascii="Arial"/>
                <w:w w:val="115"/>
                <w:sz w:val="18"/>
              </w:rPr>
              <w:t>fo.com</w:t>
            </w:r>
            <w:r>
              <w:rPr>
                <w:rFonts w:ascii="Arial"/>
                <w:sz w:val="18"/>
              </w:rPr>
            </w:r>
          </w:p>
        </w:tc>
      </w:tr>
      <w:tr>
        <w:trPr>
          <w:trHeight w:val="946" w:hRule="exact"/>
        </w:trPr>
        <w:tc>
          <w:tcPr>
            <w:tcW w:w="124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27" w:right="138"/>
              <w:jc w:val="left"/>
              <w:rPr>
                <w:rFonts w:ascii="宋体" w:hAnsi="宋体" w:cs="宋体" w:eastAsia="宋体" w:hint="default"/>
                <w:sz w:val="18"/>
                <w:szCs w:val="18"/>
              </w:rPr>
            </w:pPr>
            <w:r>
              <w:rPr>
                <w:rFonts w:ascii="宋体" w:hAnsi="宋体" w:cs="宋体" w:eastAsia="宋体" w:hint="default"/>
                <w:sz w:val="18"/>
                <w:szCs w:val="18"/>
              </w:rPr>
              <w:t>中国信贷控股 有限公司</w:t>
            </w:r>
          </w:p>
        </w:tc>
        <w:tc>
          <w:tcPr>
            <w:tcW w:w="993" w:type="dxa"/>
            <w:tcBorders>
              <w:top w:val="single" w:sz="4" w:space="0" w:color="5B9BD4"/>
              <w:left w:val="nil" w:sz="6" w:space="0" w:color="auto"/>
              <w:bottom w:val="single" w:sz="4" w:space="0" w:color="5B9BD4"/>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27" w:right="63"/>
              <w:jc w:val="left"/>
              <w:rPr>
                <w:rFonts w:ascii="宋体" w:hAnsi="宋体" w:cs="宋体" w:eastAsia="宋体" w:hint="default"/>
                <w:sz w:val="18"/>
                <w:szCs w:val="18"/>
              </w:rPr>
            </w:pPr>
            <w:r>
              <w:rPr>
                <w:rFonts w:ascii="宋体" w:hAnsi="宋体" w:cs="宋体" w:eastAsia="宋体" w:hint="default"/>
                <w:sz w:val="18"/>
                <w:szCs w:val="18"/>
              </w:rPr>
              <w:t>信贷金融服 务</w:t>
            </w:r>
          </w:p>
        </w:tc>
        <w:tc>
          <w:tcPr>
            <w:tcW w:w="57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86"/>
              <w:jc w:val="right"/>
              <w:rPr>
                <w:rFonts w:ascii="宋体" w:hAnsi="宋体" w:cs="宋体" w:eastAsia="宋体" w:hint="default"/>
                <w:sz w:val="18"/>
                <w:szCs w:val="18"/>
              </w:rPr>
            </w:pPr>
            <w:r>
              <w:rPr>
                <w:rFonts w:ascii="宋体" w:hAnsi="宋体" w:cs="宋体" w:eastAsia="宋体" w:hint="default"/>
                <w:sz w:val="18"/>
                <w:szCs w:val="18"/>
              </w:rPr>
              <w:t>增资</w:t>
            </w:r>
          </w:p>
        </w:tc>
        <w:tc>
          <w:tcPr>
            <w:tcW w:w="138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5"/>
              <w:jc w:val="right"/>
              <w:rPr>
                <w:rFonts w:ascii="Arial" w:hAnsi="Arial" w:cs="Arial" w:eastAsia="Arial" w:hint="default"/>
                <w:sz w:val="18"/>
                <w:szCs w:val="18"/>
              </w:rPr>
            </w:pPr>
            <w:r>
              <w:rPr>
                <w:rFonts w:ascii="Arial"/>
                <w:w w:val="95"/>
                <w:sz w:val="18"/>
              </w:rPr>
              <w:t>327,123,817.97</w:t>
            </w:r>
            <w:r>
              <w:rPr>
                <w:rFonts w:ascii="Arial"/>
                <w:sz w:val="18"/>
              </w:rPr>
            </w:r>
          </w:p>
        </w:tc>
        <w:tc>
          <w:tcPr>
            <w:tcW w:w="87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5"/>
              <w:jc w:val="right"/>
              <w:rPr>
                <w:rFonts w:ascii="Arial" w:hAnsi="Arial" w:cs="Arial" w:eastAsia="Arial" w:hint="default"/>
                <w:sz w:val="18"/>
                <w:szCs w:val="18"/>
              </w:rPr>
            </w:pPr>
            <w:r>
              <w:rPr>
                <w:rFonts w:ascii="Arial"/>
                <w:w w:val="95"/>
                <w:sz w:val="18"/>
              </w:rPr>
              <w:t>3.87%</w:t>
            </w:r>
            <w:r>
              <w:rPr>
                <w:rFonts w:ascii="Arial"/>
                <w:sz w:val="18"/>
              </w:rPr>
            </w:r>
          </w:p>
        </w:tc>
        <w:tc>
          <w:tcPr>
            <w:tcW w:w="468" w:type="dxa"/>
            <w:tcBorders>
              <w:top w:val="single" w:sz="4" w:space="0" w:color="5B9BD4"/>
              <w:left w:val="nil" w:sz="6" w:space="0" w:color="auto"/>
              <w:bottom w:val="single" w:sz="4" w:space="0" w:color="5B9BD4"/>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27" w:right="78"/>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0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 w:right="0"/>
              <w:jc w:val="left"/>
              <w:rPr>
                <w:rFonts w:ascii="Arial" w:hAnsi="Arial" w:cs="Arial" w:eastAsia="Arial" w:hint="default"/>
                <w:sz w:val="18"/>
                <w:szCs w:val="18"/>
              </w:rPr>
            </w:pPr>
            <w:r>
              <w:rPr>
                <w:rFonts w:ascii="Arial"/>
                <w:w w:val="157"/>
                <w:sz w:val="18"/>
              </w:rPr>
              <w:t>/</w:t>
            </w:r>
            <w:r>
              <w:rPr>
                <w:rFonts w:ascii="Arial"/>
                <w:sz w:val="18"/>
              </w:rPr>
            </w:r>
          </w:p>
        </w:tc>
        <w:tc>
          <w:tcPr>
            <w:tcW w:w="712"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 w:right="0"/>
              <w:jc w:val="left"/>
              <w:rPr>
                <w:rFonts w:ascii="Arial" w:hAnsi="Arial" w:cs="Arial" w:eastAsia="Arial" w:hint="default"/>
                <w:sz w:val="18"/>
                <w:szCs w:val="18"/>
              </w:rPr>
            </w:pPr>
            <w:r>
              <w:rPr>
                <w:rFonts w:ascii="Arial"/>
                <w:w w:val="157"/>
                <w:sz w:val="18"/>
              </w:rPr>
              <w:t>/</w:t>
            </w:r>
            <w:r>
              <w:rPr>
                <w:rFonts w:ascii="Arial"/>
                <w:sz w:val="18"/>
              </w:rPr>
            </w:r>
          </w:p>
        </w:tc>
        <w:tc>
          <w:tcPr>
            <w:tcW w:w="9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965" w:type="dxa"/>
            <w:tcBorders>
              <w:top w:val="single" w:sz="4" w:space="0" w:color="5B9BD4"/>
              <w:left w:val="nil" w:sz="6" w:space="0" w:color="auto"/>
              <w:bottom w:val="single" w:sz="4" w:space="0" w:color="5B9BD4"/>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27" w:right="35"/>
              <w:jc w:val="left"/>
              <w:rPr>
                <w:rFonts w:ascii="宋体" w:hAnsi="宋体" w:cs="宋体" w:eastAsia="宋体" w:hint="default"/>
                <w:sz w:val="18"/>
                <w:szCs w:val="18"/>
              </w:rPr>
            </w:pPr>
            <w:r>
              <w:rPr>
                <w:rFonts w:ascii="宋体" w:hAnsi="宋体" w:cs="宋体" w:eastAsia="宋体" w:hint="default"/>
                <w:sz w:val="18"/>
                <w:szCs w:val="18"/>
              </w:rPr>
              <w:t>股权过户完 成</w:t>
            </w:r>
          </w:p>
        </w:tc>
        <w:tc>
          <w:tcPr>
            <w:tcW w:w="766" w:type="dxa"/>
            <w:tcBorders>
              <w:top w:val="single" w:sz="4" w:space="0" w:color="5B9BD4"/>
              <w:left w:val="nil" w:sz="6" w:space="0" w:color="auto"/>
              <w:bottom w:val="single" w:sz="4" w:space="0" w:color="5B9BD4"/>
              <w:right w:val="nil" w:sz="6" w:space="0" w:color="auto"/>
            </w:tcBorders>
            <w:shd w:val="clear" w:color="auto" w:fill="DEEAF6"/>
          </w:tcPr>
          <w:p>
            <w:pPr/>
          </w:p>
        </w:tc>
        <w:tc>
          <w:tcPr>
            <w:tcW w:w="1012" w:type="dxa"/>
            <w:tcBorders>
              <w:top w:val="single" w:sz="4" w:space="0" w:color="5B9BD4"/>
              <w:left w:val="nil" w:sz="6" w:space="0" w:color="auto"/>
              <w:bottom w:val="single" w:sz="4" w:space="0" w:color="5B9BD4"/>
              <w:right w:val="nil" w:sz="6" w:space="0" w:color="auto"/>
            </w:tcBorders>
          </w:tcPr>
          <w:p>
            <w:pPr/>
          </w:p>
        </w:tc>
        <w:tc>
          <w:tcPr>
            <w:tcW w:w="100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8" w:type="dxa"/>
            <w:tcBorders>
              <w:top w:val="single" w:sz="4" w:space="0" w:color="5B9BD4"/>
              <w:left w:val="nil" w:sz="6" w:space="0" w:color="auto"/>
              <w:bottom w:val="single" w:sz="4" w:space="0" w:color="5B9BD4"/>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7" w:right="0"/>
              <w:jc w:val="left"/>
              <w:rPr>
                <w:rFonts w:ascii="Arial" w:hAnsi="Arial" w:cs="Arial" w:eastAsia="Arial" w:hint="default"/>
                <w:sz w:val="18"/>
                <w:szCs w:val="18"/>
              </w:rPr>
            </w:pPr>
            <w:r>
              <w:rPr>
                <w:rFonts w:ascii="Arial" w:hAnsi="Arial" w:cs="Arial" w:eastAsia="Arial" w:hint="default"/>
                <w:sz w:val="18"/>
                <w:szCs w:val="18"/>
              </w:rPr>
              <w:t>2015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Arial" w:hAnsi="Arial" w:cs="Arial" w:eastAsia="Arial" w:hint="default"/>
                <w:sz w:val="18"/>
                <w:szCs w:val="18"/>
              </w:rPr>
              <w:t>12</w:t>
            </w:r>
          </w:p>
          <w:p>
            <w:pPr>
              <w:pStyle w:val="TableParagraph"/>
              <w:spacing w:line="240" w:lineRule="auto" w:before="63"/>
              <w:ind w:left="2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97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宋体" w:hAnsi="宋体" w:cs="宋体" w:eastAsia="宋体" w:hint="default"/>
                <w:sz w:val="15"/>
                <w:szCs w:val="15"/>
              </w:rPr>
            </w:pPr>
          </w:p>
          <w:p>
            <w:pPr>
              <w:pStyle w:val="TableParagraph"/>
              <w:spacing w:line="362" w:lineRule="auto"/>
              <w:ind w:left="28" w:right="75"/>
              <w:jc w:val="left"/>
              <w:rPr>
                <w:rFonts w:ascii="Arial" w:hAnsi="Arial" w:cs="Arial" w:eastAsia="Arial" w:hint="default"/>
                <w:sz w:val="18"/>
                <w:szCs w:val="18"/>
              </w:rPr>
            </w:pPr>
            <w:r>
              <w:rPr>
                <w:rFonts w:ascii="Arial"/>
                <w:w w:val="110"/>
                <w:sz w:val="18"/>
              </w:rPr>
              <w:t>www.cnin</w:t>
            </w:r>
            <w:r>
              <w:rPr>
                <w:rFonts w:ascii="Arial"/>
                <w:spacing w:val="-33"/>
                <w:w w:val="110"/>
                <w:sz w:val="18"/>
              </w:rPr>
              <w:t> </w:t>
            </w:r>
            <w:r>
              <w:rPr>
                <w:rFonts w:ascii="Arial"/>
                <w:spacing w:val="-33"/>
                <w:w w:val="110"/>
                <w:sz w:val="18"/>
              </w:rPr>
            </w:r>
            <w:r>
              <w:rPr>
                <w:rFonts w:ascii="Arial"/>
                <w:w w:val="115"/>
                <w:sz w:val="18"/>
              </w:rPr>
              <w:t>fo.com</w:t>
            </w:r>
            <w:r>
              <w:rPr>
                <w:rFonts w:ascii="Arial"/>
                <w:sz w:val="18"/>
              </w:rPr>
            </w:r>
          </w:p>
        </w:tc>
      </w:tr>
      <w:tr>
        <w:trPr>
          <w:trHeight w:val="1650" w:hRule="exact"/>
        </w:trPr>
        <w:tc>
          <w:tcPr>
            <w:tcW w:w="124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7" w:right="138"/>
              <w:jc w:val="both"/>
              <w:rPr>
                <w:rFonts w:ascii="宋体" w:hAnsi="宋体" w:cs="宋体" w:eastAsia="宋体" w:hint="default"/>
                <w:sz w:val="18"/>
                <w:szCs w:val="18"/>
              </w:rPr>
            </w:pPr>
            <w:r>
              <w:rPr>
                <w:rFonts w:ascii="宋体" w:hAnsi="宋体" w:cs="宋体" w:eastAsia="宋体" w:hint="default"/>
                <w:sz w:val="18"/>
                <w:szCs w:val="18"/>
              </w:rPr>
              <w:t>华康保险代理 有限公司及上 海耕虹投资管 理中心</w:t>
            </w:r>
          </w:p>
        </w:tc>
        <w:tc>
          <w:tcPr>
            <w:tcW w:w="993"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保险代理</w:t>
            </w:r>
          </w:p>
        </w:tc>
        <w:tc>
          <w:tcPr>
            <w:tcW w:w="57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86"/>
              <w:jc w:val="right"/>
              <w:rPr>
                <w:rFonts w:ascii="宋体" w:hAnsi="宋体" w:cs="宋体" w:eastAsia="宋体" w:hint="default"/>
                <w:sz w:val="18"/>
                <w:szCs w:val="18"/>
              </w:rPr>
            </w:pPr>
            <w:r>
              <w:rPr>
                <w:rFonts w:ascii="宋体" w:hAnsi="宋体" w:cs="宋体" w:eastAsia="宋体" w:hint="default"/>
                <w:sz w:val="18"/>
                <w:szCs w:val="18"/>
              </w:rPr>
              <w:t>其他</w:t>
            </w:r>
          </w:p>
        </w:tc>
        <w:tc>
          <w:tcPr>
            <w:tcW w:w="138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5"/>
              <w:jc w:val="right"/>
              <w:rPr>
                <w:rFonts w:ascii="Arial" w:hAnsi="Arial" w:cs="Arial" w:eastAsia="Arial" w:hint="default"/>
                <w:sz w:val="18"/>
                <w:szCs w:val="18"/>
              </w:rPr>
            </w:pPr>
            <w:r>
              <w:rPr>
                <w:rFonts w:ascii="Arial"/>
                <w:w w:val="95"/>
                <w:sz w:val="18"/>
              </w:rPr>
              <w:t>91,200,000.00</w:t>
            </w:r>
            <w:r>
              <w:rPr>
                <w:rFonts w:ascii="Arial"/>
                <w:sz w:val="18"/>
              </w:rPr>
            </w:r>
          </w:p>
        </w:tc>
        <w:tc>
          <w:tcPr>
            <w:tcW w:w="87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5"/>
              <w:jc w:val="right"/>
              <w:rPr>
                <w:rFonts w:ascii="Arial" w:hAnsi="Arial" w:cs="Arial" w:eastAsia="Arial" w:hint="default"/>
                <w:sz w:val="18"/>
                <w:szCs w:val="18"/>
              </w:rPr>
            </w:pPr>
            <w:r>
              <w:rPr>
                <w:rFonts w:ascii="Arial"/>
                <w:w w:val="95"/>
                <w:sz w:val="18"/>
              </w:rPr>
              <w:t>0.00%</w:t>
            </w:r>
            <w:r>
              <w:rPr>
                <w:rFonts w:ascii="Arial"/>
                <w:sz w:val="18"/>
              </w:rPr>
            </w:r>
          </w:p>
        </w:tc>
        <w:tc>
          <w:tcPr>
            <w:tcW w:w="468"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7" w:right="78"/>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0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7" w:right="162"/>
              <w:jc w:val="both"/>
              <w:rPr>
                <w:rFonts w:ascii="宋体" w:hAnsi="宋体" w:cs="宋体" w:eastAsia="宋体" w:hint="default"/>
                <w:sz w:val="18"/>
                <w:szCs w:val="18"/>
              </w:rPr>
            </w:pPr>
            <w:r>
              <w:rPr>
                <w:rFonts w:ascii="宋体" w:hAnsi="宋体" w:cs="宋体" w:eastAsia="宋体" w:hint="default"/>
                <w:sz w:val="18"/>
                <w:szCs w:val="18"/>
              </w:rPr>
              <w:t>深圳网信投 资咨询有限 公司等企业 及自然人</w:t>
            </w:r>
          </w:p>
        </w:tc>
        <w:tc>
          <w:tcPr>
            <w:tcW w:w="712"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7" w:right="0"/>
              <w:jc w:val="left"/>
              <w:rPr>
                <w:rFonts w:ascii="Arial" w:hAnsi="Arial" w:cs="Arial" w:eastAsia="Arial" w:hint="default"/>
                <w:sz w:val="18"/>
                <w:szCs w:val="18"/>
              </w:rPr>
            </w:pPr>
            <w:r>
              <w:rPr>
                <w:rFonts w:ascii="Arial"/>
                <w:w w:val="157"/>
                <w:sz w:val="18"/>
              </w:rPr>
              <w:t>/</w:t>
            </w:r>
            <w:r>
              <w:rPr>
                <w:rFonts w:ascii="Arial"/>
                <w:sz w:val="18"/>
              </w:rPr>
            </w:r>
          </w:p>
        </w:tc>
        <w:tc>
          <w:tcPr>
            <w:tcW w:w="9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保险代理</w:t>
            </w:r>
          </w:p>
          <w:p>
            <w:pPr>
              <w:pStyle w:val="TableParagraph"/>
              <w:spacing w:line="316" w:lineRule="auto" w:before="75"/>
              <w:ind w:left="27" w:right="25"/>
              <w:jc w:val="left"/>
              <w:rPr>
                <w:rFonts w:ascii="宋体" w:hAnsi="宋体" w:cs="宋体" w:eastAsia="宋体" w:hint="default"/>
                <w:sz w:val="18"/>
                <w:szCs w:val="18"/>
              </w:rPr>
            </w:pPr>
            <w:r>
              <w:rPr>
                <w:rFonts w:ascii="宋体" w:hAnsi="宋体" w:cs="宋体" w:eastAsia="宋体" w:hint="default"/>
                <w:sz w:val="18"/>
                <w:szCs w:val="18"/>
              </w:rPr>
              <w:t>（华康保 </w:t>
            </w:r>
            <w:r>
              <w:rPr>
                <w:rFonts w:ascii="宋体" w:hAnsi="宋体" w:cs="宋体" w:eastAsia="宋体" w:hint="default"/>
                <w:spacing w:val="-11"/>
                <w:sz w:val="18"/>
                <w:szCs w:val="18"/>
              </w:rPr>
              <w:t>代）及金融</w:t>
            </w:r>
          </w:p>
          <w:p>
            <w:pPr>
              <w:pStyle w:val="TableParagraph"/>
              <w:spacing w:line="319" w:lineRule="auto" w:before="19"/>
              <w:ind w:left="27" w:right="152"/>
              <w:jc w:val="left"/>
              <w:rPr>
                <w:rFonts w:ascii="宋体" w:hAnsi="宋体" w:cs="宋体" w:eastAsia="宋体" w:hint="default"/>
                <w:sz w:val="18"/>
                <w:szCs w:val="18"/>
              </w:rPr>
            </w:pPr>
            <w:r>
              <w:rPr>
                <w:rFonts w:ascii="宋体" w:hAnsi="宋体" w:cs="宋体" w:eastAsia="宋体" w:hint="default"/>
                <w:sz w:val="18"/>
                <w:szCs w:val="18"/>
              </w:rPr>
              <w:t>（上海耕 虹）</w:t>
            </w:r>
          </w:p>
        </w:tc>
        <w:tc>
          <w:tcPr>
            <w:tcW w:w="965"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7" w:right="35"/>
              <w:jc w:val="left"/>
              <w:rPr>
                <w:rFonts w:ascii="宋体" w:hAnsi="宋体" w:cs="宋体" w:eastAsia="宋体" w:hint="default"/>
                <w:sz w:val="18"/>
                <w:szCs w:val="18"/>
              </w:rPr>
            </w:pPr>
            <w:r>
              <w:rPr>
                <w:rFonts w:ascii="宋体" w:hAnsi="宋体" w:cs="宋体" w:eastAsia="宋体" w:hint="default"/>
                <w:sz w:val="18"/>
                <w:szCs w:val="18"/>
              </w:rPr>
              <w:t>投资款已收 回</w:t>
            </w:r>
          </w:p>
        </w:tc>
        <w:tc>
          <w:tcPr>
            <w:tcW w:w="766" w:type="dxa"/>
            <w:tcBorders>
              <w:top w:val="single" w:sz="4" w:space="0" w:color="5B9BD4"/>
              <w:left w:val="nil" w:sz="6" w:space="0" w:color="auto"/>
              <w:bottom w:val="single" w:sz="4" w:space="0" w:color="5B9BD4"/>
              <w:right w:val="nil" w:sz="6" w:space="0" w:color="auto"/>
            </w:tcBorders>
            <w:shd w:val="clear" w:color="auto" w:fill="DEEAF6"/>
          </w:tcPr>
          <w:p>
            <w:pPr/>
          </w:p>
        </w:tc>
        <w:tc>
          <w:tcPr>
            <w:tcW w:w="1012" w:type="dxa"/>
            <w:tcBorders>
              <w:top w:val="single" w:sz="4" w:space="0" w:color="5B9BD4"/>
              <w:left w:val="nil" w:sz="6" w:space="0" w:color="auto"/>
              <w:bottom w:val="single" w:sz="4" w:space="0" w:color="5B9BD4"/>
              <w:right w:val="nil" w:sz="6" w:space="0" w:color="auto"/>
            </w:tcBorders>
          </w:tcPr>
          <w:p>
            <w:pPr/>
          </w:p>
        </w:tc>
        <w:tc>
          <w:tcPr>
            <w:tcW w:w="100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8"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7" w:right="0"/>
              <w:jc w:val="left"/>
              <w:rPr>
                <w:rFonts w:ascii="Arial" w:hAnsi="Arial" w:cs="Arial" w:eastAsia="Arial" w:hint="default"/>
                <w:sz w:val="18"/>
                <w:szCs w:val="18"/>
              </w:rPr>
            </w:pPr>
            <w:r>
              <w:rPr>
                <w:rFonts w:ascii="Arial" w:hAnsi="Arial" w:cs="Arial" w:eastAsia="Arial" w:hint="default"/>
                <w:sz w:val="18"/>
                <w:szCs w:val="18"/>
              </w:rPr>
              <w:t>2015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Arial" w:hAnsi="Arial" w:cs="Arial" w:eastAsia="Arial" w:hint="default"/>
                <w:sz w:val="18"/>
                <w:szCs w:val="18"/>
              </w:rPr>
              <w:t>10</w:t>
            </w:r>
          </w:p>
          <w:p>
            <w:pPr>
              <w:pStyle w:val="TableParagraph"/>
              <w:spacing w:line="240" w:lineRule="auto" w:before="63"/>
              <w:ind w:left="2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08</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97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362" w:lineRule="auto"/>
              <w:ind w:left="28" w:right="75"/>
              <w:jc w:val="left"/>
              <w:rPr>
                <w:rFonts w:ascii="Arial" w:hAnsi="Arial" w:cs="Arial" w:eastAsia="Arial" w:hint="default"/>
                <w:sz w:val="18"/>
                <w:szCs w:val="18"/>
              </w:rPr>
            </w:pPr>
            <w:r>
              <w:rPr>
                <w:rFonts w:ascii="Arial"/>
                <w:w w:val="110"/>
                <w:sz w:val="18"/>
              </w:rPr>
              <w:t>www.cnin</w:t>
            </w:r>
            <w:r>
              <w:rPr>
                <w:rFonts w:ascii="Arial"/>
                <w:spacing w:val="-33"/>
                <w:w w:val="110"/>
                <w:sz w:val="18"/>
              </w:rPr>
              <w:t> </w:t>
            </w:r>
            <w:r>
              <w:rPr>
                <w:rFonts w:ascii="Arial"/>
                <w:spacing w:val="-33"/>
                <w:w w:val="110"/>
                <w:sz w:val="18"/>
              </w:rPr>
            </w:r>
            <w:r>
              <w:rPr>
                <w:rFonts w:ascii="Arial"/>
                <w:w w:val="115"/>
                <w:sz w:val="18"/>
              </w:rPr>
              <w:t>fo.com</w:t>
            </w:r>
            <w:r>
              <w:rPr>
                <w:rFonts w:ascii="Arial"/>
                <w:sz w:val="18"/>
              </w:rPr>
            </w:r>
          </w:p>
        </w:tc>
      </w:tr>
      <w:tr>
        <w:trPr>
          <w:trHeight w:val="630" w:hRule="exact"/>
        </w:trPr>
        <w:tc>
          <w:tcPr>
            <w:tcW w:w="124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0"/>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3" w:type="dxa"/>
            <w:tcBorders>
              <w:top w:val="single" w:sz="4" w:space="0" w:color="5B9BD4"/>
              <w:left w:val="nil" w:sz="6" w:space="0" w:color="auto"/>
              <w:bottom w:val="single" w:sz="4" w:space="0" w:color="5B9BD4"/>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w:t>
            </w:r>
          </w:p>
        </w:tc>
        <w:tc>
          <w:tcPr>
            <w:tcW w:w="57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7"/>
              <w:jc w:val="right"/>
              <w:rPr>
                <w:rFonts w:ascii="Arial" w:hAnsi="Arial" w:cs="Arial" w:eastAsia="Arial" w:hint="default"/>
                <w:sz w:val="18"/>
                <w:szCs w:val="18"/>
              </w:rPr>
            </w:pPr>
            <w:r>
              <w:rPr>
                <w:rFonts w:ascii="Arial"/>
                <w:w w:val="95"/>
                <w:sz w:val="18"/>
              </w:rPr>
              <w:t>--</w:t>
            </w:r>
            <w:r>
              <w:rPr>
                <w:rFonts w:ascii="Arial"/>
                <w:sz w:val="18"/>
              </w:rPr>
            </w:r>
          </w:p>
        </w:tc>
        <w:tc>
          <w:tcPr>
            <w:tcW w:w="1387" w:type="dxa"/>
            <w:tcBorders>
              <w:top w:val="single" w:sz="4" w:space="0" w:color="5B9BD4"/>
              <w:left w:val="nil" w:sz="6" w:space="0" w:color="auto"/>
              <w:bottom w:val="single" w:sz="4" w:space="0" w:color="5B9BD4"/>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5"/>
              <w:jc w:val="right"/>
              <w:rPr>
                <w:rFonts w:ascii="Arial" w:hAnsi="Arial" w:cs="Arial" w:eastAsia="Arial" w:hint="default"/>
                <w:sz w:val="18"/>
                <w:szCs w:val="18"/>
              </w:rPr>
            </w:pPr>
            <w:r>
              <w:rPr>
                <w:rFonts w:ascii="Arial"/>
                <w:w w:val="95"/>
                <w:sz w:val="18"/>
              </w:rPr>
              <w:t>515,323,817.97</w:t>
            </w:r>
            <w:r>
              <w:rPr>
                <w:rFonts w:ascii="Arial"/>
                <w:sz w:val="18"/>
              </w:rPr>
            </w:r>
          </w:p>
        </w:tc>
        <w:tc>
          <w:tcPr>
            <w:tcW w:w="87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w:t>
            </w:r>
          </w:p>
        </w:tc>
        <w:tc>
          <w:tcPr>
            <w:tcW w:w="468" w:type="dxa"/>
            <w:tcBorders>
              <w:top w:val="single" w:sz="4" w:space="0" w:color="5B9BD4"/>
              <w:left w:val="nil" w:sz="6" w:space="0" w:color="auto"/>
              <w:bottom w:val="single" w:sz="4" w:space="0" w:color="5B9BD4"/>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w:t>
            </w:r>
          </w:p>
        </w:tc>
        <w:tc>
          <w:tcPr>
            <w:tcW w:w="10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w:t>
            </w:r>
          </w:p>
        </w:tc>
        <w:tc>
          <w:tcPr>
            <w:tcW w:w="712" w:type="dxa"/>
            <w:tcBorders>
              <w:top w:val="single" w:sz="4" w:space="0" w:color="5B9BD4"/>
              <w:left w:val="nil" w:sz="6" w:space="0" w:color="auto"/>
              <w:bottom w:val="single" w:sz="4" w:space="0" w:color="5B9BD4"/>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w:t>
            </w:r>
          </w:p>
        </w:tc>
        <w:tc>
          <w:tcPr>
            <w:tcW w:w="9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w:t>
            </w:r>
          </w:p>
        </w:tc>
        <w:tc>
          <w:tcPr>
            <w:tcW w:w="965" w:type="dxa"/>
            <w:tcBorders>
              <w:top w:val="single" w:sz="4" w:space="0" w:color="5B9BD4"/>
              <w:left w:val="nil" w:sz="6" w:space="0" w:color="auto"/>
              <w:bottom w:val="single" w:sz="4" w:space="0" w:color="5B9BD4"/>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w:t>
            </w:r>
          </w:p>
        </w:tc>
        <w:tc>
          <w:tcPr>
            <w:tcW w:w="7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88" w:right="0"/>
              <w:jc w:val="left"/>
              <w:rPr>
                <w:rFonts w:ascii="Arial" w:hAnsi="Arial" w:cs="Arial" w:eastAsia="Arial" w:hint="default"/>
                <w:sz w:val="18"/>
                <w:szCs w:val="18"/>
              </w:rPr>
            </w:pPr>
            <w:r>
              <w:rPr>
                <w:rFonts w:ascii="Arial"/>
                <w:sz w:val="18"/>
              </w:rPr>
              <w:t>0.00</w:t>
            </w:r>
          </w:p>
        </w:tc>
        <w:tc>
          <w:tcPr>
            <w:tcW w:w="1012" w:type="dxa"/>
            <w:tcBorders>
              <w:top w:val="single" w:sz="4" w:space="0" w:color="5B9BD4"/>
              <w:left w:val="nil" w:sz="6" w:space="0" w:color="auto"/>
              <w:bottom w:val="single" w:sz="4" w:space="0" w:color="5B9BD4"/>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34" w:right="0"/>
              <w:jc w:val="left"/>
              <w:rPr>
                <w:rFonts w:ascii="Arial" w:hAnsi="Arial" w:cs="Arial" w:eastAsia="Arial" w:hint="default"/>
                <w:sz w:val="18"/>
                <w:szCs w:val="18"/>
              </w:rPr>
            </w:pPr>
            <w:r>
              <w:rPr>
                <w:rFonts w:ascii="Arial"/>
                <w:sz w:val="18"/>
              </w:rPr>
              <w:t>0.00</w:t>
            </w:r>
          </w:p>
        </w:tc>
        <w:tc>
          <w:tcPr>
            <w:tcW w:w="100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w:t>
            </w:r>
          </w:p>
        </w:tc>
        <w:tc>
          <w:tcPr>
            <w:tcW w:w="1008" w:type="dxa"/>
            <w:tcBorders>
              <w:top w:val="single" w:sz="4" w:space="0" w:color="5B9BD4"/>
              <w:left w:val="nil" w:sz="6" w:space="0" w:color="auto"/>
              <w:bottom w:val="single" w:sz="4" w:space="0" w:color="5B9BD4"/>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w:t>
            </w:r>
          </w:p>
        </w:tc>
        <w:tc>
          <w:tcPr>
            <w:tcW w:w="97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w:t>
            </w:r>
          </w:p>
        </w:tc>
      </w:tr>
    </w:tbl>
    <w:p>
      <w:pPr>
        <w:spacing w:after="0" w:line="240" w:lineRule="auto"/>
        <w:jc w:val="center"/>
        <w:rPr>
          <w:rFonts w:ascii="Arial" w:hAnsi="Arial" w:cs="Arial" w:eastAsia="Arial" w:hint="default"/>
          <w:sz w:val="18"/>
          <w:szCs w:val="18"/>
        </w:rPr>
        <w:sectPr>
          <w:pgSz w:w="16840" w:h="11910" w:orient="landscape"/>
          <w:pgMar w:header="877" w:footer="979" w:top="1100" w:bottom="1160" w:left="1300" w:right="0"/>
        </w:sectPr>
      </w:pPr>
    </w:p>
    <w:p>
      <w:pPr>
        <w:spacing w:line="240" w:lineRule="auto" w:before="0"/>
        <w:rPr>
          <w:rFonts w:ascii="宋体" w:hAnsi="宋体" w:cs="宋体" w:eastAsia="宋体" w:hint="default"/>
          <w:sz w:val="29"/>
          <w:szCs w:val="29"/>
        </w:rPr>
      </w:pPr>
    </w:p>
    <w:p>
      <w:pPr>
        <w:pStyle w:val="Heading2"/>
        <w:spacing w:line="348" w:lineRule="exact"/>
        <w:ind w:left="140" w:right="0"/>
        <w:jc w:val="left"/>
        <w:rPr>
          <w:b w:val="0"/>
          <w:bCs w:val="0"/>
        </w:rPr>
      </w:pPr>
      <w:bookmarkStart w:name="4.5.3 报告期内正在进行的重大的非股权投资情况" w:id="78"/>
      <w:bookmarkEnd w:id="78"/>
      <w:r>
        <w:rPr>
          <w:b w:val="0"/>
          <w:bCs w:val="0"/>
        </w:rPr>
      </w:r>
      <w:r>
        <w:rPr>
          <w:rFonts w:ascii="Trebuchet MS" w:hAnsi="Trebuchet MS" w:cs="Trebuchet MS" w:eastAsia="Trebuchet MS" w:hint="default"/>
        </w:rPr>
        <w:t>4.5.3</w:t>
      </w:r>
      <w:r>
        <w:rPr>
          <w:rFonts w:ascii="Trebuchet MS" w:hAnsi="Trebuchet MS" w:cs="Trebuchet MS" w:eastAsia="Trebuchet MS" w:hint="default"/>
          <w:spacing w:val="-19"/>
        </w:rPr>
        <w:t> </w:t>
      </w:r>
      <w:r>
        <w:rPr/>
        <w:t>报告期内正在进行的重大的非股权投资情况</w:t>
      </w:r>
      <w:r>
        <w:rPr>
          <w:b w:val="0"/>
          <w:bCs w:val="0"/>
        </w:rPr>
      </w:r>
    </w:p>
    <w:p>
      <w:pPr>
        <w:spacing w:line="240" w:lineRule="auto" w:before="14"/>
        <w:rPr>
          <w:rFonts w:ascii="Microsoft JhengHei" w:hAnsi="Microsoft JhengHei" w:cs="Microsoft JhengHei" w:eastAsia="Microsoft JhengHei" w:hint="default"/>
          <w:b/>
          <w:bCs/>
          <w:sz w:val="25"/>
          <w:szCs w:val="25"/>
        </w:rPr>
      </w:pPr>
    </w:p>
    <w:p>
      <w:pPr>
        <w:spacing w:before="29"/>
        <w:ind w:left="140"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before="116"/>
        <w:ind w:left="0" w:right="143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37"/>
        <w:gridCol w:w="618"/>
        <w:gridCol w:w="729"/>
        <w:gridCol w:w="743"/>
        <w:gridCol w:w="1582"/>
        <w:gridCol w:w="1411"/>
        <w:gridCol w:w="695"/>
        <w:gridCol w:w="715"/>
        <w:gridCol w:w="1148"/>
        <w:gridCol w:w="1120"/>
        <w:gridCol w:w="695"/>
        <w:gridCol w:w="1020"/>
        <w:gridCol w:w="2377"/>
      </w:tblGrid>
      <w:tr>
        <w:trPr>
          <w:trHeight w:val="318" w:hRule="exact"/>
        </w:trPr>
        <w:tc>
          <w:tcPr>
            <w:tcW w:w="837" w:type="dxa"/>
            <w:vMerge w:val="restart"/>
            <w:tcBorders>
              <w:top w:val="single" w:sz="4" w:space="0" w:color="5B9BD4"/>
              <w:left w:val="nil" w:sz="6" w:space="0" w:color="auto"/>
              <w:right w:val="nil" w:sz="6" w:space="0" w:color="auto"/>
            </w:tcBorders>
            <w:shd w:val="clear" w:color="auto" w:fill="DEEAF6"/>
          </w:tcPr>
          <w:p>
            <w:pPr/>
          </w:p>
        </w:tc>
        <w:tc>
          <w:tcPr>
            <w:tcW w:w="618" w:type="dxa"/>
            <w:vMerge w:val="restart"/>
            <w:tcBorders>
              <w:top w:val="single" w:sz="4" w:space="0" w:color="5B9BD4"/>
              <w:left w:val="nil" w:sz="6" w:space="0" w:color="auto"/>
              <w:right w:val="nil" w:sz="6" w:space="0" w:color="auto"/>
            </w:tcBorders>
            <w:shd w:val="clear" w:color="auto" w:fill="DEEAF6"/>
          </w:tcPr>
          <w:p>
            <w:pPr/>
          </w:p>
        </w:tc>
        <w:tc>
          <w:tcPr>
            <w:tcW w:w="1472" w:type="dxa"/>
            <w:gridSpan w:val="2"/>
            <w:tcBorders>
              <w:top w:val="single" w:sz="4" w:space="0" w:color="5B9BD4"/>
              <w:left w:val="nil" w:sz="6" w:space="0" w:color="auto"/>
              <w:bottom w:val="nil" w:sz="6" w:space="0" w:color="auto"/>
              <w:right w:val="nil" w:sz="6" w:space="0" w:color="auto"/>
            </w:tcBorders>
            <w:shd w:val="clear" w:color="auto" w:fill="DEEAF6"/>
          </w:tcPr>
          <w:p>
            <w:pPr/>
          </w:p>
        </w:tc>
        <w:tc>
          <w:tcPr>
            <w:tcW w:w="1582" w:type="dxa"/>
            <w:vMerge w:val="restart"/>
            <w:tcBorders>
              <w:top w:val="single" w:sz="4" w:space="0" w:color="5B9BD4"/>
              <w:left w:val="nil" w:sz="6" w:space="0" w:color="auto"/>
              <w:right w:val="nil" w:sz="6" w:space="0" w:color="auto"/>
            </w:tcBorders>
            <w:shd w:val="clear" w:color="auto" w:fill="DEEAF6"/>
          </w:tcPr>
          <w:p>
            <w:pPr/>
          </w:p>
        </w:tc>
        <w:tc>
          <w:tcPr>
            <w:tcW w:w="2821" w:type="dxa"/>
            <w:gridSpan w:val="3"/>
            <w:vMerge w:val="restart"/>
            <w:tcBorders>
              <w:top w:val="single" w:sz="4" w:space="0" w:color="5B9BD4"/>
              <w:left w:val="nil" w:sz="6" w:space="0" w:color="auto"/>
              <w:right w:val="nil" w:sz="6" w:space="0" w:color="auto"/>
            </w:tcBorders>
            <w:shd w:val="clear" w:color="auto" w:fill="DEEAF6"/>
          </w:tcPr>
          <w:p>
            <w:pPr/>
          </w:p>
        </w:tc>
        <w:tc>
          <w:tcPr>
            <w:tcW w:w="1148" w:type="dxa"/>
            <w:vMerge w:val="restart"/>
            <w:tcBorders>
              <w:top w:val="single" w:sz="4" w:space="0" w:color="5B9BD4"/>
              <w:left w:val="nil" w:sz="6" w:space="0" w:color="auto"/>
              <w:right w:val="nil" w:sz="6" w:space="0" w:color="auto"/>
            </w:tcBorders>
            <w:shd w:val="clear" w:color="auto" w:fill="DEEAF6"/>
          </w:tcPr>
          <w:p>
            <w:pPr/>
          </w:p>
        </w:tc>
        <w:tc>
          <w:tcPr>
            <w:tcW w:w="1120" w:type="dxa"/>
            <w:tcBorders>
              <w:top w:val="single" w:sz="4" w:space="0" w:color="5B9BD4"/>
              <w:left w:val="nil" w:sz="6" w:space="0" w:color="auto"/>
              <w:bottom w:val="nil" w:sz="6" w:space="0" w:color="auto"/>
              <w:right w:val="nil" w:sz="6" w:space="0" w:color="auto"/>
            </w:tcBorders>
            <w:shd w:val="clear" w:color="auto" w:fill="DEEAF6"/>
          </w:tcPr>
          <w:p>
            <w:pPr/>
          </w:p>
        </w:tc>
        <w:tc>
          <w:tcPr>
            <w:tcW w:w="695"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7"/>
              <w:ind w:left="83" w:right="69"/>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1020" w:type="dxa"/>
            <w:vMerge w:val="restart"/>
            <w:tcBorders>
              <w:top w:val="single" w:sz="4" w:space="0" w:color="5B9BD4"/>
              <w:left w:val="nil" w:sz="6" w:space="0" w:color="auto"/>
              <w:right w:val="nil" w:sz="6" w:space="0" w:color="auto"/>
            </w:tcBorders>
            <w:shd w:val="clear" w:color="auto" w:fill="DEEAF6"/>
          </w:tcPr>
          <w:p>
            <w:pPr/>
          </w:p>
        </w:tc>
        <w:tc>
          <w:tcPr>
            <w:tcW w:w="2377" w:type="dxa"/>
            <w:vMerge w:val="restart"/>
            <w:tcBorders>
              <w:top w:val="single" w:sz="4" w:space="0" w:color="5B9BD4"/>
              <w:left w:val="nil" w:sz="6" w:space="0" w:color="auto"/>
              <w:right w:val="nil" w:sz="6" w:space="0" w:color="auto"/>
            </w:tcBorders>
            <w:shd w:val="clear" w:color="auto" w:fill="DEEAF6"/>
          </w:tcPr>
          <w:p>
            <w:pPr/>
          </w:p>
        </w:tc>
      </w:tr>
      <w:tr>
        <w:trPr>
          <w:trHeight w:val="156" w:hRule="exact"/>
        </w:trPr>
        <w:tc>
          <w:tcPr>
            <w:tcW w:w="837" w:type="dxa"/>
            <w:vMerge/>
            <w:tcBorders>
              <w:left w:val="nil" w:sz="6" w:space="0" w:color="auto"/>
              <w:right w:val="nil" w:sz="6" w:space="0" w:color="auto"/>
            </w:tcBorders>
            <w:shd w:val="clear" w:color="auto" w:fill="DEEAF6"/>
          </w:tcPr>
          <w:p>
            <w:pPr/>
          </w:p>
        </w:tc>
        <w:tc>
          <w:tcPr>
            <w:tcW w:w="618" w:type="dxa"/>
            <w:vMerge/>
            <w:tcBorders>
              <w:left w:val="nil" w:sz="6" w:space="0" w:color="auto"/>
              <w:bottom w:val="nil" w:sz="6" w:space="0" w:color="auto"/>
              <w:right w:val="nil" w:sz="6" w:space="0" w:color="auto"/>
            </w:tcBorders>
            <w:shd w:val="clear" w:color="auto" w:fill="DEEAF6"/>
          </w:tcPr>
          <w:p>
            <w:pPr/>
          </w:p>
        </w:tc>
        <w:tc>
          <w:tcPr>
            <w:tcW w:w="729"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97" w:right="88"/>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743"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104" w:right="96"/>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1582" w:type="dxa"/>
            <w:vMerge/>
            <w:tcBorders>
              <w:left w:val="nil" w:sz="6" w:space="0" w:color="auto"/>
              <w:right w:val="nil" w:sz="6" w:space="0" w:color="auto"/>
            </w:tcBorders>
            <w:shd w:val="clear" w:color="auto" w:fill="DEEAF6"/>
          </w:tcPr>
          <w:p>
            <w:pPr/>
          </w:p>
        </w:tc>
        <w:tc>
          <w:tcPr>
            <w:tcW w:w="2821" w:type="dxa"/>
            <w:gridSpan w:val="3"/>
            <w:vMerge/>
            <w:tcBorders>
              <w:left w:val="nil" w:sz="6" w:space="0" w:color="auto"/>
              <w:bottom w:val="nil" w:sz="6" w:space="0" w:color="auto"/>
              <w:right w:val="nil" w:sz="6" w:space="0" w:color="auto"/>
            </w:tcBorders>
            <w:shd w:val="clear" w:color="auto" w:fill="DEEAF6"/>
          </w:tcPr>
          <w:p>
            <w:pPr/>
          </w:p>
        </w:tc>
        <w:tc>
          <w:tcPr>
            <w:tcW w:w="1148" w:type="dxa"/>
            <w:vMerge/>
            <w:tcBorders>
              <w:left w:val="nil" w:sz="6" w:space="0" w:color="auto"/>
              <w:right w:val="nil" w:sz="6" w:space="0" w:color="auto"/>
            </w:tcBorders>
            <w:shd w:val="clear" w:color="auto" w:fill="DEEAF6"/>
          </w:tcPr>
          <w:p>
            <w:pPr/>
          </w:p>
        </w:tc>
        <w:tc>
          <w:tcPr>
            <w:tcW w:w="1120"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103" w:right="114"/>
              <w:jc w:val="center"/>
              <w:rPr>
                <w:rFonts w:ascii="宋体" w:hAnsi="宋体" w:cs="宋体" w:eastAsia="宋体" w:hint="default"/>
                <w:sz w:val="18"/>
                <w:szCs w:val="18"/>
              </w:rPr>
            </w:pPr>
            <w:r>
              <w:rPr>
                <w:rFonts w:ascii="宋体" w:hAnsi="宋体" w:cs="宋体" w:eastAsia="宋体" w:hint="default"/>
                <w:sz w:val="18"/>
                <w:szCs w:val="18"/>
              </w:rPr>
              <w:t>截止报告期 末累计实现 的收益</w:t>
            </w:r>
          </w:p>
        </w:tc>
        <w:tc>
          <w:tcPr>
            <w:tcW w:w="695" w:type="dxa"/>
            <w:vMerge/>
            <w:tcBorders>
              <w:left w:val="nil" w:sz="6" w:space="0" w:color="auto"/>
              <w:right w:val="nil" w:sz="6" w:space="0" w:color="auto"/>
            </w:tcBorders>
            <w:shd w:val="clear" w:color="auto" w:fill="DEEAF6"/>
          </w:tcPr>
          <w:p>
            <w:pPr/>
          </w:p>
        </w:tc>
        <w:tc>
          <w:tcPr>
            <w:tcW w:w="1020" w:type="dxa"/>
            <w:vMerge/>
            <w:tcBorders>
              <w:left w:val="nil" w:sz="6" w:space="0" w:color="auto"/>
              <w:bottom w:val="nil" w:sz="6" w:space="0" w:color="auto"/>
              <w:right w:val="nil" w:sz="6" w:space="0" w:color="auto"/>
            </w:tcBorders>
            <w:shd w:val="clear" w:color="auto" w:fill="DEEAF6"/>
          </w:tcPr>
          <w:p>
            <w:pPr/>
          </w:p>
        </w:tc>
        <w:tc>
          <w:tcPr>
            <w:tcW w:w="2377" w:type="dxa"/>
            <w:vMerge/>
            <w:tcBorders>
              <w:left w:val="nil" w:sz="6" w:space="0" w:color="auto"/>
              <w:right w:val="nil" w:sz="6" w:space="0" w:color="auto"/>
            </w:tcBorders>
            <w:shd w:val="clear" w:color="auto" w:fill="DEEAF6"/>
          </w:tcPr>
          <w:p>
            <w:pPr/>
          </w:p>
        </w:tc>
      </w:tr>
      <w:tr>
        <w:trPr>
          <w:trHeight w:val="156" w:hRule="exact"/>
        </w:trPr>
        <w:tc>
          <w:tcPr>
            <w:tcW w:w="837" w:type="dxa"/>
            <w:vMerge/>
            <w:tcBorders>
              <w:left w:val="nil" w:sz="6" w:space="0" w:color="auto"/>
              <w:bottom w:val="nil" w:sz="6" w:space="0" w:color="auto"/>
              <w:right w:val="nil" w:sz="6" w:space="0" w:color="auto"/>
            </w:tcBorders>
            <w:shd w:val="clear" w:color="auto" w:fill="DEEAF6"/>
          </w:tcPr>
          <w:p>
            <w:pPr/>
          </w:p>
        </w:tc>
        <w:tc>
          <w:tcPr>
            <w:tcW w:w="618"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218" w:right="37"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729" w:type="dxa"/>
            <w:vMerge/>
            <w:tcBorders>
              <w:left w:val="nil" w:sz="6" w:space="0" w:color="auto"/>
              <w:right w:val="nil" w:sz="6" w:space="0" w:color="auto"/>
            </w:tcBorders>
            <w:shd w:val="clear" w:color="auto" w:fill="DEEAF6"/>
          </w:tcPr>
          <w:p>
            <w:pPr/>
          </w:p>
        </w:tc>
        <w:tc>
          <w:tcPr>
            <w:tcW w:w="743" w:type="dxa"/>
            <w:vMerge/>
            <w:tcBorders>
              <w:left w:val="nil" w:sz="6" w:space="0" w:color="auto"/>
              <w:right w:val="nil" w:sz="6" w:space="0" w:color="auto"/>
            </w:tcBorders>
            <w:shd w:val="clear" w:color="auto" w:fill="DEEAF6"/>
          </w:tcPr>
          <w:p>
            <w:pPr/>
          </w:p>
        </w:tc>
        <w:tc>
          <w:tcPr>
            <w:tcW w:w="1582" w:type="dxa"/>
            <w:vMerge/>
            <w:tcBorders>
              <w:left w:val="nil" w:sz="6" w:space="0" w:color="auto"/>
              <w:bottom w:val="nil" w:sz="6" w:space="0" w:color="auto"/>
              <w:right w:val="nil" w:sz="6" w:space="0" w:color="auto"/>
            </w:tcBorders>
            <w:shd w:val="clear" w:color="auto" w:fill="DEEAF6"/>
          </w:tcPr>
          <w:p>
            <w:pPr/>
          </w:p>
        </w:tc>
        <w:tc>
          <w:tcPr>
            <w:tcW w:w="1411"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64" w:right="84"/>
              <w:jc w:val="left"/>
              <w:rPr>
                <w:rFonts w:ascii="宋体" w:hAnsi="宋体" w:cs="宋体" w:eastAsia="宋体" w:hint="default"/>
                <w:sz w:val="18"/>
                <w:szCs w:val="18"/>
              </w:rPr>
            </w:pPr>
            <w:r>
              <w:rPr>
                <w:rFonts w:ascii="宋体" w:hAnsi="宋体" w:cs="宋体" w:eastAsia="宋体" w:hint="default"/>
                <w:sz w:val="18"/>
                <w:szCs w:val="18"/>
              </w:rPr>
              <w:t>截至报告期末累 计实际投入金额</w:t>
            </w:r>
          </w:p>
        </w:tc>
        <w:tc>
          <w:tcPr>
            <w:tcW w:w="695"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257" w:right="7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15"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269" w:right="83"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1148" w:type="dxa"/>
            <w:vMerge/>
            <w:tcBorders>
              <w:left w:val="nil" w:sz="6" w:space="0" w:color="auto"/>
              <w:bottom w:val="nil" w:sz="6" w:space="0" w:color="auto"/>
              <w:right w:val="nil" w:sz="6" w:space="0" w:color="auto"/>
            </w:tcBorders>
            <w:shd w:val="clear" w:color="auto" w:fill="DEEAF6"/>
          </w:tcPr>
          <w:p>
            <w:pPr/>
          </w:p>
        </w:tc>
        <w:tc>
          <w:tcPr>
            <w:tcW w:w="1120" w:type="dxa"/>
            <w:vMerge/>
            <w:tcBorders>
              <w:left w:val="nil" w:sz="6" w:space="0" w:color="auto"/>
              <w:right w:val="nil" w:sz="6" w:space="0" w:color="auto"/>
            </w:tcBorders>
            <w:shd w:val="clear" w:color="auto" w:fill="DEEAF6"/>
          </w:tcPr>
          <w:p>
            <w:pPr/>
          </w:p>
        </w:tc>
        <w:tc>
          <w:tcPr>
            <w:tcW w:w="695" w:type="dxa"/>
            <w:vMerge/>
            <w:tcBorders>
              <w:left w:val="nil" w:sz="6" w:space="0" w:color="auto"/>
              <w:right w:val="nil" w:sz="6" w:space="0" w:color="auto"/>
            </w:tcBorders>
            <w:shd w:val="clear" w:color="auto" w:fill="DEEAF6"/>
          </w:tcPr>
          <w:p>
            <w:pPr/>
          </w:p>
        </w:tc>
        <w:tc>
          <w:tcPr>
            <w:tcW w:w="1020" w:type="dxa"/>
            <w:vMerge w:val="restart"/>
            <w:tcBorders>
              <w:top w:val="nil" w:sz="6" w:space="0" w:color="auto"/>
              <w:left w:val="nil" w:sz="6" w:space="0" w:color="auto"/>
              <w:right w:val="nil" w:sz="6" w:space="0" w:color="auto"/>
            </w:tcBorders>
            <w:shd w:val="clear" w:color="auto" w:fill="DEEAF6"/>
          </w:tcPr>
          <w:p>
            <w:pPr>
              <w:pStyle w:val="TableParagraph"/>
              <w:spacing w:line="240" w:lineRule="auto" w:before="46"/>
              <w:ind w:left="149"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149"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2377" w:type="dxa"/>
            <w:vMerge/>
            <w:tcBorders>
              <w:left w:val="nil" w:sz="6" w:space="0" w:color="auto"/>
              <w:bottom w:val="nil" w:sz="6" w:space="0" w:color="auto"/>
              <w:right w:val="nil" w:sz="6" w:space="0" w:color="auto"/>
            </w:tcBorders>
            <w:shd w:val="clear" w:color="auto" w:fill="DEEAF6"/>
          </w:tcPr>
          <w:p>
            <w:pPr/>
          </w:p>
        </w:tc>
      </w:tr>
      <w:tr>
        <w:trPr>
          <w:trHeight w:val="391" w:hRule="exact"/>
        </w:trPr>
        <w:tc>
          <w:tcPr>
            <w:tcW w:w="837"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5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618" w:type="dxa"/>
            <w:vMerge/>
            <w:tcBorders>
              <w:left w:val="nil" w:sz="6" w:space="0" w:color="auto"/>
              <w:right w:val="nil" w:sz="6" w:space="0" w:color="auto"/>
            </w:tcBorders>
            <w:shd w:val="clear" w:color="auto" w:fill="DEEAF6"/>
          </w:tcPr>
          <w:p>
            <w:pPr/>
          </w:p>
        </w:tc>
        <w:tc>
          <w:tcPr>
            <w:tcW w:w="729" w:type="dxa"/>
            <w:vMerge/>
            <w:tcBorders>
              <w:left w:val="nil" w:sz="6" w:space="0" w:color="auto"/>
              <w:right w:val="nil" w:sz="6" w:space="0" w:color="auto"/>
            </w:tcBorders>
            <w:shd w:val="clear" w:color="auto" w:fill="DEEAF6"/>
          </w:tcPr>
          <w:p>
            <w:pPr/>
          </w:p>
        </w:tc>
        <w:tc>
          <w:tcPr>
            <w:tcW w:w="743" w:type="dxa"/>
            <w:vMerge/>
            <w:tcBorders>
              <w:left w:val="nil" w:sz="6" w:space="0" w:color="auto"/>
              <w:right w:val="nil" w:sz="6" w:space="0" w:color="auto"/>
            </w:tcBorders>
            <w:shd w:val="clear" w:color="auto" w:fill="DEEAF6"/>
          </w:tcPr>
          <w:p>
            <w:pPr/>
          </w:p>
        </w:tc>
        <w:tc>
          <w:tcPr>
            <w:tcW w:w="1582"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right="76"/>
              <w:jc w:val="right"/>
              <w:rPr>
                <w:rFonts w:ascii="宋体" w:hAnsi="宋体" w:cs="宋体" w:eastAsia="宋体" w:hint="default"/>
                <w:sz w:val="18"/>
                <w:szCs w:val="18"/>
              </w:rPr>
            </w:pPr>
            <w:r>
              <w:rPr>
                <w:rFonts w:ascii="宋体" w:hAnsi="宋体" w:cs="宋体" w:eastAsia="宋体" w:hint="default"/>
                <w:sz w:val="18"/>
                <w:szCs w:val="18"/>
              </w:rPr>
              <w:t>本报告期投入金额</w:t>
            </w:r>
          </w:p>
        </w:tc>
        <w:tc>
          <w:tcPr>
            <w:tcW w:w="1411" w:type="dxa"/>
            <w:vMerge/>
            <w:tcBorders>
              <w:left w:val="nil" w:sz="6" w:space="0" w:color="auto"/>
              <w:right w:val="nil" w:sz="6" w:space="0" w:color="auto"/>
            </w:tcBorders>
            <w:shd w:val="clear" w:color="auto" w:fill="DEEAF6"/>
          </w:tcPr>
          <w:p>
            <w:pPr/>
          </w:p>
        </w:tc>
        <w:tc>
          <w:tcPr>
            <w:tcW w:w="695" w:type="dxa"/>
            <w:vMerge/>
            <w:tcBorders>
              <w:left w:val="nil" w:sz="6" w:space="0" w:color="auto"/>
              <w:right w:val="nil" w:sz="6" w:space="0" w:color="auto"/>
            </w:tcBorders>
            <w:shd w:val="clear" w:color="auto" w:fill="DEEAF6"/>
          </w:tcPr>
          <w:p>
            <w:pPr/>
          </w:p>
        </w:tc>
        <w:tc>
          <w:tcPr>
            <w:tcW w:w="715" w:type="dxa"/>
            <w:vMerge/>
            <w:tcBorders>
              <w:left w:val="nil" w:sz="6" w:space="0" w:color="auto"/>
              <w:right w:val="nil" w:sz="6" w:space="0" w:color="auto"/>
            </w:tcBorders>
            <w:shd w:val="clear" w:color="auto" w:fill="DEEAF6"/>
          </w:tcPr>
          <w:p>
            <w:pPr/>
          </w:p>
        </w:tc>
        <w:tc>
          <w:tcPr>
            <w:tcW w:w="1148"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right="13"/>
              <w:jc w:val="center"/>
              <w:rPr>
                <w:rFonts w:ascii="宋体" w:hAnsi="宋体" w:cs="宋体" w:eastAsia="宋体" w:hint="default"/>
                <w:sz w:val="18"/>
                <w:szCs w:val="18"/>
              </w:rPr>
            </w:pPr>
            <w:r>
              <w:rPr>
                <w:rFonts w:ascii="宋体" w:hAnsi="宋体" w:cs="宋体" w:eastAsia="宋体" w:hint="default"/>
                <w:sz w:val="18"/>
                <w:szCs w:val="18"/>
              </w:rPr>
              <w:t>预计收益</w:t>
            </w:r>
          </w:p>
        </w:tc>
        <w:tc>
          <w:tcPr>
            <w:tcW w:w="1120" w:type="dxa"/>
            <w:vMerge/>
            <w:tcBorders>
              <w:left w:val="nil" w:sz="6" w:space="0" w:color="auto"/>
              <w:right w:val="nil" w:sz="6" w:space="0" w:color="auto"/>
            </w:tcBorders>
            <w:shd w:val="clear" w:color="auto" w:fill="DEEAF6"/>
          </w:tcPr>
          <w:p>
            <w:pPr/>
          </w:p>
        </w:tc>
        <w:tc>
          <w:tcPr>
            <w:tcW w:w="695" w:type="dxa"/>
            <w:vMerge/>
            <w:tcBorders>
              <w:left w:val="nil" w:sz="6" w:space="0" w:color="auto"/>
              <w:right w:val="nil" w:sz="6" w:space="0" w:color="auto"/>
            </w:tcBorders>
            <w:shd w:val="clear" w:color="auto" w:fill="DEEAF6"/>
          </w:tcPr>
          <w:p>
            <w:pPr/>
          </w:p>
        </w:tc>
        <w:tc>
          <w:tcPr>
            <w:tcW w:w="1020" w:type="dxa"/>
            <w:vMerge/>
            <w:tcBorders>
              <w:left w:val="nil" w:sz="6" w:space="0" w:color="auto"/>
              <w:right w:val="nil" w:sz="6" w:space="0" w:color="auto"/>
            </w:tcBorders>
            <w:shd w:val="clear" w:color="auto" w:fill="DEEAF6"/>
          </w:tcPr>
          <w:p>
            <w:pPr/>
          </w:p>
        </w:tc>
        <w:tc>
          <w:tcPr>
            <w:tcW w:w="2377"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156" w:hRule="exact"/>
        </w:trPr>
        <w:tc>
          <w:tcPr>
            <w:tcW w:w="837" w:type="dxa"/>
            <w:vMerge w:val="restart"/>
            <w:tcBorders>
              <w:top w:val="nil" w:sz="6" w:space="0" w:color="auto"/>
              <w:left w:val="nil" w:sz="6" w:space="0" w:color="auto"/>
              <w:right w:val="nil" w:sz="6" w:space="0" w:color="auto"/>
            </w:tcBorders>
            <w:shd w:val="clear" w:color="auto" w:fill="DEEAF6"/>
          </w:tcPr>
          <w:p>
            <w:pPr/>
          </w:p>
        </w:tc>
        <w:tc>
          <w:tcPr>
            <w:tcW w:w="618" w:type="dxa"/>
            <w:vMerge/>
            <w:tcBorders>
              <w:left w:val="nil" w:sz="6" w:space="0" w:color="auto"/>
              <w:bottom w:val="nil" w:sz="6" w:space="0" w:color="auto"/>
              <w:right w:val="nil" w:sz="6" w:space="0" w:color="auto"/>
            </w:tcBorders>
            <w:shd w:val="clear" w:color="auto" w:fill="DEEAF6"/>
          </w:tcPr>
          <w:p>
            <w:pPr/>
          </w:p>
        </w:tc>
        <w:tc>
          <w:tcPr>
            <w:tcW w:w="729" w:type="dxa"/>
            <w:vMerge/>
            <w:tcBorders>
              <w:left w:val="nil" w:sz="6" w:space="0" w:color="auto"/>
              <w:right w:val="nil" w:sz="6" w:space="0" w:color="auto"/>
            </w:tcBorders>
            <w:shd w:val="clear" w:color="auto" w:fill="DEEAF6"/>
          </w:tcPr>
          <w:p>
            <w:pPr/>
          </w:p>
        </w:tc>
        <w:tc>
          <w:tcPr>
            <w:tcW w:w="743" w:type="dxa"/>
            <w:vMerge/>
            <w:tcBorders>
              <w:left w:val="nil" w:sz="6" w:space="0" w:color="auto"/>
              <w:right w:val="nil" w:sz="6" w:space="0" w:color="auto"/>
            </w:tcBorders>
            <w:shd w:val="clear" w:color="auto" w:fill="DEEAF6"/>
          </w:tcPr>
          <w:p>
            <w:pPr/>
          </w:p>
        </w:tc>
        <w:tc>
          <w:tcPr>
            <w:tcW w:w="1582" w:type="dxa"/>
            <w:vMerge w:val="restart"/>
            <w:tcBorders>
              <w:top w:val="nil" w:sz="6" w:space="0" w:color="auto"/>
              <w:left w:val="nil" w:sz="6" w:space="0" w:color="auto"/>
              <w:right w:val="nil" w:sz="6" w:space="0" w:color="auto"/>
            </w:tcBorders>
            <w:shd w:val="clear" w:color="auto" w:fill="DEEAF6"/>
          </w:tcPr>
          <w:p>
            <w:pPr/>
          </w:p>
        </w:tc>
        <w:tc>
          <w:tcPr>
            <w:tcW w:w="1411" w:type="dxa"/>
            <w:vMerge/>
            <w:tcBorders>
              <w:left w:val="nil" w:sz="6" w:space="0" w:color="auto"/>
              <w:bottom w:val="nil" w:sz="6" w:space="0" w:color="auto"/>
              <w:right w:val="nil" w:sz="6" w:space="0" w:color="auto"/>
            </w:tcBorders>
            <w:shd w:val="clear" w:color="auto" w:fill="DEEAF6"/>
          </w:tcPr>
          <w:p>
            <w:pPr/>
          </w:p>
        </w:tc>
        <w:tc>
          <w:tcPr>
            <w:tcW w:w="695" w:type="dxa"/>
            <w:vMerge/>
            <w:tcBorders>
              <w:left w:val="nil" w:sz="6" w:space="0" w:color="auto"/>
              <w:bottom w:val="nil" w:sz="6" w:space="0" w:color="auto"/>
              <w:right w:val="nil" w:sz="6" w:space="0" w:color="auto"/>
            </w:tcBorders>
            <w:shd w:val="clear" w:color="auto" w:fill="DEEAF6"/>
          </w:tcPr>
          <w:p>
            <w:pPr/>
          </w:p>
        </w:tc>
        <w:tc>
          <w:tcPr>
            <w:tcW w:w="715" w:type="dxa"/>
            <w:vMerge/>
            <w:tcBorders>
              <w:left w:val="nil" w:sz="6" w:space="0" w:color="auto"/>
              <w:bottom w:val="nil" w:sz="6" w:space="0" w:color="auto"/>
              <w:right w:val="nil" w:sz="6" w:space="0" w:color="auto"/>
            </w:tcBorders>
            <w:shd w:val="clear" w:color="auto" w:fill="DEEAF6"/>
          </w:tcPr>
          <w:p>
            <w:pPr/>
          </w:p>
        </w:tc>
        <w:tc>
          <w:tcPr>
            <w:tcW w:w="1148" w:type="dxa"/>
            <w:vMerge w:val="restart"/>
            <w:tcBorders>
              <w:top w:val="nil" w:sz="6" w:space="0" w:color="auto"/>
              <w:left w:val="nil" w:sz="6" w:space="0" w:color="auto"/>
              <w:right w:val="nil" w:sz="6" w:space="0" w:color="auto"/>
            </w:tcBorders>
            <w:shd w:val="clear" w:color="auto" w:fill="DEEAF6"/>
          </w:tcPr>
          <w:p>
            <w:pPr/>
          </w:p>
        </w:tc>
        <w:tc>
          <w:tcPr>
            <w:tcW w:w="1120" w:type="dxa"/>
            <w:vMerge/>
            <w:tcBorders>
              <w:left w:val="nil" w:sz="6" w:space="0" w:color="auto"/>
              <w:right w:val="nil" w:sz="6" w:space="0" w:color="auto"/>
            </w:tcBorders>
            <w:shd w:val="clear" w:color="auto" w:fill="DEEAF6"/>
          </w:tcPr>
          <w:p>
            <w:pPr/>
          </w:p>
        </w:tc>
        <w:tc>
          <w:tcPr>
            <w:tcW w:w="695" w:type="dxa"/>
            <w:vMerge/>
            <w:tcBorders>
              <w:left w:val="nil" w:sz="6" w:space="0" w:color="auto"/>
              <w:right w:val="nil" w:sz="6" w:space="0" w:color="auto"/>
            </w:tcBorders>
            <w:shd w:val="clear" w:color="auto" w:fill="DEEAF6"/>
          </w:tcPr>
          <w:p>
            <w:pPr/>
          </w:p>
        </w:tc>
        <w:tc>
          <w:tcPr>
            <w:tcW w:w="1020" w:type="dxa"/>
            <w:vMerge/>
            <w:tcBorders>
              <w:left w:val="nil" w:sz="6" w:space="0" w:color="auto"/>
              <w:bottom w:val="nil" w:sz="6" w:space="0" w:color="auto"/>
              <w:right w:val="nil" w:sz="6" w:space="0" w:color="auto"/>
            </w:tcBorders>
            <w:shd w:val="clear" w:color="auto" w:fill="DEEAF6"/>
          </w:tcPr>
          <w:p>
            <w:pPr/>
          </w:p>
        </w:tc>
        <w:tc>
          <w:tcPr>
            <w:tcW w:w="2377" w:type="dxa"/>
            <w:vMerge w:val="restart"/>
            <w:tcBorders>
              <w:top w:val="nil" w:sz="6" w:space="0" w:color="auto"/>
              <w:left w:val="nil" w:sz="6" w:space="0" w:color="auto"/>
              <w:right w:val="nil" w:sz="6" w:space="0" w:color="auto"/>
            </w:tcBorders>
            <w:shd w:val="clear" w:color="auto" w:fill="DEEAF6"/>
          </w:tcPr>
          <w:p>
            <w:pPr/>
          </w:p>
        </w:tc>
      </w:tr>
      <w:tr>
        <w:trPr>
          <w:trHeight w:val="156" w:hRule="exact"/>
        </w:trPr>
        <w:tc>
          <w:tcPr>
            <w:tcW w:w="837" w:type="dxa"/>
            <w:vMerge/>
            <w:tcBorders>
              <w:left w:val="nil" w:sz="6" w:space="0" w:color="auto"/>
              <w:right w:val="nil" w:sz="6" w:space="0" w:color="auto"/>
            </w:tcBorders>
            <w:shd w:val="clear" w:color="auto" w:fill="DEEAF6"/>
          </w:tcPr>
          <w:p>
            <w:pPr/>
          </w:p>
        </w:tc>
        <w:tc>
          <w:tcPr>
            <w:tcW w:w="618" w:type="dxa"/>
            <w:vMerge w:val="restart"/>
            <w:tcBorders>
              <w:top w:val="nil" w:sz="6" w:space="0" w:color="auto"/>
              <w:left w:val="nil" w:sz="6" w:space="0" w:color="auto"/>
              <w:right w:val="nil" w:sz="6" w:space="0" w:color="auto"/>
            </w:tcBorders>
            <w:shd w:val="clear" w:color="auto" w:fill="DEEAF6"/>
          </w:tcPr>
          <w:p>
            <w:pPr/>
          </w:p>
        </w:tc>
        <w:tc>
          <w:tcPr>
            <w:tcW w:w="729" w:type="dxa"/>
            <w:vMerge/>
            <w:tcBorders>
              <w:left w:val="nil" w:sz="6" w:space="0" w:color="auto"/>
              <w:bottom w:val="nil" w:sz="6" w:space="0" w:color="auto"/>
              <w:right w:val="nil" w:sz="6" w:space="0" w:color="auto"/>
            </w:tcBorders>
            <w:shd w:val="clear" w:color="auto" w:fill="DEEAF6"/>
          </w:tcPr>
          <w:p>
            <w:pPr/>
          </w:p>
        </w:tc>
        <w:tc>
          <w:tcPr>
            <w:tcW w:w="743" w:type="dxa"/>
            <w:vMerge/>
            <w:tcBorders>
              <w:left w:val="nil" w:sz="6" w:space="0" w:color="auto"/>
              <w:bottom w:val="nil" w:sz="6" w:space="0" w:color="auto"/>
              <w:right w:val="nil" w:sz="6" w:space="0" w:color="auto"/>
            </w:tcBorders>
            <w:shd w:val="clear" w:color="auto" w:fill="DEEAF6"/>
          </w:tcPr>
          <w:p>
            <w:pPr/>
          </w:p>
        </w:tc>
        <w:tc>
          <w:tcPr>
            <w:tcW w:w="1582" w:type="dxa"/>
            <w:vMerge/>
            <w:tcBorders>
              <w:left w:val="nil" w:sz="6" w:space="0" w:color="auto"/>
              <w:right w:val="nil" w:sz="6" w:space="0" w:color="auto"/>
            </w:tcBorders>
            <w:shd w:val="clear" w:color="auto" w:fill="DEEAF6"/>
          </w:tcPr>
          <w:p>
            <w:pPr/>
          </w:p>
        </w:tc>
        <w:tc>
          <w:tcPr>
            <w:tcW w:w="2821" w:type="dxa"/>
            <w:gridSpan w:val="3"/>
            <w:vMerge w:val="restart"/>
            <w:tcBorders>
              <w:top w:val="nil" w:sz="6" w:space="0" w:color="auto"/>
              <w:left w:val="nil" w:sz="6" w:space="0" w:color="auto"/>
              <w:right w:val="nil" w:sz="6" w:space="0" w:color="auto"/>
            </w:tcBorders>
            <w:shd w:val="clear" w:color="auto" w:fill="DEEAF6"/>
          </w:tcPr>
          <w:p>
            <w:pPr/>
          </w:p>
        </w:tc>
        <w:tc>
          <w:tcPr>
            <w:tcW w:w="1148" w:type="dxa"/>
            <w:vMerge/>
            <w:tcBorders>
              <w:left w:val="nil" w:sz="6" w:space="0" w:color="auto"/>
              <w:right w:val="nil" w:sz="6" w:space="0" w:color="auto"/>
            </w:tcBorders>
            <w:shd w:val="clear" w:color="auto" w:fill="DEEAF6"/>
          </w:tcPr>
          <w:p>
            <w:pPr/>
          </w:p>
        </w:tc>
        <w:tc>
          <w:tcPr>
            <w:tcW w:w="1120" w:type="dxa"/>
            <w:vMerge/>
            <w:tcBorders>
              <w:left w:val="nil" w:sz="6" w:space="0" w:color="auto"/>
              <w:bottom w:val="nil" w:sz="6" w:space="0" w:color="auto"/>
              <w:right w:val="nil" w:sz="6" w:space="0" w:color="auto"/>
            </w:tcBorders>
            <w:shd w:val="clear" w:color="auto" w:fill="DEEAF6"/>
          </w:tcPr>
          <w:p>
            <w:pPr/>
          </w:p>
        </w:tc>
        <w:tc>
          <w:tcPr>
            <w:tcW w:w="695" w:type="dxa"/>
            <w:vMerge/>
            <w:tcBorders>
              <w:left w:val="nil" w:sz="6" w:space="0" w:color="auto"/>
              <w:right w:val="nil" w:sz="6" w:space="0" w:color="auto"/>
            </w:tcBorders>
            <w:shd w:val="clear" w:color="auto" w:fill="DEEAF6"/>
          </w:tcPr>
          <w:p>
            <w:pPr/>
          </w:p>
        </w:tc>
        <w:tc>
          <w:tcPr>
            <w:tcW w:w="1020" w:type="dxa"/>
            <w:vMerge w:val="restart"/>
            <w:tcBorders>
              <w:top w:val="nil" w:sz="6" w:space="0" w:color="auto"/>
              <w:left w:val="nil" w:sz="6" w:space="0" w:color="auto"/>
              <w:right w:val="nil" w:sz="6" w:space="0" w:color="auto"/>
            </w:tcBorders>
            <w:shd w:val="clear" w:color="auto" w:fill="DEEAF6"/>
          </w:tcPr>
          <w:p>
            <w:pPr/>
          </w:p>
        </w:tc>
        <w:tc>
          <w:tcPr>
            <w:tcW w:w="2377" w:type="dxa"/>
            <w:vMerge/>
            <w:tcBorders>
              <w:left w:val="nil" w:sz="6" w:space="0" w:color="auto"/>
              <w:right w:val="nil" w:sz="6" w:space="0" w:color="auto"/>
            </w:tcBorders>
            <w:shd w:val="clear" w:color="auto" w:fill="DEEAF6"/>
          </w:tcPr>
          <w:p>
            <w:pPr/>
          </w:p>
        </w:tc>
      </w:tr>
      <w:tr>
        <w:trPr>
          <w:trHeight w:val="317" w:hRule="exact"/>
        </w:trPr>
        <w:tc>
          <w:tcPr>
            <w:tcW w:w="837" w:type="dxa"/>
            <w:vMerge/>
            <w:tcBorders>
              <w:left w:val="nil" w:sz="6" w:space="0" w:color="auto"/>
              <w:bottom w:val="single" w:sz="4" w:space="0" w:color="5B9BD4"/>
              <w:right w:val="nil" w:sz="6" w:space="0" w:color="auto"/>
            </w:tcBorders>
            <w:shd w:val="clear" w:color="auto" w:fill="DEEAF6"/>
          </w:tcPr>
          <w:p>
            <w:pPr/>
          </w:p>
        </w:tc>
        <w:tc>
          <w:tcPr>
            <w:tcW w:w="618" w:type="dxa"/>
            <w:vMerge/>
            <w:tcBorders>
              <w:left w:val="nil" w:sz="6" w:space="0" w:color="auto"/>
              <w:bottom w:val="single" w:sz="4" w:space="0" w:color="5B9BD4"/>
              <w:right w:val="nil" w:sz="6" w:space="0" w:color="auto"/>
            </w:tcBorders>
            <w:shd w:val="clear" w:color="auto" w:fill="DEEAF6"/>
          </w:tcPr>
          <w:p>
            <w:pPr/>
          </w:p>
        </w:tc>
        <w:tc>
          <w:tcPr>
            <w:tcW w:w="1472" w:type="dxa"/>
            <w:gridSpan w:val="2"/>
            <w:tcBorders>
              <w:top w:val="nil" w:sz="6" w:space="0" w:color="auto"/>
              <w:left w:val="nil" w:sz="6" w:space="0" w:color="auto"/>
              <w:bottom w:val="single" w:sz="4" w:space="0" w:color="5B9BD4"/>
              <w:right w:val="nil" w:sz="6" w:space="0" w:color="auto"/>
            </w:tcBorders>
            <w:shd w:val="clear" w:color="auto" w:fill="DEEAF6"/>
          </w:tcPr>
          <w:p>
            <w:pPr/>
          </w:p>
        </w:tc>
        <w:tc>
          <w:tcPr>
            <w:tcW w:w="1582" w:type="dxa"/>
            <w:vMerge/>
            <w:tcBorders>
              <w:left w:val="nil" w:sz="6" w:space="0" w:color="auto"/>
              <w:bottom w:val="single" w:sz="4" w:space="0" w:color="5B9BD4"/>
              <w:right w:val="nil" w:sz="6" w:space="0" w:color="auto"/>
            </w:tcBorders>
            <w:shd w:val="clear" w:color="auto" w:fill="DEEAF6"/>
          </w:tcPr>
          <w:p>
            <w:pPr/>
          </w:p>
        </w:tc>
        <w:tc>
          <w:tcPr>
            <w:tcW w:w="2821" w:type="dxa"/>
            <w:gridSpan w:val="3"/>
            <w:vMerge/>
            <w:tcBorders>
              <w:left w:val="nil" w:sz="6" w:space="0" w:color="auto"/>
              <w:bottom w:val="single" w:sz="4" w:space="0" w:color="5B9BD4"/>
              <w:right w:val="nil" w:sz="6" w:space="0" w:color="auto"/>
            </w:tcBorders>
            <w:shd w:val="clear" w:color="auto" w:fill="DEEAF6"/>
          </w:tcPr>
          <w:p>
            <w:pPr/>
          </w:p>
        </w:tc>
        <w:tc>
          <w:tcPr>
            <w:tcW w:w="1148" w:type="dxa"/>
            <w:vMerge/>
            <w:tcBorders>
              <w:left w:val="nil" w:sz="6" w:space="0" w:color="auto"/>
              <w:bottom w:val="single" w:sz="4" w:space="0" w:color="5B9BD4"/>
              <w:right w:val="nil" w:sz="6" w:space="0" w:color="auto"/>
            </w:tcBorders>
            <w:shd w:val="clear" w:color="auto" w:fill="DEEAF6"/>
          </w:tcPr>
          <w:p>
            <w:pPr/>
          </w:p>
        </w:tc>
        <w:tc>
          <w:tcPr>
            <w:tcW w:w="1120" w:type="dxa"/>
            <w:tcBorders>
              <w:top w:val="nil" w:sz="6" w:space="0" w:color="auto"/>
              <w:left w:val="nil" w:sz="6" w:space="0" w:color="auto"/>
              <w:bottom w:val="single" w:sz="4" w:space="0" w:color="5B9BD4"/>
              <w:right w:val="nil" w:sz="6" w:space="0" w:color="auto"/>
            </w:tcBorders>
            <w:shd w:val="clear" w:color="auto" w:fill="DEEAF6"/>
          </w:tcPr>
          <w:p>
            <w:pPr/>
          </w:p>
        </w:tc>
        <w:tc>
          <w:tcPr>
            <w:tcW w:w="695" w:type="dxa"/>
            <w:vMerge/>
            <w:tcBorders>
              <w:left w:val="nil" w:sz="6" w:space="0" w:color="auto"/>
              <w:bottom w:val="single" w:sz="4" w:space="0" w:color="5B9BD4"/>
              <w:right w:val="nil" w:sz="6" w:space="0" w:color="auto"/>
            </w:tcBorders>
            <w:shd w:val="clear" w:color="auto" w:fill="DEEAF6"/>
          </w:tcPr>
          <w:p>
            <w:pPr/>
          </w:p>
        </w:tc>
        <w:tc>
          <w:tcPr>
            <w:tcW w:w="1020" w:type="dxa"/>
            <w:vMerge/>
            <w:tcBorders>
              <w:left w:val="nil" w:sz="6" w:space="0" w:color="auto"/>
              <w:bottom w:val="single" w:sz="4" w:space="0" w:color="5B9BD4"/>
              <w:right w:val="nil" w:sz="6" w:space="0" w:color="auto"/>
            </w:tcBorders>
            <w:shd w:val="clear" w:color="auto" w:fill="DEEAF6"/>
          </w:tcPr>
          <w:p>
            <w:pPr/>
          </w:p>
        </w:tc>
        <w:tc>
          <w:tcPr>
            <w:tcW w:w="2377" w:type="dxa"/>
            <w:vMerge/>
            <w:tcBorders>
              <w:left w:val="nil" w:sz="6" w:space="0" w:color="auto"/>
              <w:bottom w:val="single" w:sz="4" w:space="0" w:color="5B9BD4"/>
              <w:right w:val="nil" w:sz="6" w:space="0" w:color="auto"/>
            </w:tcBorders>
            <w:shd w:val="clear" w:color="auto" w:fill="DEEAF6"/>
          </w:tcPr>
          <w:p>
            <w:pPr/>
          </w:p>
        </w:tc>
      </w:tr>
      <w:tr>
        <w:trPr>
          <w:trHeight w:val="161" w:hRule="exact"/>
        </w:trPr>
        <w:tc>
          <w:tcPr>
            <w:tcW w:w="837" w:type="dxa"/>
            <w:tcBorders>
              <w:top w:val="single" w:sz="4" w:space="0" w:color="5B9BD4"/>
              <w:left w:val="nil" w:sz="6" w:space="0" w:color="auto"/>
              <w:bottom w:val="nil" w:sz="6" w:space="0" w:color="auto"/>
              <w:right w:val="nil" w:sz="6" w:space="0" w:color="auto"/>
            </w:tcBorders>
            <w:shd w:val="clear" w:color="auto" w:fill="DEEAF6"/>
          </w:tcPr>
          <w:p>
            <w:pPr/>
          </w:p>
        </w:tc>
        <w:tc>
          <w:tcPr>
            <w:tcW w:w="618"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9" w:type="dxa"/>
            <w:vMerge w:val="restart"/>
            <w:tcBorders>
              <w:top w:val="single" w:sz="4" w:space="0" w:color="5B9BD4"/>
              <w:left w:val="nil" w:sz="6" w:space="0" w:color="auto"/>
              <w:right w:val="nil" w:sz="6" w:space="0" w:color="auto"/>
            </w:tcBorders>
            <w:shd w:val="clear" w:color="auto" w:fill="DEEAF6"/>
          </w:tcPr>
          <w:p>
            <w:pPr/>
          </w:p>
        </w:tc>
        <w:tc>
          <w:tcPr>
            <w:tcW w:w="743"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582" w:type="dxa"/>
            <w:vMerge w:val="restart"/>
            <w:tcBorders>
              <w:top w:val="single" w:sz="4" w:space="0" w:color="5B9BD4"/>
              <w:left w:val="nil" w:sz="6" w:space="0" w:color="auto"/>
              <w:right w:val="nil" w:sz="6" w:space="0" w:color="auto"/>
            </w:tcBorders>
            <w:shd w:val="clear" w:color="auto" w:fill="DEEAF6"/>
          </w:tcPr>
          <w:p>
            <w:pPr/>
          </w:p>
        </w:tc>
        <w:tc>
          <w:tcPr>
            <w:tcW w:w="1411"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71" w:right="0"/>
              <w:jc w:val="left"/>
              <w:rPr>
                <w:rFonts w:ascii="Arial" w:hAnsi="Arial" w:cs="Arial" w:eastAsia="Arial" w:hint="default"/>
                <w:sz w:val="18"/>
                <w:szCs w:val="18"/>
              </w:rPr>
            </w:pPr>
            <w:r>
              <w:rPr>
                <w:rFonts w:ascii="Arial"/>
                <w:sz w:val="18"/>
              </w:rPr>
              <w:t>251,334,000.00</w:t>
            </w:r>
          </w:p>
        </w:tc>
        <w:tc>
          <w:tcPr>
            <w:tcW w:w="695" w:type="dxa"/>
            <w:vMerge w:val="restart"/>
            <w:tcBorders>
              <w:top w:val="single" w:sz="4" w:space="0" w:color="5B9BD4"/>
              <w:left w:val="nil" w:sz="6" w:space="0" w:color="auto"/>
              <w:right w:val="nil" w:sz="6" w:space="0" w:color="auto"/>
            </w:tcBorders>
            <w:shd w:val="clear" w:color="auto" w:fill="DEEAF6"/>
          </w:tcPr>
          <w:p>
            <w:pPr/>
          </w:p>
        </w:tc>
        <w:tc>
          <w:tcPr>
            <w:tcW w:w="715"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 w:right="0"/>
              <w:jc w:val="center"/>
              <w:rPr>
                <w:rFonts w:ascii="Arial" w:hAnsi="Arial" w:cs="Arial" w:eastAsia="Arial" w:hint="default"/>
                <w:sz w:val="18"/>
                <w:szCs w:val="18"/>
              </w:rPr>
            </w:pPr>
            <w:r>
              <w:rPr>
                <w:rFonts w:ascii="Arial"/>
                <w:sz w:val="18"/>
              </w:rPr>
              <w:t>100.00</w:t>
            </w:r>
          </w:p>
          <w:p>
            <w:pPr>
              <w:pStyle w:val="TableParagraph"/>
              <w:spacing w:line="240" w:lineRule="auto" w:before="105"/>
              <w:ind w:left="4" w:right="0"/>
              <w:jc w:val="center"/>
              <w:rPr>
                <w:rFonts w:ascii="Arial" w:hAnsi="Arial" w:cs="Arial" w:eastAsia="Arial" w:hint="default"/>
                <w:sz w:val="18"/>
                <w:szCs w:val="18"/>
              </w:rPr>
            </w:pPr>
            <w:r>
              <w:rPr>
                <w:rFonts w:ascii="Arial"/>
                <w:w w:val="87"/>
                <w:sz w:val="18"/>
              </w:rPr>
              <w:t>%</w:t>
            </w:r>
            <w:r>
              <w:rPr>
                <w:rFonts w:ascii="Arial"/>
                <w:sz w:val="18"/>
              </w:rPr>
            </w:r>
          </w:p>
        </w:tc>
        <w:tc>
          <w:tcPr>
            <w:tcW w:w="1148" w:type="dxa"/>
            <w:vMerge w:val="restart"/>
            <w:tcBorders>
              <w:top w:val="single" w:sz="4" w:space="0" w:color="5B9BD4"/>
              <w:left w:val="nil" w:sz="6" w:space="0" w:color="auto"/>
              <w:right w:val="nil" w:sz="6" w:space="0" w:color="auto"/>
            </w:tcBorders>
            <w:shd w:val="clear" w:color="auto" w:fill="DEEAF6"/>
          </w:tcPr>
          <w:p>
            <w:pPr/>
          </w:p>
        </w:tc>
        <w:tc>
          <w:tcPr>
            <w:tcW w:w="1120"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0" w:right="0"/>
              <w:jc w:val="left"/>
              <w:rPr>
                <w:rFonts w:ascii="Arial" w:hAnsi="Arial" w:cs="Arial" w:eastAsia="Arial" w:hint="default"/>
                <w:sz w:val="18"/>
                <w:szCs w:val="18"/>
              </w:rPr>
            </w:pPr>
            <w:r>
              <w:rPr>
                <w:rFonts w:ascii="Arial"/>
                <w:sz w:val="18"/>
              </w:rPr>
              <w:t>7,982,258.50</w:t>
            </w:r>
          </w:p>
        </w:tc>
        <w:tc>
          <w:tcPr>
            <w:tcW w:w="695" w:type="dxa"/>
            <w:vMerge w:val="restart"/>
            <w:tcBorders>
              <w:top w:val="single" w:sz="4" w:space="0" w:color="5B9BD4"/>
              <w:left w:val="nil" w:sz="6" w:space="0" w:color="auto"/>
              <w:right w:val="nil" w:sz="6" w:space="0" w:color="auto"/>
            </w:tcBorders>
            <w:shd w:val="clear" w:color="auto" w:fill="DEEAF6"/>
          </w:tcPr>
          <w:p>
            <w:pPr/>
          </w:p>
        </w:tc>
        <w:tc>
          <w:tcPr>
            <w:tcW w:w="1020" w:type="dxa"/>
            <w:vMerge w:val="restart"/>
            <w:tcBorders>
              <w:top w:val="single" w:sz="4" w:space="0" w:color="5B9BD4"/>
              <w:left w:val="nil" w:sz="6" w:space="0" w:color="auto"/>
              <w:right w:val="single" w:sz="11" w:space="0" w:color="DEEAF6"/>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2" w:right="0"/>
              <w:jc w:val="center"/>
              <w:rPr>
                <w:rFonts w:ascii="Arial" w:hAnsi="Arial" w:cs="Arial" w:eastAsia="Arial" w:hint="default"/>
                <w:sz w:val="18"/>
                <w:szCs w:val="18"/>
              </w:rPr>
            </w:pPr>
            <w:r>
              <w:rPr>
                <w:rFonts w:ascii="Arial" w:hAnsi="Arial" w:cs="Arial" w:eastAsia="Arial" w:hint="default"/>
                <w:sz w:val="18"/>
                <w:szCs w:val="18"/>
              </w:rPr>
              <w:t>2015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Arial" w:hAnsi="Arial" w:cs="Arial" w:eastAsia="Arial" w:hint="default"/>
                <w:sz w:val="18"/>
                <w:szCs w:val="18"/>
              </w:rPr>
              <w:t>05</w:t>
            </w:r>
          </w:p>
          <w:p>
            <w:pPr>
              <w:pStyle w:val="TableParagraph"/>
              <w:spacing w:line="240" w:lineRule="auto" w:before="63"/>
              <w:ind w:left="10"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2377"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7"/>
              <w:ind w:left="17" w:right="17"/>
              <w:jc w:val="center"/>
              <w:rPr>
                <w:rFonts w:ascii="宋体" w:hAnsi="宋体" w:cs="宋体" w:eastAsia="宋体" w:hint="default"/>
                <w:sz w:val="18"/>
                <w:szCs w:val="18"/>
              </w:rPr>
            </w:pPr>
            <w:r>
              <w:rPr>
                <w:rFonts w:ascii="宋体" w:hAnsi="宋体" w:cs="宋体" w:eastAsia="宋体" w:hint="default"/>
                <w:sz w:val="18"/>
                <w:szCs w:val="18"/>
              </w:rPr>
              <w:t>《关于全资子公司爱施德（香 港）有限公司认购中国信贷控 股有限公司可转换债的公告》</w:t>
            </w:r>
          </w:p>
          <w:p>
            <w:pPr>
              <w:pStyle w:val="TableParagraph"/>
              <w:spacing w:line="240" w:lineRule="auto" w:before="61"/>
              <w:ind w:right="0"/>
              <w:jc w:val="center"/>
              <w:rPr>
                <w:rFonts w:ascii="Arial" w:hAnsi="Arial" w:cs="Arial" w:eastAsia="Arial" w:hint="default"/>
                <w:sz w:val="18"/>
                <w:szCs w:val="18"/>
              </w:rPr>
            </w:pPr>
            <w:hyperlink r:id="rId35">
              <w:r>
                <w:rPr>
                  <w:rFonts w:ascii="Arial"/>
                  <w:w w:val="115"/>
                  <w:sz w:val="18"/>
                </w:rPr>
                <w:t>www.cninfo.com</w:t>
              </w:r>
              <w:r>
                <w:rPr>
                  <w:rFonts w:ascii="Arial"/>
                  <w:sz w:val="18"/>
                </w:rPr>
              </w:r>
            </w:hyperlink>
          </w:p>
        </w:tc>
      </w:tr>
      <w:tr>
        <w:trPr>
          <w:trHeight w:val="156" w:hRule="exact"/>
        </w:trPr>
        <w:tc>
          <w:tcPr>
            <w:tcW w:w="837"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7"/>
              <w:ind w:left="50" w:right="65"/>
              <w:jc w:val="center"/>
              <w:rPr>
                <w:rFonts w:ascii="宋体" w:hAnsi="宋体" w:cs="宋体" w:eastAsia="宋体" w:hint="default"/>
                <w:sz w:val="18"/>
                <w:szCs w:val="18"/>
              </w:rPr>
            </w:pPr>
            <w:r>
              <w:rPr>
                <w:rFonts w:ascii="宋体" w:hAnsi="宋体" w:cs="宋体" w:eastAsia="宋体" w:hint="default"/>
                <w:sz w:val="18"/>
                <w:szCs w:val="18"/>
              </w:rPr>
              <w:t>中国信贷 控股有限 公司</w:t>
            </w:r>
          </w:p>
        </w:tc>
        <w:tc>
          <w:tcPr>
            <w:tcW w:w="618" w:type="dxa"/>
            <w:vMerge/>
            <w:tcBorders>
              <w:left w:val="nil" w:sz="6" w:space="0" w:color="auto"/>
              <w:right w:val="nil" w:sz="6" w:space="0" w:color="auto"/>
            </w:tcBorders>
          </w:tcPr>
          <w:p>
            <w:pPr/>
          </w:p>
        </w:tc>
        <w:tc>
          <w:tcPr>
            <w:tcW w:w="729" w:type="dxa"/>
            <w:vMerge/>
            <w:tcBorders>
              <w:left w:val="nil" w:sz="6" w:space="0" w:color="auto"/>
              <w:right w:val="nil" w:sz="6" w:space="0" w:color="auto"/>
            </w:tcBorders>
            <w:shd w:val="clear" w:color="auto" w:fill="DEEAF6"/>
          </w:tcPr>
          <w:p>
            <w:pPr/>
          </w:p>
        </w:tc>
        <w:tc>
          <w:tcPr>
            <w:tcW w:w="743" w:type="dxa"/>
            <w:vMerge/>
            <w:tcBorders>
              <w:left w:val="nil" w:sz="6" w:space="0" w:color="auto"/>
              <w:right w:val="nil" w:sz="6" w:space="0" w:color="auto"/>
            </w:tcBorders>
          </w:tcPr>
          <w:p>
            <w:pPr/>
          </w:p>
        </w:tc>
        <w:tc>
          <w:tcPr>
            <w:tcW w:w="1582" w:type="dxa"/>
            <w:vMerge/>
            <w:tcBorders>
              <w:left w:val="nil" w:sz="6" w:space="0" w:color="auto"/>
              <w:right w:val="nil" w:sz="6" w:space="0" w:color="auto"/>
            </w:tcBorders>
            <w:shd w:val="clear" w:color="auto" w:fill="DEEAF6"/>
          </w:tcPr>
          <w:p>
            <w:pPr/>
          </w:p>
        </w:tc>
        <w:tc>
          <w:tcPr>
            <w:tcW w:w="1411" w:type="dxa"/>
            <w:vMerge/>
            <w:tcBorders>
              <w:left w:val="nil" w:sz="6" w:space="0" w:color="auto"/>
              <w:right w:val="nil" w:sz="6" w:space="0" w:color="auto"/>
            </w:tcBorders>
          </w:tcPr>
          <w:p>
            <w:pPr/>
          </w:p>
        </w:tc>
        <w:tc>
          <w:tcPr>
            <w:tcW w:w="695" w:type="dxa"/>
            <w:vMerge/>
            <w:tcBorders>
              <w:left w:val="nil" w:sz="6" w:space="0" w:color="auto"/>
              <w:bottom w:val="nil" w:sz="6" w:space="0" w:color="auto"/>
              <w:right w:val="nil" w:sz="6" w:space="0" w:color="auto"/>
            </w:tcBorders>
            <w:shd w:val="clear" w:color="auto" w:fill="DEEAF6"/>
          </w:tcPr>
          <w:p>
            <w:pPr/>
          </w:p>
        </w:tc>
        <w:tc>
          <w:tcPr>
            <w:tcW w:w="715" w:type="dxa"/>
            <w:vMerge/>
            <w:tcBorders>
              <w:left w:val="nil" w:sz="6" w:space="0" w:color="auto"/>
              <w:right w:val="nil" w:sz="6" w:space="0" w:color="auto"/>
            </w:tcBorders>
          </w:tcPr>
          <w:p>
            <w:pPr/>
          </w:p>
        </w:tc>
        <w:tc>
          <w:tcPr>
            <w:tcW w:w="1148" w:type="dxa"/>
            <w:vMerge/>
            <w:tcBorders>
              <w:left w:val="nil" w:sz="6" w:space="0" w:color="auto"/>
              <w:right w:val="nil" w:sz="6" w:space="0" w:color="auto"/>
            </w:tcBorders>
            <w:shd w:val="clear" w:color="auto" w:fill="DEEAF6"/>
          </w:tcPr>
          <w:p>
            <w:pPr/>
          </w:p>
        </w:tc>
        <w:tc>
          <w:tcPr>
            <w:tcW w:w="1120" w:type="dxa"/>
            <w:vMerge/>
            <w:tcBorders>
              <w:left w:val="nil" w:sz="6" w:space="0" w:color="auto"/>
              <w:right w:val="nil" w:sz="6" w:space="0" w:color="auto"/>
            </w:tcBorders>
          </w:tcPr>
          <w:p>
            <w:pPr/>
          </w:p>
        </w:tc>
        <w:tc>
          <w:tcPr>
            <w:tcW w:w="695" w:type="dxa"/>
            <w:vMerge/>
            <w:tcBorders>
              <w:left w:val="nil" w:sz="6" w:space="0" w:color="auto"/>
              <w:right w:val="nil" w:sz="6" w:space="0" w:color="auto"/>
            </w:tcBorders>
            <w:shd w:val="clear" w:color="auto" w:fill="DEEAF6"/>
          </w:tcPr>
          <w:p>
            <w:pPr/>
          </w:p>
        </w:tc>
        <w:tc>
          <w:tcPr>
            <w:tcW w:w="1020" w:type="dxa"/>
            <w:vMerge/>
            <w:tcBorders>
              <w:left w:val="nil" w:sz="6" w:space="0" w:color="auto"/>
              <w:right w:val="single" w:sz="11" w:space="0" w:color="DEEAF6"/>
            </w:tcBorders>
          </w:tcPr>
          <w:p>
            <w:pPr/>
          </w:p>
        </w:tc>
        <w:tc>
          <w:tcPr>
            <w:tcW w:w="2377" w:type="dxa"/>
            <w:vMerge/>
            <w:tcBorders>
              <w:left w:val="nil" w:sz="6" w:space="0" w:color="auto"/>
              <w:right w:val="nil" w:sz="6" w:space="0" w:color="auto"/>
            </w:tcBorders>
            <w:shd w:val="clear" w:color="auto" w:fill="DEEAF6"/>
          </w:tcPr>
          <w:p>
            <w:pPr/>
          </w:p>
        </w:tc>
      </w:tr>
      <w:tr>
        <w:trPr>
          <w:trHeight w:val="156" w:hRule="exact"/>
        </w:trPr>
        <w:tc>
          <w:tcPr>
            <w:tcW w:w="837" w:type="dxa"/>
            <w:vMerge/>
            <w:tcBorders>
              <w:left w:val="nil" w:sz="6" w:space="0" w:color="auto"/>
              <w:right w:val="nil" w:sz="6" w:space="0" w:color="auto"/>
            </w:tcBorders>
            <w:shd w:val="clear" w:color="auto" w:fill="DEEAF6"/>
          </w:tcPr>
          <w:p>
            <w:pPr/>
          </w:p>
        </w:tc>
        <w:tc>
          <w:tcPr>
            <w:tcW w:w="618" w:type="dxa"/>
            <w:vMerge/>
            <w:tcBorders>
              <w:left w:val="nil" w:sz="6" w:space="0" w:color="auto"/>
              <w:right w:val="nil" w:sz="6" w:space="0" w:color="auto"/>
            </w:tcBorders>
          </w:tcPr>
          <w:p>
            <w:pPr/>
          </w:p>
        </w:tc>
        <w:tc>
          <w:tcPr>
            <w:tcW w:w="729" w:type="dxa"/>
            <w:vMerge/>
            <w:tcBorders>
              <w:left w:val="nil" w:sz="6" w:space="0" w:color="auto"/>
              <w:bottom w:val="nil" w:sz="6" w:space="0" w:color="auto"/>
              <w:right w:val="nil" w:sz="6" w:space="0" w:color="auto"/>
            </w:tcBorders>
            <w:shd w:val="clear" w:color="auto" w:fill="DEEAF6"/>
          </w:tcPr>
          <w:p>
            <w:pPr/>
          </w:p>
        </w:tc>
        <w:tc>
          <w:tcPr>
            <w:tcW w:w="743" w:type="dxa"/>
            <w:vMerge/>
            <w:tcBorders>
              <w:left w:val="nil" w:sz="6" w:space="0" w:color="auto"/>
              <w:right w:val="nil" w:sz="6" w:space="0" w:color="auto"/>
            </w:tcBorders>
          </w:tcPr>
          <w:p>
            <w:pPr/>
          </w:p>
        </w:tc>
        <w:tc>
          <w:tcPr>
            <w:tcW w:w="1582" w:type="dxa"/>
            <w:vMerge/>
            <w:tcBorders>
              <w:left w:val="nil" w:sz="6" w:space="0" w:color="auto"/>
              <w:bottom w:val="nil" w:sz="6" w:space="0" w:color="auto"/>
              <w:right w:val="nil" w:sz="6" w:space="0" w:color="auto"/>
            </w:tcBorders>
            <w:shd w:val="clear" w:color="auto" w:fill="DEEAF6"/>
          </w:tcPr>
          <w:p>
            <w:pPr/>
          </w:p>
        </w:tc>
        <w:tc>
          <w:tcPr>
            <w:tcW w:w="1411" w:type="dxa"/>
            <w:vMerge/>
            <w:tcBorders>
              <w:left w:val="nil" w:sz="6" w:space="0" w:color="auto"/>
              <w:right w:val="nil" w:sz="6" w:space="0" w:color="auto"/>
            </w:tcBorders>
          </w:tcPr>
          <w:p>
            <w:pPr/>
          </w:p>
        </w:tc>
        <w:tc>
          <w:tcPr>
            <w:tcW w:w="695"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257" w:right="75" w:hanging="180"/>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715" w:type="dxa"/>
            <w:vMerge/>
            <w:tcBorders>
              <w:left w:val="nil" w:sz="6" w:space="0" w:color="auto"/>
              <w:right w:val="nil" w:sz="6" w:space="0" w:color="auto"/>
            </w:tcBorders>
          </w:tcPr>
          <w:p>
            <w:pPr/>
          </w:p>
        </w:tc>
        <w:tc>
          <w:tcPr>
            <w:tcW w:w="1148" w:type="dxa"/>
            <w:vMerge/>
            <w:tcBorders>
              <w:left w:val="nil" w:sz="6" w:space="0" w:color="auto"/>
              <w:bottom w:val="nil" w:sz="6" w:space="0" w:color="auto"/>
              <w:right w:val="nil" w:sz="6" w:space="0" w:color="auto"/>
            </w:tcBorders>
            <w:shd w:val="clear" w:color="auto" w:fill="DEEAF6"/>
          </w:tcPr>
          <w:p>
            <w:pPr/>
          </w:p>
        </w:tc>
        <w:tc>
          <w:tcPr>
            <w:tcW w:w="1120" w:type="dxa"/>
            <w:vMerge/>
            <w:tcBorders>
              <w:left w:val="nil" w:sz="6" w:space="0" w:color="auto"/>
              <w:right w:val="nil" w:sz="6" w:space="0" w:color="auto"/>
            </w:tcBorders>
          </w:tcPr>
          <w:p>
            <w:pPr/>
          </w:p>
        </w:tc>
        <w:tc>
          <w:tcPr>
            <w:tcW w:w="695" w:type="dxa"/>
            <w:vMerge/>
            <w:tcBorders>
              <w:left w:val="nil" w:sz="6" w:space="0" w:color="auto"/>
              <w:bottom w:val="nil" w:sz="6" w:space="0" w:color="auto"/>
              <w:right w:val="nil" w:sz="6" w:space="0" w:color="auto"/>
            </w:tcBorders>
            <w:shd w:val="clear" w:color="auto" w:fill="DEEAF6"/>
          </w:tcPr>
          <w:p>
            <w:pPr/>
          </w:p>
        </w:tc>
        <w:tc>
          <w:tcPr>
            <w:tcW w:w="1020" w:type="dxa"/>
            <w:vMerge/>
            <w:tcBorders>
              <w:left w:val="nil" w:sz="6" w:space="0" w:color="auto"/>
              <w:right w:val="single" w:sz="11" w:space="0" w:color="DEEAF6"/>
            </w:tcBorders>
          </w:tcPr>
          <w:p>
            <w:pPr/>
          </w:p>
        </w:tc>
        <w:tc>
          <w:tcPr>
            <w:tcW w:w="2377" w:type="dxa"/>
            <w:vMerge/>
            <w:tcBorders>
              <w:left w:val="nil" w:sz="6" w:space="0" w:color="auto"/>
              <w:right w:val="nil" w:sz="6" w:space="0" w:color="auto"/>
            </w:tcBorders>
            <w:shd w:val="clear" w:color="auto" w:fill="DEEAF6"/>
          </w:tcPr>
          <w:p>
            <w:pPr/>
          </w:p>
        </w:tc>
      </w:tr>
      <w:tr>
        <w:trPr>
          <w:trHeight w:val="391" w:hRule="exact"/>
        </w:trPr>
        <w:tc>
          <w:tcPr>
            <w:tcW w:w="837" w:type="dxa"/>
            <w:vMerge/>
            <w:tcBorders>
              <w:left w:val="nil" w:sz="6" w:space="0" w:color="auto"/>
              <w:right w:val="nil" w:sz="6" w:space="0" w:color="auto"/>
            </w:tcBorders>
            <w:shd w:val="clear" w:color="auto" w:fill="DEEAF6"/>
          </w:tcPr>
          <w:p>
            <w:pPr/>
          </w:p>
        </w:tc>
        <w:tc>
          <w:tcPr>
            <w:tcW w:w="618" w:type="dxa"/>
            <w:vMerge/>
            <w:tcBorders>
              <w:left w:val="nil" w:sz="6" w:space="0" w:color="auto"/>
              <w:right w:val="nil" w:sz="6" w:space="0" w:color="auto"/>
            </w:tcBorders>
          </w:tcPr>
          <w:p>
            <w:pPr/>
          </w:p>
        </w:tc>
        <w:tc>
          <w:tcPr>
            <w:tcW w:w="729"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right="268"/>
              <w:jc w:val="right"/>
              <w:rPr>
                <w:rFonts w:ascii="宋体" w:hAnsi="宋体" w:cs="宋体" w:eastAsia="宋体" w:hint="default"/>
                <w:sz w:val="18"/>
                <w:szCs w:val="18"/>
              </w:rPr>
            </w:pPr>
            <w:r>
              <w:rPr>
                <w:rFonts w:ascii="宋体" w:hAnsi="宋体" w:cs="宋体" w:eastAsia="宋体" w:hint="default"/>
                <w:sz w:val="18"/>
                <w:szCs w:val="18"/>
              </w:rPr>
              <w:t>否</w:t>
            </w:r>
          </w:p>
        </w:tc>
        <w:tc>
          <w:tcPr>
            <w:tcW w:w="743" w:type="dxa"/>
            <w:vMerge/>
            <w:tcBorders>
              <w:left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left="159" w:right="0"/>
              <w:jc w:val="left"/>
              <w:rPr>
                <w:rFonts w:ascii="Arial" w:hAnsi="Arial" w:cs="Arial" w:eastAsia="Arial" w:hint="default"/>
                <w:sz w:val="18"/>
                <w:szCs w:val="18"/>
              </w:rPr>
            </w:pPr>
            <w:r>
              <w:rPr>
                <w:rFonts w:ascii="Arial"/>
                <w:sz w:val="18"/>
              </w:rPr>
              <w:t>251,334,000.00</w:t>
            </w:r>
          </w:p>
        </w:tc>
        <w:tc>
          <w:tcPr>
            <w:tcW w:w="1411" w:type="dxa"/>
            <w:vMerge/>
            <w:tcBorders>
              <w:left w:val="nil" w:sz="6" w:space="0" w:color="auto"/>
              <w:right w:val="nil" w:sz="6" w:space="0" w:color="auto"/>
            </w:tcBorders>
          </w:tcPr>
          <w:p>
            <w:pPr/>
          </w:p>
        </w:tc>
        <w:tc>
          <w:tcPr>
            <w:tcW w:w="695" w:type="dxa"/>
            <w:vMerge/>
            <w:tcBorders>
              <w:left w:val="nil" w:sz="6" w:space="0" w:color="auto"/>
              <w:right w:val="nil" w:sz="6" w:space="0" w:color="auto"/>
            </w:tcBorders>
            <w:shd w:val="clear" w:color="auto" w:fill="DEEAF6"/>
          </w:tcPr>
          <w:p>
            <w:pPr/>
          </w:p>
        </w:tc>
        <w:tc>
          <w:tcPr>
            <w:tcW w:w="715" w:type="dxa"/>
            <w:vMerge/>
            <w:tcBorders>
              <w:left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12"/>
              <w:jc w:val="center"/>
              <w:rPr>
                <w:rFonts w:ascii="Arial" w:hAnsi="Arial" w:cs="Arial" w:eastAsia="Arial" w:hint="default"/>
                <w:sz w:val="18"/>
                <w:szCs w:val="18"/>
              </w:rPr>
            </w:pPr>
            <w:r>
              <w:rPr>
                <w:rFonts w:ascii="Arial"/>
                <w:sz w:val="18"/>
              </w:rPr>
              <w:t>7,982,258.50</w:t>
            </w:r>
          </w:p>
        </w:tc>
        <w:tc>
          <w:tcPr>
            <w:tcW w:w="1120" w:type="dxa"/>
            <w:vMerge/>
            <w:tcBorders>
              <w:left w:val="nil" w:sz="6" w:space="0" w:color="auto"/>
              <w:right w:val="nil" w:sz="6" w:space="0" w:color="auto"/>
            </w:tcBorders>
          </w:tcPr>
          <w:p>
            <w:pPr/>
          </w:p>
        </w:tc>
        <w:tc>
          <w:tcPr>
            <w:tcW w:w="695"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left="12" w:right="0"/>
              <w:jc w:val="center"/>
              <w:rPr>
                <w:rFonts w:ascii="Arial" w:hAnsi="Arial" w:cs="Arial" w:eastAsia="Arial" w:hint="default"/>
                <w:sz w:val="18"/>
                <w:szCs w:val="18"/>
              </w:rPr>
            </w:pPr>
            <w:r>
              <w:rPr>
                <w:rFonts w:ascii="Arial"/>
                <w:w w:val="157"/>
                <w:sz w:val="18"/>
              </w:rPr>
              <w:t>/</w:t>
            </w:r>
            <w:r>
              <w:rPr>
                <w:rFonts w:ascii="Arial"/>
                <w:sz w:val="18"/>
              </w:rPr>
            </w:r>
          </w:p>
        </w:tc>
        <w:tc>
          <w:tcPr>
            <w:tcW w:w="1020" w:type="dxa"/>
            <w:vMerge/>
            <w:tcBorders>
              <w:left w:val="nil" w:sz="6" w:space="0" w:color="auto"/>
              <w:right w:val="single" w:sz="11" w:space="0" w:color="DEEAF6"/>
            </w:tcBorders>
          </w:tcPr>
          <w:p>
            <w:pPr/>
          </w:p>
        </w:tc>
        <w:tc>
          <w:tcPr>
            <w:tcW w:w="2377" w:type="dxa"/>
            <w:vMerge/>
            <w:tcBorders>
              <w:left w:val="nil" w:sz="6" w:space="0" w:color="auto"/>
              <w:right w:val="nil" w:sz="6" w:space="0" w:color="auto"/>
            </w:tcBorders>
            <w:shd w:val="clear" w:color="auto" w:fill="DEEAF6"/>
          </w:tcPr>
          <w:p>
            <w:pPr/>
          </w:p>
        </w:tc>
      </w:tr>
      <w:tr>
        <w:trPr>
          <w:trHeight w:val="156" w:hRule="exact"/>
        </w:trPr>
        <w:tc>
          <w:tcPr>
            <w:tcW w:w="837" w:type="dxa"/>
            <w:vMerge/>
            <w:tcBorders>
              <w:left w:val="nil" w:sz="6" w:space="0" w:color="auto"/>
              <w:right w:val="nil" w:sz="6" w:space="0" w:color="auto"/>
            </w:tcBorders>
            <w:shd w:val="clear" w:color="auto" w:fill="DEEAF6"/>
          </w:tcPr>
          <w:p>
            <w:pPr/>
          </w:p>
        </w:tc>
        <w:tc>
          <w:tcPr>
            <w:tcW w:w="618" w:type="dxa"/>
            <w:vMerge/>
            <w:tcBorders>
              <w:left w:val="nil" w:sz="6" w:space="0" w:color="auto"/>
              <w:right w:val="nil" w:sz="6" w:space="0" w:color="auto"/>
            </w:tcBorders>
          </w:tcPr>
          <w:p>
            <w:pPr/>
          </w:p>
        </w:tc>
        <w:tc>
          <w:tcPr>
            <w:tcW w:w="729" w:type="dxa"/>
            <w:vMerge w:val="restart"/>
            <w:tcBorders>
              <w:top w:val="nil" w:sz="6" w:space="0" w:color="auto"/>
              <w:left w:val="nil" w:sz="6" w:space="0" w:color="auto"/>
              <w:right w:val="nil" w:sz="6" w:space="0" w:color="auto"/>
            </w:tcBorders>
            <w:shd w:val="clear" w:color="auto" w:fill="DEEAF6"/>
          </w:tcPr>
          <w:p>
            <w:pPr/>
          </w:p>
        </w:tc>
        <w:tc>
          <w:tcPr>
            <w:tcW w:w="743" w:type="dxa"/>
            <w:vMerge/>
            <w:tcBorders>
              <w:left w:val="nil" w:sz="6" w:space="0" w:color="auto"/>
              <w:right w:val="nil" w:sz="6" w:space="0" w:color="auto"/>
            </w:tcBorders>
          </w:tcPr>
          <w:p>
            <w:pPr/>
          </w:p>
        </w:tc>
        <w:tc>
          <w:tcPr>
            <w:tcW w:w="1582" w:type="dxa"/>
            <w:vMerge w:val="restart"/>
            <w:tcBorders>
              <w:top w:val="nil" w:sz="6" w:space="0" w:color="auto"/>
              <w:left w:val="nil" w:sz="6" w:space="0" w:color="auto"/>
              <w:right w:val="nil" w:sz="6" w:space="0" w:color="auto"/>
            </w:tcBorders>
            <w:shd w:val="clear" w:color="auto" w:fill="DEEAF6"/>
          </w:tcPr>
          <w:p>
            <w:pPr/>
          </w:p>
        </w:tc>
        <w:tc>
          <w:tcPr>
            <w:tcW w:w="1411" w:type="dxa"/>
            <w:vMerge/>
            <w:tcBorders>
              <w:left w:val="nil" w:sz="6" w:space="0" w:color="auto"/>
              <w:right w:val="nil" w:sz="6" w:space="0" w:color="auto"/>
            </w:tcBorders>
          </w:tcPr>
          <w:p>
            <w:pPr/>
          </w:p>
        </w:tc>
        <w:tc>
          <w:tcPr>
            <w:tcW w:w="695" w:type="dxa"/>
            <w:vMerge/>
            <w:tcBorders>
              <w:left w:val="nil" w:sz="6" w:space="0" w:color="auto"/>
              <w:bottom w:val="nil" w:sz="6" w:space="0" w:color="auto"/>
              <w:right w:val="nil" w:sz="6" w:space="0" w:color="auto"/>
            </w:tcBorders>
            <w:shd w:val="clear" w:color="auto" w:fill="DEEAF6"/>
          </w:tcPr>
          <w:p>
            <w:pPr/>
          </w:p>
        </w:tc>
        <w:tc>
          <w:tcPr>
            <w:tcW w:w="715" w:type="dxa"/>
            <w:vMerge/>
            <w:tcBorders>
              <w:left w:val="nil" w:sz="6" w:space="0" w:color="auto"/>
              <w:right w:val="nil" w:sz="6" w:space="0" w:color="auto"/>
            </w:tcBorders>
          </w:tcPr>
          <w:p>
            <w:pPr/>
          </w:p>
        </w:tc>
        <w:tc>
          <w:tcPr>
            <w:tcW w:w="1148" w:type="dxa"/>
            <w:vMerge w:val="restart"/>
            <w:tcBorders>
              <w:top w:val="nil" w:sz="6" w:space="0" w:color="auto"/>
              <w:left w:val="nil" w:sz="6" w:space="0" w:color="auto"/>
              <w:right w:val="nil" w:sz="6" w:space="0" w:color="auto"/>
            </w:tcBorders>
            <w:shd w:val="clear" w:color="auto" w:fill="DEEAF6"/>
          </w:tcPr>
          <w:p>
            <w:pPr/>
          </w:p>
        </w:tc>
        <w:tc>
          <w:tcPr>
            <w:tcW w:w="1120" w:type="dxa"/>
            <w:vMerge/>
            <w:tcBorders>
              <w:left w:val="nil" w:sz="6" w:space="0" w:color="auto"/>
              <w:right w:val="nil" w:sz="6" w:space="0" w:color="auto"/>
            </w:tcBorders>
          </w:tcPr>
          <w:p>
            <w:pPr/>
          </w:p>
        </w:tc>
        <w:tc>
          <w:tcPr>
            <w:tcW w:w="695" w:type="dxa"/>
            <w:vMerge w:val="restart"/>
            <w:tcBorders>
              <w:top w:val="nil" w:sz="6" w:space="0" w:color="auto"/>
              <w:left w:val="nil" w:sz="6" w:space="0" w:color="auto"/>
              <w:right w:val="nil" w:sz="6" w:space="0" w:color="auto"/>
            </w:tcBorders>
            <w:shd w:val="clear" w:color="auto" w:fill="DEEAF6"/>
          </w:tcPr>
          <w:p>
            <w:pPr/>
          </w:p>
        </w:tc>
        <w:tc>
          <w:tcPr>
            <w:tcW w:w="1020" w:type="dxa"/>
            <w:vMerge/>
            <w:tcBorders>
              <w:left w:val="nil" w:sz="6" w:space="0" w:color="auto"/>
              <w:right w:val="single" w:sz="11" w:space="0" w:color="DEEAF6"/>
            </w:tcBorders>
          </w:tcPr>
          <w:p>
            <w:pPr/>
          </w:p>
        </w:tc>
        <w:tc>
          <w:tcPr>
            <w:tcW w:w="2377" w:type="dxa"/>
            <w:vMerge/>
            <w:tcBorders>
              <w:left w:val="nil" w:sz="6" w:space="0" w:color="auto"/>
              <w:right w:val="nil" w:sz="6" w:space="0" w:color="auto"/>
            </w:tcBorders>
            <w:shd w:val="clear" w:color="auto" w:fill="DEEAF6"/>
          </w:tcPr>
          <w:p>
            <w:pPr/>
          </w:p>
        </w:tc>
      </w:tr>
      <w:tr>
        <w:trPr>
          <w:trHeight w:val="156" w:hRule="exact"/>
        </w:trPr>
        <w:tc>
          <w:tcPr>
            <w:tcW w:w="837" w:type="dxa"/>
            <w:vMerge/>
            <w:tcBorders>
              <w:left w:val="nil" w:sz="6" w:space="0" w:color="auto"/>
              <w:bottom w:val="nil" w:sz="6" w:space="0" w:color="auto"/>
              <w:right w:val="nil" w:sz="6" w:space="0" w:color="auto"/>
            </w:tcBorders>
            <w:shd w:val="clear" w:color="auto" w:fill="DEEAF6"/>
          </w:tcPr>
          <w:p>
            <w:pPr/>
          </w:p>
        </w:tc>
        <w:tc>
          <w:tcPr>
            <w:tcW w:w="618" w:type="dxa"/>
            <w:vMerge/>
            <w:tcBorders>
              <w:left w:val="nil" w:sz="6" w:space="0" w:color="auto"/>
              <w:right w:val="nil" w:sz="6" w:space="0" w:color="auto"/>
            </w:tcBorders>
          </w:tcPr>
          <w:p>
            <w:pPr/>
          </w:p>
        </w:tc>
        <w:tc>
          <w:tcPr>
            <w:tcW w:w="729" w:type="dxa"/>
            <w:vMerge/>
            <w:tcBorders>
              <w:left w:val="nil" w:sz="6" w:space="0" w:color="auto"/>
              <w:right w:val="nil" w:sz="6" w:space="0" w:color="auto"/>
            </w:tcBorders>
            <w:shd w:val="clear" w:color="auto" w:fill="DEEAF6"/>
          </w:tcPr>
          <w:p>
            <w:pPr/>
          </w:p>
        </w:tc>
        <w:tc>
          <w:tcPr>
            <w:tcW w:w="743" w:type="dxa"/>
            <w:vMerge/>
            <w:tcBorders>
              <w:left w:val="nil" w:sz="6" w:space="0" w:color="auto"/>
              <w:right w:val="nil" w:sz="6" w:space="0" w:color="auto"/>
            </w:tcBorders>
          </w:tcPr>
          <w:p>
            <w:pPr/>
          </w:p>
        </w:tc>
        <w:tc>
          <w:tcPr>
            <w:tcW w:w="1582" w:type="dxa"/>
            <w:vMerge/>
            <w:tcBorders>
              <w:left w:val="nil" w:sz="6" w:space="0" w:color="auto"/>
              <w:right w:val="nil" w:sz="6" w:space="0" w:color="auto"/>
            </w:tcBorders>
            <w:shd w:val="clear" w:color="auto" w:fill="DEEAF6"/>
          </w:tcPr>
          <w:p>
            <w:pPr/>
          </w:p>
        </w:tc>
        <w:tc>
          <w:tcPr>
            <w:tcW w:w="1411" w:type="dxa"/>
            <w:vMerge/>
            <w:tcBorders>
              <w:left w:val="nil" w:sz="6" w:space="0" w:color="auto"/>
              <w:right w:val="nil" w:sz="6" w:space="0" w:color="auto"/>
            </w:tcBorders>
          </w:tcPr>
          <w:p>
            <w:pPr/>
          </w:p>
        </w:tc>
        <w:tc>
          <w:tcPr>
            <w:tcW w:w="695" w:type="dxa"/>
            <w:vMerge w:val="restart"/>
            <w:tcBorders>
              <w:top w:val="nil" w:sz="6" w:space="0" w:color="auto"/>
              <w:left w:val="nil" w:sz="6" w:space="0" w:color="auto"/>
              <w:right w:val="nil" w:sz="6" w:space="0" w:color="auto"/>
            </w:tcBorders>
            <w:shd w:val="clear" w:color="auto" w:fill="DEEAF6"/>
          </w:tcPr>
          <w:p>
            <w:pPr/>
          </w:p>
        </w:tc>
        <w:tc>
          <w:tcPr>
            <w:tcW w:w="715" w:type="dxa"/>
            <w:vMerge/>
            <w:tcBorders>
              <w:left w:val="nil" w:sz="6" w:space="0" w:color="auto"/>
              <w:right w:val="nil" w:sz="6" w:space="0" w:color="auto"/>
            </w:tcBorders>
          </w:tcPr>
          <w:p>
            <w:pPr/>
          </w:p>
        </w:tc>
        <w:tc>
          <w:tcPr>
            <w:tcW w:w="1148" w:type="dxa"/>
            <w:vMerge/>
            <w:tcBorders>
              <w:left w:val="nil" w:sz="6" w:space="0" w:color="auto"/>
              <w:right w:val="nil" w:sz="6" w:space="0" w:color="auto"/>
            </w:tcBorders>
            <w:shd w:val="clear" w:color="auto" w:fill="DEEAF6"/>
          </w:tcPr>
          <w:p>
            <w:pPr/>
          </w:p>
        </w:tc>
        <w:tc>
          <w:tcPr>
            <w:tcW w:w="1120" w:type="dxa"/>
            <w:vMerge/>
            <w:tcBorders>
              <w:left w:val="nil" w:sz="6" w:space="0" w:color="auto"/>
              <w:right w:val="nil" w:sz="6" w:space="0" w:color="auto"/>
            </w:tcBorders>
          </w:tcPr>
          <w:p>
            <w:pPr/>
          </w:p>
        </w:tc>
        <w:tc>
          <w:tcPr>
            <w:tcW w:w="695" w:type="dxa"/>
            <w:vMerge/>
            <w:tcBorders>
              <w:left w:val="nil" w:sz="6" w:space="0" w:color="auto"/>
              <w:right w:val="nil" w:sz="6" w:space="0" w:color="auto"/>
            </w:tcBorders>
            <w:shd w:val="clear" w:color="auto" w:fill="DEEAF6"/>
          </w:tcPr>
          <w:p>
            <w:pPr/>
          </w:p>
        </w:tc>
        <w:tc>
          <w:tcPr>
            <w:tcW w:w="1020" w:type="dxa"/>
            <w:vMerge/>
            <w:tcBorders>
              <w:left w:val="nil" w:sz="6" w:space="0" w:color="auto"/>
              <w:right w:val="single" w:sz="11" w:space="0" w:color="DEEAF6"/>
            </w:tcBorders>
          </w:tcPr>
          <w:p>
            <w:pPr/>
          </w:p>
        </w:tc>
        <w:tc>
          <w:tcPr>
            <w:tcW w:w="2377" w:type="dxa"/>
            <w:vMerge/>
            <w:tcBorders>
              <w:left w:val="nil" w:sz="6" w:space="0" w:color="auto"/>
              <w:right w:val="nil" w:sz="6" w:space="0" w:color="auto"/>
            </w:tcBorders>
            <w:shd w:val="clear" w:color="auto" w:fill="DEEAF6"/>
          </w:tcPr>
          <w:p>
            <w:pPr/>
          </w:p>
        </w:tc>
      </w:tr>
      <w:tr>
        <w:trPr>
          <w:trHeight w:val="161" w:hRule="exact"/>
        </w:trPr>
        <w:tc>
          <w:tcPr>
            <w:tcW w:w="837" w:type="dxa"/>
            <w:tcBorders>
              <w:top w:val="nil" w:sz="6" w:space="0" w:color="auto"/>
              <w:left w:val="nil" w:sz="6" w:space="0" w:color="auto"/>
              <w:bottom w:val="single" w:sz="4" w:space="0" w:color="5B9BD4"/>
              <w:right w:val="nil" w:sz="6" w:space="0" w:color="auto"/>
            </w:tcBorders>
            <w:shd w:val="clear" w:color="auto" w:fill="DEEAF6"/>
          </w:tcPr>
          <w:p>
            <w:pPr/>
          </w:p>
        </w:tc>
        <w:tc>
          <w:tcPr>
            <w:tcW w:w="618" w:type="dxa"/>
            <w:vMerge/>
            <w:tcBorders>
              <w:left w:val="nil" w:sz="6" w:space="0" w:color="auto"/>
              <w:bottom w:val="single" w:sz="4" w:space="0" w:color="5B9BD4"/>
              <w:right w:val="nil" w:sz="6" w:space="0" w:color="auto"/>
            </w:tcBorders>
          </w:tcPr>
          <w:p>
            <w:pPr/>
          </w:p>
        </w:tc>
        <w:tc>
          <w:tcPr>
            <w:tcW w:w="729" w:type="dxa"/>
            <w:vMerge/>
            <w:tcBorders>
              <w:left w:val="nil" w:sz="6" w:space="0" w:color="auto"/>
              <w:bottom w:val="single" w:sz="4" w:space="0" w:color="5B9BD4"/>
              <w:right w:val="nil" w:sz="6" w:space="0" w:color="auto"/>
            </w:tcBorders>
            <w:shd w:val="clear" w:color="auto" w:fill="DEEAF6"/>
          </w:tcPr>
          <w:p>
            <w:pPr/>
          </w:p>
        </w:tc>
        <w:tc>
          <w:tcPr>
            <w:tcW w:w="743" w:type="dxa"/>
            <w:vMerge/>
            <w:tcBorders>
              <w:left w:val="nil" w:sz="6" w:space="0" w:color="auto"/>
              <w:bottom w:val="single" w:sz="4" w:space="0" w:color="5B9BD4"/>
              <w:right w:val="nil" w:sz="6" w:space="0" w:color="auto"/>
            </w:tcBorders>
          </w:tcPr>
          <w:p>
            <w:pPr/>
          </w:p>
        </w:tc>
        <w:tc>
          <w:tcPr>
            <w:tcW w:w="1582" w:type="dxa"/>
            <w:vMerge/>
            <w:tcBorders>
              <w:left w:val="nil" w:sz="6" w:space="0" w:color="auto"/>
              <w:bottom w:val="single" w:sz="4" w:space="0" w:color="5B9BD4"/>
              <w:right w:val="nil" w:sz="6" w:space="0" w:color="auto"/>
            </w:tcBorders>
            <w:shd w:val="clear" w:color="auto" w:fill="DEEAF6"/>
          </w:tcPr>
          <w:p>
            <w:pPr/>
          </w:p>
        </w:tc>
        <w:tc>
          <w:tcPr>
            <w:tcW w:w="1411" w:type="dxa"/>
            <w:vMerge/>
            <w:tcBorders>
              <w:left w:val="nil" w:sz="6" w:space="0" w:color="auto"/>
              <w:bottom w:val="single" w:sz="4" w:space="0" w:color="5B9BD4"/>
              <w:right w:val="nil" w:sz="6" w:space="0" w:color="auto"/>
            </w:tcBorders>
          </w:tcPr>
          <w:p>
            <w:pPr/>
          </w:p>
        </w:tc>
        <w:tc>
          <w:tcPr>
            <w:tcW w:w="695" w:type="dxa"/>
            <w:vMerge/>
            <w:tcBorders>
              <w:left w:val="nil" w:sz="6" w:space="0" w:color="auto"/>
              <w:bottom w:val="single" w:sz="4" w:space="0" w:color="5B9BD4"/>
              <w:right w:val="nil" w:sz="6" w:space="0" w:color="auto"/>
            </w:tcBorders>
            <w:shd w:val="clear" w:color="auto" w:fill="DEEAF6"/>
          </w:tcPr>
          <w:p>
            <w:pPr/>
          </w:p>
        </w:tc>
        <w:tc>
          <w:tcPr>
            <w:tcW w:w="715" w:type="dxa"/>
            <w:vMerge/>
            <w:tcBorders>
              <w:left w:val="nil" w:sz="6" w:space="0" w:color="auto"/>
              <w:bottom w:val="single" w:sz="4" w:space="0" w:color="5B9BD4"/>
              <w:right w:val="nil" w:sz="6" w:space="0" w:color="auto"/>
            </w:tcBorders>
          </w:tcPr>
          <w:p>
            <w:pPr/>
          </w:p>
        </w:tc>
        <w:tc>
          <w:tcPr>
            <w:tcW w:w="1148" w:type="dxa"/>
            <w:vMerge/>
            <w:tcBorders>
              <w:left w:val="nil" w:sz="6" w:space="0" w:color="auto"/>
              <w:bottom w:val="single" w:sz="4" w:space="0" w:color="5B9BD4"/>
              <w:right w:val="nil" w:sz="6" w:space="0" w:color="auto"/>
            </w:tcBorders>
            <w:shd w:val="clear" w:color="auto" w:fill="DEEAF6"/>
          </w:tcPr>
          <w:p>
            <w:pPr/>
          </w:p>
        </w:tc>
        <w:tc>
          <w:tcPr>
            <w:tcW w:w="1120" w:type="dxa"/>
            <w:vMerge/>
            <w:tcBorders>
              <w:left w:val="nil" w:sz="6" w:space="0" w:color="auto"/>
              <w:bottom w:val="single" w:sz="4" w:space="0" w:color="5B9BD4"/>
              <w:right w:val="nil" w:sz="6" w:space="0" w:color="auto"/>
            </w:tcBorders>
          </w:tcPr>
          <w:p>
            <w:pPr/>
          </w:p>
        </w:tc>
        <w:tc>
          <w:tcPr>
            <w:tcW w:w="695" w:type="dxa"/>
            <w:vMerge/>
            <w:tcBorders>
              <w:left w:val="nil" w:sz="6" w:space="0" w:color="auto"/>
              <w:bottom w:val="single" w:sz="4" w:space="0" w:color="5B9BD4"/>
              <w:right w:val="nil" w:sz="6" w:space="0" w:color="auto"/>
            </w:tcBorders>
            <w:shd w:val="clear" w:color="auto" w:fill="DEEAF6"/>
          </w:tcPr>
          <w:p>
            <w:pPr/>
          </w:p>
        </w:tc>
        <w:tc>
          <w:tcPr>
            <w:tcW w:w="1020" w:type="dxa"/>
            <w:vMerge/>
            <w:tcBorders>
              <w:left w:val="nil" w:sz="6" w:space="0" w:color="auto"/>
              <w:bottom w:val="single" w:sz="4" w:space="0" w:color="5B9BD4"/>
              <w:right w:val="single" w:sz="11" w:space="0" w:color="DEEAF6"/>
            </w:tcBorders>
          </w:tcPr>
          <w:p>
            <w:pPr/>
          </w:p>
        </w:tc>
        <w:tc>
          <w:tcPr>
            <w:tcW w:w="2377" w:type="dxa"/>
            <w:vMerge/>
            <w:tcBorders>
              <w:left w:val="nil" w:sz="6" w:space="0" w:color="auto"/>
              <w:bottom w:val="single" w:sz="4" w:space="0" w:color="5B9BD4"/>
              <w:right w:val="nil" w:sz="6" w:space="0" w:color="auto"/>
            </w:tcBorders>
            <w:shd w:val="clear" w:color="auto" w:fill="DEEAF6"/>
          </w:tcPr>
          <w:p>
            <w:pPr/>
          </w:p>
        </w:tc>
      </w:tr>
      <w:tr>
        <w:trPr>
          <w:trHeight w:val="403" w:hRule="exact"/>
        </w:trPr>
        <w:tc>
          <w:tcPr>
            <w:tcW w:w="83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18"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0"/>
              <w:jc w:val="center"/>
              <w:rPr>
                <w:rFonts w:ascii="Arial" w:hAnsi="Arial" w:cs="Arial" w:eastAsia="Arial" w:hint="default"/>
                <w:sz w:val="18"/>
                <w:szCs w:val="18"/>
              </w:rPr>
            </w:pPr>
            <w:r>
              <w:rPr>
                <w:rFonts w:ascii="Arial"/>
                <w:sz w:val="18"/>
              </w:rPr>
              <w:t>--</w:t>
            </w:r>
          </w:p>
        </w:tc>
        <w:tc>
          <w:tcPr>
            <w:tcW w:w="72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98"/>
              <w:jc w:val="right"/>
              <w:rPr>
                <w:rFonts w:ascii="Arial" w:hAnsi="Arial" w:cs="Arial" w:eastAsia="Arial" w:hint="default"/>
                <w:sz w:val="18"/>
                <w:szCs w:val="18"/>
              </w:rPr>
            </w:pPr>
            <w:r>
              <w:rPr>
                <w:rFonts w:ascii="Arial"/>
                <w:w w:val="95"/>
                <w:sz w:val="18"/>
              </w:rPr>
              <w:t>--</w:t>
            </w:r>
            <w:r>
              <w:rPr>
                <w:rFonts w:ascii="Arial"/>
                <w:sz w:val="18"/>
              </w:rPr>
            </w:r>
          </w:p>
        </w:tc>
        <w:tc>
          <w:tcPr>
            <w:tcW w:w="743"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88"/>
              <w:ind w:left="5" w:right="0"/>
              <w:jc w:val="center"/>
              <w:rPr>
                <w:rFonts w:ascii="Arial" w:hAnsi="Arial" w:cs="Arial" w:eastAsia="Arial" w:hint="default"/>
                <w:sz w:val="18"/>
                <w:szCs w:val="18"/>
              </w:rPr>
            </w:pPr>
            <w:r>
              <w:rPr>
                <w:rFonts w:ascii="Arial"/>
                <w:sz w:val="18"/>
              </w:rPr>
              <w:t>--</w:t>
            </w:r>
          </w:p>
        </w:tc>
        <w:tc>
          <w:tcPr>
            <w:tcW w:w="158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40"/>
              <w:jc w:val="right"/>
              <w:rPr>
                <w:rFonts w:ascii="Arial" w:hAnsi="Arial" w:cs="Arial" w:eastAsia="Arial" w:hint="default"/>
                <w:sz w:val="18"/>
                <w:szCs w:val="18"/>
              </w:rPr>
            </w:pPr>
            <w:r>
              <w:rPr>
                <w:rFonts w:ascii="Arial"/>
                <w:w w:val="95"/>
                <w:sz w:val="18"/>
              </w:rPr>
              <w:t>251,334,000.00</w:t>
            </w:r>
            <w:r>
              <w:rPr>
                <w:rFonts w:ascii="Arial"/>
                <w:sz w:val="18"/>
              </w:rPr>
            </w:r>
          </w:p>
        </w:tc>
        <w:tc>
          <w:tcPr>
            <w:tcW w:w="1411" w:type="dxa"/>
            <w:tcBorders>
              <w:top w:val="single" w:sz="4" w:space="0" w:color="5B9BD4"/>
              <w:left w:val="single" w:sz="12" w:space="0" w:color="DEEAF6"/>
              <w:bottom w:val="single" w:sz="4" w:space="0" w:color="5B9BD4"/>
              <w:right w:val="single" w:sz="12" w:space="0" w:color="DEEAF6"/>
            </w:tcBorders>
          </w:tcPr>
          <w:p>
            <w:pPr>
              <w:pStyle w:val="TableParagraph"/>
              <w:spacing w:line="240" w:lineRule="auto" w:before="88"/>
              <w:ind w:left="114" w:right="0"/>
              <w:jc w:val="left"/>
              <w:rPr>
                <w:rFonts w:ascii="Arial" w:hAnsi="Arial" w:cs="Arial" w:eastAsia="Arial" w:hint="default"/>
                <w:sz w:val="18"/>
                <w:szCs w:val="18"/>
              </w:rPr>
            </w:pPr>
            <w:r>
              <w:rPr>
                <w:rFonts w:ascii="Arial"/>
                <w:sz w:val="18"/>
              </w:rPr>
              <w:t>251,334,000.00</w:t>
            </w:r>
          </w:p>
        </w:tc>
        <w:tc>
          <w:tcPr>
            <w:tcW w:w="6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0"/>
              <w:jc w:val="center"/>
              <w:rPr>
                <w:rFonts w:ascii="Arial" w:hAnsi="Arial" w:cs="Arial" w:eastAsia="Arial" w:hint="default"/>
                <w:sz w:val="18"/>
                <w:szCs w:val="18"/>
              </w:rPr>
            </w:pPr>
            <w:r>
              <w:rPr>
                <w:rFonts w:ascii="Arial"/>
                <w:sz w:val="18"/>
              </w:rPr>
              <w:t>--</w:t>
            </w:r>
          </w:p>
        </w:tc>
        <w:tc>
          <w:tcPr>
            <w:tcW w:w="715"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8"/>
              <w:ind w:left="4" w:right="0"/>
              <w:jc w:val="center"/>
              <w:rPr>
                <w:rFonts w:ascii="Arial" w:hAnsi="Arial" w:cs="Arial" w:eastAsia="Arial" w:hint="default"/>
                <w:sz w:val="18"/>
                <w:szCs w:val="18"/>
              </w:rPr>
            </w:pPr>
            <w:r>
              <w:rPr>
                <w:rFonts w:ascii="Arial"/>
                <w:sz w:val="18"/>
              </w:rPr>
              <w:t>--</w:t>
            </w:r>
          </w:p>
        </w:tc>
        <w:tc>
          <w:tcPr>
            <w:tcW w:w="114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left="16" w:right="0"/>
              <w:jc w:val="center"/>
              <w:rPr>
                <w:rFonts w:ascii="Arial" w:hAnsi="Arial" w:cs="Arial" w:eastAsia="Arial" w:hint="default"/>
                <w:sz w:val="18"/>
                <w:szCs w:val="18"/>
              </w:rPr>
            </w:pPr>
            <w:r>
              <w:rPr>
                <w:rFonts w:ascii="Arial"/>
                <w:sz w:val="18"/>
              </w:rPr>
              <w:t>7,982,258.50</w:t>
            </w:r>
          </w:p>
        </w:tc>
        <w:tc>
          <w:tcPr>
            <w:tcW w:w="1120"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8"/>
              <w:ind w:left="31" w:right="0"/>
              <w:jc w:val="left"/>
              <w:rPr>
                <w:rFonts w:ascii="Arial" w:hAnsi="Arial" w:cs="Arial" w:eastAsia="Arial" w:hint="default"/>
                <w:sz w:val="18"/>
                <w:szCs w:val="18"/>
              </w:rPr>
            </w:pPr>
            <w:r>
              <w:rPr>
                <w:rFonts w:ascii="Arial"/>
                <w:sz w:val="18"/>
              </w:rPr>
              <w:t>7,982,258.50</w:t>
            </w:r>
          </w:p>
        </w:tc>
        <w:tc>
          <w:tcPr>
            <w:tcW w:w="6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left="12" w:right="0"/>
              <w:jc w:val="center"/>
              <w:rPr>
                <w:rFonts w:ascii="Arial" w:hAnsi="Arial" w:cs="Arial" w:eastAsia="Arial" w:hint="default"/>
                <w:sz w:val="18"/>
                <w:szCs w:val="18"/>
              </w:rPr>
            </w:pPr>
            <w:r>
              <w:rPr>
                <w:rFonts w:ascii="Arial"/>
                <w:sz w:val="18"/>
              </w:rPr>
              <w:t>--</w:t>
            </w:r>
          </w:p>
        </w:tc>
        <w:tc>
          <w:tcPr>
            <w:tcW w:w="1020"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8"/>
              <w:ind w:right="1"/>
              <w:jc w:val="center"/>
              <w:rPr>
                <w:rFonts w:ascii="Arial" w:hAnsi="Arial" w:cs="Arial" w:eastAsia="Arial" w:hint="default"/>
                <w:sz w:val="18"/>
                <w:szCs w:val="18"/>
              </w:rPr>
            </w:pPr>
            <w:r>
              <w:rPr>
                <w:rFonts w:ascii="Arial"/>
                <w:sz w:val="18"/>
              </w:rPr>
              <w:t>--</w:t>
            </w:r>
          </w:p>
        </w:tc>
        <w:tc>
          <w:tcPr>
            <w:tcW w:w="237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0"/>
              <w:jc w:val="center"/>
              <w:rPr>
                <w:rFonts w:ascii="Arial" w:hAnsi="Arial" w:cs="Arial" w:eastAsia="Arial" w:hint="default"/>
                <w:sz w:val="18"/>
                <w:szCs w:val="18"/>
              </w:rPr>
            </w:pPr>
            <w:r>
              <w:rPr>
                <w:rFonts w:ascii="Arial"/>
                <w:sz w:val="18"/>
              </w:rPr>
              <w:t>--</w:t>
            </w:r>
          </w:p>
        </w:tc>
      </w:tr>
    </w:tbl>
    <w:p>
      <w:pPr>
        <w:spacing w:after="0" w:line="240" w:lineRule="auto"/>
        <w:jc w:val="center"/>
        <w:rPr>
          <w:rFonts w:ascii="Arial" w:hAnsi="Arial" w:cs="Arial" w:eastAsia="Arial" w:hint="default"/>
          <w:sz w:val="18"/>
          <w:szCs w:val="18"/>
        </w:rPr>
        <w:sectPr>
          <w:pgSz w:w="16840" w:h="11910" w:orient="landscape"/>
          <w:pgMar w:header="877" w:footer="979" w:top="1100" w:bottom="1160" w:left="13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92"/>
        <w:ind w:right="0"/>
        <w:jc w:val="left"/>
        <w:rPr>
          <w:b w:val="0"/>
          <w:bCs w:val="0"/>
        </w:rPr>
      </w:pPr>
      <w:bookmarkStart w:name="4.5.4 以公允价值计量的金融资产" w:id="79"/>
      <w:bookmarkEnd w:id="79"/>
      <w:r>
        <w:rPr>
          <w:b w:val="0"/>
          <w:bCs w:val="0"/>
        </w:rPr>
      </w:r>
      <w:r>
        <w:rPr>
          <w:rFonts w:ascii="Trebuchet MS" w:hAnsi="Trebuchet MS" w:cs="Trebuchet MS" w:eastAsia="Trebuchet MS" w:hint="default"/>
        </w:rPr>
        <w:t>4.5.4</w:t>
      </w:r>
      <w:r>
        <w:rPr>
          <w:rFonts w:ascii="Trebuchet MS" w:hAnsi="Trebuchet MS" w:cs="Trebuchet MS" w:eastAsia="Trebuchet MS" w:hint="default"/>
          <w:spacing w:val="-18"/>
        </w:rPr>
        <w:t> </w:t>
      </w:r>
      <w:r>
        <w:rPr/>
        <w:t>以公允价值计量的金融资产</w:t>
      </w:r>
      <w:r>
        <w:rPr>
          <w:b w:val="0"/>
          <w:bCs w:val="0"/>
        </w:rPr>
      </w:r>
    </w:p>
    <w:p>
      <w:pPr>
        <w:spacing w:line="240" w:lineRule="auto" w:before="14"/>
        <w:rPr>
          <w:rFonts w:ascii="Microsoft JhengHei" w:hAnsi="Microsoft JhengHei" w:cs="Microsoft JhengHei" w:eastAsia="Microsoft JhengHei" w:hint="default"/>
          <w:b/>
          <w:bCs/>
          <w:sz w:val="25"/>
          <w:szCs w:val="25"/>
        </w:rPr>
      </w:pPr>
    </w:p>
    <w:p>
      <w:pPr>
        <w:spacing w:before="29"/>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802"/>
        <w:gridCol w:w="1439"/>
        <w:gridCol w:w="1262"/>
        <w:gridCol w:w="1277"/>
        <w:gridCol w:w="1410"/>
        <w:gridCol w:w="866"/>
        <w:gridCol w:w="575"/>
        <w:gridCol w:w="1409"/>
        <w:gridCol w:w="830"/>
      </w:tblGrid>
      <w:tr>
        <w:trPr>
          <w:trHeight w:val="162" w:hRule="exact"/>
        </w:trPr>
        <w:tc>
          <w:tcPr>
            <w:tcW w:w="2241" w:type="dxa"/>
            <w:gridSpan w:val="2"/>
            <w:vMerge w:val="restart"/>
            <w:tcBorders>
              <w:top w:val="single" w:sz="4" w:space="0" w:color="5B9BD4"/>
              <w:left w:val="nil" w:sz="6" w:space="0" w:color="auto"/>
              <w:right w:val="nil" w:sz="6" w:space="0" w:color="auto"/>
            </w:tcBorders>
            <w:shd w:val="clear" w:color="auto" w:fill="DEEAF6"/>
          </w:tcPr>
          <w:p>
            <w:pPr/>
          </w:p>
        </w:tc>
        <w:tc>
          <w:tcPr>
            <w:tcW w:w="1262" w:type="dxa"/>
            <w:tcBorders>
              <w:top w:val="single" w:sz="4" w:space="0" w:color="5B9BD4"/>
              <w:left w:val="nil" w:sz="6" w:space="0" w:color="auto"/>
              <w:bottom w:val="nil" w:sz="6" w:space="0" w:color="auto"/>
              <w:right w:val="nil" w:sz="6" w:space="0" w:color="auto"/>
            </w:tcBorders>
            <w:shd w:val="clear" w:color="auto" w:fill="DEEAF6"/>
          </w:tcPr>
          <w:p>
            <w:pPr/>
          </w:p>
        </w:tc>
        <w:tc>
          <w:tcPr>
            <w:tcW w:w="1277"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7"/>
              <w:ind w:left="97" w:right="97"/>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2850" w:type="dxa"/>
            <w:gridSpan w:val="3"/>
            <w:tcBorders>
              <w:top w:val="single" w:sz="4" w:space="0" w:color="5B9BD4"/>
              <w:left w:val="nil" w:sz="6" w:space="0" w:color="auto"/>
              <w:bottom w:val="nil" w:sz="6" w:space="0" w:color="auto"/>
              <w:right w:val="nil" w:sz="6" w:space="0" w:color="auto"/>
            </w:tcBorders>
            <w:shd w:val="clear" w:color="auto" w:fill="DEEAF6"/>
          </w:tcPr>
          <w:p>
            <w:pPr/>
          </w:p>
        </w:tc>
        <w:tc>
          <w:tcPr>
            <w:tcW w:w="2239" w:type="dxa"/>
            <w:gridSpan w:val="2"/>
            <w:vMerge w:val="restart"/>
            <w:tcBorders>
              <w:top w:val="single" w:sz="4" w:space="0" w:color="5B9BD4"/>
              <w:left w:val="nil" w:sz="6" w:space="0" w:color="auto"/>
              <w:right w:val="nil" w:sz="6" w:space="0" w:color="auto"/>
            </w:tcBorders>
            <w:shd w:val="clear" w:color="auto" w:fill="DEEAF6"/>
          </w:tcPr>
          <w:p>
            <w:pPr/>
          </w:p>
        </w:tc>
      </w:tr>
      <w:tr>
        <w:trPr>
          <w:trHeight w:val="156" w:hRule="exact"/>
        </w:trPr>
        <w:tc>
          <w:tcPr>
            <w:tcW w:w="2241" w:type="dxa"/>
            <w:gridSpan w:val="2"/>
            <w:vMerge/>
            <w:tcBorders>
              <w:left w:val="nil" w:sz="6" w:space="0" w:color="auto"/>
              <w:bottom w:val="nil" w:sz="6" w:space="0" w:color="auto"/>
              <w:right w:val="nil" w:sz="6" w:space="0" w:color="auto"/>
            </w:tcBorders>
            <w:shd w:val="clear" w:color="auto" w:fill="DEEAF6"/>
          </w:tcPr>
          <w:p>
            <w:pPr/>
          </w:p>
        </w:tc>
        <w:tc>
          <w:tcPr>
            <w:tcW w:w="1262"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263" w:right="96"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77" w:type="dxa"/>
            <w:vMerge/>
            <w:tcBorders>
              <w:left w:val="nil" w:sz="6" w:space="0" w:color="auto"/>
              <w:right w:val="nil" w:sz="6" w:space="0" w:color="auto"/>
            </w:tcBorders>
            <w:shd w:val="clear" w:color="auto" w:fill="DEEAF6"/>
          </w:tcPr>
          <w:p>
            <w:pPr/>
          </w:p>
        </w:tc>
        <w:tc>
          <w:tcPr>
            <w:tcW w:w="1410"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618" w:right="69" w:hanging="540"/>
              <w:jc w:val="left"/>
              <w:rPr>
                <w:rFonts w:ascii="宋体" w:hAnsi="宋体" w:cs="宋体" w:eastAsia="宋体" w:hint="default"/>
                <w:sz w:val="18"/>
                <w:szCs w:val="18"/>
              </w:rPr>
            </w:pPr>
            <w:r>
              <w:rPr>
                <w:rFonts w:ascii="宋体" w:hAnsi="宋体" w:cs="宋体" w:eastAsia="宋体" w:hint="default"/>
                <w:sz w:val="18"/>
                <w:szCs w:val="18"/>
              </w:rPr>
              <w:t>报告期内购入金 额</w:t>
            </w:r>
          </w:p>
        </w:tc>
        <w:tc>
          <w:tcPr>
            <w:tcW w:w="866"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71" w:right="71"/>
              <w:jc w:val="left"/>
              <w:rPr>
                <w:rFonts w:ascii="宋体" w:hAnsi="宋体" w:cs="宋体" w:eastAsia="宋体" w:hint="default"/>
                <w:sz w:val="18"/>
                <w:szCs w:val="18"/>
              </w:rPr>
            </w:pPr>
            <w:r>
              <w:rPr>
                <w:rFonts w:ascii="宋体" w:hAnsi="宋体" w:cs="宋体" w:eastAsia="宋体" w:hint="default"/>
                <w:sz w:val="18"/>
                <w:szCs w:val="18"/>
              </w:rPr>
              <w:t>报告期内 售出金额</w:t>
            </w:r>
          </w:p>
        </w:tc>
        <w:tc>
          <w:tcPr>
            <w:tcW w:w="575"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21" w:right="11"/>
              <w:jc w:val="left"/>
              <w:rPr>
                <w:rFonts w:ascii="宋体" w:hAnsi="宋体" w:cs="宋体" w:eastAsia="宋体" w:hint="default"/>
                <w:sz w:val="18"/>
                <w:szCs w:val="18"/>
              </w:rPr>
            </w:pPr>
            <w:r>
              <w:rPr>
                <w:rFonts w:ascii="宋体" w:hAnsi="宋体" w:cs="宋体" w:eastAsia="宋体" w:hint="default"/>
                <w:sz w:val="18"/>
                <w:szCs w:val="18"/>
              </w:rPr>
              <w:t>累计投 资收益</w:t>
            </w:r>
          </w:p>
        </w:tc>
        <w:tc>
          <w:tcPr>
            <w:tcW w:w="2239" w:type="dxa"/>
            <w:gridSpan w:val="2"/>
            <w:vMerge/>
            <w:tcBorders>
              <w:left w:val="nil" w:sz="6" w:space="0" w:color="auto"/>
              <w:bottom w:val="nil" w:sz="6" w:space="0" w:color="auto"/>
              <w:right w:val="nil" w:sz="6" w:space="0" w:color="auto"/>
            </w:tcBorders>
            <w:shd w:val="clear" w:color="auto" w:fill="DEEAF6"/>
          </w:tcPr>
          <w:p>
            <w:pPr/>
          </w:p>
        </w:tc>
      </w:tr>
      <w:tr>
        <w:trPr>
          <w:trHeight w:val="391" w:hRule="exact"/>
        </w:trPr>
        <w:tc>
          <w:tcPr>
            <w:tcW w:w="802"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36"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1439"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175"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262" w:type="dxa"/>
            <w:vMerge/>
            <w:tcBorders>
              <w:left w:val="nil" w:sz="6" w:space="0" w:color="auto"/>
              <w:right w:val="nil" w:sz="6" w:space="0" w:color="auto"/>
            </w:tcBorders>
            <w:shd w:val="clear" w:color="auto" w:fill="DEEAF6"/>
          </w:tcPr>
          <w:p>
            <w:pPr/>
          </w:p>
        </w:tc>
        <w:tc>
          <w:tcPr>
            <w:tcW w:w="1277" w:type="dxa"/>
            <w:vMerge/>
            <w:tcBorders>
              <w:left w:val="nil" w:sz="6" w:space="0" w:color="auto"/>
              <w:right w:val="nil" w:sz="6" w:space="0" w:color="auto"/>
            </w:tcBorders>
            <w:shd w:val="clear" w:color="auto" w:fill="DEEAF6"/>
          </w:tcPr>
          <w:p>
            <w:pPr/>
          </w:p>
        </w:tc>
        <w:tc>
          <w:tcPr>
            <w:tcW w:w="1410" w:type="dxa"/>
            <w:vMerge/>
            <w:tcBorders>
              <w:left w:val="nil" w:sz="6" w:space="0" w:color="auto"/>
              <w:right w:val="nil" w:sz="6" w:space="0" w:color="auto"/>
            </w:tcBorders>
            <w:shd w:val="clear" w:color="auto" w:fill="DEEAF6"/>
          </w:tcPr>
          <w:p>
            <w:pPr/>
          </w:p>
        </w:tc>
        <w:tc>
          <w:tcPr>
            <w:tcW w:w="866" w:type="dxa"/>
            <w:vMerge/>
            <w:tcBorders>
              <w:left w:val="nil" w:sz="6" w:space="0" w:color="auto"/>
              <w:right w:val="nil" w:sz="6" w:space="0" w:color="auto"/>
            </w:tcBorders>
            <w:shd w:val="clear" w:color="auto" w:fill="DEEAF6"/>
          </w:tcPr>
          <w:p>
            <w:pPr/>
          </w:p>
        </w:tc>
        <w:tc>
          <w:tcPr>
            <w:tcW w:w="575" w:type="dxa"/>
            <w:vMerge/>
            <w:tcBorders>
              <w:left w:val="nil" w:sz="6" w:space="0" w:color="auto"/>
              <w:right w:val="nil" w:sz="6" w:space="0" w:color="auto"/>
            </w:tcBorders>
            <w:shd w:val="clear" w:color="auto" w:fill="DEEAF6"/>
          </w:tcPr>
          <w:p>
            <w:pPr/>
          </w:p>
        </w:tc>
        <w:tc>
          <w:tcPr>
            <w:tcW w:w="1409"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6"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830"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6" w:right="0"/>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156" w:hRule="exact"/>
        </w:trPr>
        <w:tc>
          <w:tcPr>
            <w:tcW w:w="2241" w:type="dxa"/>
            <w:gridSpan w:val="2"/>
            <w:vMerge w:val="restart"/>
            <w:tcBorders>
              <w:top w:val="nil" w:sz="6" w:space="0" w:color="auto"/>
              <w:left w:val="nil" w:sz="6" w:space="0" w:color="auto"/>
              <w:right w:val="nil" w:sz="6" w:space="0" w:color="auto"/>
            </w:tcBorders>
            <w:shd w:val="clear" w:color="auto" w:fill="DEEAF6"/>
          </w:tcPr>
          <w:p>
            <w:pPr/>
          </w:p>
        </w:tc>
        <w:tc>
          <w:tcPr>
            <w:tcW w:w="1262" w:type="dxa"/>
            <w:vMerge/>
            <w:tcBorders>
              <w:left w:val="nil" w:sz="6" w:space="0" w:color="auto"/>
              <w:bottom w:val="nil" w:sz="6" w:space="0" w:color="auto"/>
              <w:right w:val="nil" w:sz="6" w:space="0" w:color="auto"/>
            </w:tcBorders>
            <w:shd w:val="clear" w:color="auto" w:fill="DEEAF6"/>
          </w:tcPr>
          <w:p>
            <w:pPr/>
          </w:p>
        </w:tc>
        <w:tc>
          <w:tcPr>
            <w:tcW w:w="1277" w:type="dxa"/>
            <w:vMerge/>
            <w:tcBorders>
              <w:left w:val="nil" w:sz="6" w:space="0" w:color="auto"/>
              <w:right w:val="nil" w:sz="6" w:space="0" w:color="auto"/>
            </w:tcBorders>
            <w:shd w:val="clear" w:color="auto" w:fill="DEEAF6"/>
          </w:tcPr>
          <w:p>
            <w:pPr/>
          </w:p>
        </w:tc>
        <w:tc>
          <w:tcPr>
            <w:tcW w:w="1410" w:type="dxa"/>
            <w:vMerge/>
            <w:tcBorders>
              <w:left w:val="nil" w:sz="6" w:space="0" w:color="auto"/>
              <w:bottom w:val="nil" w:sz="6" w:space="0" w:color="auto"/>
              <w:right w:val="nil" w:sz="6" w:space="0" w:color="auto"/>
            </w:tcBorders>
            <w:shd w:val="clear" w:color="auto" w:fill="DEEAF6"/>
          </w:tcPr>
          <w:p>
            <w:pPr/>
          </w:p>
        </w:tc>
        <w:tc>
          <w:tcPr>
            <w:tcW w:w="866" w:type="dxa"/>
            <w:vMerge/>
            <w:tcBorders>
              <w:left w:val="nil" w:sz="6" w:space="0" w:color="auto"/>
              <w:bottom w:val="nil" w:sz="6" w:space="0" w:color="auto"/>
              <w:right w:val="nil" w:sz="6" w:space="0" w:color="auto"/>
            </w:tcBorders>
            <w:shd w:val="clear" w:color="auto" w:fill="DEEAF6"/>
          </w:tcPr>
          <w:p>
            <w:pPr/>
          </w:p>
        </w:tc>
        <w:tc>
          <w:tcPr>
            <w:tcW w:w="575" w:type="dxa"/>
            <w:vMerge/>
            <w:tcBorders>
              <w:left w:val="nil" w:sz="6" w:space="0" w:color="auto"/>
              <w:bottom w:val="nil" w:sz="6" w:space="0" w:color="auto"/>
              <w:right w:val="nil" w:sz="6" w:space="0" w:color="auto"/>
            </w:tcBorders>
            <w:shd w:val="clear" w:color="auto" w:fill="DEEAF6"/>
          </w:tcPr>
          <w:p>
            <w:pPr/>
          </w:p>
        </w:tc>
        <w:tc>
          <w:tcPr>
            <w:tcW w:w="2239" w:type="dxa"/>
            <w:gridSpan w:val="2"/>
            <w:vMerge w:val="restart"/>
            <w:tcBorders>
              <w:top w:val="nil" w:sz="6" w:space="0" w:color="auto"/>
              <w:left w:val="nil" w:sz="6" w:space="0" w:color="auto"/>
              <w:right w:val="nil" w:sz="6" w:space="0" w:color="auto"/>
            </w:tcBorders>
            <w:shd w:val="clear" w:color="auto" w:fill="DEEAF6"/>
          </w:tcPr>
          <w:p>
            <w:pPr/>
          </w:p>
        </w:tc>
      </w:tr>
      <w:tr>
        <w:trPr>
          <w:trHeight w:val="161" w:hRule="exact"/>
        </w:trPr>
        <w:tc>
          <w:tcPr>
            <w:tcW w:w="2241" w:type="dxa"/>
            <w:gridSpan w:val="2"/>
            <w:vMerge/>
            <w:tcBorders>
              <w:left w:val="nil" w:sz="6" w:space="0" w:color="auto"/>
              <w:bottom w:val="single" w:sz="4" w:space="0" w:color="5B9BD4"/>
              <w:right w:val="nil" w:sz="6" w:space="0" w:color="auto"/>
            </w:tcBorders>
            <w:shd w:val="clear" w:color="auto" w:fill="DEEAF6"/>
          </w:tcPr>
          <w:p>
            <w:pPr/>
          </w:p>
        </w:tc>
        <w:tc>
          <w:tcPr>
            <w:tcW w:w="1262" w:type="dxa"/>
            <w:tcBorders>
              <w:top w:val="nil" w:sz="6" w:space="0" w:color="auto"/>
              <w:left w:val="nil" w:sz="6" w:space="0" w:color="auto"/>
              <w:bottom w:val="single" w:sz="4" w:space="0" w:color="5B9BD4"/>
              <w:right w:val="nil" w:sz="6" w:space="0" w:color="auto"/>
            </w:tcBorders>
            <w:shd w:val="clear" w:color="auto" w:fill="DEEAF6"/>
          </w:tcPr>
          <w:p>
            <w:pPr/>
          </w:p>
        </w:tc>
        <w:tc>
          <w:tcPr>
            <w:tcW w:w="1277" w:type="dxa"/>
            <w:vMerge/>
            <w:tcBorders>
              <w:left w:val="nil" w:sz="6" w:space="0" w:color="auto"/>
              <w:bottom w:val="single" w:sz="4" w:space="0" w:color="5B9BD4"/>
              <w:right w:val="nil" w:sz="6" w:space="0" w:color="auto"/>
            </w:tcBorders>
            <w:shd w:val="clear" w:color="auto" w:fill="DEEAF6"/>
          </w:tcPr>
          <w:p>
            <w:pPr/>
          </w:p>
        </w:tc>
        <w:tc>
          <w:tcPr>
            <w:tcW w:w="2850" w:type="dxa"/>
            <w:gridSpan w:val="3"/>
            <w:tcBorders>
              <w:top w:val="nil" w:sz="6" w:space="0" w:color="auto"/>
              <w:left w:val="nil" w:sz="6" w:space="0" w:color="auto"/>
              <w:bottom w:val="single" w:sz="4" w:space="0" w:color="5B9BD4"/>
              <w:right w:val="nil" w:sz="6" w:space="0" w:color="auto"/>
            </w:tcBorders>
            <w:shd w:val="clear" w:color="auto" w:fill="DEEAF6"/>
          </w:tcPr>
          <w:p>
            <w:pPr/>
          </w:p>
        </w:tc>
        <w:tc>
          <w:tcPr>
            <w:tcW w:w="2239" w:type="dxa"/>
            <w:gridSpan w:val="2"/>
            <w:vMerge/>
            <w:tcBorders>
              <w:left w:val="nil" w:sz="6" w:space="0" w:color="auto"/>
              <w:bottom w:val="single" w:sz="4" w:space="0" w:color="5B9BD4"/>
              <w:right w:val="nil" w:sz="6" w:space="0" w:color="auto"/>
            </w:tcBorders>
            <w:shd w:val="clear" w:color="auto" w:fill="DEEAF6"/>
          </w:tcPr>
          <w:p>
            <w:pPr/>
          </w:p>
        </w:tc>
      </w:tr>
      <w:tr>
        <w:trPr>
          <w:trHeight w:val="402" w:hRule="exact"/>
        </w:trPr>
        <w:tc>
          <w:tcPr>
            <w:tcW w:w="8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439"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89"/>
              <w:ind w:left="134" w:right="0"/>
              <w:jc w:val="left"/>
              <w:rPr>
                <w:rFonts w:ascii="Arial" w:hAnsi="Arial" w:cs="Arial" w:eastAsia="Arial" w:hint="default"/>
                <w:sz w:val="18"/>
                <w:szCs w:val="18"/>
              </w:rPr>
            </w:pPr>
            <w:r>
              <w:rPr>
                <w:rFonts w:ascii="Arial"/>
                <w:sz w:val="18"/>
              </w:rPr>
              <w:t>327,123,817.97</w:t>
            </w:r>
          </w:p>
        </w:tc>
        <w:tc>
          <w:tcPr>
            <w:tcW w:w="1262" w:type="dxa"/>
            <w:tcBorders>
              <w:top w:val="single" w:sz="4" w:space="0" w:color="5B9BD4"/>
              <w:left w:val="nil" w:sz="6" w:space="0" w:color="auto"/>
              <w:bottom w:val="single" w:sz="4" w:space="0" w:color="5B9BD4"/>
              <w:right w:val="nil" w:sz="6" w:space="0" w:color="auto"/>
            </w:tcBorders>
            <w:shd w:val="clear" w:color="auto" w:fill="DEEAF6"/>
          </w:tcPr>
          <w:p>
            <w:pPr/>
          </w:p>
        </w:tc>
        <w:tc>
          <w:tcPr>
            <w:tcW w:w="1277"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9"/>
              <w:ind w:right="12"/>
              <w:jc w:val="right"/>
              <w:rPr>
                <w:rFonts w:ascii="Arial" w:hAnsi="Arial" w:cs="Arial" w:eastAsia="Arial" w:hint="default"/>
                <w:sz w:val="18"/>
                <w:szCs w:val="18"/>
              </w:rPr>
            </w:pPr>
            <w:r>
              <w:rPr>
                <w:rFonts w:ascii="Arial"/>
                <w:w w:val="95"/>
                <w:sz w:val="18"/>
              </w:rPr>
              <w:t>53,647,192.03</w:t>
            </w:r>
            <w:r>
              <w:rPr>
                <w:rFonts w:ascii="Arial"/>
                <w:sz w:val="18"/>
              </w:rPr>
            </w:r>
          </w:p>
        </w:tc>
        <w:tc>
          <w:tcPr>
            <w:tcW w:w="141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9"/>
              <w:ind w:right="18"/>
              <w:jc w:val="right"/>
              <w:rPr>
                <w:rFonts w:ascii="Arial" w:hAnsi="Arial" w:cs="Arial" w:eastAsia="Arial" w:hint="default"/>
                <w:sz w:val="18"/>
                <w:szCs w:val="18"/>
              </w:rPr>
            </w:pPr>
            <w:r>
              <w:rPr>
                <w:rFonts w:ascii="Arial"/>
                <w:w w:val="95"/>
                <w:sz w:val="18"/>
              </w:rPr>
              <w:t>327,123,817.97</w:t>
            </w:r>
            <w:r>
              <w:rPr>
                <w:rFonts w:ascii="Arial"/>
                <w:sz w:val="18"/>
              </w:rPr>
            </w:r>
          </w:p>
        </w:tc>
        <w:tc>
          <w:tcPr>
            <w:tcW w:w="866"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9"/>
              <w:ind w:right="19"/>
              <w:jc w:val="right"/>
              <w:rPr>
                <w:rFonts w:ascii="Arial" w:hAnsi="Arial" w:cs="Arial" w:eastAsia="Arial" w:hint="default"/>
                <w:sz w:val="18"/>
                <w:szCs w:val="18"/>
              </w:rPr>
            </w:pPr>
            <w:r>
              <w:rPr>
                <w:rFonts w:ascii="Arial"/>
                <w:w w:val="95"/>
                <w:sz w:val="18"/>
              </w:rPr>
              <w:t>0.00</w:t>
            </w:r>
            <w:r>
              <w:rPr>
                <w:rFonts w:ascii="Arial"/>
                <w:sz w:val="18"/>
              </w:rPr>
            </w:r>
          </w:p>
        </w:tc>
        <w:tc>
          <w:tcPr>
            <w:tcW w:w="57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9"/>
              <w:ind w:right="11"/>
              <w:jc w:val="right"/>
              <w:rPr>
                <w:rFonts w:ascii="Arial" w:hAnsi="Arial" w:cs="Arial" w:eastAsia="Arial" w:hint="default"/>
                <w:sz w:val="18"/>
                <w:szCs w:val="18"/>
              </w:rPr>
            </w:pPr>
            <w:r>
              <w:rPr>
                <w:rFonts w:ascii="Arial"/>
                <w:w w:val="95"/>
                <w:sz w:val="18"/>
              </w:rPr>
              <w:t>0.00</w:t>
            </w:r>
            <w:r>
              <w:rPr>
                <w:rFonts w:ascii="Arial"/>
                <w:sz w:val="18"/>
              </w:rPr>
            </w:r>
          </w:p>
        </w:tc>
        <w:tc>
          <w:tcPr>
            <w:tcW w:w="1409"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9"/>
              <w:ind w:left="91" w:right="0"/>
              <w:jc w:val="center"/>
              <w:rPr>
                <w:rFonts w:ascii="Arial" w:hAnsi="Arial" w:cs="Arial" w:eastAsia="Arial" w:hint="default"/>
                <w:sz w:val="18"/>
                <w:szCs w:val="18"/>
              </w:rPr>
            </w:pPr>
            <w:r>
              <w:rPr>
                <w:rFonts w:ascii="Arial"/>
                <w:sz w:val="18"/>
              </w:rPr>
              <w:t>380,771,010.00</w:t>
            </w:r>
          </w:p>
        </w:tc>
        <w:tc>
          <w:tcPr>
            <w:tcW w:w="83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65"/>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162" w:hRule="exact"/>
        </w:trPr>
        <w:tc>
          <w:tcPr>
            <w:tcW w:w="802" w:type="dxa"/>
            <w:tcBorders>
              <w:top w:val="single" w:sz="4" w:space="0" w:color="5B9BD4"/>
              <w:left w:val="nil" w:sz="6" w:space="0" w:color="auto"/>
              <w:bottom w:val="nil" w:sz="6" w:space="0" w:color="auto"/>
              <w:right w:val="nil" w:sz="6" w:space="0" w:color="auto"/>
            </w:tcBorders>
            <w:shd w:val="clear" w:color="auto" w:fill="DEEAF6"/>
          </w:tcPr>
          <w:p>
            <w:pPr/>
          </w:p>
        </w:tc>
        <w:tc>
          <w:tcPr>
            <w:tcW w:w="1439" w:type="dxa"/>
            <w:vMerge w:val="restart"/>
            <w:tcBorders>
              <w:top w:val="single" w:sz="4" w:space="0" w:color="5B9BD4"/>
              <w:left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49" w:right="0"/>
              <w:jc w:val="left"/>
              <w:rPr>
                <w:rFonts w:ascii="Arial" w:hAnsi="Arial" w:cs="Arial" w:eastAsia="Arial" w:hint="default"/>
                <w:sz w:val="18"/>
                <w:szCs w:val="18"/>
              </w:rPr>
            </w:pPr>
            <w:r>
              <w:rPr>
                <w:rFonts w:ascii="Arial"/>
                <w:sz w:val="18"/>
              </w:rPr>
              <w:t>7,480,141.92</w:t>
            </w:r>
          </w:p>
        </w:tc>
        <w:tc>
          <w:tcPr>
            <w:tcW w:w="1262" w:type="dxa"/>
            <w:tcBorders>
              <w:top w:val="single" w:sz="4" w:space="0" w:color="5B9BD4"/>
              <w:left w:val="nil" w:sz="6" w:space="0" w:color="auto"/>
              <w:bottom w:val="nil" w:sz="6" w:space="0" w:color="auto"/>
              <w:right w:val="nil" w:sz="6" w:space="0" w:color="auto"/>
            </w:tcBorders>
            <w:shd w:val="clear" w:color="auto" w:fill="DEEAF6"/>
          </w:tcPr>
          <w:p>
            <w:pPr/>
          </w:p>
        </w:tc>
        <w:tc>
          <w:tcPr>
            <w:tcW w:w="1277" w:type="dxa"/>
            <w:vMerge w:val="restart"/>
            <w:tcBorders>
              <w:top w:val="single" w:sz="4" w:space="0" w:color="5B9BD4"/>
              <w:left w:val="nil" w:sz="6" w:space="0" w:color="auto"/>
              <w:right w:val="nil" w:sz="6" w:space="0" w:color="auto"/>
            </w:tcBorders>
          </w:tcPr>
          <w:p>
            <w:pPr/>
          </w:p>
        </w:tc>
        <w:tc>
          <w:tcPr>
            <w:tcW w:w="1410" w:type="dxa"/>
            <w:tcBorders>
              <w:top w:val="single" w:sz="4" w:space="0" w:color="5B9BD4"/>
              <w:left w:val="nil" w:sz="6" w:space="0" w:color="auto"/>
              <w:bottom w:val="nil" w:sz="6" w:space="0" w:color="auto"/>
              <w:right w:val="nil" w:sz="6" w:space="0" w:color="auto"/>
            </w:tcBorders>
            <w:shd w:val="clear" w:color="auto" w:fill="DEEAF6"/>
          </w:tcPr>
          <w:p>
            <w:pPr/>
          </w:p>
        </w:tc>
        <w:tc>
          <w:tcPr>
            <w:tcW w:w="866" w:type="dxa"/>
            <w:vMerge w:val="restart"/>
            <w:tcBorders>
              <w:top w:val="single" w:sz="4" w:space="0" w:color="5B9BD4"/>
              <w:left w:val="nil" w:sz="6" w:space="0" w:color="auto"/>
              <w:right w:val="nil" w:sz="6" w:space="0" w:color="auto"/>
            </w:tcBorders>
          </w:tcPr>
          <w:p>
            <w:pPr/>
          </w:p>
        </w:tc>
        <w:tc>
          <w:tcPr>
            <w:tcW w:w="575" w:type="dxa"/>
            <w:tcBorders>
              <w:top w:val="single" w:sz="4" w:space="0" w:color="5B9BD4"/>
              <w:left w:val="nil" w:sz="6" w:space="0" w:color="auto"/>
              <w:bottom w:val="nil" w:sz="6" w:space="0" w:color="auto"/>
              <w:right w:val="nil" w:sz="6" w:space="0" w:color="auto"/>
            </w:tcBorders>
            <w:shd w:val="clear" w:color="auto" w:fill="DEEAF6"/>
          </w:tcPr>
          <w:p>
            <w:pPr/>
          </w:p>
        </w:tc>
        <w:tc>
          <w:tcPr>
            <w:tcW w:w="1409" w:type="dxa"/>
            <w:vMerge w:val="restart"/>
            <w:tcBorders>
              <w:top w:val="single" w:sz="4" w:space="0" w:color="5B9BD4"/>
              <w:left w:val="nil" w:sz="6" w:space="0" w:color="auto"/>
              <w:right w:val="single" w:sz="11" w:space="0" w:color="DEEAF6"/>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6" w:right="0"/>
              <w:jc w:val="left"/>
              <w:rPr>
                <w:rFonts w:ascii="Arial" w:hAnsi="Arial" w:cs="Arial" w:eastAsia="Arial" w:hint="default"/>
                <w:sz w:val="18"/>
                <w:szCs w:val="18"/>
              </w:rPr>
            </w:pPr>
            <w:r>
              <w:rPr>
                <w:rFonts w:ascii="Arial"/>
                <w:sz w:val="18"/>
              </w:rPr>
              <w:t>30,565,784.60</w:t>
            </w:r>
          </w:p>
        </w:tc>
        <w:tc>
          <w:tcPr>
            <w:tcW w:w="830"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7"/>
              <w:ind w:left="21" w:right="86"/>
              <w:jc w:val="left"/>
              <w:rPr>
                <w:rFonts w:ascii="宋体" w:hAnsi="宋体" w:cs="宋体" w:eastAsia="宋体" w:hint="default"/>
                <w:sz w:val="18"/>
                <w:szCs w:val="18"/>
              </w:rPr>
            </w:pPr>
            <w:r>
              <w:rPr>
                <w:rFonts w:ascii="宋体" w:hAnsi="宋体" w:cs="宋体" w:eastAsia="宋体" w:hint="default"/>
                <w:sz w:val="18"/>
                <w:szCs w:val="18"/>
              </w:rPr>
              <w:t>深信泰丰 债务重组</w:t>
            </w:r>
          </w:p>
        </w:tc>
      </w:tr>
      <w:tr>
        <w:trPr>
          <w:trHeight w:val="391" w:hRule="exact"/>
        </w:trPr>
        <w:tc>
          <w:tcPr>
            <w:tcW w:w="802"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439" w:type="dxa"/>
            <w:vMerge/>
            <w:tcBorders>
              <w:left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w w:val="95"/>
                <w:sz w:val="18"/>
              </w:rPr>
              <w:t>23,085,642.68</w:t>
            </w:r>
            <w:r>
              <w:rPr>
                <w:rFonts w:ascii="Arial"/>
                <w:sz w:val="18"/>
              </w:rPr>
            </w:r>
          </w:p>
        </w:tc>
        <w:tc>
          <w:tcPr>
            <w:tcW w:w="1277" w:type="dxa"/>
            <w:vMerge/>
            <w:tcBorders>
              <w:left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shd w:val="clear" w:color="auto" w:fill="DEEAF6"/>
          </w:tcPr>
          <w:p>
            <w:pPr/>
          </w:p>
        </w:tc>
        <w:tc>
          <w:tcPr>
            <w:tcW w:w="866" w:type="dxa"/>
            <w:vMerge/>
            <w:tcBorders>
              <w:left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shd w:val="clear" w:color="auto" w:fill="DEEAF6"/>
          </w:tcPr>
          <w:p>
            <w:pPr/>
          </w:p>
        </w:tc>
        <w:tc>
          <w:tcPr>
            <w:tcW w:w="1409" w:type="dxa"/>
            <w:vMerge/>
            <w:tcBorders>
              <w:left w:val="nil" w:sz="6" w:space="0" w:color="auto"/>
              <w:right w:val="single" w:sz="11" w:space="0" w:color="DEEAF6"/>
            </w:tcBorders>
          </w:tcPr>
          <w:p>
            <w:pPr/>
          </w:p>
        </w:tc>
        <w:tc>
          <w:tcPr>
            <w:tcW w:w="830" w:type="dxa"/>
            <w:vMerge/>
            <w:tcBorders>
              <w:left w:val="nil" w:sz="6" w:space="0" w:color="auto"/>
              <w:right w:val="nil" w:sz="6" w:space="0" w:color="auto"/>
            </w:tcBorders>
            <w:shd w:val="clear" w:color="auto" w:fill="DEEAF6"/>
          </w:tcPr>
          <w:p>
            <w:pPr/>
          </w:p>
        </w:tc>
      </w:tr>
      <w:tr>
        <w:trPr>
          <w:trHeight w:val="161" w:hRule="exact"/>
        </w:trPr>
        <w:tc>
          <w:tcPr>
            <w:tcW w:w="802" w:type="dxa"/>
            <w:tcBorders>
              <w:top w:val="nil" w:sz="6" w:space="0" w:color="auto"/>
              <w:left w:val="nil" w:sz="6" w:space="0" w:color="auto"/>
              <w:bottom w:val="single" w:sz="4" w:space="0" w:color="5B9BD4"/>
              <w:right w:val="nil" w:sz="6" w:space="0" w:color="auto"/>
            </w:tcBorders>
            <w:shd w:val="clear" w:color="auto" w:fill="DEEAF6"/>
          </w:tcPr>
          <w:p>
            <w:pPr/>
          </w:p>
        </w:tc>
        <w:tc>
          <w:tcPr>
            <w:tcW w:w="1439" w:type="dxa"/>
            <w:vMerge/>
            <w:tcBorders>
              <w:left w:val="nil" w:sz="6" w:space="0" w:color="auto"/>
              <w:bottom w:val="single" w:sz="4" w:space="0" w:color="5B9BD4"/>
              <w:right w:val="nil" w:sz="6" w:space="0" w:color="auto"/>
            </w:tcBorders>
          </w:tcPr>
          <w:p>
            <w:pPr/>
          </w:p>
        </w:tc>
        <w:tc>
          <w:tcPr>
            <w:tcW w:w="1262" w:type="dxa"/>
            <w:tcBorders>
              <w:top w:val="nil" w:sz="6" w:space="0" w:color="auto"/>
              <w:left w:val="nil" w:sz="6" w:space="0" w:color="auto"/>
              <w:bottom w:val="single" w:sz="4" w:space="0" w:color="5B9BD4"/>
              <w:right w:val="nil" w:sz="6" w:space="0" w:color="auto"/>
            </w:tcBorders>
            <w:shd w:val="clear" w:color="auto" w:fill="DEEAF6"/>
          </w:tcPr>
          <w:p>
            <w:pPr/>
          </w:p>
        </w:tc>
        <w:tc>
          <w:tcPr>
            <w:tcW w:w="1277" w:type="dxa"/>
            <w:vMerge/>
            <w:tcBorders>
              <w:left w:val="nil" w:sz="6" w:space="0" w:color="auto"/>
              <w:bottom w:val="single" w:sz="4" w:space="0" w:color="5B9BD4"/>
              <w:right w:val="nil" w:sz="6" w:space="0" w:color="auto"/>
            </w:tcBorders>
          </w:tcPr>
          <w:p>
            <w:pPr/>
          </w:p>
        </w:tc>
        <w:tc>
          <w:tcPr>
            <w:tcW w:w="1410" w:type="dxa"/>
            <w:tcBorders>
              <w:top w:val="nil" w:sz="6" w:space="0" w:color="auto"/>
              <w:left w:val="nil" w:sz="6" w:space="0" w:color="auto"/>
              <w:bottom w:val="single" w:sz="4" w:space="0" w:color="5B9BD4"/>
              <w:right w:val="nil" w:sz="6" w:space="0" w:color="auto"/>
            </w:tcBorders>
            <w:shd w:val="clear" w:color="auto" w:fill="DEEAF6"/>
          </w:tcPr>
          <w:p>
            <w:pPr/>
          </w:p>
        </w:tc>
        <w:tc>
          <w:tcPr>
            <w:tcW w:w="866" w:type="dxa"/>
            <w:vMerge/>
            <w:tcBorders>
              <w:left w:val="nil" w:sz="6" w:space="0" w:color="auto"/>
              <w:bottom w:val="single" w:sz="4" w:space="0" w:color="5B9BD4"/>
              <w:right w:val="nil" w:sz="6" w:space="0" w:color="auto"/>
            </w:tcBorders>
          </w:tcPr>
          <w:p>
            <w:pPr/>
          </w:p>
        </w:tc>
        <w:tc>
          <w:tcPr>
            <w:tcW w:w="575" w:type="dxa"/>
            <w:tcBorders>
              <w:top w:val="nil" w:sz="6" w:space="0" w:color="auto"/>
              <w:left w:val="nil" w:sz="6" w:space="0" w:color="auto"/>
              <w:bottom w:val="single" w:sz="4" w:space="0" w:color="5B9BD4"/>
              <w:right w:val="nil" w:sz="6" w:space="0" w:color="auto"/>
            </w:tcBorders>
            <w:shd w:val="clear" w:color="auto" w:fill="DEEAF6"/>
          </w:tcPr>
          <w:p>
            <w:pPr/>
          </w:p>
        </w:tc>
        <w:tc>
          <w:tcPr>
            <w:tcW w:w="1409" w:type="dxa"/>
            <w:vMerge/>
            <w:tcBorders>
              <w:left w:val="nil" w:sz="6" w:space="0" w:color="auto"/>
              <w:bottom w:val="single" w:sz="4" w:space="0" w:color="5B9BD4"/>
              <w:right w:val="single" w:sz="11" w:space="0" w:color="DEEAF6"/>
            </w:tcBorders>
          </w:tcPr>
          <w:p>
            <w:pPr/>
          </w:p>
        </w:tc>
        <w:tc>
          <w:tcPr>
            <w:tcW w:w="830" w:type="dxa"/>
            <w:vMerge/>
            <w:tcBorders>
              <w:left w:val="nil" w:sz="6" w:space="0" w:color="auto"/>
              <w:bottom w:val="single" w:sz="4" w:space="0" w:color="5B9BD4"/>
              <w:right w:val="nil" w:sz="6" w:space="0" w:color="auto"/>
            </w:tcBorders>
            <w:shd w:val="clear" w:color="auto" w:fill="DEEAF6"/>
          </w:tcPr>
          <w:p>
            <w:pPr/>
          </w:p>
        </w:tc>
      </w:tr>
      <w:tr>
        <w:trPr>
          <w:trHeight w:val="403" w:hRule="exact"/>
        </w:trPr>
        <w:tc>
          <w:tcPr>
            <w:tcW w:w="8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39"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89"/>
              <w:ind w:left="134" w:right="0"/>
              <w:jc w:val="left"/>
              <w:rPr>
                <w:rFonts w:ascii="Arial" w:hAnsi="Arial" w:cs="Arial" w:eastAsia="Arial" w:hint="default"/>
                <w:sz w:val="18"/>
                <w:szCs w:val="18"/>
              </w:rPr>
            </w:pPr>
            <w:r>
              <w:rPr>
                <w:rFonts w:ascii="Arial"/>
                <w:sz w:val="18"/>
              </w:rPr>
              <w:t>334,603,959.89</w:t>
            </w:r>
          </w:p>
        </w:tc>
        <w:tc>
          <w:tcPr>
            <w:tcW w:w="126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9"/>
              <w:ind w:right="25"/>
              <w:jc w:val="right"/>
              <w:rPr>
                <w:rFonts w:ascii="Arial" w:hAnsi="Arial" w:cs="Arial" w:eastAsia="Arial" w:hint="default"/>
                <w:sz w:val="18"/>
                <w:szCs w:val="18"/>
              </w:rPr>
            </w:pPr>
            <w:r>
              <w:rPr>
                <w:rFonts w:ascii="Arial"/>
                <w:w w:val="95"/>
                <w:sz w:val="18"/>
              </w:rPr>
              <w:t>23,085,642.68</w:t>
            </w:r>
            <w:r>
              <w:rPr>
                <w:rFonts w:ascii="Arial"/>
                <w:sz w:val="18"/>
              </w:rPr>
            </w:r>
          </w:p>
        </w:tc>
        <w:tc>
          <w:tcPr>
            <w:tcW w:w="1277"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9"/>
              <w:ind w:right="12"/>
              <w:jc w:val="right"/>
              <w:rPr>
                <w:rFonts w:ascii="Arial" w:hAnsi="Arial" w:cs="Arial" w:eastAsia="Arial" w:hint="default"/>
                <w:sz w:val="18"/>
                <w:szCs w:val="18"/>
              </w:rPr>
            </w:pPr>
            <w:r>
              <w:rPr>
                <w:rFonts w:ascii="Arial"/>
                <w:w w:val="95"/>
                <w:sz w:val="18"/>
              </w:rPr>
              <w:t>53,647,192.03</w:t>
            </w:r>
            <w:r>
              <w:rPr>
                <w:rFonts w:ascii="Arial"/>
                <w:sz w:val="18"/>
              </w:rPr>
            </w:r>
          </w:p>
        </w:tc>
        <w:tc>
          <w:tcPr>
            <w:tcW w:w="141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9"/>
              <w:ind w:right="18"/>
              <w:jc w:val="right"/>
              <w:rPr>
                <w:rFonts w:ascii="Arial" w:hAnsi="Arial" w:cs="Arial" w:eastAsia="Arial" w:hint="default"/>
                <w:sz w:val="18"/>
                <w:szCs w:val="18"/>
              </w:rPr>
            </w:pPr>
            <w:r>
              <w:rPr>
                <w:rFonts w:ascii="Arial"/>
                <w:w w:val="95"/>
                <w:sz w:val="18"/>
              </w:rPr>
              <w:t>327,123,817.97</w:t>
            </w:r>
            <w:r>
              <w:rPr>
                <w:rFonts w:ascii="Arial"/>
                <w:sz w:val="18"/>
              </w:rPr>
            </w:r>
          </w:p>
        </w:tc>
        <w:tc>
          <w:tcPr>
            <w:tcW w:w="866"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9"/>
              <w:ind w:right="19"/>
              <w:jc w:val="right"/>
              <w:rPr>
                <w:rFonts w:ascii="Arial" w:hAnsi="Arial" w:cs="Arial" w:eastAsia="Arial" w:hint="default"/>
                <w:sz w:val="18"/>
                <w:szCs w:val="18"/>
              </w:rPr>
            </w:pPr>
            <w:r>
              <w:rPr>
                <w:rFonts w:ascii="Arial"/>
                <w:w w:val="95"/>
                <w:sz w:val="18"/>
              </w:rPr>
              <w:t>0.00</w:t>
            </w:r>
            <w:r>
              <w:rPr>
                <w:rFonts w:ascii="Arial"/>
                <w:sz w:val="18"/>
              </w:rPr>
            </w:r>
          </w:p>
        </w:tc>
        <w:tc>
          <w:tcPr>
            <w:tcW w:w="57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9"/>
              <w:ind w:right="11"/>
              <w:jc w:val="right"/>
              <w:rPr>
                <w:rFonts w:ascii="Arial" w:hAnsi="Arial" w:cs="Arial" w:eastAsia="Arial" w:hint="default"/>
                <w:sz w:val="18"/>
                <w:szCs w:val="18"/>
              </w:rPr>
            </w:pPr>
            <w:r>
              <w:rPr>
                <w:rFonts w:ascii="Arial"/>
                <w:w w:val="95"/>
                <w:sz w:val="18"/>
              </w:rPr>
              <w:t>0.00</w:t>
            </w:r>
            <w:r>
              <w:rPr>
                <w:rFonts w:ascii="Arial"/>
                <w:sz w:val="18"/>
              </w:rPr>
            </w:r>
          </w:p>
        </w:tc>
        <w:tc>
          <w:tcPr>
            <w:tcW w:w="1409"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9"/>
              <w:ind w:left="91" w:right="0"/>
              <w:jc w:val="center"/>
              <w:rPr>
                <w:rFonts w:ascii="Arial" w:hAnsi="Arial" w:cs="Arial" w:eastAsia="Arial" w:hint="default"/>
                <w:sz w:val="18"/>
                <w:szCs w:val="18"/>
              </w:rPr>
            </w:pPr>
            <w:r>
              <w:rPr>
                <w:rFonts w:ascii="Arial"/>
                <w:sz w:val="18"/>
              </w:rPr>
              <w:t>411,336,794.60</w:t>
            </w:r>
          </w:p>
        </w:tc>
        <w:tc>
          <w:tcPr>
            <w:tcW w:w="83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9"/>
              <w:ind w:left="6" w:right="0"/>
              <w:jc w:val="center"/>
              <w:rPr>
                <w:rFonts w:ascii="Arial" w:hAnsi="Arial" w:cs="Arial" w:eastAsia="Arial" w:hint="default"/>
                <w:sz w:val="18"/>
                <w:szCs w:val="18"/>
              </w:rPr>
            </w:pPr>
            <w:r>
              <w:rPr>
                <w:rFonts w:ascii="Arial"/>
                <w:sz w:val="18"/>
              </w:rPr>
              <w:t>--</w:t>
            </w:r>
          </w:p>
        </w:tc>
      </w:tr>
    </w:tbl>
    <w:p>
      <w:pPr>
        <w:spacing w:line="240" w:lineRule="auto" w:before="0"/>
        <w:rPr>
          <w:rFonts w:ascii="宋体" w:hAnsi="宋体" w:cs="宋体" w:eastAsia="宋体" w:hint="default"/>
          <w:sz w:val="20"/>
          <w:szCs w:val="20"/>
        </w:rPr>
      </w:pPr>
    </w:p>
    <w:p>
      <w:pPr>
        <w:pStyle w:val="Heading2"/>
        <w:spacing w:line="240" w:lineRule="auto" w:before="73"/>
        <w:ind w:left="154" w:right="0"/>
        <w:jc w:val="left"/>
        <w:rPr>
          <w:b w:val="0"/>
          <w:bCs w:val="0"/>
        </w:rPr>
      </w:pPr>
      <w:bookmarkStart w:name="4.5.5 募集资金使用情况" w:id="80"/>
      <w:bookmarkEnd w:id="80"/>
      <w:r>
        <w:rPr>
          <w:b w:val="0"/>
          <w:bCs w:val="0"/>
        </w:rPr>
      </w:r>
      <w:r>
        <w:rPr>
          <w:rFonts w:ascii="Trebuchet MS" w:hAnsi="Trebuchet MS" w:cs="Trebuchet MS" w:eastAsia="Trebuchet MS" w:hint="default"/>
        </w:rPr>
        <w:t>4.5.5</w:t>
      </w:r>
      <w:r>
        <w:rPr>
          <w:rFonts w:ascii="Trebuchet MS" w:hAnsi="Trebuchet MS" w:cs="Trebuchet MS" w:eastAsia="Trebuchet MS" w:hint="default"/>
          <w:spacing w:val="-18"/>
        </w:rPr>
        <w:t> </w:t>
      </w:r>
      <w:r>
        <w:rPr/>
        <w:t>募集资金使用情况</w:t>
      </w:r>
      <w:r>
        <w:rPr>
          <w:b w:val="0"/>
          <w:bCs w:val="0"/>
        </w:rPr>
      </w:r>
    </w:p>
    <w:p>
      <w:pPr>
        <w:spacing w:line="240" w:lineRule="auto" w:before="4"/>
        <w:rPr>
          <w:rFonts w:ascii="Microsoft JhengHei" w:hAnsi="Microsoft JhengHei" w:cs="Microsoft JhengHei" w:eastAsia="Microsoft JhengHei" w:hint="default"/>
          <w:b/>
          <w:bCs/>
          <w:sz w:val="22"/>
          <w:szCs w:val="22"/>
        </w:rPr>
      </w:pPr>
    </w:p>
    <w:p>
      <w:pPr>
        <w:pStyle w:val="Heading5"/>
        <w:spacing w:line="240" w:lineRule="auto" w:before="0"/>
        <w:ind w:left="154" w:right="0"/>
        <w:jc w:val="left"/>
        <w:rPr>
          <w:rFonts w:ascii="Microsoft JhengHei" w:hAnsi="Microsoft JhengHei" w:cs="Microsoft JhengHei" w:eastAsia="Microsoft JhengHei" w:hint="default"/>
          <w:b w:val="0"/>
          <w:bCs w:val="0"/>
        </w:rPr>
      </w:pPr>
      <w:bookmarkStart w:name="（1）募集资金总体使用情况" w:id="81"/>
      <w:bookmarkEnd w:id="81"/>
      <w:r>
        <w:rPr>
          <w:b w:val="0"/>
          <w:bCs w:val="0"/>
        </w:rPr>
      </w:r>
      <w:r>
        <w:rPr>
          <w:rFonts w:ascii="Microsoft JhengHei" w:hAnsi="Microsoft JhengHei" w:cs="Microsoft JhengHei" w:eastAsia="Microsoft JhengHei" w:hint="default"/>
        </w:rPr>
        <w:t>（</w:t>
      </w:r>
      <w:r>
        <w:rPr>
          <w:rFonts w:ascii="Trebuchet MS" w:hAnsi="Trebuchet MS" w:cs="Trebuchet MS" w:eastAsia="Trebuchet MS" w:hint="default"/>
        </w:rPr>
        <w:t>1</w:t>
      </w:r>
      <w:r>
        <w:rPr>
          <w:rFonts w:ascii="Microsoft JhengHei" w:hAnsi="Microsoft JhengHei" w:cs="Microsoft JhengHei" w:eastAsia="Microsoft JhengHei" w:hint="default"/>
        </w:rPr>
        <w:t>）募集资金总体使用情况</w:t>
      </w:r>
      <w:r>
        <w:rPr>
          <w:rFonts w:ascii="Microsoft JhengHei" w:hAnsi="Microsoft JhengHei" w:cs="Microsoft JhengHei" w:eastAsia="Microsoft JhengHei" w:hint="default"/>
          <w:b w:val="0"/>
          <w:bCs w:val="0"/>
        </w:rPr>
      </w:r>
    </w:p>
    <w:p>
      <w:pPr>
        <w:spacing w:line="240" w:lineRule="auto" w:before="14"/>
        <w:rPr>
          <w:rFonts w:ascii="Microsoft JhengHei" w:hAnsi="Microsoft JhengHei" w:cs="Microsoft JhengHei" w:eastAsia="Microsoft JhengHei" w:hint="default"/>
          <w:b/>
          <w:bCs/>
          <w:sz w:val="17"/>
          <w:szCs w:val="17"/>
        </w:rPr>
      </w:pPr>
    </w:p>
    <w:p>
      <w:pPr>
        <w:spacing w:before="29"/>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5"/>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845"/>
        <w:gridCol w:w="884"/>
        <w:gridCol w:w="1064"/>
        <w:gridCol w:w="1001"/>
        <w:gridCol w:w="985"/>
        <w:gridCol w:w="850"/>
        <w:gridCol w:w="851"/>
        <w:gridCol w:w="851"/>
        <w:gridCol w:w="851"/>
        <w:gridCol w:w="850"/>
        <w:gridCol w:w="837"/>
      </w:tblGrid>
      <w:tr>
        <w:trPr>
          <w:trHeight w:val="162" w:hRule="exact"/>
        </w:trPr>
        <w:tc>
          <w:tcPr>
            <w:tcW w:w="1730" w:type="dxa"/>
            <w:gridSpan w:val="2"/>
            <w:vMerge w:val="restart"/>
            <w:tcBorders>
              <w:top w:val="single" w:sz="4" w:space="0" w:color="5B9BD4"/>
              <w:left w:val="nil" w:sz="6" w:space="0" w:color="auto"/>
              <w:right w:val="nil" w:sz="6" w:space="0" w:color="auto"/>
            </w:tcBorders>
            <w:shd w:val="clear" w:color="auto" w:fill="DEEAF6"/>
          </w:tcPr>
          <w:p>
            <w:pPr/>
          </w:p>
        </w:tc>
        <w:tc>
          <w:tcPr>
            <w:tcW w:w="1064" w:type="dxa"/>
            <w:vMerge w:val="restart"/>
            <w:tcBorders>
              <w:top w:val="single" w:sz="4" w:space="0" w:color="5B9BD4"/>
              <w:left w:val="nil" w:sz="6" w:space="0" w:color="auto"/>
              <w:right w:val="nil" w:sz="6" w:space="0" w:color="auto"/>
            </w:tcBorders>
            <w:shd w:val="clear" w:color="auto" w:fill="DEEAF6"/>
          </w:tcPr>
          <w:p>
            <w:pPr/>
          </w:p>
        </w:tc>
        <w:tc>
          <w:tcPr>
            <w:tcW w:w="1986" w:type="dxa"/>
            <w:gridSpan w:val="2"/>
            <w:tcBorders>
              <w:top w:val="single" w:sz="4" w:space="0" w:color="5B9BD4"/>
              <w:left w:val="nil" w:sz="6" w:space="0" w:color="auto"/>
              <w:bottom w:val="nil" w:sz="6" w:space="0" w:color="auto"/>
              <w:right w:val="nil" w:sz="6" w:space="0" w:color="auto"/>
            </w:tcBorders>
            <w:shd w:val="clear" w:color="auto" w:fill="DEEAF6"/>
          </w:tcPr>
          <w:p>
            <w:pPr/>
          </w:p>
        </w:tc>
        <w:tc>
          <w:tcPr>
            <w:tcW w:w="850"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7"/>
              <w:ind w:left="65" w:right="62"/>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51"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7"/>
              <w:ind w:left="65" w:right="63"/>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51"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7"/>
              <w:ind w:left="65" w:right="63"/>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51" w:type="dxa"/>
            <w:tcBorders>
              <w:top w:val="single" w:sz="4" w:space="0" w:color="5B9BD4"/>
              <w:left w:val="nil" w:sz="6" w:space="0" w:color="auto"/>
              <w:bottom w:val="nil" w:sz="6" w:space="0" w:color="auto"/>
              <w:right w:val="nil" w:sz="6" w:space="0" w:color="auto"/>
            </w:tcBorders>
            <w:shd w:val="clear" w:color="auto" w:fill="DEEAF6"/>
          </w:tcPr>
          <w:p>
            <w:pPr/>
          </w:p>
        </w:tc>
        <w:tc>
          <w:tcPr>
            <w:tcW w:w="850"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7"/>
              <w:ind w:left="65" w:right="62"/>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37" w:type="dxa"/>
            <w:tcBorders>
              <w:top w:val="single" w:sz="4" w:space="0" w:color="5B9BD4"/>
              <w:left w:val="nil" w:sz="6" w:space="0" w:color="auto"/>
              <w:bottom w:val="nil" w:sz="6" w:space="0" w:color="auto"/>
              <w:right w:val="nil" w:sz="6" w:space="0" w:color="auto"/>
            </w:tcBorders>
            <w:shd w:val="clear" w:color="auto" w:fill="DEEAF6"/>
          </w:tcPr>
          <w:p>
            <w:pPr/>
          </w:p>
        </w:tc>
      </w:tr>
      <w:tr>
        <w:trPr>
          <w:trHeight w:val="156" w:hRule="exact"/>
        </w:trPr>
        <w:tc>
          <w:tcPr>
            <w:tcW w:w="1730" w:type="dxa"/>
            <w:gridSpan w:val="2"/>
            <w:vMerge/>
            <w:tcBorders>
              <w:left w:val="nil" w:sz="6" w:space="0" w:color="auto"/>
              <w:right w:val="nil" w:sz="6" w:space="0" w:color="auto"/>
            </w:tcBorders>
            <w:shd w:val="clear" w:color="auto" w:fill="DEEAF6"/>
          </w:tcPr>
          <w:p>
            <w:pPr/>
          </w:p>
        </w:tc>
        <w:tc>
          <w:tcPr>
            <w:tcW w:w="1064" w:type="dxa"/>
            <w:vMerge/>
            <w:tcBorders>
              <w:left w:val="nil" w:sz="6" w:space="0" w:color="auto"/>
              <w:bottom w:val="nil" w:sz="6" w:space="0" w:color="auto"/>
              <w:right w:val="nil" w:sz="6" w:space="0" w:color="auto"/>
            </w:tcBorders>
            <w:shd w:val="clear" w:color="auto" w:fill="DEEAF6"/>
          </w:tcPr>
          <w:p>
            <w:pPr/>
          </w:p>
        </w:tc>
        <w:tc>
          <w:tcPr>
            <w:tcW w:w="1001"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45" w:right="54"/>
              <w:jc w:val="center"/>
              <w:rPr>
                <w:rFonts w:ascii="宋体" w:hAnsi="宋体" w:cs="宋体" w:eastAsia="宋体" w:hint="default"/>
                <w:sz w:val="18"/>
                <w:szCs w:val="18"/>
              </w:rPr>
            </w:pPr>
            <w:r>
              <w:rPr>
                <w:rFonts w:ascii="宋体" w:hAnsi="宋体" w:cs="宋体" w:eastAsia="宋体" w:hint="default"/>
                <w:sz w:val="18"/>
                <w:szCs w:val="18"/>
              </w:rPr>
              <w:t>本期已使用 募集资金总 额</w:t>
            </w:r>
          </w:p>
        </w:tc>
        <w:tc>
          <w:tcPr>
            <w:tcW w:w="985"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38" w:right="44"/>
              <w:jc w:val="center"/>
              <w:rPr>
                <w:rFonts w:ascii="宋体" w:hAnsi="宋体" w:cs="宋体" w:eastAsia="宋体" w:hint="default"/>
                <w:sz w:val="18"/>
                <w:szCs w:val="18"/>
              </w:rPr>
            </w:pPr>
            <w:r>
              <w:rPr>
                <w:rFonts w:ascii="宋体" w:hAnsi="宋体" w:cs="宋体" w:eastAsia="宋体" w:hint="default"/>
                <w:sz w:val="18"/>
                <w:szCs w:val="18"/>
              </w:rPr>
              <w:t>已累计使用 募集资金总 额</w:t>
            </w:r>
          </w:p>
        </w:tc>
        <w:tc>
          <w:tcPr>
            <w:tcW w:w="850" w:type="dxa"/>
            <w:vMerge/>
            <w:tcBorders>
              <w:left w:val="nil" w:sz="6" w:space="0" w:color="auto"/>
              <w:right w:val="nil" w:sz="6" w:space="0" w:color="auto"/>
            </w:tcBorders>
            <w:shd w:val="clear" w:color="auto" w:fill="DEEAF6"/>
          </w:tcPr>
          <w:p>
            <w:pPr/>
          </w:p>
        </w:tc>
        <w:tc>
          <w:tcPr>
            <w:tcW w:w="851" w:type="dxa"/>
            <w:vMerge/>
            <w:tcBorders>
              <w:left w:val="nil" w:sz="6" w:space="0" w:color="auto"/>
              <w:right w:val="nil" w:sz="6" w:space="0" w:color="auto"/>
            </w:tcBorders>
            <w:shd w:val="clear" w:color="auto" w:fill="DEEAF6"/>
          </w:tcPr>
          <w:p>
            <w:pPr/>
          </w:p>
        </w:tc>
        <w:tc>
          <w:tcPr>
            <w:tcW w:w="851" w:type="dxa"/>
            <w:vMerge/>
            <w:tcBorders>
              <w:left w:val="nil" w:sz="6" w:space="0" w:color="auto"/>
              <w:right w:val="nil" w:sz="6" w:space="0" w:color="auto"/>
            </w:tcBorders>
            <w:shd w:val="clear" w:color="auto" w:fill="DEEAF6"/>
          </w:tcPr>
          <w:p>
            <w:pPr/>
          </w:p>
        </w:tc>
        <w:tc>
          <w:tcPr>
            <w:tcW w:w="851"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64" w:right="64"/>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50" w:type="dxa"/>
            <w:vMerge/>
            <w:tcBorders>
              <w:left w:val="nil" w:sz="6" w:space="0" w:color="auto"/>
              <w:right w:val="nil" w:sz="6" w:space="0" w:color="auto"/>
            </w:tcBorders>
            <w:shd w:val="clear" w:color="auto" w:fill="DEEAF6"/>
          </w:tcPr>
          <w:p>
            <w:pPr/>
          </w:p>
        </w:tc>
        <w:tc>
          <w:tcPr>
            <w:tcW w:w="837"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65" w:right="49"/>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56" w:hRule="exact"/>
        </w:trPr>
        <w:tc>
          <w:tcPr>
            <w:tcW w:w="1730" w:type="dxa"/>
            <w:gridSpan w:val="2"/>
            <w:vMerge/>
            <w:tcBorders>
              <w:left w:val="nil" w:sz="6" w:space="0" w:color="auto"/>
              <w:bottom w:val="nil" w:sz="6" w:space="0" w:color="auto"/>
              <w:right w:val="nil" w:sz="6" w:space="0" w:color="auto"/>
            </w:tcBorders>
            <w:shd w:val="clear" w:color="auto" w:fill="DEEAF6"/>
          </w:tcPr>
          <w:p>
            <w:pPr/>
          </w:p>
        </w:tc>
        <w:tc>
          <w:tcPr>
            <w:tcW w:w="1064"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435" w:right="86" w:hanging="360"/>
              <w:jc w:val="left"/>
              <w:rPr>
                <w:rFonts w:ascii="宋体" w:hAnsi="宋体" w:cs="宋体" w:eastAsia="宋体" w:hint="default"/>
                <w:sz w:val="18"/>
                <w:szCs w:val="18"/>
              </w:rPr>
            </w:pPr>
            <w:r>
              <w:rPr>
                <w:rFonts w:ascii="宋体" w:hAnsi="宋体" w:cs="宋体" w:eastAsia="宋体" w:hint="default"/>
                <w:sz w:val="18"/>
                <w:szCs w:val="18"/>
              </w:rPr>
              <w:t>募集资金总 额</w:t>
            </w:r>
          </w:p>
        </w:tc>
        <w:tc>
          <w:tcPr>
            <w:tcW w:w="1001" w:type="dxa"/>
            <w:vMerge/>
            <w:tcBorders>
              <w:left w:val="nil" w:sz="6" w:space="0" w:color="auto"/>
              <w:right w:val="nil" w:sz="6" w:space="0" w:color="auto"/>
            </w:tcBorders>
            <w:shd w:val="clear" w:color="auto" w:fill="DEEAF6"/>
          </w:tcPr>
          <w:p>
            <w:pPr/>
          </w:p>
        </w:tc>
        <w:tc>
          <w:tcPr>
            <w:tcW w:w="985" w:type="dxa"/>
            <w:vMerge/>
            <w:tcBorders>
              <w:left w:val="nil" w:sz="6" w:space="0" w:color="auto"/>
              <w:right w:val="nil" w:sz="6" w:space="0" w:color="auto"/>
            </w:tcBorders>
            <w:shd w:val="clear" w:color="auto" w:fill="DEEAF6"/>
          </w:tcPr>
          <w:p>
            <w:pPr/>
          </w:p>
        </w:tc>
        <w:tc>
          <w:tcPr>
            <w:tcW w:w="850" w:type="dxa"/>
            <w:vMerge/>
            <w:tcBorders>
              <w:left w:val="nil" w:sz="6" w:space="0" w:color="auto"/>
              <w:right w:val="nil" w:sz="6" w:space="0" w:color="auto"/>
            </w:tcBorders>
            <w:shd w:val="clear" w:color="auto" w:fill="DEEAF6"/>
          </w:tcPr>
          <w:p>
            <w:pPr/>
          </w:p>
        </w:tc>
        <w:tc>
          <w:tcPr>
            <w:tcW w:w="851" w:type="dxa"/>
            <w:vMerge/>
            <w:tcBorders>
              <w:left w:val="nil" w:sz="6" w:space="0" w:color="auto"/>
              <w:right w:val="nil" w:sz="6" w:space="0" w:color="auto"/>
            </w:tcBorders>
            <w:shd w:val="clear" w:color="auto" w:fill="DEEAF6"/>
          </w:tcPr>
          <w:p>
            <w:pPr/>
          </w:p>
        </w:tc>
        <w:tc>
          <w:tcPr>
            <w:tcW w:w="851" w:type="dxa"/>
            <w:vMerge/>
            <w:tcBorders>
              <w:left w:val="nil" w:sz="6" w:space="0" w:color="auto"/>
              <w:right w:val="nil" w:sz="6" w:space="0" w:color="auto"/>
            </w:tcBorders>
            <w:shd w:val="clear" w:color="auto" w:fill="DEEAF6"/>
          </w:tcPr>
          <w:p>
            <w:pPr/>
          </w:p>
        </w:tc>
        <w:tc>
          <w:tcPr>
            <w:tcW w:w="851" w:type="dxa"/>
            <w:vMerge/>
            <w:tcBorders>
              <w:left w:val="nil" w:sz="6" w:space="0" w:color="auto"/>
              <w:right w:val="nil" w:sz="6" w:space="0" w:color="auto"/>
            </w:tcBorders>
            <w:shd w:val="clear" w:color="auto" w:fill="DEEAF6"/>
          </w:tcPr>
          <w:p>
            <w:pPr/>
          </w:p>
        </w:tc>
        <w:tc>
          <w:tcPr>
            <w:tcW w:w="850" w:type="dxa"/>
            <w:vMerge/>
            <w:tcBorders>
              <w:left w:val="nil" w:sz="6" w:space="0" w:color="auto"/>
              <w:right w:val="nil" w:sz="6" w:space="0" w:color="auto"/>
            </w:tcBorders>
            <w:shd w:val="clear" w:color="auto" w:fill="DEEAF6"/>
          </w:tcPr>
          <w:p>
            <w:pPr/>
          </w:p>
        </w:tc>
        <w:tc>
          <w:tcPr>
            <w:tcW w:w="837" w:type="dxa"/>
            <w:vMerge/>
            <w:tcBorders>
              <w:left w:val="nil" w:sz="6" w:space="0" w:color="auto"/>
              <w:right w:val="nil" w:sz="6" w:space="0" w:color="auto"/>
            </w:tcBorders>
            <w:shd w:val="clear" w:color="auto" w:fill="DEEAF6"/>
          </w:tcPr>
          <w:p>
            <w:pPr/>
          </w:p>
        </w:tc>
      </w:tr>
      <w:tr>
        <w:trPr>
          <w:trHeight w:val="391" w:hRule="exact"/>
        </w:trPr>
        <w:tc>
          <w:tcPr>
            <w:tcW w:w="845"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58"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84"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right="5"/>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1064" w:type="dxa"/>
            <w:vMerge/>
            <w:tcBorders>
              <w:left w:val="nil" w:sz="6" w:space="0" w:color="auto"/>
              <w:right w:val="nil" w:sz="6" w:space="0" w:color="auto"/>
            </w:tcBorders>
            <w:shd w:val="clear" w:color="auto" w:fill="DEEAF6"/>
          </w:tcPr>
          <w:p>
            <w:pPr/>
          </w:p>
        </w:tc>
        <w:tc>
          <w:tcPr>
            <w:tcW w:w="1001" w:type="dxa"/>
            <w:vMerge/>
            <w:tcBorders>
              <w:left w:val="nil" w:sz="6" w:space="0" w:color="auto"/>
              <w:right w:val="nil" w:sz="6" w:space="0" w:color="auto"/>
            </w:tcBorders>
            <w:shd w:val="clear" w:color="auto" w:fill="DEEAF6"/>
          </w:tcPr>
          <w:p>
            <w:pPr/>
          </w:p>
        </w:tc>
        <w:tc>
          <w:tcPr>
            <w:tcW w:w="985" w:type="dxa"/>
            <w:vMerge/>
            <w:tcBorders>
              <w:left w:val="nil" w:sz="6" w:space="0" w:color="auto"/>
              <w:right w:val="nil" w:sz="6" w:space="0" w:color="auto"/>
            </w:tcBorders>
            <w:shd w:val="clear" w:color="auto" w:fill="DEEAF6"/>
          </w:tcPr>
          <w:p>
            <w:pPr/>
          </w:p>
        </w:tc>
        <w:tc>
          <w:tcPr>
            <w:tcW w:w="850" w:type="dxa"/>
            <w:vMerge/>
            <w:tcBorders>
              <w:left w:val="nil" w:sz="6" w:space="0" w:color="auto"/>
              <w:right w:val="nil" w:sz="6" w:space="0" w:color="auto"/>
            </w:tcBorders>
            <w:shd w:val="clear" w:color="auto" w:fill="DEEAF6"/>
          </w:tcPr>
          <w:p>
            <w:pPr/>
          </w:p>
        </w:tc>
        <w:tc>
          <w:tcPr>
            <w:tcW w:w="851" w:type="dxa"/>
            <w:vMerge/>
            <w:tcBorders>
              <w:left w:val="nil" w:sz="6" w:space="0" w:color="auto"/>
              <w:right w:val="nil" w:sz="6" w:space="0" w:color="auto"/>
            </w:tcBorders>
            <w:shd w:val="clear" w:color="auto" w:fill="DEEAF6"/>
          </w:tcPr>
          <w:p>
            <w:pPr/>
          </w:p>
        </w:tc>
        <w:tc>
          <w:tcPr>
            <w:tcW w:w="851" w:type="dxa"/>
            <w:vMerge/>
            <w:tcBorders>
              <w:left w:val="nil" w:sz="6" w:space="0" w:color="auto"/>
              <w:right w:val="nil" w:sz="6" w:space="0" w:color="auto"/>
            </w:tcBorders>
            <w:shd w:val="clear" w:color="auto" w:fill="DEEAF6"/>
          </w:tcPr>
          <w:p>
            <w:pPr/>
          </w:p>
        </w:tc>
        <w:tc>
          <w:tcPr>
            <w:tcW w:w="851" w:type="dxa"/>
            <w:vMerge/>
            <w:tcBorders>
              <w:left w:val="nil" w:sz="6" w:space="0" w:color="auto"/>
              <w:right w:val="nil" w:sz="6" w:space="0" w:color="auto"/>
            </w:tcBorders>
            <w:shd w:val="clear" w:color="auto" w:fill="DEEAF6"/>
          </w:tcPr>
          <w:p>
            <w:pPr/>
          </w:p>
        </w:tc>
        <w:tc>
          <w:tcPr>
            <w:tcW w:w="850" w:type="dxa"/>
            <w:vMerge/>
            <w:tcBorders>
              <w:left w:val="nil" w:sz="6" w:space="0" w:color="auto"/>
              <w:right w:val="nil" w:sz="6" w:space="0" w:color="auto"/>
            </w:tcBorders>
            <w:shd w:val="clear" w:color="auto" w:fill="DEEAF6"/>
          </w:tcPr>
          <w:p>
            <w:pPr/>
          </w:p>
        </w:tc>
        <w:tc>
          <w:tcPr>
            <w:tcW w:w="837" w:type="dxa"/>
            <w:vMerge/>
            <w:tcBorders>
              <w:left w:val="nil" w:sz="6" w:space="0" w:color="auto"/>
              <w:right w:val="nil" w:sz="6" w:space="0" w:color="auto"/>
            </w:tcBorders>
            <w:shd w:val="clear" w:color="auto" w:fill="DEEAF6"/>
          </w:tcPr>
          <w:p>
            <w:pPr/>
          </w:p>
        </w:tc>
      </w:tr>
      <w:tr>
        <w:trPr>
          <w:trHeight w:val="156" w:hRule="exact"/>
        </w:trPr>
        <w:tc>
          <w:tcPr>
            <w:tcW w:w="1730" w:type="dxa"/>
            <w:gridSpan w:val="2"/>
            <w:vMerge w:val="restart"/>
            <w:tcBorders>
              <w:top w:val="nil" w:sz="6" w:space="0" w:color="auto"/>
              <w:left w:val="nil" w:sz="6" w:space="0" w:color="auto"/>
              <w:right w:val="nil" w:sz="6" w:space="0" w:color="auto"/>
            </w:tcBorders>
            <w:shd w:val="clear" w:color="auto" w:fill="DEEAF6"/>
          </w:tcPr>
          <w:p>
            <w:pPr/>
          </w:p>
        </w:tc>
        <w:tc>
          <w:tcPr>
            <w:tcW w:w="1064" w:type="dxa"/>
            <w:vMerge/>
            <w:tcBorders>
              <w:left w:val="nil" w:sz="6" w:space="0" w:color="auto"/>
              <w:bottom w:val="nil" w:sz="6" w:space="0" w:color="auto"/>
              <w:right w:val="nil" w:sz="6" w:space="0" w:color="auto"/>
            </w:tcBorders>
            <w:shd w:val="clear" w:color="auto" w:fill="DEEAF6"/>
          </w:tcPr>
          <w:p>
            <w:pPr/>
          </w:p>
        </w:tc>
        <w:tc>
          <w:tcPr>
            <w:tcW w:w="1001" w:type="dxa"/>
            <w:vMerge/>
            <w:tcBorders>
              <w:left w:val="nil" w:sz="6" w:space="0" w:color="auto"/>
              <w:right w:val="nil" w:sz="6" w:space="0" w:color="auto"/>
            </w:tcBorders>
            <w:shd w:val="clear" w:color="auto" w:fill="DEEAF6"/>
          </w:tcPr>
          <w:p>
            <w:pPr/>
          </w:p>
        </w:tc>
        <w:tc>
          <w:tcPr>
            <w:tcW w:w="985" w:type="dxa"/>
            <w:vMerge/>
            <w:tcBorders>
              <w:left w:val="nil" w:sz="6" w:space="0" w:color="auto"/>
              <w:right w:val="nil" w:sz="6" w:space="0" w:color="auto"/>
            </w:tcBorders>
            <w:shd w:val="clear" w:color="auto" w:fill="DEEAF6"/>
          </w:tcPr>
          <w:p>
            <w:pPr/>
          </w:p>
        </w:tc>
        <w:tc>
          <w:tcPr>
            <w:tcW w:w="850" w:type="dxa"/>
            <w:vMerge/>
            <w:tcBorders>
              <w:left w:val="nil" w:sz="6" w:space="0" w:color="auto"/>
              <w:right w:val="nil" w:sz="6" w:space="0" w:color="auto"/>
            </w:tcBorders>
            <w:shd w:val="clear" w:color="auto" w:fill="DEEAF6"/>
          </w:tcPr>
          <w:p>
            <w:pPr/>
          </w:p>
        </w:tc>
        <w:tc>
          <w:tcPr>
            <w:tcW w:w="851" w:type="dxa"/>
            <w:vMerge/>
            <w:tcBorders>
              <w:left w:val="nil" w:sz="6" w:space="0" w:color="auto"/>
              <w:right w:val="nil" w:sz="6" w:space="0" w:color="auto"/>
            </w:tcBorders>
            <w:shd w:val="clear" w:color="auto" w:fill="DEEAF6"/>
          </w:tcPr>
          <w:p>
            <w:pPr/>
          </w:p>
        </w:tc>
        <w:tc>
          <w:tcPr>
            <w:tcW w:w="851" w:type="dxa"/>
            <w:vMerge/>
            <w:tcBorders>
              <w:left w:val="nil" w:sz="6" w:space="0" w:color="auto"/>
              <w:right w:val="nil" w:sz="6" w:space="0" w:color="auto"/>
            </w:tcBorders>
            <w:shd w:val="clear" w:color="auto" w:fill="DEEAF6"/>
          </w:tcPr>
          <w:p>
            <w:pPr/>
          </w:p>
        </w:tc>
        <w:tc>
          <w:tcPr>
            <w:tcW w:w="851" w:type="dxa"/>
            <w:vMerge/>
            <w:tcBorders>
              <w:left w:val="nil" w:sz="6" w:space="0" w:color="auto"/>
              <w:right w:val="nil" w:sz="6" w:space="0" w:color="auto"/>
            </w:tcBorders>
            <w:shd w:val="clear" w:color="auto" w:fill="DEEAF6"/>
          </w:tcPr>
          <w:p>
            <w:pPr/>
          </w:p>
        </w:tc>
        <w:tc>
          <w:tcPr>
            <w:tcW w:w="850" w:type="dxa"/>
            <w:vMerge/>
            <w:tcBorders>
              <w:left w:val="nil" w:sz="6" w:space="0" w:color="auto"/>
              <w:right w:val="nil" w:sz="6" w:space="0" w:color="auto"/>
            </w:tcBorders>
            <w:shd w:val="clear" w:color="auto" w:fill="DEEAF6"/>
          </w:tcPr>
          <w:p>
            <w:pPr/>
          </w:p>
        </w:tc>
        <w:tc>
          <w:tcPr>
            <w:tcW w:w="837" w:type="dxa"/>
            <w:vMerge/>
            <w:tcBorders>
              <w:left w:val="nil" w:sz="6" w:space="0" w:color="auto"/>
              <w:right w:val="nil" w:sz="6" w:space="0" w:color="auto"/>
            </w:tcBorders>
            <w:shd w:val="clear" w:color="auto" w:fill="DEEAF6"/>
          </w:tcPr>
          <w:p>
            <w:pPr/>
          </w:p>
        </w:tc>
      </w:tr>
      <w:tr>
        <w:trPr>
          <w:trHeight w:val="156" w:hRule="exact"/>
        </w:trPr>
        <w:tc>
          <w:tcPr>
            <w:tcW w:w="1730" w:type="dxa"/>
            <w:gridSpan w:val="2"/>
            <w:vMerge/>
            <w:tcBorders>
              <w:left w:val="nil" w:sz="6" w:space="0" w:color="auto"/>
              <w:right w:val="nil" w:sz="6" w:space="0" w:color="auto"/>
            </w:tcBorders>
            <w:shd w:val="clear" w:color="auto" w:fill="DEEAF6"/>
          </w:tcPr>
          <w:p>
            <w:pPr/>
          </w:p>
        </w:tc>
        <w:tc>
          <w:tcPr>
            <w:tcW w:w="1064" w:type="dxa"/>
            <w:vMerge w:val="restart"/>
            <w:tcBorders>
              <w:top w:val="nil" w:sz="6" w:space="0" w:color="auto"/>
              <w:left w:val="nil" w:sz="6" w:space="0" w:color="auto"/>
              <w:right w:val="nil" w:sz="6" w:space="0" w:color="auto"/>
            </w:tcBorders>
            <w:shd w:val="clear" w:color="auto" w:fill="DEEAF6"/>
          </w:tcPr>
          <w:p>
            <w:pPr/>
          </w:p>
        </w:tc>
        <w:tc>
          <w:tcPr>
            <w:tcW w:w="1001" w:type="dxa"/>
            <w:vMerge/>
            <w:tcBorders>
              <w:left w:val="nil" w:sz="6" w:space="0" w:color="auto"/>
              <w:bottom w:val="nil" w:sz="6" w:space="0" w:color="auto"/>
              <w:right w:val="nil" w:sz="6" w:space="0" w:color="auto"/>
            </w:tcBorders>
            <w:shd w:val="clear" w:color="auto" w:fill="DEEAF6"/>
          </w:tcPr>
          <w:p>
            <w:pPr/>
          </w:p>
        </w:tc>
        <w:tc>
          <w:tcPr>
            <w:tcW w:w="985" w:type="dxa"/>
            <w:vMerge/>
            <w:tcBorders>
              <w:left w:val="nil" w:sz="6" w:space="0" w:color="auto"/>
              <w:bottom w:val="nil" w:sz="6" w:space="0" w:color="auto"/>
              <w:right w:val="nil" w:sz="6" w:space="0" w:color="auto"/>
            </w:tcBorders>
            <w:shd w:val="clear" w:color="auto" w:fill="DEEAF6"/>
          </w:tcPr>
          <w:p>
            <w:pPr/>
          </w:p>
        </w:tc>
        <w:tc>
          <w:tcPr>
            <w:tcW w:w="850" w:type="dxa"/>
            <w:vMerge/>
            <w:tcBorders>
              <w:left w:val="nil" w:sz="6" w:space="0" w:color="auto"/>
              <w:right w:val="nil" w:sz="6" w:space="0" w:color="auto"/>
            </w:tcBorders>
            <w:shd w:val="clear" w:color="auto" w:fill="DEEAF6"/>
          </w:tcPr>
          <w:p>
            <w:pPr/>
          </w:p>
        </w:tc>
        <w:tc>
          <w:tcPr>
            <w:tcW w:w="851" w:type="dxa"/>
            <w:vMerge/>
            <w:tcBorders>
              <w:left w:val="nil" w:sz="6" w:space="0" w:color="auto"/>
              <w:right w:val="nil" w:sz="6" w:space="0" w:color="auto"/>
            </w:tcBorders>
            <w:shd w:val="clear" w:color="auto" w:fill="DEEAF6"/>
          </w:tcPr>
          <w:p>
            <w:pPr/>
          </w:p>
        </w:tc>
        <w:tc>
          <w:tcPr>
            <w:tcW w:w="851" w:type="dxa"/>
            <w:vMerge/>
            <w:tcBorders>
              <w:left w:val="nil" w:sz="6" w:space="0" w:color="auto"/>
              <w:right w:val="nil" w:sz="6" w:space="0" w:color="auto"/>
            </w:tcBorders>
            <w:shd w:val="clear" w:color="auto" w:fill="DEEAF6"/>
          </w:tcPr>
          <w:p>
            <w:pPr/>
          </w:p>
        </w:tc>
        <w:tc>
          <w:tcPr>
            <w:tcW w:w="851" w:type="dxa"/>
            <w:vMerge/>
            <w:tcBorders>
              <w:left w:val="nil" w:sz="6" w:space="0" w:color="auto"/>
              <w:bottom w:val="nil" w:sz="6" w:space="0" w:color="auto"/>
              <w:right w:val="nil" w:sz="6" w:space="0" w:color="auto"/>
            </w:tcBorders>
            <w:shd w:val="clear" w:color="auto" w:fill="DEEAF6"/>
          </w:tcPr>
          <w:p>
            <w:pPr/>
          </w:p>
        </w:tc>
        <w:tc>
          <w:tcPr>
            <w:tcW w:w="850" w:type="dxa"/>
            <w:vMerge/>
            <w:tcBorders>
              <w:left w:val="nil" w:sz="6" w:space="0" w:color="auto"/>
              <w:right w:val="nil" w:sz="6" w:space="0" w:color="auto"/>
            </w:tcBorders>
            <w:shd w:val="clear" w:color="auto" w:fill="DEEAF6"/>
          </w:tcPr>
          <w:p>
            <w:pPr/>
          </w:p>
        </w:tc>
        <w:tc>
          <w:tcPr>
            <w:tcW w:w="837" w:type="dxa"/>
            <w:vMerge/>
            <w:tcBorders>
              <w:left w:val="nil" w:sz="6" w:space="0" w:color="auto"/>
              <w:bottom w:val="nil" w:sz="6" w:space="0" w:color="auto"/>
              <w:right w:val="nil" w:sz="6" w:space="0" w:color="auto"/>
            </w:tcBorders>
            <w:shd w:val="clear" w:color="auto" w:fill="DEEAF6"/>
          </w:tcPr>
          <w:p>
            <w:pPr/>
          </w:p>
        </w:tc>
      </w:tr>
      <w:tr>
        <w:trPr>
          <w:trHeight w:val="161" w:hRule="exact"/>
        </w:trPr>
        <w:tc>
          <w:tcPr>
            <w:tcW w:w="1730" w:type="dxa"/>
            <w:gridSpan w:val="2"/>
            <w:vMerge/>
            <w:tcBorders>
              <w:left w:val="nil" w:sz="6" w:space="0" w:color="auto"/>
              <w:bottom w:val="single" w:sz="4" w:space="0" w:color="5B9BD4"/>
              <w:right w:val="nil" w:sz="6" w:space="0" w:color="auto"/>
            </w:tcBorders>
            <w:shd w:val="clear" w:color="auto" w:fill="DEEAF6"/>
          </w:tcPr>
          <w:p>
            <w:pPr/>
          </w:p>
        </w:tc>
        <w:tc>
          <w:tcPr>
            <w:tcW w:w="1064" w:type="dxa"/>
            <w:vMerge/>
            <w:tcBorders>
              <w:left w:val="nil" w:sz="6" w:space="0" w:color="auto"/>
              <w:bottom w:val="single" w:sz="4" w:space="0" w:color="5B9BD4"/>
              <w:right w:val="nil" w:sz="6" w:space="0" w:color="auto"/>
            </w:tcBorders>
            <w:shd w:val="clear" w:color="auto" w:fill="DEEAF6"/>
          </w:tcPr>
          <w:p>
            <w:pPr/>
          </w:p>
        </w:tc>
        <w:tc>
          <w:tcPr>
            <w:tcW w:w="1986" w:type="dxa"/>
            <w:gridSpan w:val="2"/>
            <w:tcBorders>
              <w:top w:val="nil" w:sz="6" w:space="0" w:color="auto"/>
              <w:left w:val="nil" w:sz="6" w:space="0" w:color="auto"/>
              <w:bottom w:val="single" w:sz="4" w:space="0" w:color="5B9BD4"/>
              <w:right w:val="nil" w:sz="6" w:space="0" w:color="auto"/>
            </w:tcBorders>
            <w:shd w:val="clear" w:color="auto" w:fill="DEEAF6"/>
          </w:tcPr>
          <w:p>
            <w:pPr/>
          </w:p>
        </w:tc>
        <w:tc>
          <w:tcPr>
            <w:tcW w:w="850" w:type="dxa"/>
            <w:vMerge/>
            <w:tcBorders>
              <w:left w:val="nil" w:sz="6" w:space="0" w:color="auto"/>
              <w:bottom w:val="single" w:sz="4" w:space="0" w:color="5B9BD4"/>
              <w:right w:val="nil" w:sz="6" w:space="0" w:color="auto"/>
            </w:tcBorders>
            <w:shd w:val="clear" w:color="auto" w:fill="DEEAF6"/>
          </w:tcPr>
          <w:p>
            <w:pPr/>
          </w:p>
        </w:tc>
        <w:tc>
          <w:tcPr>
            <w:tcW w:w="851" w:type="dxa"/>
            <w:vMerge/>
            <w:tcBorders>
              <w:left w:val="nil" w:sz="6" w:space="0" w:color="auto"/>
              <w:bottom w:val="single" w:sz="4" w:space="0" w:color="5B9BD4"/>
              <w:right w:val="nil" w:sz="6" w:space="0" w:color="auto"/>
            </w:tcBorders>
            <w:shd w:val="clear" w:color="auto" w:fill="DEEAF6"/>
          </w:tcPr>
          <w:p>
            <w:pPr/>
          </w:p>
        </w:tc>
        <w:tc>
          <w:tcPr>
            <w:tcW w:w="851" w:type="dxa"/>
            <w:vMerge/>
            <w:tcBorders>
              <w:left w:val="nil" w:sz="6" w:space="0" w:color="auto"/>
              <w:bottom w:val="single" w:sz="4" w:space="0" w:color="5B9BD4"/>
              <w:right w:val="nil" w:sz="6" w:space="0" w:color="auto"/>
            </w:tcBorders>
            <w:shd w:val="clear" w:color="auto" w:fill="DEEAF6"/>
          </w:tcPr>
          <w:p>
            <w:pPr/>
          </w:p>
        </w:tc>
        <w:tc>
          <w:tcPr>
            <w:tcW w:w="851" w:type="dxa"/>
            <w:tcBorders>
              <w:top w:val="nil" w:sz="6" w:space="0" w:color="auto"/>
              <w:left w:val="nil" w:sz="6" w:space="0" w:color="auto"/>
              <w:bottom w:val="single" w:sz="4" w:space="0" w:color="5B9BD4"/>
              <w:right w:val="nil" w:sz="6" w:space="0" w:color="auto"/>
            </w:tcBorders>
            <w:shd w:val="clear" w:color="auto" w:fill="DEEAF6"/>
          </w:tcPr>
          <w:p>
            <w:pPr/>
          </w:p>
        </w:tc>
        <w:tc>
          <w:tcPr>
            <w:tcW w:w="850" w:type="dxa"/>
            <w:vMerge/>
            <w:tcBorders>
              <w:left w:val="nil" w:sz="6" w:space="0" w:color="auto"/>
              <w:bottom w:val="single" w:sz="4" w:space="0" w:color="5B9BD4"/>
              <w:right w:val="nil" w:sz="6" w:space="0" w:color="auto"/>
            </w:tcBorders>
            <w:shd w:val="clear" w:color="auto" w:fill="DEEAF6"/>
          </w:tcPr>
          <w:p>
            <w:pPr/>
          </w:p>
        </w:tc>
        <w:tc>
          <w:tcPr>
            <w:tcW w:w="837" w:type="dxa"/>
            <w:tcBorders>
              <w:top w:val="nil" w:sz="6" w:space="0" w:color="auto"/>
              <w:left w:val="nil" w:sz="6" w:space="0" w:color="auto"/>
              <w:bottom w:val="single" w:sz="4" w:space="0" w:color="5B9BD4"/>
              <w:right w:val="nil" w:sz="6" w:space="0" w:color="auto"/>
            </w:tcBorders>
            <w:shd w:val="clear" w:color="auto" w:fill="DEEAF6"/>
          </w:tcPr>
          <w:p>
            <w:pPr/>
          </w:p>
        </w:tc>
      </w:tr>
      <w:tr>
        <w:trPr>
          <w:trHeight w:val="317" w:hRule="exact"/>
        </w:trPr>
        <w:tc>
          <w:tcPr>
            <w:tcW w:w="845" w:type="dxa"/>
            <w:tcBorders>
              <w:top w:val="single" w:sz="4" w:space="0" w:color="5B9BD4"/>
              <w:left w:val="nil" w:sz="6" w:space="0" w:color="auto"/>
              <w:bottom w:val="nil" w:sz="6" w:space="0" w:color="auto"/>
              <w:right w:val="nil" w:sz="6" w:space="0" w:color="auto"/>
            </w:tcBorders>
            <w:shd w:val="clear" w:color="auto" w:fill="DEEAF6"/>
          </w:tcPr>
          <w:p>
            <w:pPr/>
          </w:p>
        </w:tc>
        <w:tc>
          <w:tcPr>
            <w:tcW w:w="884" w:type="dxa"/>
            <w:vMerge w:val="restart"/>
            <w:tcBorders>
              <w:top w:val="single" w:sz="4" w:space="0" w:color="5B9BD4"/>
              <w:left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35" w:right="128"/>
              <w:jc w:val="left"/>
              <w:rPr>
                <w:rFonts w:ascii="宋体" w:hAnsi="宋体" w:cs="宋体" w:eastAsia="宋体" w:hint="default"/>
                <w:sz w:val="18"/>
                <w:szCs w:val="18"/>
              </w:rPr>
            </w:pPr>
            <w:r>
              <w:rPr>
                <w:rFonts w:ascii="宋体" w:hAnsi="宋体" w:cs="宋体" w:eastAsia="宋体" w:hint="default"/>
                <w:sz w:val="18"/>
                <w:szCs w:val="18"/>
              </w:rPr>
              <w:t>首次公开 发行股票</w:t>
            </w:r>
          </w:p>
        </w:tc>
        <w:tc>
          <w:tcPr>
            <w:tcW w:w="1064" w:type="dxa"/>
            <w:tcBorders>
              <w:top w:val="single" w:sz="4" w:space="0" w:color="5B9BD4"/>
              <w:left w:val="nil" w:sz="6" w:space="0" w:color="auto"/>
              <w:bottom w:val="nil" w:sz="6" w:space="0" w:color="auto"/>
              <w:right w:val="nil" w:sz="6" w:space="0" w:color="auto"/>
            </w:tcBorders>
            <w:shd w:val="clear" w:color="auto" w:fill="DEEAF6"/>
          </w:tcPr>
          <w:p>
            <w:pPr/>
          </w:p>
        </w:tc>
        <w:tc>
          <w:tcPr>
            <w:tcW w:w="1001"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16" w:right="0"/>
              <w:jc w:val="left"/>
              <w:rPr>
                <w:rFonts w:ascii="Arial" w:hAnsi="Arial" w:cs="Arial" w:eastAsia="Arial" w:hint="default"/>
                <w:sz w:val="18"/>
                <w:szCs w:val="18"/>
              </w:rPr>
            </w:pPr>
            <w:r>
              <w:rPr>
                <w:rFonts w:ascii="Arial"/>
                <w:sz w:val="18"/>
              </w:rPr>
              <w:t>614.17</w:t>
            </w:r>
          </w:p>
        </w:tc>
        <w:tc>
          <w:tcPr>
            <w:tcW w:w="985" w:type="dxa"/>
            <w:tcBorders>
              <w:top w:val="single" w:sz="4" w:space="0" w:color="5B9BD4"/>
              <w:left w:val="nil" w:sz="6" w:space="0" w:color="auto"/>
              <w:bottom w:val="nil" w:sz="6" w:space="0" w:color="auto"/>
              <w:right w:val="nil" w:sz="6" w:space="0" w:color="auto"/>
            </w:tcBorders>
            <w:shd w:val="clear" w:color="auto" w:fill="DEEAF6"/>
          </w:tcPr>
          <w:p>
            <w:pPr/>
          </w:p>
        </w:tc>
        <w:tc>
          <w:tcPr>
            <w:tcW w:w="850"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4"/>
              <w:jc w:val="right"/>
              <w:rPr>
                <w:rFonts w:ascii="Arial" w:hAnsi="Arial" w:cs="Arial" w:eastAsia="Arial" w:hint="default"/>
                <w:sz w:val="18"/>
                <w:szCs w:val="18"/>
              </w:rPr>
            </w:pPr>
            <w:r>
              <w:rPr>
                <w:rFonts w:ascii="Arial"/>
                <w:w w:val="99"/>
                <w:sz w:val="18"/>
              </w:rPr>
              <w:t>0</w:t>
            </w:r>
            <w:r>
              <w:rPr>
                <w:rFonts w:ascii="Arial"/>
                <w:sz w:val="18"/>
              </w:rPr>
            </w:r>
          </w:p>
        </w:tc>
        <w:tc>
          <w:tcPr>
            <w:tcW w:w="851" w:type="dxa"/>
            <w:tcBorders>
              <w:top w:val="single" w:sz="4" w:space="0" w:color="5B9BD4"/>
              <w:left w:val="nil" w:sz="6" w:space="0" w:color="auto"/>
              <w:bottom w:val="nil" w:sz="6" w:space="0" w:color="auto"/>
              <w:right w:val="nil" w:sz="6" w:space="0" w:color="auto"/>
            </w:tcBorders>
            <w:shd w:val="clear" w:color="auto" w:fill="DEEAF6"/>
          </w:tcPr>
          <w:p>
            <w:pPr/>
          </w:p>
        </w:tc>
        <w:tc>
          <w:tcPr>
            <w:tcW w:w="851"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34" w:right="0"/>
              <w:jc w:val="left"/>
              <w:rPr>
                <w:rFonts w:ascii="Arial" w:hAnsi="Arial" w:cs="Arial" w:eastAsia="Arial" w:hint="default"/>
                <w:sz w:val="18"/>
                <w:szCs w:val="18"/>
              </w:rPr>
            </w:pPr>
            <w:r>
              <w:rPr>
                <w:rFonts w:ascii="Arial"/>
                <w:w w:val="95"/>
                <w:sz w:val="18"/>
              </w:rPr>
              <w:t>0.00%</w:t>
            </w:r>
            <w:r>
              <w:rPr>
                <w:rFonts w:ascii="Arial"/>
                <w:sz w:val="18"/>
              </w:rPr>
            </w:r>
          </w:p>
        </w:tc>
        <w:tc>
          <w:tcPr>
            <w:tcW w:w="851" w:type="dxa"/>
            <w:tcBorders>
              <w:top w:val="single" w:sz="4" w:space="0" w:color="5B9BD4"/>
              <w:left w:val="nil" w:sz="6" w:space="0" w:color="auto"/>
              <w:bottom w:val="nil" w:sz="6" w:space="0" w:color="auto"/>
              <w:right w:val="nil" w:sz="6" w:space="0" w:color="auto"/>
            </w:tcBorders>
            <w:shd w:val="clear" w:color="auto" w:fill="DEEAF6"/>
          </w:tcPr>
          <w:p>
            <w:pPr/>
          </w:p>
        </w:tc>
        <w:tc>
          <w:tcPr>
            <w:tcW w:w="850" w:type="dxa"/>
            <w:vMerge w:val="restart"/>
            <w:tcBorders>
              <w:top w:val="single" w:sz="4" w:space="0" w:color="5B9BD4"/>
              <w:left w:val="nil" w:sz="6" w:space="0" w:color="auto"/>
              <w:right w:val="nil" w:sz="6" w:space="0" w:color="auto"/>
            </w:tcBorders>
          </w:tcPr>
          <w:p>
            <w:pPr>
              <w:pStyle w:val="TableParagraph"/>
              <w:spacing w:line="316" w:lineRule="auto" w:before="47"/>
              <w:ind w:left="28" w:right="99"/>
              <w:jc w:val="both"/>
              <w:rPr>
                <w:rFonts w:ascii="宋体" w:hAnsi="宋体" w:cs="宋体" w:eastAsia="宋体" w:hint="default"/>
                <w:sz w:val="18"/>
                <w:szCs w:val="18"/>
              </w:rPr>
            </w:pPr>
            <w:r>
              <w:rPr>
                <w:rFonts w:ascii="宋体" w:hAnsi="宋体" w:cs="宋体" w:eastAsia="宋体" w:hint="default"/>
                <w:sz w:val="18"/>
                <w:szCs w:val="18"/>
              </w:rPr>
              <w:t>存放银行 募集资金 专户</w:t>
            </w:r>
          </w:p>
        </w:tc>
        <w:tc>
          <w:tcPr>
            <w:tcW w:w="837" w:type="dxa"/>
            <w:tcBorders>
              <w:top w:val="single" w:sz="4" w:space="0" w:color="5B9BD4"/>
              <w:left w:val="nil" w:sz="6" w:space="0" w:color="auto"/>
              <w:bottom w:val="nil" w:sz="6" w:space="0" w:color="auto"/>
              <w:right w:val="nil" w:sz="6" w:space="0" w:color="auto"/>
            </w:tcBorders>
            <w:shd w:val="clear" w:color="auto" w:fill="DEEAF6"/>
          </w:tcPr>
          <w:p>
            <w:pPr/>
          </w:p>
        </w:tc>
      </w:tr>
      <w:tr>
        <w:trPr>
          <w:trHeight w:val="391" w:hRule="exact"/>
        </w:trPr>
        <w:tc>
          <w:tcPr>
            <w:tcW w:w="845"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left="13" w:right="0"/>
              <w:jc w:val="left"/>
              <w:rPr>
                <w:rFonts w:ascii="Arial" w:hAnsi="Arial" w:cs="Arial" w:eastAsia="Arial" w:hint="default"/>
                <w:sz w:val="18"/>
                <w:szCs w:val="18"/>
              </w:rPr>
            </w:pPr>
            <w:r>
              <w:rPr>
                <w:rFonts w:ascii="Arial"/>
                <w:sz w:val="18"/>
              </w:rPr>
              <w:t>2010</w:t>
            </w:r>
          </w:p>
        </w:tc>
        <w:tc>
          <w:tcPr>
            <w:tcW w:w="884" w:type="dxa"/>
            <w:vMerge/>
            <w:tcBorders>
              <w:left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w w:val="95"/>
                <w:sz w:val="18"/>
              </w:rPr>
              <w:t>214,202.69</w:t>
            </w:r>
            <w:r>
              <w:rPr>
                <w:rFonts w:ascii="Arial"/>
                <w:sz w:val="18"/>
              </w:rPr>
            </w:r>
          </w:p>
        </w:tc>
        <w:tc>
          <w:tcPr>
            <w:tcW w:w="1001" w:type="dxa"/>
            <w:vMerge/>
            <w:tcBorders>
              <w:left w:val="nil" w:sz="6" w:space="0" w:color="auto"/>
              <w:right w:val="nil" w:sz="6" w:space="0" w:color="auto"/>
            </w:tcBorders>
          </w:tcPr>
          <w:p>
            <w:pPr/>
          </w:p>
        </w:tc>
        <w:tc>
          <w:tcPr>
            <w:tcW w:w="985"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26"/>
              <w:jc w:val="right"/>
              <w:rPr>
                <w:rFonts w:ascii="Arial" w:hAnsi="Arial" w:cs="Arial" w:eastAsia="Arial" w:hint="default"/>
                <w:sz w:val="18"/>
                <w:szCs w:val="18"/>
              </w:rPr>
            </w:pPr>
            <w:r>
              <w:rPr>
                <w:rFonts w:ascii="Arial"/>
                <w:w w:val="95"/>
                <w:sz w:val="18"/>
              </w:rPr>
              <w:t>210,452.64</w:t>
            </w:r>
            <w:r>
              <w:rPr>
                <w:rFonts w:ascii="Arial"/>
                <w:sz w:val="18"/>
              </w:rPr>
            </w:r>
          </w:p>
        </w:tc>
        <w:tc>
          <w:tcPr>
            <w:tcW w:w="850" w:type="dxa"/>
            <w:vMerge/>
            <w:tcBorders>
              <w:left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24"/>
              <w:jc w:val="right"/>
              <w:rPr>
                <w:rFonts w:ascii="Arial" w:hAnsi="Arial" w:cs="Arial" w:eastAsia="Arial" w:hint="default"/>
                <w:sz w:val="18"/>
                <w:szCs w:val="18"/>
              </w:rPr>
            </w:pPr>
            <w:r>
              <w:rPr>
                <w:rFonts w:ascii="Arial"/>
                <w:w w:val="99"/>
                <w:sz w:val="18"/>
              </w:rPr>
              <w:t>0</w:t>
            </w:r>
            <w:r>
              <w:rPr>
                <w:rFonts w:ascii="Arial"/>
                <w:sz w:val="18"/>
              </w:rPr>
            </w:r>
          </w:p>
        </w:tc>
        <w:tc>
          <w:tcPr>
            <w:tcW w:w="851" w:type="dxa"/>
            <w:vMerge/>
            <w:tcBorders>
              <w:left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26"/>
              <w:jc w:val="right"/>
              <w:rPr>
                <w:rFonts w:ascii="Arial" w:hAnsi="Arial" w:cs="Arial" w:eastAsia="Arial" w:hint="default"/>
                <w:sz w:val="18"/>
                <w:szCs w:val="18"/>
              </w:rPr>
            </w:pPr>
            <w:r>
              <w:rPr>
                <w:rFonts w:ascii="Arial"/>
                <w:w w:val="95"/>
                <w:sz w:val="18"/>
              </w:rPr>
              <w:t>3,750.05</w:t>
            </w:r>
            <w:r>
              <w:rPr>
                <w:rFonts w:ascii="Arial"/>
                <w:sz w:val="18"/>
              </w:rPr>
            </w:r>
          </w:p>
        </w:tc>
        <w:tc>
          <w:tcPr>
            <w:tcW w:w="850" w:type="dxa"/>
            <w:vMerge/>
            <w:tcBorders>
              <w:left w:val="nil" w:sz="6" w:space="0" w:color="auto"/>
              <w:right w:val="nil" w:sz="6" w:space="0" w:color="auto"/>
            </w:tcBorders>
          </w:tcPr>
          <w:p>
            <w:pPr/>
          </w:p>
        </w:tc>
        <w:tc>
          <w:tcPr>
            <w:tcW w:w="837"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11"/>
              <w:jc w:val="right"/>
              <w:rPr>
                <w:rFonts w:ascii="Arial" w:hAnsi="Arial" w:cs="Arial" w:eastAsia="Arial" w:hint="default"/>
                <w:sz w:val="18"/>
                <w:szCs w:val="18"/>
              </w:rPr>
            </w:pPr>
            <w:r>
              <w:rPr>
                <w:rFonts w:ascii="Arial"/>
                <w:w w:val="95"/>
                <w:sz w:val="18"/>
              </w:rPr>
              <w:t>1,027.3</w:t>
            </w:r>
            <w:r>
              <w:rPr>
                <w:rFonts w:ascii="Arial"/>
                <w:sz w:val="18"/>
              </w:rPr>
            </w:r>
          </w:p>
        </w:tc>
      </w:tr>
      <w:tr>
        <w:trPr>
          <w:trHeight w:val="317" w:hRule="exact"/>
        </w:trPr>
        <w:tc>
          <w:tcPr>
            <w:tcW w:w="845" w:type="dxa"/>
            <w:tcBorders>
              <w:top w:val="nil" w:sz="6" w:space="0" w:color="auto"/>
              <w:left w:val="nil" w:sz="6" w:space="0" w:color="auto"/>
              <w:bottom w:val="single" w:sz="4" w:space="0" w:color="5B9BD4"/>
              <w:right w:val="nil" w:sz="6" w:space="0" w:color="auto"/>
            </w:tcBorders>
            <w:shd w:val="clear" w:color="auto" w:fill="DEEAF6"/>
          </w:tcPr>
          <w:p>
            <w:pPr/>
          </w:p>
        </w:tc>
        <w:tc>
          <w:tcPr>
            <w:tcW w:w="884" w:type="dxa"/>
            <w:vMerge/>
            <w:tcBorders>
              <w:left w:val="nil" w:sz="6" w:space="0" w:color="auto"/>
              <w:bottom w:val="single" w:sz="4" w:space="0" w:color="5B9BD4"/>
              <w:right w:val="nil" w:sz="6" w:space="0" w:color="auto"/>
            </w:tcBorders>
          </w:tcPr>
          <w:p>
            <w:pPr/>
          </w:p>
        </w:tc>
        <w:tc>
          <w:tcPr>
            <w:tcW w:w="1064" w:type="dxa"/>
            <w:tcBorders>
              <w:top w:val="nil" w:sz="6" w:space="0" w:color="auto"/>
              <w:left w:val="nil" w:sz="6" w:space="0" w:color="auto"/>
              <w:bottom w:val="single" w:sz="4" w:space="0" w:color="5B9BD4"/>
              <w:right w:val="nil" w:sz="6" w:space="0" w:color="auto"/>
            </w:tcBorders>
            <w:shd w:val="clear" w:color="auto" w:fill="DEEAF6"/>
          </w:tcPr>
          <w:p>
            <w:pPr/>
          </w:p>
        </w:tc>
        <w:tc>
          <w:tcPr>
            <w:tcW w:w="1001" w:type="dxa"/>
            <w:vMerge/>
            <w:tcBorders>
              <w:left w:val="nil" w:sz="6" w:space="0" w:color="auto"/>
              <w:bottom w:val="single" w:sz="4" w:space="0" w:color="5B9BD4"/>
              <w:right w:val="nil" w:sz="6" w:space="0" w:color="auto"/>
            </w:tcBorders>
          </w:tcPr>
          <w:p>
            <w:pPr/>
          </w:p>
        </w:tc>
        <w:tc>
          <w:tcPr>
            <w:tcW w:w="985" w:type="dxa"/>
            <w:tcBorders>
              <w:top w:val="nil" w:sz="6" w:space="0" w:color="auto"/>
              <w:left w:val="nil" w:sz="6" w:space="0" w:color="auto"/>
              <w:bottom w:val="single" w:sz="4" w:space="0" w:color="5B9BD4"/>
              <w:right w:val="nil" w:sz="6" w:space="0" w:color="auto"/>
            </w:tcBorders>
            <w:shd w:val="clear" w:color="auto" w:fill="DEEAF6"/>
          </w:tcPr>
          <w:p>
            <w:pPr/>
          </w:p>
        </w:tc>
        <w:tc>
          <w:tcPr>
            <w:tcW w:w="850" w:type="dxa"/>
            <w:vMerge/>
            <w:tcBorders>
              <w:left w:val="nil" w:sz="6" w:space="0" w:color="auto"/>
              <w:bottom w:val="single" w:sz="4" w:space="0" w:color="5B9BD4"/>
              <w:right w:val="nil" w:sz="6" w:space="0" w:color="auto"/>
            </w:tcBorders>
          </w:tcPr>
          <w:p>
            <w:pPr/>
          </w:p>
        </w:tc>
        <w:tc>
          <w:tcPr>
            <w:tcW w:w="851" w:type="dxa"/>
            <w:tcBorders>
              <w:top w:val="nil" w:sz="6" w:space="0" w:color="auto"/>
              <w:left w:val="nil" w:sz="6" w:space="0" w:color="auto"/>
              <w:bottom w:val="single" w:sz="4" w:space="0" w:color="5B9BD4"/>
              <w:right w:val="nil" w:sz="6" w:space="0" w:color="auto"/>
            </w:tcBorders>
            <w:shd w:val="clear" w:color="auto" w:fill="DEEAF6"/>
          </w:tcPr>
          <w:p>
            <w:pPr/>
          </w:p>
        </w:tc>
        <w:tc>
          <w:tcPr>
            <w:tcW w:w="851" w:type="dxa"/>
            <w:vMerge/>
            <w:tcBorders>
              <w:left w:val="nil" w:sz="6" w:space="0" w:color="auto"/>
              <w:bottom w:val="single" w:sz="4" w:space="0" w:color="5B9BD4"/>
              <w:right w:val="nil" w:sz="6" w:space="0" w:color="auto"/>
            </w:tcBorders>
          </w:tcPr>
          <w:p>
            <w:pPr/>
          </w:p>
        </w:tc>
        <w:tc>
          <w:tcPr>
            <w:tcW w:w="851" w:type="dxa"/>
            <w:tcBorders>
              <w:top w:val="nil" w:sz="6" w:space="0" w:color="auto"/>
              <w:left w:val="nil" w:sz="6" w:space="0" w:color="auto"/>
              <w:bottom w:val="single" w:sz="4" w:space="0" w:color="5B9BD4"/>
              <w:right w:val="nil" w:sz="6" w:space="0" w:color="auto"/>
            </w:tcBorders>
            <w:shd w:val="clear" w:color="auto" w:fill="DEEAF6"/>
          </w:tcPr>
          <w:p>
            <w:pPr/>
          </w:p>
        </w:tc>
        <w:tc>
          <w:tcPr>
            <w:tcW w:w="850" w:type="dxa"/>
            <w:vMerge/>
            <w:tcBorders>
              <w:left w:val="nil" w:sz="6" w:space="0" w:color="auto"/>
              <w:bottom w:val="single" w:sz="4" w:space="0" w:color="5B9BD4"/>
              <w:right w:val="nil" w:sz="6" w:space="0" w:color="auto"/>
            </w:tcBorders>
          </w:tcPr>
          <w:p>
            <w:pPr/>
          </w:p>
        </w:tc>
        <w:tc>
          <w:tcPr>
            <w:tcW w:w="837" w:type="dxa"/>
            <w:tcBorders>
              <w:top w:val="nil" w:sz="6" w:space="0" w:color="auto"/>
              <w:left w:val="nil" w:sz="6" w:space="0" w:color="auto"/>
              <w:bottom w:val="single" w:sz="4" w:space="0" w:color="5B9BD4"/>
              <w:right w:val="nil" w:sz="6" w:space="0" w:color="auto"/>
            </w:tcBorders>
            <w:shd w:val="clear" w:color="auto" w:fill="DEEAF6"/>
          </w:tcPr>
          <w:p>
            <w:pPr/>
          </w:p>
        </w:tc>
      </w:tr>
      <w:tr>
        <w:trPr>
          <w:trHeight w:val="473" w:hRule="exact"/>
        </w:trPr>
        <w:tc>
          <w:tcPr>
            <w:tcW w:w="845" w:type="dxa"/>
            <w:tcBorders>
              <w:top w:val="single" w:sz="4" w:space="0" w:color="5B9BD4"/>
              <w:left w:val="nil" w:sz="6" w:space="0" w:color="auto"/>
              <w:bottom w:val="nil" w:sz="6" w:space="0" w:color="auto"/>
              <w:right w:val="nil" w:sz="6" w:space="0" w:color="auto"/>
            </w:tcBorders>
            <w:shd w:val="clear" w:color="auto" w:fill="DEEAF6"/>
          </w:tcPr>
          <w:p>
            <w:pPr/>
          </w:p>
        </w:tc>
        <w:tc>
          <w:tcPr>
            <w:tcW w:w="884" w:type="dxa"/>
            <w:vMerge w:val="restart"/>
            <w:tcBorders>
              <w:top w:val="single" w:sz="4" w:space="0" w:color="5B9BD4"/>
              <w:left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35" w:right="128"/>
              <w:jc w:val="both"/>
              <w:rPr>
                <w:rFonts w:ascii="宋体" w:hAnsi="宋体" w:cs="宋体" w:eastAsia="宋体" w:hint="default"/>
                <w:sz w:val="18"/>
                <w:szCs w:val="18"/>
              </w:rPr>
            </w:pPr>
            <w:r>
              <w:rPr>
                <w:rFonts w:ascii="宋体" w:hAnsi="宋体" w:cs="宋体" w:eastAsia="宋体" w:hint="default"/>
                <w:sz w:val="18"/>
                <w:szCs w:val="18"/>
              </w:rPr>
              <w:t>公开发行 一般公司 债</w:t>
            </w:r>
          </w:p>
        </w:tc>
        <w:tc>
          <w:tcPr>
            <w:tcW w:w="1064" w:type="dxa"/>
            <w:tcBorders>
              <w:top w:val="single" w:sz="4" w:space="0" w:color="5B9BD4"/>
              <w:left w:val="nil" w:sz="6" w:space="0" w:color="auto"/>
              <w:bottom w:val="nil" w:sz="6" w:space="0" w:color="auto"/>
              <w:right w:val="nil" w:sz="6" w:space="0" w:color="auto"/>
            </w:tcBorders>
            <w:shd w:val="clear" w:color="auto" w:fill="DEEAF6"/>
          </w:tcPr>
          <w:p>
            <w:pPr/>
          </w:p>
        </w:tc>
        <w:tc>
          <w:tcPr>
            <w:tcW w:w="1001"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16" w:right="0"/>
              <w:jc w:val="left"/>
              <w:rPr>
                <w:rFonts w:ascii="Arial" w:hAnsi="Arial" w:cs="Arial" w:eastAsia="Arial" w:hint="default"/>
                <w:sz w:val="18"/>
                <w:szCs w:val="18"/>
              </w:rPr>
            </w:pPr>
            <w:r>
              <w:rPr>
                <w:rFonts w:ascii="Arial"/>
                <w:sz w:val="18"/>
              </w:rPr>
              <w:t>59,495</w:t>
            </w:r>
          </w:p>
        </w:tc>
        <w:tc>
          <w:tcPr>
            <w:tcW w:w="985" w:type="dxa"/>
            <w:tcBorders>
              <w:top w:val="single" w:sz="4" w:space="0" w:color="5B9BD4"/>
              <w:left w:val="nil" w:sz="6" w:space="0" w:color="auto"/>
              <w:bottom w:val="nil" w:sz="6" w:space="0" w:color="auto"/>
              <w:right w:val="nil" w:sz="6" w:space="0" w:color="auto"/>
            </w:tcBorders>
            <w:shd w:val="clear" w:color="auto" w:fill="DEEAF6"/>
          </w:tcPr>
          <w:p>
            <w:pPr/>
          </w:p>
        </w:tc>
        <w:tc>
          <w:tcPr>
            <w:tcW w:w="850"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4"/>
              <w:jc w:val="right"/>
              <w:rPr>
                <w:rFonts w:ascii="Arial" w:hAnsi="Arial" w:cs="Arial" w:eastAsia="Arial" w:hint="default"/>
                <w:sz w:val="18"/>
                <w:szCs w:val="18"/>
              </w:rPr>
            </w:pPr>
            <w:r>
              <w:rPr>
                <w:rFonts w:ascii="Arial"/>
                <w:w w:val="99"/>
                <w:sz w:val="18"/>
              </w:rPr>
              <w:t>0</w:t>
            </w:r>
            <w:r>
              <w:rPr>
                <w:rFonts w:ascii="Arial"/>
                <w:sz w:val="18"/>
              </w:rPr>
            </w:r>
          </w:p>
        </w:tc>
        <w:tc>
          <w:tcPr>
            <w:tcW w:w="851" w:type="dxa"/>
            <w:tcBorders>
              <w:top w:val="single" w:sz="4" w:space="0" w:color="5B9BD4"/>
              <w:left w:val="nil" w:sz="6" w:space="0" w:color="auto"/>
              <w:bottom w:val="nil" w:sz="6" w:space="0" w:color="auto"/>
              <w:right w:val="nil" w:sz="6" w:space="0" w:color="auto"/>
            </w:tcBorders>
            <w:shd w:val="clear" w:color="auto" w:fill="DEEAF6"/>
          </w:tcPr>
          <w:p>
            <w:pPr/>
          </w:p>
        </w:tc>
        <w:tc>
          <w:tcPr>
            <w:tcW w:w="851"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34" w:right="0"/>
              <w:jc w:val="left"/>
              <w:rPr>
                <w:rFonts w:ascii="Arial" w:hAnsi="Arial" w:cs="Arial" w:eastAsia="Arial" w:hint="default"/>
                <w:sz w:val="18"/>
                <w:szCs w:val="18"/>
              </w:rPr>
            </w:pPr>
            <w:r>
              <w:rPr>
                <w:rFonts w:ascii="Arial"/>
                <w:w w:val="95"/>
                <w:sz w:val="18"/>
              </w:rPr>
              <w:t>0.00%</w:t>
            </w:r>
            <w:r>
              <w:rPr>
                <w:rFonts w:ascii="Arial"/>
                <w:sz w:val="18"/>
              </w:rPr>
            </w:r>
          </w:p>
        </w:tc>
        <w:tc>
          <w:tcPr>
            <w:tcW w:w="851" w:type="dxa"/>
            <w:tcBorders>
              <w:top w:val="single" w:sz="4" w:space="0" w:color="5B9BD4"/>
              <w:left w:val="nil" w:sz="6" w:space="0" w:color="auto"/>
              <w:bottom w:val="nil" w:sz="6" w:space="0" w:color="auto"/>
              <w:right w:val="nil" w:sz="6" w:space="0" w:color="auto"/>
            </w:tcBorders>
            <w:shd w:val="clear" w:color="auto" w:fill="DEEAF6"/>
          </w:tcPr>
          <w:p>
            <w:pPr/>
          </w:p>
        </w:tc>
        <w:tc>
          <w:tcPr>
            <w:tcW w:w="850" w:type="dxa"/>
            <w:vMerge w:val="restart"/>
            <w:tcBorders>
              <w:top w:val="single" w:sz="4" w:space="0" w:color="5B9BD4"/>
              <w:left w:val="nil" w:sz="6" w:space="0" w:color="auto"/>
              <w:right w:val="nil" w:sz="6" w:space="0" w:color="auto"/>
            </w:tcBorders>
          </w:tcPr>
          <w:p>
            <w:pPr>
              <w:pStyle w:val="TableParagraph"/>
              <w:spacing w:line="316" w:lineRule="auto" w:before="47"/>
              <w:ind w:left="28" w:right="99"/>
              <w:jc w:val="both"/>
              <w:rPr>
                <w:rFonts w:ascii="宋体" w:hAnsi="宋体" w:cs="宋体" w:eastAsia="宋体" w:hint="default"/>
                <w:sz w:val="18"/>
                <w:szCs w:val="18"/>
              </w:rPr>
            </w:pPr>
            <w:r>
              <w:rPr>
                <w:rFonts w:ascii="宋体" w:hAnsi="宋体" w:cs="宋体" w:eastAsia="宋体" w:hint="default"/>
                <w:sz w:val="18"/>
                <w:szCs w:val="18"/>
              </w:rPr>
              <w:t>偿还到期 债务和补 充流动资 金</w:t>
            </w:r>
          </w:p>
        </w:tc>
        <w:tc>
          <w:tcPr>
            <w:tcW w:w="837" w:type="dxa"/>
            <w:tcBorders>
              <w:top w:val="single" w:sz="4" w:space="0" w:color="5B9BD4"/>
              <w:left w:val="nil" w:sz="6" w:space="0" w:color="auto"/>
              <w:bottom w:val="nil" w:sz="6" w:space="0" w:color="auto"/>
              <w:right w:val="nil" w:sz="6" w:space="0" w:color="auto"/>
            </w:tcBorders>
            <w:shd w:val="clear" w:color="auto" w:fill="DEEAF6"/>
          </w:tcPr>
          <w:p>
            <w:pPr/>
          </w:p>
        </w:tc>
      </w:tr>
      <w:tr>
        <w:trPr>
          <w:trHeight w:val="391" w:hRule="exact"/>
        </w:trPr>
        <w:tc>
          <w:tcPr>
            <w:tcW w:w="845"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left="13" w:right="0"/>
              <w:jc w:val="left"/>
              <w:rPr>
                <w:rFonts w:ascii="Arial" w:hAnsi="Arial" w:cs="Arial" w:eastAsia="Arial" w:hint="default"/>
                <w:sz w:val="18"/>
                <w:szCs w:val="18"/>
              </w:rPr>
            </w:pPr>
            <w:r>
              <w:rPr>
                <w:rFonts w:ascii="Arial"/>
                <w:sz w:val="18"/>
              </w:rPr>
              <w:t>2015</w:t>
            </w:r>
          </w:p>
        </w:tc>
        <w:tc>
          <w:tcPr>
            <w:tcW w:w="884" w:type="dxa"/>
            <w:vMerge/>
            <w:tcBorders>
              <w:left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w w:val="95"/>
                <w:sz w:val="18"/>
              </w:rPr>
              <w:t>59,495</w:t>
            </w:r>
            <w:r>
              <w:rPr>
                <w:rFonts w:ascii="Arial"/>
                <w:sz w:val="18"/>
              </w:rPr>
            </w:r>
          </w:p>
        </w:tc>
        <w:tc>
          <w:tcPr>
            <w:tcW w:w="1001" w:type="dxa"/>
            <w:vMerge/>
            <w:tcBorders>
              <w:left w:val="nil" w:sz="6" w:space="0" w:color="auto"/>
              <w:right w:val="nil" w:sz="6" w:space="0" w:color="auto"/>
            </w:tcBorders>
          </w:tcPr>
          <w:p>
            <w:pPr/>
          </w:p>
        </w:tc>
        <w:tc>
          <w:tcPr>
            <w:tcW w:w="985"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26"/>
              <w:jc w:val="right"/>
              <w:rPr>
                <w:rFonts w:ascii="Arial" w:hAnsi="Arial" w:cs="Arial" w:eastAsia="Arial" w:hint="default"/>
                <w:sz w:val="18"/>
                <w:szCs w:val="18"/>
              </w:rPr>
            </w:pPr>
            <w:r>
              <w:rPr>
                <w:rFonts w:ascii="Arial"/>
                <w:w w:val="95"/>
                <w:sz w:val="18"/>
              </w:rPr>
              <w:t>59,495</w:t>
            </w:r>
            <w:r>
              <w:rPr>
                <w:rFonts w:ascii="Arial"/>
                <w:sz w:val="18"/>
              </w:rPr>
            </w:r>
          </w:p>
        </w:tc>
        <w:tc>
          <w:tcPr>
            <w:tcW w:w="850" w:type="dxa"/>
            <w:vMerge/>
            <w:tcBorders>
              <w:left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24"/>
              <w:jc w:val="right"/>
              <w:rPr>
                <w:rFonts w:ascii="Arial" w:hAnsi="Arial" w:cs="Arial" w:eastAsia="Arial" w:hint="default"/>
                <w:sz w:val="18"/>
                <w:szCs w:val="18"/>
              </w:rPr>
            </w:pPr>
            <w:r>
              <w:rPr>
                <w:rFonts w:ascii="Arial"/>
                <w:w w:val="99"/>
                <w:sz w:val="18"/>
              </w:rPr>
              <w:t>0</w:t>
            </w:r>
            <w:r>
              <w:rPr>
                <w:rFonts w:ascii="Arial"/>
                <w:sz w:val="18"/>
              </w:rPr>
            </w:r>
          </w:p>
        </w:tc>
        <w:tc>
          <w:tcPr>
            <w:tcW w:w="851" w:type="dxa"/>
            <w:vMerge/>
            <w:tcBorders>
              <w:left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26"/>
              <w:jc w:val="right"/>
              <w:rPr>
                <w:rFonts w:ascii="Arial" w:hAnsi="Arial" w:cs="Arial" w:eastAsia="Arial" w:hint="default"/>
                <w:sz w:val="18"/>
                <w:szCs w:val="18"/>
              </w:rPr>
            </w:pPr>
            <w:r>
              <w:rPr>
                <w:rFonts w:ascii="Arial"/>
                <w:w w:val="99"/>
                <w:sz w:val="18"/>
              </w:rPr>
              <w:t>0</w:t>
            </w:r>
            <w:r>
              <w:rPr>
                <w:rFonts w:ascii="Arial"/>
                <w:sz w:val="18"/>
              </w:rPr>
            </w:r>
          </w:p>
        </w:tc>
        <w:tc>
          <w:tcPr>
            <w:tcW w:w="850" w:type="dxa"/>
            <w:vMerge/>
            <w:tcBorders>
              <w:left w:val="nil" w:sz="6" w:space="0" w:color="auto"/>
              <w:right w:val="nil" w:sz="6" w:space="0" w:color="auto"/>
            </w:tcBorders>
          </w:tcPr>
          <w:p>
            <w:pPr/>
          </w:p>
        </w:tc>
        <w:tc>
          <w:tcPr>
            <w:tcW w:w="837"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11"/>
              <w:jc w:val="right"/>
              <w:rPr>
                <w:rFonts w:ascii="Arial" w:hAnsi="Arial" w:cs="Arial" w:eastAsia="Arial" w:hint="default"/>
                <w:sz w:val="18"/>
                <w:szCs w:val="18"/>
              </w:rPr>
            </w:pPr>
            <w:r>
              <w:rPr>
                <w:rFonts w:ascii="Arial"/>
                <w:w w:val="99"/>
                <w:sz w:val="18"/>
              </w:rPr>
              <w:t>0</w:t>
            </w:r>
            <w:r>
              <w:rPr>
                <w:rFonts w:ascii="Arial"/>
                <w:sz w:val="18"/>
              </w:rPr>
            </w:r>
          </w:p>
        </w:tc>
      </w:tr>
      <w:tr>
        <w:trPr>
          <w:trHeight w:val="473" w:hRule="exact"/>
        </w:trPr>
        <w:tc>
          <w:tcPr>
            <w:tcW w:w="845" w:type="dxa"/>
            <w:tcBorders>
              <w:top w:val="nil" w:sz="6" w:space="0" w:color="auto"/>
              <w:left w:val="nil" w:sz="6" w:space="0" w:color="auto"/>
              <w:bottom w:val="single" w:sz="4" w:space="0" w:color="5B9BD4"/>
              <w:right w:val="nil" w:sz="6" w:space="0" w:color="auto"/>
            </w:tcBorders>
            <w:shd w:val="clear" w:color="auto" w:fill="DEEAF6"/>
          </w:tcPr>
          <w:p>
            <w:pPr/>
          </w:p>
        </w:tc>
        <w:tc>
          <w:tcPr>
            <w:tcW w:w="884" w:type="dxa"/>
            <w:vMerge/>
            <w:tcBorders>
              <w:left w:val="nil" w:sz="6" w:space="0" w:color="auto"/>
              <w:bottom w:val="single" w:sz="4" w:space="0" w:color="5B9BD4"/>
              <w:right w:val="nil" w:sz="6" w:space="0" w:color="auto"/>
            </w:tcBorders>
          </w:tcPr>
          <w:p>
            <w:pPr/>
          </w:p>
        </w:tc>
        <w:tc>
          <w:tcPr>
            <w:tcW w:w="1064" w:type="dxa"/>
            <w:tcBorders>
              <w:top w:val="nil" w:sz="6" w:space="0" w:color="auto"/>
              <w:left w:val="nil" w:sz="6" w:space="0" w:color="auto"/>
              <w:bottom w:val="single" w:sz="4" w:space="0" w:color="5B9BD4"/>
              <w:right w:val="nil" w:sz="6" w:space="0" w:color="auto"/>
            </w:tcBorders>
            <w:shd w:val="clear" w:color="auto" w:fill="DEEAF6"/>
          </w:tcPr>
          <w:p>
            <w:pPr/>
          </w:p>
        </w:tc>
        <w:tc>
          <w:tcPr>
            <w:tcW w:w="1001" w:type="dxa"/>
            <w:vMerge/>
            <w:tcBorders>
              <w:left w:val="nil" w:sz="6" w:space="0" w:color="auto"/>
              <w:bottom w:val="single" w:sz="4" w:space="0" w:color="5B9BD4"/>
              <w:right w:val="nil" w:sz="6" w:space="0" w:color="auto"/>
            </w:tcBorders>
          </w:tcPr>
          <w:p>
            <w:pPr/>
          </w:p>
        </w:tc>
        <w:tc>
          <w:tcPr>
            <w:tcW w:w="985" w:type="dxa"/>
            <w:tcBorders>
              <w:top w:val="nil" w:sz="6" w:space="0" w:color="auto"/>
              <w:left w:val="nil" w:sz="6" w:space="0" w:color="auto"/>
              <w:bottom w:val="single" w:sz="4" w:space="0" w:color="5B9BD4"/>
              <w:right w:val="nil" w:sz="6" w:space="0" w:color="auto"/>
            </w:tcBorders>
            <w:shd w:val="clear" w:color="auto" w:fill="DEEAF6"/>
          </w:tcPr>
          <w:p>
            <w:pPr/>
          </w:p>
        </w:tc>
        <w:tc>
          <w:tcPr>
            <w:tcW w:w="850" w:type="dxa"/>
            <w:vMerge/>
            <w:tcBorders>
              <w:left w:val="nil" w:sz="6" w:space="0" w:color="auto"/>
              <w:bottom w:val="single" w:sz="4" w:space="0" w:color="5B9BD4"/>
              <w:right w:val="nil" w:sz="6" w:space="0" w:color="auto"/>
            </w:tcBorders>
          </w:tcPr>
          <w:p>
            <w:pPr/>
          </w:p>
        </w:tc>
        <w:tc>
          <w:tcPr>
            <w:tcW w:w="851" w:type="dxa"/>
            <w:tcBorders>
              <w:top w:val="nil" w:sz="6" w:space="0" w:color="auto"/>
              <w:left w:val="nil" w:sz="6" w:space="0" w:color="auto"/>
              <w:bottom w:val="single" w:sz="4" w:space="0" w:color="5B9BD4"/>
              <w:right w:val="nil" w:sz="6" w:space="0" w:color="auto"/>
            </w:tcBorders>
            <w:shd w:val="clear" w:color="auto" w:fill="DEEAF6"/>
          </w:tcPr>
          <w:p>
            <w:pPr/>
          </w:p>
        </w:tc>
        <w:tc>
          <w:tcPr>
            <w:tcW w:w="851" w:type="dxa"/>
            <w:vMerge/>
            <w:tcBorders>
              <w:left w:val="nil" w:sz="6" w:space="0" w:color="auto"/>
              <w:bottom w:val="single" w:sz="4" w:space="0" w:color="5B9BD4"/>
              <w:right w:val="nil" w:sz="6" w:space="0" w:color="auto"/>
            </w:tcBorders>
          </w:tcPr>
          <w:p>
            <w:pPr/>
          </w:p>
        </w:tc>
        <w:tc>
          <w:tcPr>
            <w:tcW w:w="851" w:type="dxa"/>
            <w:tcBorders>
              <w:top w:val="nil" w:sz="6" w:space="0" w:color="auto"/>
              <w:left w:val="nil" w:sz="6" w:space="0" w:color="auto"/>
              <w:bottom w:val="single" w:sz="4" w:space="0" w:color="5B9BD4"/>
              <w:right w:val="nil" w:sz="6" w:space="0" w:color="auto"/>
            </w:tcBorders>
            <w:shd w:val="clear" w:color="auto" w:fill="DEEAF6"/>
          </w:tcPr>
          <w:p>
            <w:pPr/>
          </w:p>
        </w:tc>
        <w:tc>
          <w:tcPr>
            <w:tcW w:w="850" w:type="dxa"/>
            <w:vMerge/>
            <w:tcBorders>
              <w:left w:val="nil" w:sz="6" w:space="0" w:color="auto"/>
              <w:bottom w:val="single" w:sz="4" w:space="0" w:color="5B9BD4"/>
              <w:right w:val="nil" w:sz="6" w:space="0" w:color="auto"/>
            </w:tcBorders>
          </w:tcPr>
          <w:p>
            <w:pPr/>
          </w:p>
        </w:tc>
        <w:tc>
          <w:tcPr>
            <w:tcW w:w="837" w:type="dxa"/>
            <w:tcBorders>
              <w:top w:val="nil" w:sz="6" w:space="0" w:color="auto"/>
              <w:left w:val="nil" w:sz="6" w:space="0" w:color="auto"/>
              <w:bottom w:val="single" w:sz="4" w:space="0" w:color="5B9BD4"/>
              <w:right w:val="nil" w:sz="6" w:space="0" w:color="auto"/>
            </w:tcBorders>
            <w:shd w:val="clear" w:color="auto" w:fill="DEEAF6"/>
          </w:tcPr>
          <w:p>
            <w:pPr/>
          </w:p>
        </w:tc>
      </w:tr>
      <w:tr>
        <w:trPr>
          <w:trHeight w:val="403" w:hRule="exact"/>
        </w:trPr>
        <w:tc>
          <w:tcPr>
            <w:tcW w:w="84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84"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89"/>
              <w:ind w:right="6"/>
              <w:jc w:val="center"/>
              <w:rPr>
                <w:rFonts w:ascii="Arial" w:hAnsi="Arial" w:cs="Arial" w:eastAsia="Arial" w:hint="default"/>
                <w:sz w:val="18"/>
                <w:szCs w:val="18"/>
              </w:rPr>
            </w:pPr>
            <w:r>
              <w:rPr>
                <w:rFonts w:ascii="Arial"/>
                <w:sz w:val="18"/>
              </w:rPr>
              <w:t>--</w:t>
            </w:r>
          </w:p>
        </w:tc>
        <w:tc>
          <w:tcPr>
            <w:tcW w:w="106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9"/>
              <w:ind w:right="25"/>
              <w:jc w:val="right"/>
              <w:rPr>
                <w:rFonts w:ascii="Arial" w:hAnsi="Arial" w:cs="Arial" w:eastAsia="Arial" w:hint="default"/>
                <w:sz w:val="18"/>
                <w:szCs w:val="18"/>
              </w:rPr>
            </w:pPr>
            <w:r>
              <w:rPr>
                <w:rFonts w:ascii="Arial"/>
                <w:w w:val="95"/>
                <w:sz w:val="18"/>
              </w:rPr>
              <w:t>273,697.69</w:t>
            </w:r>
            <w:r>
              <w:rPr>
                <w:rFonts w:ascii="Arial"/>
                <w:sz w:val="18"/>
              </w:rPr>
            </w:r>
          </w:p>
        </w:tc>
        <w:tc>
          <w:tcPr>
            <w:tcW w:w="1001"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9"/>
              <w:ind w:left="153" w:right="0"/>
              <w:jc w:val="left"/>
              <w:rPr>
                <w:rFonts w:ascii="Arial" w:hAnsi="Arial" w:cs="Arial" w:eastAsia="Arial" w:hint="default"/>
                <w:sz w:val="18"/>
                <w:szCs w:val="18"/>
              </w:rPr>
            </w:pPr>
            <w:r>
              <w:rPr>
                <w:rFonts w:ascii="Arial"/>
                <w:sz w:val="18"/>
              </w:rPr>
              <w:t>60,109.17</w:t>
            </w:r>
          </w:p>
        </w:tc>
        <w:tc>
          <w:tcPr>
            <w:tcW w:w="98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9"/>
              <w:ind w:right="26"/>
              <w:jc w:val="right"/>
              <w:rPr>
                <w:rFonts w:ascii="Arial" w:hAnsi="Arial" w:cs="Arial" w:eastAsia="Arial" w:hint="default"/>
                <w:sz w:val="18"/>
                <w:szCs w:val="18"/>
              </w:rPr>
            </w:pPr>
            <w:r>
              <w:rPr>
                <w:rFonts w:ascii="Arial"/>
                <w:w w:val="95"/>
                <w:sz w:val="18"/>
              </w:rPr>
              <w:t>269,947.64</w:t>
            </w:r>
            <w:r>
              <w:rPr>
                <w:rFonts w:ascii="Arial"/>
                <w:sz w:val="18"/>
              </w:rPr>
            </w:r>
          </w:p>
        </w:tc>
        <w:tc>
          <w:tcPr>
            <w:tcW w:w="850"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9"/>
              <w:ind w:right="11"/>
              <w:jc w:val="right"/>
              <w:rPr>
                <w:rFonts w:ascii="Arial" w:hAnsi="Arial" w:cs="Arial" w:eastAsia="Arial" w:hint="default"/>
                <w:sz w:val="18"/>
                <w:szCs w:val="18"/>
              </w:rPr>
            </w:pPr>
            <w:r>
              <w:rPr>
                <w:rFonts w:ascii="Arial"/>
                <w:w w:val="99"/>
                <w:sz w:val="18"/>
              </w:rPr>
              <w:t>0</w:t>
            </w:r>
            <w:r>
              <w:rPr>
                <w:rFonts w:ascii="Arial"/>
                <w:sz w:val="18"/>
              </w:rPr>
            </w:r>
          </w:p>
        </w:tc>
        <w:tc>
          <w:tcPr>
            <w:tcW w:w="85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9"/>
              <w:ind w:right="24"/>
              <w:jc w:val="right"/>
              <w:rPr>
                <w:rFonts w:ascii="Arial" w:hAnsi="Arial" w:cs="Arial" w:eastAsia="Arial" w:hint="default"/>
                <w:sz w:val="18"/>
                <w:szCs w:val="18"/>
              </w:rPr>
            </w:pPr>
            <w:r>
              <w:rPr>
                <w:rFonts w:ascii="Arial"/>
                <w:w w:val="99"/>
                <w:sz w:val="18"/>
              </w:rPr>
              <w:t>0</w:t>
            </w:r>
            <w:r>
              <w:rPr>
                <w:rFonts w:ascii="Arial"/>
                <w:sz w:val="18"/>
              </w:rPr>
            </w:r>
          </w:p>
        </w:tc>
        <w:tc>
          <w:tcPr>
            <w:tcW w:w="851"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89"/>
              <w:ind w:left="319" w:right="0"/>
              <w:jc w:val="left"/>
              <w:rPr>
                <w:rFonts w:ascii="Arial" w:hAnsi="Arial" w:cs="Arial" w:eastAsia="Arial" w:hint="default"/>
                <w:sz w:val="18"/>
                <w:szCs w:val="18"/>
              </w:rPr>
            </w:pPr>
            <w:r>
              <w:rPr>
                <w:rFonts w:ascii="Arial"/>
                <w:sz w:val="18"/>
              </w:rPr>
              <w:t>0.00%</w:t>
            </w:r>
          </w:p>
        </w:tc>
        <w:tc>
          <w:tcPr>
            <w:tcW w:w="85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9"/>
              <w:ind w:right="26"/>
              <w:jc w:val="right"/>
              <w:rPr>
                <w:rFonts w:ascii="Arial" w:hAnsi="Arial" w:cs="Arial" w:eastAsia="Arial" w:hint="default"/>
                <w:sz w:val="18"/>
                <w:szCs w:val="18"/>
              </w:rPr>
            </w:pPr>
            <w:r>
              <w:rPr>
                <w:rFonts w:ascii="Arial"/>
                <w:w w:val="95"/>
                <w:sz w:val="18"/>
              </w:rPr>
              <w:t>3,750.05</w:t>
            </w:r>
            <w:r>
              <w:rPr>
                <w:rFonts w:ascii="Arial"/>
                <w:sz w:val="18"/>
              </w:rPr>
            </w:r>
          </w:p>
        </w:tc>
        <w:tc>
          <w:tcPr>
            <w:tcW w:w="850"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9"/>
              <w:ind w:left="1" w:right="0"/>
              <w:jc w:val="center"/>
              <w:rPr>
                <w:rFonts w:ascii="Arial" w:hAnsi="Arial" w:cs="Arial" w:eastAsia="Arial" w:hint="default"/>
                <w:sz w:val="18"/>
                <w:szCs w:val="18"/>
              </w:rPr>
            </w:pPr>
            <w:r>
              <w:rPr>
                <w:rFonts w:ascii="Arial"/>
                <w:sz w:val="18"/>
              </w:rPr>
              <w:t>--</w:t>
            </w:r>
          </w:p>
        </w:tc>
        <w:tc>
          <w:tcPr>
            <w:tcW w:w="83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9"/>
              <w:ind w:right="11"/>
              <w:jc w:val="right"/>
              <w:rPr>
                <w:rFonts w:ascii="Arial" w:hAnsi="Arial" w:cs="Arial" w:eastAsia="Arial" w:hint="default"/>
                <w:sz w:val="18"/>
                <w:szCs w:val="18"/>
              </w:rPr>
            </w:pPr>
            <w:r>
              <w:rPr>
                <w:rFonts w:ascii="Arial"/>
                <w:w w:val="95"/>
                <w:sz w:val="18"/>
              </w:rPr>
              <w:t>1,027.3</w:t>
            </w:r>
            <w:r>
              <w:rPr>
                <w:rFonts w:ascii="Arial"/>
                <w:sz w:val="18"/>
              </w:rPr>
            </w:r>
          </w:p>
        </w:tc>
      </w:tr>
      <w:tr>
        <w:trPr>
          <w:trHeight w:val="401" w:hRule="exact"/>
        </w:trPr>
        <w:tc>
          <w:tcPr>
            <w:tcW w:w="9868" w:type="dxa"/>
            <w:gridSpan w:val="11"/>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235" w:hRule="exact"/>
        </w:trPr>
        <w:tc>
          <w:tcPr>
            <w:tcW w:w="9868" w:type="dxa"/>
            <w:gridSpan w:val="11"/>
            <w:tcBorders>
              <w:top w:val="single" w:sz="4" w:space="0" w:color="5B9BD4"/>
              <w:left w:val="single" w:sz="4" w:space="0" w:color="5B9BD4"/>
              <w:bottom w:val="single" w:sz="4" w:space="0" w:color="5B9BD4"/>
              <w:right w:val="single" w:sz="4" w:space="0" w:color="5B9BD4"/>
            </w:tcBorders>
          </w:tcPr>
          <w:p>
            <w:pPr>
              <w:pStyle w:val="TableParagraph"/>
              <w:spacing w:line="240" w:lineRule="auto" w:before="47"/>
              <w:ind w:left="9" w:right="0"/>
              <w:jc w:val="both"/>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w:t>
            </w: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年度公司对募集资金投资项目累计投入募集资金人民币</w:t>
            </w:r>
            <w:r>
              <w:rPr>
                <w:rFonts w:ascii="宋体" w:hAnsi="宋体" w:cs="宋体" w:eastAsia="宋体" w:hint="default"/>
                <w:spacing w:val="-48"/>
                <w:sz w:val="18"/>
                <w:szCs w:val="18"/>
              </w:rPr>
              <w:t> </w:t>
            </w:r>
            <w:r>
              <w:rPr>
                <w:rFonts w:ascii="Arial" w:hAnsi="Arial" w:cs="Arial" w:eastAsia="Arial" w:hint="default"/>
                <w:sz w:val="18"/>
                <w:szCs w:val="18"/>
              </w:rPr>
              <w:t>601,091,716.65</w:t>
            </w:r>
            <w:r>
              <w:rPr>
                <w:rFonts w:ascii="Arial" w:hAnsi="Arial" w:cs="Arial" w:eastAsia="Arial" w:hint="default"/>
                <w:spacing w:val="-8"/>
                <w:sz w:val="18"/>
                <w:szCs w:val="18"/>
              </w:rPr>
              <w:t> </w:t>
            </w:r>
            <w:r>
              <w:rPr>
                <w:rFonts w:ascii="宋体" w:hAnsi="宋体" w:cs="宋体" w:eastAsia="宋体" w:hint="default"/>
                <w:sz w:val="18"/>
                <w:szCs w:val="18"/>
              </w:rPr>
              <w:t>元，截至</w:t>
            </w:r>
            <w:r>
              <w:rPr>
                <w:rFonts w:ascii="宋体" w:hAnsi="宋体" w:cs="宋体" w:eastAsia="宋体" w:hint="default"/>
                <w:spacing w:val="-48"/>
                <w:sz w:val="18"/>
                <w:szCs w:val="18"/>
              </w:rPr>
              <w:t> </w:t>
            </w:r>
            <w:r>
              <w:rPr>
                <w:rFonts w:ascii="Arial" w:hAnsi="Arial" w:cs="Arial" w:eastAsia="Arial" w:hint="default"/>
                <w:sz w:val="18"/>
                <w:szCs w:val="18"/>
              </w:rPr>
              <w:t>2015</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日，公司对募集</w:t>
            </w:r>
          </w:p>
          <w:p>
            <w:pPr>
              <w:pStyle w:val="TableParagraph"/>
              <w:spacing w:line="240" w:lineRule="auto" w:before="62"/>
              <w:ind w:left="9" w:right="0"/>
              <w:jc w:val="both"/>
              <w:rPr>
                <w:rFonts w:ascii="Arial" w:hAnsi="Arial" w:cs="Arial" w:eastAsia="Arial" w:hint="default"/>
                <w:sz w:val="18"/>
                <w:szCs w:val="18"/>
              </w:rPr>
            </w:pPr>
            <w:r>
              <w:rPr>
                <w:rFonts w:ascii="宋体" w:hAnsi="宋体" w:cs="宋体" w:eastAsia="宋体" w:hint="default"/>
                <w:sz w:val="18"/>
                <w:szCs w:val="18"/>
              </w:rPr>
              <w:t>资金投资项目累计投入募集资金人民币</w:t>
            </w:r>
            <w:r>
              <w:rPr>
                <w:rFonts w:ascii="宋体" w:hAnsi="宋体" w:cs="宋体" w:eastAsia="宋体" w:hint="default"/>
                <w:spacing w:val="-50"/>
                <w:sz w:val="18"/>
                <w:szCs w:val="18"/>
              </w:rPr>
              <w:t> </w:t>
            </w:r>
            <w:r>
              <w:rPr>
                <w:rFonts w:ascii="Arial" w:hAnsi="Arial" w:cs="Arial" w:eastAsia="Arial" w:hint="default"/>
                <w:sz w:val="18"/>
                <w:szCs w:val="18"/>
              </w:rPr>
              <w:t>1,412,252,387.14</w:t>
            </w:r>
            <w:r>
              <w:rPr>
                <w:rFonts w:ascii="Arial" w:hAnsi="Arial" w:cs="Arial" w:eastAsia="Arial" w:hint="default"/>
                <w:spacing w:val="-9"/>
                <w:sz w:val="18"/>
                <w:szCs w:val="18"/>
              </w:rPr>
              <w:t> </w:t>
            </w:r>
            <w:r>
              <w:rPr>
                <w:rFonts w:ascii="宋体" w:hAnsi="宋体" w:cs="宋体" w:eastAsia="宋体" w:hint="default"/>
                <w:sz w:val="18"/>
                <w:szCs w:val="18"/>
              </w:rPr>
              <w:t>元。</w:t>
            </w:r>
            <w:r>
              <w:rPr>
                <w:rFonts w:ascii="Arial" w:hAnsi="Arial" w:cs="Arial" w:eastAsia="Arial" w:hint="default"/>
                <w:sz w:val="18"/>
                <w:szCs w:val="18"/>
              </w:rPr>
              <w:t>2</w:t>
            </w:r>
            <w:r>
              <w:rPr>
                <w:rFonts w:ascii="宋体" w:hAnsi="宋体" w:cs="宋体" w:eastAsia="宋体" w:hint="default"/>
                <w:sz w:val="18"/>
                <w:szCs w:val="18"/>
              </w:rPr>
              <w:t>、</w:t>
            </w:r>
            <w:r>
              <w:rPr>
                <w:rFonts w:ascii="Arial" w:hAnsi="Arial" w:cs="Arial" w:eastAsia="Arial" w:hint="default"/>
                <w:sz w:val="18"/>
                <w:szCs w:val="18"/>
              </w:rPr>
              <w:t>2015</w:t>
            </w:r>
            <w:r>
              <w:rPr>
                <w:rFonts w:ascii="Arial" w:hAnsi="Arial" w:cs="Arial" w:eastAsia="Arial" w:hint="default"/>
                <w:spacing w:val="-9"/>
                <w:sz w:val="18"/>
                <w:szCs w:val="18"/>
              </w:rPr>
              <w:t> </w:t>
            </w:r>
            <w:r>
              <w:rPr>
                <w:rFonts w:ascii="宋体" w:hAnsi="宋体" w:cs="宋体" w:eastAsia="宋体" w:hint="default"/>
                <w:sz w:val="18"/>
                <w:szCs w:val="18"/>
              </w:rPr>
              <w:t>年度公司未使用超募资金补充营运资金，截至</w:t>
            </w:r>
            <w:r>
              <w:rPr>
                <w:rFonts w:ascii="宋体" w:hAnsi="宋体" w:cs="宋体" w:eastAsia="宋体" w:hint="default"/>
                <w:spacing w:val="-8"/>
                <w:sz w:val="18"/>
                <w:szCs w:val="18"/>
              </w:rPr>
              <w:t> </w:t>
            </w:r>
            <w:r>
              <w:rPr>
                <w:rFonts w:ascii="Arial" w:hAnsi="Arial" w:cs="Arial" w:eastAsia="Arial" w:hint="default"/>
                <w:sz w:val="18"/>
                <w:szCs w:val="18"/>
              </w:rPr>
              <w:t>2015</w:t>
            </w:r>
          </w:p>
          <w:p>
            <w:pPr>
              <w:pStyle w:val="TableParagraph"/>
              <w:spacing w:line="240" w:lineRule="auto" w:before="63"/>
              <w:ind w:left="9"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12</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日，公司用超募资金补充营运资金共计人民币</w:t>
            </w:r>
            <w:r>
              <w:rPr>
                <w:rFonts w:ascii="宋体" w:hAnsi="宋体" w:cs="宋体" w:eastAsia="宋体" w:hint="default"/>
                <w:spacing w:val="-45"/>
                <w:sz w:val="18"/>
                <w:szCs w:val="18"/>
              </w:rPr>
              <w:t> </w:t>
            </w:r>
            <w:r>
              <w:rPr>
                <w:rFonts w:ascii="Arial" w:hAnsi="Arial" w:cs="Arial" w:eastAsia="Arial" w:hint="default"/>
                <w:sz w:val="18"/>
                <w:szCs w:val="18"/>
              </w:rPr>
              <w:t>1,287,223,984.80</w:t>
            </w:r>
            <w:r>
              <w:rPr>
                <w:rFonts w:ascii="Arial" w:hAnsi="Arial" w:cs="Arial" w:eastAsia="Arial" w:hint="default"/>
                <w:spacing w:val="-5"/>
                <w:sz w:val="18"/>
                <w:szCs w:val="18"/>
              </w:rPr>
              <w:t> </w:t>
            </w:r>
            <w:r>
              <w:rPr>
                <w:rFonts w:ascii="宋体" w:hAnsi="宋体" w:cs="宋体" w:eastAsia="宋体" w:hint="default"/>
                <w:sz w:val="18"/>
                <w:szCs w:val="18"/>
              </w:rPr>
              <w:t>元。</w:t>
            </w:r>
            <w:r>
              <w:rPr>
                <w:rFonts w:ascii="Arial" w:hAnsi="Arial" w:cs="Arial" w:eastAsia="Arial" w:hint="default"/>
                <w:sz w:val="18"/>
                <w:szCs w:val="18"/>
              </w:rPr>
              <w:t>3</w:t>
            </w:r>
            <w:r>
              <w:rPr>
                <w:rFonts w:ascii="宋体" w:hAnsi="宋体" w:cs="宋体" w:eastAsia="宋体" w:hint="default"/>
                <w:sz w:val="18"/>
                <w:szCs w:val="18"/>
              </w:rPr>
              <w:t>、</w:t>
            </w:r>
            <w:r>
              <w:rPr>
                <w:rFonts w:ascii="Arial" w:hAnsi="Arial" w:cs="Arial" w:eastAsia="Arial" w:hint="default"/>
                <w:sz w:val="18"/>
                <w:szCs w:val="18"/>
              </w:rPr>
              <w:t>2015</w:t>
            </w:r>
            <w:r>
              <w:rPr>
                <w:rFonts w:ascii="Arial" w:hAnsi="Arial" w:cs="Arial" w:eastAsia="Arial" w:hint="default"/>
                <w:spacing w:val="-5"/>
                <w:sz w:val="18"/>
                <w:szCs w:val="18"/>
              </w:rPr>
              <w:t> </w:t>
            </w:r>
            <w:r>
              <w:rPr>
                <w:rFonts w:ascii="宋体" w:hAnsi="宋体" w:cs="宋体" w:eastAsia="宋体" w:hint="default"/>
                <w:sz w:val="18"/>
                <w:szCs w:val="18"/>
              </w:rPr>
              <w:t>年度发行债券</w:t>
            </w:r>
            <w:r>
              <w:rPr>
                <w:rFonts w:ascii="宋体" w:hAnsi="宋体" w:cs="宋体" w:eastAsia="宋体" w:hint="default"/>
                <w:spacing w:val="-45"/>
                <w:sz w:val="18"/>
                <w:szCs w:val="18"/>
              </w:rPr>
              <w:t> </w:t>
            </w:r>
            <w:r>
              <w:rPr>
                <w:rFonts w:ascii="Arial" w:hAnsi="Arial" w:cs="Arial" w:eastAsia="Arial" w:hint="default"/>
                <w:sz w:val="18"/>
                <w:szCs w:val="18"/>
              </w:rPr>
              <w:t>600,000,000.00</w:t>
            </w:r>
            <w:r>
              <w:rPr>
                <w:rFonts w:ascii="Arial" w:hAnsi="Arial" w:cs="Arial" w:eastAsia="Arial" w:hint="default"/>
                <w:spacing w:val="-6"/>
                <w:sz w:val="18"/>
                <w:szCs w:val="18"/>
              </w:rPr>
              <w:t> </w:t>
            </w:r>
            <w:r>
              <w:rPr>
                <w:rFonts w:ascii="宋体" w:hAnsi="宋体" w:cs="宋体" w:eastAsia="宋体" w:hint="default"/>
                <w:sz w:val="18"/>
                <w:szCs w:val="18"/>
              </w:rPr>
              <w:t>元，</w:t>
            </w:r>
          </w:p>
          <w:p>
            <w:pPr>
              <w:pStyle w:val="TableParagraph"/>
              <w:spacing w:line="240" w:lineRule="auto" w:before="64"/>
              <w:ind w:left="9" w:right="0"/>
              <w:jc w:val="both"/>
              <w:rPr>
                <w:rFonts w:ascii="宋体" w:hAnsi="宋体" w:cs="宋体" w:eastAsia="宋体" w:hint="default"/>
                <w:sz w:val="18"/>
                <w:szCs w:val="18"/>
              </w:rPr>
            </w:pPr>
            <w:r>
              <w:rPr>
                <w:rFonts w:ascii="宋体" w:hAnsi="宋体" w:cs="宋体" w:eastAsia="宋体" w:hint="default"/>
                <w:sz w:val="18"/>
                <w:szCs w:val="18"/>
              </w:rPr>
              <w:t>扣除承销费用、保荐费以及其他发行费用人民币</w:t>
            </w:r>
            <w:r>
              <w:rPr>
                <w:rFonts w:ascii="宋体" w:hAnsi="宋体" w:cs="宋体" w:eastAsia="宋体" w:hint="default"/>
                <w:spacing w:val="-52"/>
                <w:sz w:val="18"/>
                <w:szCs w:val="18"/>
              </w:rPr>
              <w:t> </w:t>
            </w:r>
            <w:r>
              <w:rPr>
                <w:rFonts w:ascii="Arial" w:hAnsi="Arial" w:cs="Arial" w:eastAsia="Arial" w:hint="default"/>
                <w:sz w:val="18"/>
                <w:szCs w:val="18"/>
              </w:rPr>
              <w:t>5,050,000.00</w:t>
            </w:r>
            <w:r>
              <w:rPr>
                <w:rFonts w:ascii="Arial" w:hAnsi="Arial" w:cs="Arial" w:eastAsia="Arial" w:hint="default"/>
                <w:spacing w:val="-13"/>
                <w:sz w:val="18"/>
                <w:szCs w:val="18"/>
              </w:rPr>
              <w:t> </w:t>
            </w:r>
            <w:r>
              <w:rPr>
                <w:rFonts w:ascii="宋体" w:hAnsi="宋体" w:cs="宋体" w:eastAsia="宋体" w:hint="default"/>
                <w:sz w:val="18"/>
                <w:szCs w:val="18"/>
              </w:rPr>
              <w:t>元，募集资金净额为人民币</w:t>
            </w:r>
            <w:r>
              <w:rPr>
                <w:rFonts w:ascii="宋体" w:hAnsi="宋体" w:cs="宋体" w:eastAsia="宋体" w:hint="default"/>
                <w:spacing w:val="-14"/>
                <w:sz w:val="18"/>
                <w:szCs w:val="18"/>
              </w:rPr>
              <w:t> </w:t>
            </w:r>
            <w:r>
              <w:rPr>
                <w:rFonts w:ascii="Arial" w:hAnsi="Arial" w:cs="Arial" w:eastAsia="Arial" w:hint="default"/>
                <w:sz w:val="18"/>
                <w:szCs w:val="18"/>
              </w:rPr>
              <w:t>594,950,000.00</w:t>
            </w:r>
            <w:r>
              <w:rPr>
                <w:rFonts w:ascii="Arial" w:hAnsi="Arial" w:cs="Arial" w:eastAsia="Arial" w:hint="default"/>
                <w:spacing w:val="-13"/>
                <w:sz w:val="18"/>
                <w:szCs w:val="18"/>
              </w:rPr>
              <w:t> </w:t>
            </w:r>
            <w:r>
              <w:rPr>
                <w:rFonts w:ascii="宋体" w:hAnsi="宋体" w:cs="宋体" w:eastAsia="宋体" w:hint="default"/>
                <w:spacing w:val="-5"/>
                <w:sz w:val="18"/>
                <w:szCs w:val="18"/>
              </w:rPr>
              <w:t>元。</w:t>
            </w:r>
            <w:r>
              <w:rPr>
                <w:rFonts w:ascii="Arial" w:hAnsi="Arial" w:cs="Arial" w:eastAsia="Arial" w:hint="default"/>
                <w:spacing w:val="-5"/>
                <w:sz w:val="18"/>
                <w:szCs w:val="18"/>
              </w:rPr>
              <w:t>4</w:t>
            </w:r>
            <w:r>
              <w:rPr>
                <w:rFonts w:ascii="宋体" w:hAnsi="宋体" w:cs="宋体" w:eastAsia="宋体" w:hint="default"/>
                <w:spacing w:val="-5"/>
                <w:sz w:val="18"/>
                <w:szCs w:val="18"/>
              </w:rPr>
              <w:t>、</w:t>
            </w:r>
            <w:r>
              <w:rPr>
                <w:rFonts w:ascii="Arial" w:hAnsi="Arial" w:cs="Arial" w:eastAsia="Arial" w:hint="default"/>
                <w:spacing w:val="-5"/>
                <w:sz w:val="18"/>
                <w:szCs w:val="18"/>
              </w:rPr>
              <w:t>2015</w:t>
            </w:r>
            <w:r>
              <w:rPr>
                <w:rFonts w:ascii="Arial" w:hAnsi="Arial" w:cs="Arial" w:eastAsia="Arial" w:hint="default"/>
                <w:spacing w:val="-13"/>
                <w:sz w:val="18"/>
                <w:szCs w:val="18"/>
              </w:rPr>
              <w:t> </w:t>
            </w:r>
            <w:r>
              <w:rPr>
                <w:rFonts w:ascii="宋体" w:hAnsi="宋体" w:cs="宋体" w:eastAsia="宋体" w:hint="default"/>
                <w:sz w:val="18"/>
                <w:szCs w:val="18"/>
              </w:rPr>
              <w:t>年度</w:t>
            </w:r>
          </w:p>
          <w:p>
            <w:pPr>
              <w:pStyle w:val="TableParagraph"/>
              <w:spacing w:line="302" w:lineRule="auto" w:before="63"/>
              <w:ind w:left="9" w:right="8"/>
              <w:jc w:val="both"/>
              <w:rPr>
                <w:rFonts w:ascii="宋体" w:hAnsi="宋体" w:cs="宋体" w:eastAsia="宋体" w:hint="default"/>
                <w:sz w:val="18"/>
                <w:szCs w:val="18"/>
              </w:rPr>
            </w:pPr>
            <w:r>
              <w:rPr>
                <w:rFonts w:ascii="宋体" w:hAnsi="宋体" w:cs="宋体" w:eastAsia="宋体" w:hint="default"/>
                <w:sz w:val="18"/>
                <w:szCs w:val="18"/>
              </w:rPr>
              <w:t>公开发行股票募集资金专用账户取得利息收入扣除手续费后之净额为人民币</w:t>
            </w:r>
            <w:r>
              <w:rPr>
                <w:rFonts w:ascii="宋体" w:hAnsi="宋体" w:cs="宋体" w:eastAsia="宋体" w:hint="default"/>
                <w:spacing w:val="-46"/>
                <w:sz w:val="18"/>
                <w:szCs w:val="18"/>
              </w:rPr>
              <w:t> </w:t>
            </w:r>
            <w:r>
              <w:rPr>
                <w:rFonts w:ascii="Arial" w:hAnsi="Arial" w:cs="Arial" w:eastAsia="Arial" w:hint="default"/>
                <w:sz w:val="18"/>
                <w:szCs w:val="18"/>
              </w:rPr>
              <w:t>1,529,523.54</w:t>
            </w:r>
            <w:r>
              <w:rPr>
                <w:rFonts w:ascii="Arial" w:hAnsi="Arial" w:cs="Arial" w:eastAsia="Arial" w:hint="default"/>
                <w:spacing w:val="-7"/>
                <w:sz w:val="18"/>
                <w:szCs w:val="18"/>
              </w:rPr>
              <w:t> </w:t>
            </w:r>
            <w:r>
              <w:rPr>
                <w:rFonts w:ascii="宋体" w:hAnsi="宋体" w:cs="宋体" w:eastAsia="宋体" w:hint="default"/>
                <w:sz w:val="18"/>
                <w:szCs w:val="18"/>
              </w:rPr>
              <w:t>元，截至</w:t>
            </w:r>
            <w:r>
              <w:rPr>
                <w:rFonts w:ascii="宋体" w:hAnsi="宋体" w:cs="宋体" w:eastAsia="宋体" w:hint="default"/>
                <w:spacing w:val="-4"/>
                <w:sz w:val="18"/>
                <w:szCs w:val="18"/>
              </w:rPr>
              <w:t> </w:t>
            </w:r>
            <w:r>
              <w:rPr>
                <w:rFonts w:ascii="Arial" w:hAnsi="Arial" w:cs="Arial" w:eastAsia="Arial" w:hint="default"/>
                <w:sz w:val="18"/>
                <w:szCs w:val="18"/>
              </w:rPr>
              <w:t>2015</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7"/>
                <w:sz w:val="18"/>
                <w:szCs w:val="18"/>
              </w:rPr>
              <w:t> </w:t>
            </w:r>
            <w:r>
              <w:rPr>
                <w:rFonts w:ascii="宋体" w:hAnsi="宋体" w:cs="宋体" w:eastAsia="宋体" w:hint="default"/>
                <w:sz w:val="18"/>
                <w:szCs w:val="18"/>
              </w:rPr>
              <w:t>日，累 计取得利息收入扣除手续费后之净额为人民币</w:t>
            </w:r>
            <w:r>
              <w:rPr>
                <w:rFonts w:ascii="宋体" w:hAnsi="宋体" w:cs="宋体" w:eastAsia="宋体" w:hint="default"/>
                <w:spacing w:val="-47"/>
                <w:sz w:val="18"/>
                <w:szCs w:val="18"/>
              </w:rPr>
              <w:t> </w:t>
            </w:r>
            <w:r>
              <w:rPr>
                <w:rFonts w:ascii="Arial" w:hAnsi="Arial" w:cs="Arial" w:eastAsia="Arial" w:hint="default"/>
                <w:sz w:val="18"/>
                <w:szCs w:val="18"/>
              </w:rPr>
              <w:t>28,227,231.63</w:t>
            </w:r>
            <w:r>
              <w:rPr>
                <w:rFonts w:ascii="Arial" w:hAnsi="Arial" w:cs="Arial" w:eastAsia="Arial" w:hint="default"/>
                <w:spacing w:val="-7"/>
                <w:sz w:val="18"/>
                <w:szCs w:val="18"/>
              </w:rPr>
              <w:t> </w:t>
            </w:r>
            <w:r>
              <w:rPr>
                <w:rFonts w:ascii="宋体" w:hAnsi="宋体" w:cs="宋体" w:eastAsia="宋体" w:hint="default"/>
                <w:spacing w:val="-6"/>
                <w:sz w:val="18"/>
                <w:szCs w:val="18"/>
              </w:rPr>
              <w:t>元。</w:t>
            </w:r>
            <w:r>
              <w:rPr>
                <w:rFonts w:ascii="Arial" w:hAnsi="Arial" w:cs="Arial" w:eastAsia="Arial" w:hint="default"/>
                <w:spacing w:val="-6"/>
                <w:sz w:val="18"/>
                <w:szCs w:val="18"/>
              </w:rPr>
              <w:t>5</w:t>
            </w:r>
            <w:r>
              <w:rPr>
                <w:rFonts w:ascii="宋体" w:hAnsi="宋体" w:cs="宋体" w:eastAsia="宋体" w:hint="default"/>
                <w:spacing w:val="-6"/>
                <w:sz w:val="18"/>
                <w:szCs w:val="18"/>
              </w:rPr>
              <w:t>、</w:t>
            </w:r>
            <w:r>
              <w:rPr>
                <w:rFonts w:ascii="Arial" w:hAnsi="Arial" w:cs="Arial" w:eastAsia="Arial" w:hint="default"/>
                <w:spacing w:val="-6"/>
                <w:sz w:val="18"/>
                <w:szCs w:val="18"/>
              </w:rPr>
              <w:t>2015</w:t>
            </w:r>
            <w:r>
              <w:rPr>
                <w:rFonts w:ascii="Arial" w:hAnsi="Arial" w:cs="Arial" w:eastAsia="Arial" w:hint="default"/>
                <w:spacing w:val="-7"/>
                <w:sz w:val="18"/>
                <w:szCs w:val="18"/>
              </w:rPr>
              <w:t> </w:t>
            </w:r>
            <w:r>
              <w:rPr>
                <w:rFonts w:ascii="宋体" w:hAnsi="宋体" w:cs="宋体" w:eastAsia="宋体" w:hint="default"/>
                <w:sz w:val="18"/>
                <w:szCs w:val="18"/>
              </w:rPr>
              <w:t>年度发行公司债募集资金专用账户取得利息收入扣 除手续费后之净额为人民币</w:t>
            </w:r>
            <w:r>
              <w:rPr>
                <w:rFonts w:ascii="宋体" w:hAnsi="宋体" w:cs="宋体" w:eastAsia="宋体" w:hint="default"/>
                <w:spacing w:val="-47"/>
                <w:sz w:val="18"/>
                <w:szCs w:val="18"/>
              </w:rPr>
              <w:t> </w:t>
            </w:r>
            <w:r>
              <w:rPr>
                <w:rFonts w:ascii="Arial" w:hAnsi="Arial" w:cs="Arial" w:eastAsia="Arial" w:hint="default"/>
                <w:sz w:val="18"/>
                <w:szCs w:val="18"/>
              </w:rPr>
              <w:t>34,983.67</w:t>
            </w:r>
            <w:r>
              <w:rPr>
                <w:rFonts w:ascii="Arial" w:hAnsi="Arial" w:cs="Arial" w:eastAsia="Arial" w:hint="default"/>
                <w:spacing w:val="-7"/>
                <w:sz w:val="18"/>
                <w:szCs w:val="18"/>
              </w:rPr>
              <w:t> </w:t>
            </w:r>
            <w:r>
              <w:rPr>
                <w:rFonts w:ascii="宋体" w:hAnsi="宋体" w:cs="宋体" w:eastAsia="宋体" w:hint="default"/>
                <w:sz w:val="18"/>
                <w:szCs w:val="18"/>
              </w:rPr>
              <w:t>元，截至</w:t>
            </w:r>
            <w:r>
              <w:rPr>
                <w:rFonts w:ascii="宋体" w:hAnsi="宋体" w:cs="宋体" w:eastAsia="宋体" w:hint="default"/>
                <w:spacing w:val="-2"/>
                <w:sz w:val="18"/>
                <w:szCs w:val="18"/>
              </w:rPr>
              <w:t> </w:t>
            </w:r>
            <w:r>
              <w:rPr>
                <w:rFonts w:ascii="Arial" w:hAnsi="Arial" w:cs="Arial" w:eastAsia="Arial" w:hint="default"/>
                <w:sz w:val="18"/>
                <w:szCs w:val="18"/>
              </w:rPr>
              <w:t>2015</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7"/>
                <w:sz w:val="18"/>
                <w:szCs w:val="18"/>
              </w:rPr>
              <w:t> </w:t>
            </w:r>
            <w:r>
              <w:rPr>
                <w:rFonts w:ascii="宋体" w:hAnsi="宋体" w:cs="宋体" w:eastAsia="宋体" w:hint="default"/>
                <w:sz w:val="18"/>
                <w:szCs w:val="18"/>
              </w:rPr>
              <w:t>日，累计取得利息收入扣除手续费后之净额为人民币</w:t>
            </w:r>
          </w:p>
        </w:tc>
      </w:tr>
    </w:tbl>
    <w:p>
      <w:pPr>
        <w:spacing w:after="0" w:line="302" w:lineRule="auto"/>
        <w:jc w:val="both"/>
        <w:rPr>
          <w:rFonts w:ascii="宋体" w:hAnsi="宋体" w:cs="宋体" w:eastAsia="宋体" w:hint="default"/>
          <w:sz w:val="18"/>
          <w:szCs w:val="18"/>
        </w:rPr>
        <w:sectPr>
          <w:headerReference w:type="default" r:id="rId36"/>
          <w:footerReference w:type="default" r:id="rId37"/>
          <w:pgSz w:w="11910" w:h="16840"/>
          <w:pgMar w:header="877" w:footer="979" w:top="1100" w:bottom="1160" w:left="980" w:right="0"/>
          <w:pgNumType w:start="30"/>
        </w:sectPr>
      </w:pPr>
    </w:p>
    <w:p>
      <w:pPr>
        <w:spacing w:line="240" w:lineRule="auto" w:before="11"/>
        <w:rPr>
          <w:rFonts w:ascii="宋体" w:hAnsi="宋体" w:cs="宋体" w:eastAsia="宋体" w:hint="default"/>
          <w:sz w:val="24"/>
          <w:szCs w:val="24"/>
        </w:rPr>
      </w:pPr>
    </w:p>
    <w:p>
      <w:pPr>
        <w:spacing w:line="674" w:lineRule="exact"/>
        <w:ind w:left="534" w:right="0" w:firstLine="0"/>
        <w:rPr>
          <w:rFonts w:ascii="宋体" w:hAnsi="宋体" w:cs="宋体" w:eastAsia="宋体" w:hint="default"/>
          <w:sz w:val="20"/>
          <w:szCs w:val="20"/>
        </w:rPr>
      </w:pPr>
      <w:r>
        <w:rPr>
          <w:rFonts w:ascii="宋体" w:hAnsi="宋体" w:cs="宋体" w:eastAsia="宋体" w:hint="default"/>
          <w:position w:val="-12"/>
          <w:sz w:val="20"/>
          <w:szCs w:val="20"/>
        </w:rPr>
        <w:pict>
          <v:shape style="width:494.85pt;height:33.75pt;mso-position-horizontal-relative:char;mso-position-vertical-relative:line" type="#_x0000_t202" filled="false" stroked="true" strokeweight=".48pt" strokecolor="#5b9bd4">
            <w10:anchorlock/>
            <v:textbox inset="0,0,0,0">
              <w:txbxContent>
                <w:p>
                  <w:pPr>
                    <w:spacing w:before="5"/>
                    <w:ind w:left="22" w:right="0" w:firstLine="0"/>
                    <w:jc w:val="left"/>
                    <w:rPr>
                      <w:rFonts w:ascii="宋体" w:hAnsi="宋体" w:cs="宋体" w:eastAsia="宋体" w:hint="default"/>
                      <w:sz w:val="18"/>
                      <w:szCs w:val="18"/>
                    </w:rPr>
                  </w:pPr>
                  <w:r>
                    <w:rPr>
                      <w:rFonts w:ascii="Arial" w:hAnsi="Arial" w:cs="Arial" w:eastAsia="Arial" w:hint="default"/>
                      <w:sz w:val="18"/>
                      <w:szCs w:val="18"/>
                    </w:rPr>
                    <w:t>34,983.67</w:t>
                  </w:r>
                  <w:r>
                    <w:rPr>
                      <w:rFonts w:ascii="Arial" w:hAnsi="Arial" w:cs="Arial" w:eastAsia="Arial" w:hint="default"/>
                      <w:spacing w:val="-11"/>
                      <w:sz w:val="18"/>
                      <w:szCs w:val="18"/>
                    </w:rPr>
                    <w:t> </w:t>
                  </w:r>
                  <w:r>
                    <w:rPr>
                      <w:rFonts w:ascii="宋体" w:hAnsi="宋体" w:cs="宋体" w:eastAsia="宋体" w:hint="default"/>
                      <w:spacing w:val="-6"/>
                      <w:sz w:val="18"/>
                      <w:szCs w:val="18"/>
                    </w:rPr>
                    <w:t>元。</w:t>
                  </w:r>
                  <w:r>
                    <w:rPr>
                      <w:rFonts w:ascii="Arial" w:hAnsi="Arial" w:cs="Arial" w:eastAsia="Arial" w:hint="default"/>
                      <w:spacing w:val="-6"/>
                      <w:sz w:val="18"/>
                      <w:szCs w:val="18"/>
                    </w:rPr>
                    <w:t>6</w:t>
                  </w:r>
                  <w:r>
                    <w:rPr>
                      <w:rFonts w:ascii="宋体" w:hAnsi="宋体" w:cs="宋体" w:eastAsia="宋体" w:hint="default"/>
                      <w:spacing w:val="-6"/>
                      <w:sz w:val="18"/>
                      <w:szCs w:val="18"/>
                    </w:rPr>
                    <w:t>、截至</w:t>
                  </w:r>
                  <w:r>
                    <w:rPr>
                      <w:rFonts w:ascii="宋体" w:hAnsi="宋体" w:cs="宋体" w:eastAsia="宋体" w:hint="default"/>
                      <w:spacing w:val="-52"/>
                      <w:sz w:val="18"/>
                      <w:szCs w:val="18"/>
                    </w:rPr>
                    <w:t> </w:t>
                  </w: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w:hAnsi="Arial" w:cs="Arial" w:eastAsia="Arial" w:hint="default"/>
                      <w:sz w:val="18"/>
                      <w:szCs w:val="18"/>
                    </w:rPr>
                    <w:t>12</w:t>
                  </w:r>
                  <w:r>
                    <w:rPr>
                      <w:rFonts w:ascii="Arial" w:hAnsi="Arial" w:cs="Arial" w:eastAsia="Arial"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31</w:t>
                  </w:r>
                  <w:r>
                    <w:rPr>
                      <w:rFonts w:ascii="Arial" w:hAnsi="Arial" w:cs="Arial" w:eastAsia="Arial" w:hint="default"/>
                      <w:spacing w:val="-12"/>
                      <w:sz w:val="18"/>
                      <w:szCs w:val="18"/>
                    </w:rPr>
                    <w:t> </w:t>
                  </w:r>
                  <w:r>
                    <w:rPr>
                      <w:rFonts w:ascii="宋体" w:hAnsi="宋体" w:cs="宋体" w:eastAsia="宋体" w:hint="default"/>
                      <w:sz w:val="18"/>
                      <w:szCs w:val="18"/>
                    </w:rPr>
                    <w:t>日，公开发行股票募集资金专用账户实际余额为</w:t>
                  </w:r>
                  <w:r>
                    <w:rPr>
                      <w:rFonts w:ascii="宋体" w:hAnsi="宋体" w:cs="宋体" w:eastAsia="宋体" w:hint="default"/>
                      <w:spacing w:val="-51"/>
                      <w:sz w:val="18"/>
                      <w:szCs w:val="18"/>
                    </w:rPr>
                    <w:t> </w:t>
                  </w:r>
                  <w:r>
                    <w:rPr>
                      <w:rFonts w:ascii="Arial" w:hAnsi="Arial" w:cs="Arial" w:eastAsia="Arial" w:hint="default"/>
                      <w:sz w:val="18"/>
                      <w:szCs w:val="18"/>
                    </w:rPr>
                    <w:t>65,727,759.69</w:t>
                  </w:r>
                  <w:r>
                    <w:rPr>
                      <w:rFonts w:ascii="Arial" w:hAnsi="Arial" w:cs="Arial" w:eastAsia="Arial" w:hint="default"/>
                      <w:spacing w:val="-12"/>
                      <w:sz w:val="18"/>
                      <w:szCs w:val="18"/>
                    </w:rPr>
                    <w:t> </w:t>
                  </w:r>
                  <w:r>
                    <w:rPr>
                      <w:rFonts w:ascii="宋体" w:hAnsi="宋体" w:cs="宋体" w:eastAsia="宋体" w:hint="default"/>
                      <w:sz w:val="18"/>
                      <w:szCs w:val="18"/>
                    </w:rPr>
                    <w:t>元，公司债募集资金</w:t>
                  </w:r>
                </w:p>
                <w:p>
                  <w:pPr>
                    <w:spacing w:before="65"/>
                    <w:ind w:left="22" w:right="0" w:firstLine="0"/>
                    <w:jc w:val="left"/>
                    <w:rPr>
                      <w:rFonts w:ascii="宋体" w:hAnsi="宋体" w:cs="宋体" w:eastAsia="宋体" w:hint="default"/>
                      <w:sz w:val="18"/>
                      <w:szCs w:val="18"/>
                    </w:rPr>
                  </w:pPr>
                  <w:r>
                    <w:rPr>
                      <w:rFonts w:ascii="宋体" w:hAnsi="宋体" w:cs="宋体" w:eastAsia="宋体" w:hint="default"/>
                      <w:sz w:val="18"/>
                      <w:szCs w:val="18"/>
                    </w:rPr>
                    <w:t>专用账户实际余额为</w:t>
                  </w:r>
                  <w:r>
                    <w:rPr>
                      <w:rFonts w:ascii="宋体" w:hAnsi="宋体" w:cs="宋体" w:eastAsia="宋体" w:hint="default"/>
                      <w:spacing w:val="-48"/>
                      <w:sz w:val="18"/>
                      <w:szCs w:val="18"/>
                    </w:rPr>
                    <w:t> </w:t>
                  </w:r>
                  <w:r>
                    <w:rPr>
                      <w:rFonts w:ascii="Arial" w:hAnsi="Arial" w:cs="Arial" w:eastAsia="Arial" w:hint="default"/>
                      <w:sz w:val="18"/>
                      <w:szCs w:val="18"/>
                    </w:rPr>
                    <w:t>34,983.67</w:t>
                  </w:r>
                  <w:r>
                    <w:rPr>
                      <w:rFonts w:ascii="Arial" w:hAnsi="Arial" w:cs="Arial" w:eastAsia="Arial" w:hint="default"/>
                      <w:spacing w:val="-8"/>
                      <w:sz w:val="18"/>
                      <w:szCs w:val="18"/>
                    </w:rPr>
                    <w:t> </w:t>
                  </w:r>
                  <w:r>
                    <w:rPr>
                      <w:rFonts w:ascii="宋体" w:hAnsi="宋体" w:cs="宋体" w:eastAsia="宋体" w:hint="default"/>
                      <w:sz w:val="18"/>
                      <w:szCs w:val="18"/>
                    </w:rPr>
                    <w:t>元。</w:t>
                  </w:r>
                </w:p>
              </w:txbxContent>
            </v:textbox>
          </v:shape>
        </w:pict>
      </w:r>
      <w:r>
        <w:rPr>
          <w:rFonts w:ascii="宋体" w:hAnsi="宋体" w:cs="宋体" w:eastAsia="宋体" w:hint="default"/>
          <w:position w:val="-12"/>
          <w:sz w:val="20"/>
          <w:szCs w:val="20"/>
        </w:rPr>
      </w:r>
    </w:p>
    <w:p>
      <w:pPr>
        <w:spacing w:line="240" w:lineRule="auto" w:before="7"/>
        <w:rPr>
          <w:rFonts w:ascii="宋体" w:hAnsi="宋体" w:cs="宋体" w:eastAsia="宋体" w:hint="default"/>
          <w:sz w:val="20"/>
          <w:szCs w:val="20"/>
        </w:rPr>
      </w:pPr>
    </w:p>
    <w:p>
      <w:pPr>
        <w:pStyle w:val="Heading5"/>
        <w:spacing w:line="317" w:lineRule="exact" w:before="0"/>
        <w:ind w:left="534" w:right="912"/>
        <w:jc w:val="left"/>
        <w:rPr>
          <w:rFonts w:ascii="Microsoft JhengHei" w:hAnsi="Microsoft JhengHei" w:cs="Microsoft JhengHei" w:eastAsia="Microsoft JhengHei" w:hint="default"/>
          <w:b w:val="0"/>
          <w:bCs w:val="0"/>
        </w:rPr>
      </w:pPr>
      <w:bookmarkStart w:name="（2）募集资金承诺项目情况" w:id="82"/>
      <w:bookmarkEnd w:id="82"/>
      <w:r>
        <w:rPr>
          <w:b w:val="0"/>
          <w:bCs w:val="0"/>
        </w:rPr>
      </w:r>
      <w:r>
        <w:rPr>
          <w:rFonts w:ascii="Microsoft JhengHei" w:hAnsi="Microsoft JhengHei" w:cs="Microsoft JhengHei" w:eastAsia="Microsoft JhengHei" w:hint="default"/>
        </w:rPr>
        <w:t>（</w:t>
      </w:r>
      <w:r>
        <w:rPr>
          <w:rFonts w:ascii="Trebuchet MS" w:hAnsi="Trebuchet MS" w:cs="Trebuchet MS" w:eastAsia="Trebuchet MS" w:hint="default"/>
        </w:rPr>
        <w:t>2</w:t>
      </w:r>
      <w:r>
        <w:rPr>
          <w:rFonts w:ascii="Microsoft JhengHei" w:hAnsi="Microsoft JhengHei" w:cs="Microsoft JhengHei" w:eastAsia="Microsoft JhengHei" w:hint="default"/>
        </w:rPr>
        <w:t>）募集资金承诺项目情况</w:t>
      </w:r>
      <w:r>
        <w:rPr>
          <w:rFonts w:ascii="Microsoft JhengHei" w:hAnsi="Microsoft JhengHei" w:cs="Microsoft JhengHei" w:eastAsia="Microsoft JhengHei" w:hint="default"/>
          <w:b w:val="0"/>
          <w:bCs w:val="0"/>
        </w:rPr>
      </w:r>
    </w:p>
    <w:p>
      <w:pPr>
        <w:spacing w:line="240" w:lineRule="auto" w:before="15"/>
        <w:rPr>
          <w:rFonts w:ascii="Microsoft JhengHei" w:hAnsi="Microsoft JhengHei" w:cs="Microsoft JhengHei" w:eastAsia="Microsoft JhengHei" w:hint="default"/>
          <w:b/>
          <w:bCs/>
          <w:sz w:val="17"/>
          <w:szCs w:val="17"/>
        </w:rPr>
      </w:pPr>
    </w:p>
    <w:p>
      <w:pPr>
        <w:spacing w:before="29"/>
        <w:ind w:left="533" w:right="91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6"/>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747"/>
        <w:gridCol w:w="202"/>
        <w:gridCol w:w="590"/>
        <w:gridCol w:w="953"/>
        <w:gridCol w:w="1011"/>
        <w:gridCol w:w="974"/>
        <w:gridCol w:w="1011"/>
        <w:gridCol w:w="831"/>
        <w:gridCol w:w="582"/>
        <w:gridCol w:w="979"/>
        <w:gridCol w:w="755"/>
        <w:gridCol w:w="828"/>
      </w:tblGrid>
      <w:tr>
        <w:trPr>
          <w:trHeight w:val="473" w:hRule="exact"/>
        </w:trPr>
        <w:tc>
          <w:tcPr>
            <w:tcW w:w="1747" w:type="dxa"/>
            <w:vMerge w:val="restart"/>
            <w:tcBorders>
              <w:top w:val="single" w:sz="4" w:space="0" w:color="5B9BD4"/>
              <w:left w:val="nil" w:sz="6" w:space="0" w:color="auto"/>
              <w:right w:val="nil" w:sz="6" w:space="0" w:color="auto"/>
            </w:tcBorders>
            <w:shd w:val="clear" w:color="auto" w:fill="DEEAF6"/>
          </w:tcPr>
          <w:p>
            <w:pPr/>
          </w:p>
        </w:tc>
        <w:tc>
          <w:tcPr>
            <w:tcW w:w="793" w:type="dxa"/>
            <w:gridSpan w:val="2"/>
            <w:tcBorders>
              <w:top w:val="single" w:sz="4" w:space="0" w:color="5B9BD4"/>
              <w:left w:val="nil" w:sz="6" w:space="0" w:color="auto"/>
              <w:bottom w:val="nil" w:sz="6" w:space="0" w:color="auto"/>
              <w:right w:val="nil" w:sz="6" w:space="0" w:color="auto"/>
            </w:tcBorders>
            <w:shd w:val="clear" w:color="auto" w:fill="DEEAF6"/>
          </w:tcPr>
          <w:p>
            <w:pPr/>
          </w:p>
        </w:tc>
        <w:tc>
          <w:tcPr>
            <w:tcW w:w="2939" w:type="dxa"/>
            <w:gridSpan w:val="3"/>
            <w:vMerge w:val="restart"/>
            <w:tcBorders>
              <w:top w:val="single" w:sz="4" w:space="0" w:color="5B9BD4"/>
              <w:left w:val="nil" w:sz="6" w:space="0" w:color="auto"/>
              <w:right w:val="nil" w:sz="6" w:space="0" w:color="auto"/>
            </w:tcBorders>
            <w:shd w:val="clear" w:color="auto" w:fill="DEEAF6"/>
          </w:tcPr>
          <w:p>
            <w:pPr/>
          </w:p>
        </w:tc>
        <w:tc>
          <w:tcPr>
            <w:tcW w:w="1011" w:type="dxa"/>
            <w:vMerge w:val="restart"/>
            <w:tcBorders>
              <w:top w:val="single" w:sz="4" w:space="0" w:color="5B9BD4"/>
              <w:left w:val="nil" w:sz="6" w:space="0" w:color="auto"/>
              <w:right w:val="nil" w:sz="6" w:space="0" w:color="auto"/>
            </w:tcBorders>
            <w:shd w:val="clear" w:color="auto" w:fill="DEEAF6"/>
          </w:tcPr>
          <w:p>
            <w:pPr/>
          </w:p>
        </w:tc>
        <w:tc>
          <w:tcPr>
            <w:tcW w:w="831" w:type="dxa"/>
            <w:tcBorders>
              <w:top w:val="single" w:sz="4" w:space="0" w:color="5B9BD4"/>
              <w:left w:val="nil" w:sz="6" w:space="0" w:color="auto"/>
              <w:bottom w:val="nil" w:sz="6" w:space="0" w:color="auto"/>
              <w:right w:val="nil" w:sz="6" w:space="0" w:color="auto"/>
            </w:tcBorders>
            <w:shd w:val="clear" w:color="auto" w:fill="DEEAF6"/>
          </w:tcPr>
          <w:p>
            <w:pPr/>
          </w:p>
        </w:tc>
        <w:tc>
          <w:tcPr>
            <w:tcW w:w="582"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6"/>
              <w:ind w:left="112" w:right="106"/>
              <w:jc w:val="both"/>
              <w:rPr>
                <w:rFonts w:ascii="宋体" w:hAnsi="宋体" w:cs="宋体" w:eastAsia="宋体" w:hint="default"/>
                <w:sz w:val="18"/>
                <w:szCs w:val="18"/>
              </w:rPr>
            </w:pPr>
            <w:r>
              <w:rPr>
                <w:rFonts w:ascii="宋体" w:hAnsi="宋体" w:cs="宋体" w:eastAsia="宋体" w:hint="default"/>
                <w:sz w:val="18"/>
                <w:szCs w:val="18"/>
              </w:rPr>
              <w:t>项目 达到 预定 可使 用状 态日 期</w:t>
            </w:r>
          </w:p>
        </w:tc>
        <w:tc>
          <w:tcPr>
            <w:tcW w:w="979" w:type="dxa"/>
            <w:vMerge w:val="restart"/>
            <w:tcBorders>
              <w:top w:val="single" w:sz="4" w:space="0" w:color="5B9BD4"/>
              <w:left w:val="nil" w:sz="6" w:space="0" w:color="auto"/>
              <w:right w:val="nil" w:sz="6" w:space="0" w:color="auto"/>
            </w:tcBorders>
            <w:shd w:val="clear" w:color="auto" w:fill="DEEAF6"/>
          </w:tcPr>
          <w:p>
            <w:pPr/>
          </w:p>
        </w:tc>
        <w:tc>
          <w:tcPr>
            <w:tcW w:w="755" w:type="dxa"/>
            <w:vMerge w:val="restart"/>
            <w:tcBorders>
              <w:top w:val="single" w:sz="4" w:space="0" w:color="5B9BD4"/>
              <w:left w:val="nil" w:sz="6" w:space="0" w:color="auto"/>
              <w:right w:val="nil" w:sz="6" w:space="0" w:color="auto"/>
            </w:tcBorders>
            <w:shd w:val="clear" w:color="auto" w:fill="DEEAF6"/>
          </w:tcPr>
          <w:p>
            <w:pPr/>
          </w:p>
        </w:tc>
        <w:tc>
          <w:tcPr>
            <w:tcW w:w="828" w:type="dxa"/>
            <w:tcBorders>
              <w:top w:val="single" w:sz="4" w:space="0" w:color="5B9BD4"/>
              <w:left w:val="nil" w:sz="6" w:space="0" w:color="auto"/>
              <w:bottom w:val="nil" w:sz="6" w:space="0" w:color="auto"/>
              <w:right w:val="nil" w:sz="6" w:space="0" w:color="auto"/>
            </w:tcBorders>
            <w:shd w:val="clear" w:color="auto" w:fill="DEEAF6"/>
          </w:tcPr>
          <w:p>
            <w:pPr/>
          </w:p>
        </w:tc>
      </w:tr>
      <w:tr>
        <w:trPr>
          <w:trHeight w:val="156" w:hRule="exact"/>
        </w:trPr>
        <w:tc>
          <w:tcPr>
            <w:tcW w:w="1747" w:type="dxa"/>
            <w:vMerge/>
            <w:tcBorders>
              <w:left w:val="nil" w:sz="6" w:space="0" w:color="auto"/>
              <w:right w:val="nil" w:sz="6" w:space="0" w:color="auto"/>
            </w:tcBorders>
            <w:shd w:val="clear" w:color="auto" w:fill="DEEAF6"/>
          </w:tcPr>
          <w:p>
            <w:pPr/>
          </w:p>
        </w:tc>
        <w:tc>
          <w:tcPr>
            <w:tcW w:w="793" w:type="dxa"/>
            <w:gridSpan w:val="2"/>
            <w:vMerge w:val="restart"/>
            <w:tcBorders>
              <w:top w:val="nil" w:sz="6" w:space="0" w:color="auto"/>
              <w:left w:val="nil" w:sz="6" w:space="0" w:color="auto"/>
              <w:right w:val="nil" w:sz="6" w:space="0" w:color="auto"/>
            </w:tcBorders>
            <w:shd w:val="clear" w:color="auto" w:fill="DEEAF6"/>
          </w:tcPr>
          <w:p>
            <w:pPr>
              <w:pStyle w:val="TableParagraph"/>
              <w:spacing w:line="312" w:lineRule="auto" w:before="46"/>
              <w:ind w:left="38" w:right="32"/>
              <w:jc w:val="center"/>
              <w:rPr>
                <w:rFonts w:ascii="Arial" w:hAnsi="Arial" w:cs="Arial" w:eastAsia="Arial" w:hint="default"/>
                <w:sz w:val="18"/>
                <w:szCs w:val="18"/>
              </w:rPr>
            </w:pPr>
            <w:r>
              <w:rPr>
                <w:rFonts w:ascii="宋体" w:hAnsi="宋体" w:cs="宋体" w:eastAsia="宋体" w:hint="default"/>
                <w:sz w:val="18"/>
                <w:szCs w:val="18"/>
              </w:rPr>
              <w:t>是否已变 更项目 </w:t>
            </w:r>
            <w:r>
              <w:rPr>
                <w:rFonts w:ascii="Arial" w:hAnsi="Arial" w:cs="Arial" w:eastAsia="Arial" w:hint="default"/>
                <w:sz w:val="18"/>
                <w:szCs w:val="18"/>
              </w:rPr>
              <w:t>(</w:t>
            </w:r>
            <w:r>
              <w:rPr>
                <w:rFonts w:ascii="宋体" w:hAnsi="宋体" w:cs="宋体" w:eastAsia="宋体" w:hint="default"/>
                <w:sz w:val="18"/>
                <w:szCs w:val="18"/>
              </w:rPr>
              <w:t>含部分 变更</w:t>
            </w:r>
            <w:r>
              <w:rPr>
                <w:rFonts w:ascii="Arial" w:hAnsi="Arial" w:cs="Arial" w:eastAsia="Arial" w:hint="default"/>
                <w:sz w:val="18"/>
                <w:szCs w:val="18"/>
              </w:rPr>
              <w:t>)</w:t>
            </w:r>
          </w:p>
        </w:tc>
        <w:tc>
          <w:tcPr>
            <w:tcW w:w="2939" w:type="dxa"/>
            <w:gridSpan w:val="3"/>
            <w:vMerge/>
            <w:tcBorders>
              <w:left w:val="nil" w:sz="6" w:space="0" w:color="auto"/>
              <w:right w:val="nil" w:sz="6" w:space="0" w:color="auto"/>
            </w:tcBorders>
            <w:shd w:val="clear" w:color="auto" w:fill="DEEAF6"/>
          </w:tcPr>
          <w:p>
            <w:pPr/>
          </w:p>
        </w:tc>
        <w:tc>
          <w:tcPr>
            <w:tcW w:w="1011" w:type="dxa"/>
            <w:vMerge/>
            <w:tcBorders>
              <w:left w:val="nil" w:sz="6" w:space="0" w:color="auto"/>
              <w:bottom w:val="nil" w:sz="6" w:space="0" w:color="auto"/>
              <w:right w:val="nil" w:sz="6" w:space="0" w:color="auto"/>
            </w:tcBorders>
            <w:shd w:val="clear" w:color="auto" w:fill="DEEAF6"/>
          </w:tcPr>
          <w:p>
            <w:pPr/>
          </w:p>
        </w:tc>
        <w:tc>
          <w:tcPr>
            <w:tcW w:w="831" w:type="dxa"/>
            <w:vMerge w:val="restart"/>
            <w:tcBorders>
              <w:top w:val="nil" w:sz="6" w:space="0" w:color="auto"/>
              <w:left w:val="nil" w:sz="6" w:space="0" w:color="auto"/>
              <w:right w:val="nil" w:sz="6" w:space="0" w:color="auto"/>
            </w:tcBorders>
            <w:shd w:val="clear" w:color="auto" w:fill="DEEAF6"/>
          </w:tcPr>
          <w:p>
            <w:pPr>
              <w:pStyle w:val="TableParagraph"/>
              <w:spacing w:line="326" w:lineRule="auto" w:before="46"/>
              <w:ind w:left="55" w:right="53"/>
              <w:jc w:val="center"/>
              <w:rPr>
                <w:rFonts w:ascii="Arial" w:hAnsi="Arial" w:cs="Arial" w:eastAsia="Arial" w:hint="default"/>
                <w:sz w:val="18"/>
                <w:szCs w:val="18"/>
              </w:rPr>
            </w:pPr>
            <w:r>
              <w:rPr>
                <w:rFonts w:ascii="宋体" w:hAnsi="宋体" w:cs="宋体" w:eastAsia="宋体" w:hint="default"/>
                <w:sz w:val="18"/>
                <w:szCs w:val="18"/>
              </w:rPr>
              <w:t>截至期末 投资进度 </w:t>
            </w:r>
            <w:r>
              <w:rPr>
                <w:rFonts w:ascii="Arial" w:hAnsi="Arial" w:cs="Arial" w:eastAsia="Arial" w:hint="default"/>
                <w:w w:val="105"/>
                <w:sz w:val="18"/>
                <w:szCs w:val="18"/>
              </w:rPr>
              <w:t>(3)</w:t>
            </w:r>
            <w:r>
              <w:rPr>
                <w:rFonts w:ascii="宋体" w:hAnsi="宋体" w:cs="宋体" w:eastAsia="宋体" w:hint="default"/>
                <w:w w:val="105"/>
                <w:sz w:val="18"/>
                <w:szCs w:val="18"/>
              </w:rPr>
              <w:t>＝</w:t>
            </w:r>
            <w:r>
              <w:rPr>
                <w:rFonts w:ascii="宋体" w:hAnsi="宋体" w:cs="宋体" w:eastAsia="宋体" w:hint="default"/>
                <w:sz w:val="18"/>
                <w:szCs w:val="18"/>
              </w:rPr>
              <w:t> </w:t>
            </w:r>
            <w:r>
              <w:rPr>
                <w:rFonts w:ascii="Arial" w:hAnsi="Arial" w:cs="Arial" w:eastAsia="Arial" w:hint="default"/>
                <w:w w:val="105"/>
                <w:sz w:val="18"/>
                <w:szCs w:val="18"/>
              </w:rPr>
              <w:t>(2)/(1)</w:t>
            </w:r>
            <w:r>
              <w:rPr>
                <w:rFonts w:ascii="Arial" w:hAnsi="Arial" w:cs="Arial" w:eastAsia="Arial" w:hint="default"/>
                <w:sz w:val="18"/>
                <w:szCs w:val="18"/>
              </w:rPr>
            </w:r>
          </w:p>
        </w:tc>
        <w:tc>
          <w:tcPr>
            <w:tcW w:w="582" w:type="dxa"/>
            <w:vMerge/>
            <w:tcBorders>
              <w:left w:val="nil" w:sz="6" w:space="0" w:color="auto"/>
              <w:right w:val="nil" w:sz="6" w:space="0" w:color="auto"/>
            </w:tcBorders>
            <w:shd w:val="clear" w:color="auto" w:fill="DEEAF6"/>
          </w:tcPr>
          <w:p>
            <w:pPr/>
          </w:p>
        </w:tc>
        <w:tc>
          <w:tcPr>
            <w:tcW w:w="979" w:type="dxa"/>
            <w:vMerge/>
            <w:tcBorders>
              <w:left w:val="nil" w:sz="6" w:space="0" w:color="auto"/>
              <w:right w:val="nil" w:sz="6" w:space="0" w:color="auto"/>
            </w:tcBorders>
            <w:shd w:val="clear" w:color="auto" w:fill="DEEAF6"/>
          </w:tcPr>
          <w:p>
            <w:pPr/>
          </w:p>
        </w:tc>
        <w:tc>
          <w:tcPr>
            <w:tcW w:w="755" w:type="dxa"/>
            <w:vMerge/>
            <w:tcBorders>
              <w:left w:val="nil" w:sz="6" w:space="0" w:color="auto"/>
              <w:bottom w:val="nil" w:sz="6" w:space="0" w:color="auto"/>
              <w:right w:val="nil" w:sz="6" w:space="0" w:color="auto"/>
            </w:tcBorders>
            <w:shd w:val="clear" w:color="auto" w:fill="DEEAF6"/>
          </w:tcPr>
          <w:p>
            <w:pPr/>
          </w:p>
        </w:tc>
        <w:tc>
          <w:tcPr>
            <w:tcW w:w="828"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56" w:right="49"/>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156" w:hRule="exact"/>
        </w:trPr>
        <w:tc>
          <w:tcPr>
            <w:tcW w:w="1747" w:type="dxa"/>
            <w:vMerge/>
            <w:tcBorders>
              <w:left w:val="nil" w:sz="6" w:space="0" w:color="auto"/>
              <w:bottom w:val="nil" w:sz="6" w:space="0" w:color="auto"/>
              <w:right w:val="nil" w:sz="6" w:space="0" w:color="auto"/>
            </w:tcBorders>
            <w:shd w:val="clear" w:color="auto" w:fill="DEEAF6"/>
          </w:tcPr>
          <w:p>
            <w:pPr/>
          </w:p>
        </w:tc>
        <w:tc>
          <w:tcPr>
            <w:tcW w:w="793" w:type="dxa"/>
            <w:gridSpan w:val="2"/>
            <w:vMerge/>
            <w:tcBorders>
              <w:left w:val="nil" w:sz="6" w:space="0" w:color="auto"/>
              <w:right w:val="nil" w:sz="6" w:space="0" w:color="auto"/>
            </w:tcBorders>
            <w:shd w:val="clear" w:color="auto" w:fill="DEEAF6"/>
          </w:tcPr>
          <w:p>
            <w:pPr/>
          </w:p>
        </w:tc>
        <w:tc>
          <w:tcPr>
            <w:tcW w:w="2939" w:type="dxa"/>
            <w:gridSpan w:val="3"/>
            <w:vMerge/>
            <w:tcBorders>
              <w:left w:val="nil" w:sz="6" w:space="0" w:color="auto"/>
              <w:bottom w:val="nil" w:sz="6" w:space="0" w:color="auto"/>
              <w:right w:val="nil" w:sz="6" w:space="0" w:color="auto"/>
            </w:tcBorders>
            <w:shd w:val="clear" w:color="auto" w:fill="DEEAF6"/>
          </w:tcPr>
          <w:p>
            <w:pPr/>
          </w:p>
        </w:tc>
        <w:tc>
          <w:tcPr>
            <w:tcW w:w="1011" w:type="dxa"/>
            <w:vMerge w:val="restart"/>
            <w:tcBorders>
              <w:top w:val="nil" w:sz="6" w:space="0" w:color="auto"/>
              <w:left w:val="nil" w:sz="6" w:space="0" w:color="auto"/>
              <w:right w:val="nil" w:sz="6" w:space="0" w:color="auto"/>
            </w:tcBorders>
            <w:shd w:val="clear" w:color="auto" w:fill="DEEAF6"/>
          </w:tcPr>
          <w:p>
            <w:pPr>
              <w:pStyle w:val="TableParagraph"/>
              <w:spacing w:line="338" w:lineRule="auto" w:before="46"/>
              <w:ind w:left="54" w:right="53"/>
              <w:jc w:val="center"/>
              <w:rPr>
                <w:rFonts w:ascii="Arial" w:hAnsi="Arial" w:cs="Arial" w:eastAsia="Arial" w:hint="default"/>
                <w:sz w:val="18"/>
                <w:szCs w:val="18"/>
              </w:rPr>
            </w:pPr>
            <w:r>
              <w:rPr>
                <w:rFonts w:ascii="宋体" w:hAnsi="宋体" w:cs="宋体" w:eastAsia="宋体" w:hint="default"/>
                <w:sz w:val="18"/>
                <w:szCs w:val="18"/>
              </w:rPr>
              <w:t>截至期末累 计投入金额 </w:t>
            </w:r>
            <w:r>
              <w:rPr>
                <w:rFonts w:ascii="Arial" w:hAnsi="Arial" w:cs="Arial" w:eastAsia="Arial" w:hint="default"/>
                <w:sz w:val="18"/>
                <w:szCs w:val="18"/>
              </w:rPr>
              <w:t>(2)</w:t>
            </w:r>
          </w:p>
        </w:tc>
        <w:tc>
          <w:tcPr>
            <w:tcW w:w="831" w:type="dxa"/>
            <w:vMerge/>
            <w:tcBorders>
              <w:left w:val="nil" w:sz="6" w:space="0" w:color="auto"/>
              <w:right w:val="nil" w:sz="6" w:space="0" w:color="auto"/>
            </w:tcBorders>
            <w:shd w:val="clear" w:color="auto" w:fill="DEEAF6"/>
          </w:tcPr>
          <w:p>
            <w:pPr/>
          </w:p>
        </w:tc>
        <w:tc>
          <w:tcPr>
            <w:tcW w:w="582" w:type="dxa"/>
            <w:vMerge/>
            <w:tcBorders>
              <w:left w:val="nil" w:sz="6" w:space="0" w:color="auto"/>
              <w:right w:val="nil" w:sz="6" w:space="0" w:color="auto"/>
            </w:tcBorders>
            <w:shd w:val="clear" w:color="auto" w:fill="DEEAF6"/>
          </w:tcPr>
          <w:p>
            <w:pPr/>
          </w:p>
        </w:tc>
        <w:tc>
          <w:tcPr>
            <w:tcW w:w="979" w:type="dxa"/>
            <w:vMerge/>
            <w:tcBorders>
              <w:left w:val="nil" w:sz="6" w:space="0" w:color="auto"/>
              <w:bottom w:val="nil" w:sz="6" w:space="0" w:color="auto"/>
              <w:right w:val="nil" w:sz="6" w:space="0" w:color="auto"/>
            </w:tcBorders>
            <w:shd w:val="clear" w:color="auto" w:fill="DEEAF6"/>
          </w:tcPr>
          <w:p>
            <w:pPr/>
          </w:p>
        </w:tc>
        <w:tc>
          <w:tcPr>
            <w:tcW w:w="755"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106" w:right="10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828" w:type="dxa"/>
            <w:vMerge/>
            <w:tcBorders>
              <w:left w:val="nil" w:sz="6" w:space="0" w:color="auto"/>
              <w:right w:val="nil" w:sz="6" w:space="0" w:color="auto"/>
            </w:tcBorders>
            <w:shd w:val="clear" w:color="auto" w:fill="DEEAF6"/>
          </w:tcPr>
          <w:p>
            <w:pPr/>
          </w:p>
        </w:tc>
      </w:tr>
      <w:tr>
        <w:trPr>
          <w:trHeight w:val="704" w:hRule="exact"/>
        </w:trPr>
        <w:tc>
          <w:tcPr>
            <w:tcW w:w="1747" w:type="dxa"/>
            <w:tcBorders>
              <w:top w:val="nil" w:sz="6" w:space="0" w:color="auto"/>
              <w:left w:val="nil" w:sz="6" w:space="0" w:color="auto"/>
              <w:bottom w:val="nil" w:sz="6" w:space="0" w:color="auto"/>
              <w:right w:val="nil" w:sz="6" w:space="0" w:color="auto"/>
            </w:tcBorders>
            <w:shd w:val="clear" w:color="auto" w:fill="DEEAF6"/>
          </w:tcPr>
          <w:p>
            <w:pPr>
              <w:pStyle w:val="TableParagraph"/>
              <w:spacing w:line="316" w:lineRule="auto" w:before="46"/>
              <w:ind w:left="510" w:right="64"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93" w:type="dxa"/>
            <w:gridSpan w:val="2"/>
            <w:vMerge/>
            <w:tcBorders>
              <w:left w:val="nil" w:sz="6" w:space="0" w:color="auto"/>
              <w:right w:val="nil" w:sz="6" w:space="0" w:color="auto"/>
            </w:tcBorders>
            <w:shd w:val="clear" w:color="auto" w:fill="DEEAF6"/>
          </w:tcPr>
          <w:p>
            <w:pPr/>
          </w:p>
        </w:tc>
        <w:tc>
          <w:tcPr>
            <w:tcW w:w="953" w:type="dxa"/>
            <w:tcBorders>
              <w:top w:val="nil" w:sz="6" w:space="0" w:color="auto"/>
              <w:left w:val="nil" w:sz="6" w:space="0" w:color="auto"/>
              <w:bottom w:val="nil" w:sz="6" w:space="0" w:color="auto"/>
              <w:right w:val="nil" w:sz="6" w:space="0" w:color="auto"/>
            </w:tcBorders>
            <w:shd w:val="clear" w:color="auto" w:fill="DEEAF6"/>
          </w:tcPr>
          <w:p>
            <w:pPr>
              <w:pStyle w:val="TableParagraph"/>
              <w:spacing w:line="316" w:lineRule="auto" w:before="46"/>
              <w:ind w:left="27" w:right="23"/>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1011" w:type="dxa"/>
            <w:tcBorders>
              <w:top w:val="nil" w:sz="6" w:space="0" w:color="auto"/>
              <w:left w:val="nil" w:sz="6" w:space="0" w:color="auto"/>
              <w:bottom w:val="nil" w:sz="6" w:space="0" w:color="auto"/>
              <w:right w:val="nil" w:sz="6" w:space="0" w:color="auto"/>
            </w:tcBorders>
            <w:shd w:val="clear" w:color="auto" w:fill="DEEAF6"/>
          </w:tcPr>
          <w:p>
            <w:pPr>
              <w:pStyle w:val="TableParagraph"/>
              <w:spacing w:line="316" w:lineRule="auto" w:before="46"/>
              <w:ind w:left="208" w:right="54" w:hanging="154"/>
              <w:jc w:val="left"/>
              <w:rPr>
                <w:rFonts w:ascii="Arial" w:hAnsi="Arial" w:cs="Arial" w:eastAsia="Arial" w:hint="default"/>
                <w:sz w:val="18"/>
                <w:szCs w:val="18"/>
              </w:rPr>
            </w:pPr>
            <w:r>
              <w:rPr>
                <w:rFonts w:ascii="宋体" w:hAnsi="宋体" w:cs="宋体" w:eastAsia="宋体" w:hint="default"/>
                <w:sz w:val="18"/>
                <w:szCs w:val="18"/>
              </w:rPr>
              <w:t>调整后投资 总额</w:t>
            </w:r>
            <w:r>
              <w:rPr>
                <w:rFonts w:ascii="Arial" w:hAnsi="Arial" w:cs="Arial" w:eastAsia="Arial" w:hint="default"/>
                <w:sz w:val="18"/>
                <w:szCs w:val="18"/>
              </w:rPr>
              <w:t>(1)</w:t>
            </w:r>
          </w:p>
        </w:tc>
        <w:tc>
          <w:tcPr>
            <w:tcW w:w="974" w:type="dxa"/>
            <w:tcBorders>
              <w:top w:val="nil" w:sz="6" w:space="0" w:color="auto"/>
              <w:left w:val="nil" w:sz="6" w:space="0" w:color="auto"/>
              <w:bottom w:val="nil" w:sz="6" w:space="0" w:color="auto"/>
              <w:right w:val="nil" w:sz="6" w:space="0" w:color="auto"/>
            </w:tcBorders>
            <w:shd w:val="clear" w:color="auto" w:fill="DEEAF6"/>
          </w:tcPr>
          <w:p>
            <w:pPr>
              <w:pStyle w:val="TableParagraph"/>
              <w:spacing w:line="316" w:lineRule="auto" w:before="46"/>
              <w:ind w:left="216" w:right="35" w:hanging="180"/>
              <w:jc w:val="left"/>
              <w:rPr>
                <w:rFonts w:ascii="宋体" w:hAnsi="宋体" w:cs="宋体" w:eastAsia="宋体" w:hint="default"/>
                <w:sz w:val="18"/>
                <w:szCs w:val="18"/>
              </w:rPr>
            </w:pPr>
            <w:r>
              <w:rPr>
                <w:rFonts w:ascii="宋体" w:hAnsi="宋体" w:cs="宋体" w:eastAsia="宋体" w:hint="default"/>
                <w:sz w:val="18"/>
                <w:szCs w:val="18"/>
              </w:rPr>
              <w:t>本报告期投 入金额</w:t>
            </w:r>
          </w:p>
        </w:tc>
        <w:tc>
          <w:tcPr>
            <w:tcW w:w="1011" w:type="dxa"/>
            <w:vMerge/>
            <w:tcBorders>
              <w:left w:val="nil" w:sz="6" w:space="0" w:color="auto"/>
              <w:right w:val="nil" w:sz="6" w:space="0" w:color="auto"/>
            </w:tcBorders>
            <w:shd w:val="clear" w:color="auto" w:fill="DEEAF6"/>
          </w:tcPr>
          <w:p>
            <w:pPr/>
          </w:p>
        </w:tc>
        <w:tc>
          <w:tcPr>
            <w:tcW w:w="831" w:type="dxa"/>
            <w:vMerge/>
            <w:tcBorders>
              <w:left w:val="nil" w:sz="6" w:space="0" w:color="auto"/>
              <w:right w:val="nil" w:sz="6" w:space="0" w:color="auto"/>
            </w:tcBorders>
            <w:shd w:val="clear" w:color="auto" w:fill="DEEAF6"/>
          </w:tcPr>
          <w:p>
            <w:pPr/>
          </w:p>
        </w:tc>
        <w:tc>
          <w:tcPr>
            <w:tcW w:w="582" w:type="dxa"/>
            <w:vMerge/>
            <w:tcBorders>
              <w:left w:val="nil" w:sz="6" w:space="0" w:color="auto"/>
              <w:right w:val="nil" w:sz="6" w:space="0" w:color="auto"/>
            </w:tcBorders>
            <w:shd w:val="clear" w:color="auto" w:fill="DEEAF6"/>
          </w:tcPr>
          <w:p>
            <w:pPr/>
          </w:p>
        </w:tc>
        <w:tc>
          <w:tcPr>
            <w:tcW w:w="979" w:type="dxa"/>
            <w:tcBorders>
              <w:top w:val="nil" w:sz="6" w:space="0" w:color="auto"/>
              <w:left w:val="nil" w:sz="6" w:space="0" w:color="auto"/>
              <w:bottom w:val="nil" w:sz="6" w:space="0" w:color="auto"/>
              <w:right w:val="nil" w:sz="6" w:space="0" w:color="auto"/>
            </w:tcBorders>
            <w:shd w:val="clear" w:color="auto" w:fill="DEEAF6"/>
          </w:tcPr>
          <w:p>
            <w:pPr>
              <w:pStyle w:val="TableParagraph"/>
              <w:spacing w:line="316" w:lineRule="auto" w:before="46"/>
              <w:ind w:left="131" w:right="35"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755" w:type="dxa"/>
            <w:vMerge/>
            <w:tcBorders>
              <w:left w:val="nil" w:sz="6" w:space="0" w:color="auto"/>
              <w:right w:val="nil" w:sz="6" w:space="0" w:color="auto"/>
            </w:tcBorders>
            <w:shd w:val="clear" w:color="auto" w:fill="DEEAF6"/>
          </w:tcPr>
          <w:p>
            <w:pPr/>
          </w:p>
        </w:tc>
        <w:tc>
          <w:tcPr>
            <w:tcW w:w="828" w:type="dxa"/>
            <w:vMerge/>
            <w:tcBorders>
              <w:left w:val="nil" w:sz="6" w:space="0" w:color="auto"/>
              <w:right w:val="nil" w:sz="6" w:space="0" w:color="auto"/>
            </w:tcBorders>
            <w:shd w:val="clear" w:color="auto" w:fill="DEEAF6"/>
          </w:tcPr>
          <w:p>
            <w:pPr/>
          </w:p>
        </w:tc>
      </w:tr>
      <w:tr>
        <w:trPr>
          <w:trHeight w:val="156" w:hRule="exact"/>
        </w:trPr>
        <w:tc>
          <w:tcPr>
            <w:tcW w:w="1747" w:type="dxa"/>
            <w:vMerge w:val="restart"/>
            <w:tcBorders>
              <w:top w:val="nil" w:sz="6" w:space="0" w:color="auto"/>
              <w:left w:val="nil" w:sz="6" w:space="0" w:color="auto"/>
              <w:right w:val="nil" w:sz="6" w:space="0" w:color="auto"/>
            </w:tcBorders>
            <w:shd w:val="clear" w:color="auto" w:fill="DEEAF6"/>
          </w:tcPr>
          <w:p>
            <w:pPr/>
          </w:p>
        </w:tc>
        <w:tc>
          <w:tcPr>
            <w:tcW w:w="793" w:type="dxa"/>
            <w:gridSpan w:val="2"/>
            <w:vMerge/>
            <w:tcBorders>
              <w:left w:val="nil" w:sz="6" w:space="0" w:color="auto"/>
              <w:right w:val="nil" w:sz="6" w:space="0" w:color="auto"/>
            </w:tcBorders>
            <w:shd w:val="clear" w:color="auto" w:fill="DEEAF6"/>
          </w:tcPr>
          <w:p>
            <w:pPr/>
          </w:p>
        </w:tc>
        <w:tc>
          <w:tcPr>
            <w:tcW w:w="2939" w:type="dxa"/>
            <w:gridSpan w:val="3"/>
            <w:vMerge w:val="restart"/>
            <w:tcBorders>
              <w:top w:val="nil" w:sz="6" w:space="0" w:color="auto"/>
              <w:left w:val="nil" w:sz="6" w:space="0" w:color="auto"/>
              <w:right w:val="nil" w:sz="6" w:space="0" w:color="auto"/>
            </w:tcBorders>
            <w:shd w:val="clear" w:color="auto" w:fill="DEEAF6"/>
          </w:tcPr>
          <w:p>
            <w:pPr/>
          </w:p>
        </w:tc>
        <w:tc>
          <w:tcPr>
            <w:tcW w:w="1011" w:type="dxa"/>
            <w:vMerge/>
            <w:tcBorders>
              <w:left w:val="nil" w:sz="6" w:space="0" w:color="auto"/>
              <w:bottom w:val="nil" w:sz="6" w:space="0" w:color="auto"/>
              <w:right w:val="nil" w:sz="6" w:space="0" w:color="auto"/>
            </w:tcBorders>
            <w:shd w:val="clear" w:color="auto" w:fill="DEEAF6"/>
          </w:tcPr>
          <w:p>
            <w:pPr/>
          </w:p>
        </w:tc>
        <w:tc>
          <w:tcPr>
            <w:tcW w:w="831" w:type="dxa"/>
            <w:vMerge/>
            <w:tcBorders>
              <w:left w:val="nil" w:sz="6" w:space="0" w:color="auto"/>
              <w:right w:val="nil" w:sz="6" w:space="0" w:color="auto"/>
            </w:tcBorders>
            <w:shd w:val="clear" w:color="auto" w:fill="DEEAF6"/>
          </w:tcPr>
          <w:p>
            <w:pPr/>
          </w:p>
        </w:tc>
        <w:tc>
          <w:tcPr>
            <w:tcW w:w="582" w:type="dxa"/>
            <w:vMerge/>
            <w:tcBorders>
              <w:left w:val="nil" w:sz="6" w:space="0" w:color="auto"/>
              <w:right w:val="nil" w:sz="6" w:space="0" w:color="auto"/>
            </w:tcBorders>
            <w:shd w:val="clear" w:color="auto" w:fill="DEEAF6"/>
          </w:tcPr>
          <w:p>
            <w:pPr/>
          </w:p>
        </w:tc>
        <w:tc>
          <w:tcPr>
            <w:tcW w:w="979" w:type="dxa"/>
            <w:vMerge w:val="restart"/>
            <w:tcBorders>
              <w:top w:val="nil" w:sz="6" w:space="0" w:color="auto"/>
              <w:left w:val="nil" w:sz="6" w:space="0" w:color="auto"/>
              <w:right w:val="nil" w:sz="6" w:space="0" w:color="auto"/>
            </w:tcBorders>
            <w:shd w:val="clear" w:color="auto" w:fill="DEEAF6"/>
          </w:tcPr>
          <w:p>
            <w:pPr/>
          </w:p>
        </w:tc>
        <w:tc>
          <w:tcPr>
            <w:tcW w:w="755" w:type="dxa"/>
            <w:vMerge/>
            <w:tcBorders>
              <w:left w:val="nil" w:sz="6" w:space="0" w:color="auto"/>
              <w:bottom w:val="nil" w:sz="6" w:space="0" w:color="auto"/>
              <w:right w:val="nil" w:sz="6" w:space="0" w:color="auto"/>
            </w:tcBorders>
            <w:shd w:val="clear" w:color="auto" w:fill="DEEAF6"/>
          </w:tcPr>
          <w:p>
            <w:pPr/>
          </w:p>
        </w:tc>
        <w:tc>
          <w:tcPr>
            <w:tcW w:w="828" w:type="dxa"/>
            <w:vMerge/>
            <w:tcBorders>
              <w:left w:val="nil" w:sz="6" w:space="0" w:color="auto"/>
              <w:right w:val="nil" w:sz="6" w:space="0" w:color="auto"/>
            </w:tcBorders>
            <w:shd w:val="clear" w:color="auto" w:fill="DEEAF6"/>
          </w:tcPr>
          <w:p>
            <w:pPr/>
          </w:p>
        </w:tc>
      </w:tr>
      <w:tr>
        <w:trPr>
          <w:trHeight w:val="156" w:hRule="exact"/>
        </w:trPr>
        <w:tc>
          <w:tcPr>
            <w:tcW w:w="1747" w:type="dxa"/>
            <w:vMerge/>
            <w:tcBorders>
              <w:left w:val="nil" w:sz="6" w:space="0" w:color="auto"/>
              <w:right w:val="nil" w:sz="6" w:space="0" w:color="auto"/>
            </w:tcBorders>
            <w:shd w:val="clear" w:color="auto" w:fill="DEEAF6"/>
          </w:tcPr>
          <w:p>
            <w:pPr/>
          </w:p>
        </w:tc>
        <w:tc>
          <w:tcPr>
            <w:tcW w:w="793" w:type="dxa"/>
            <w:gridSpan w:val="2"/>
            <w:vMerge/>
            <w:tcBorders>
              <w:left w:val="nil" w:sz="6" w:space="0" w:color="auto"/>
              <w:bottom w:val="nil" w:sz="6" w:space="0" w:color="auto"/>
              <w:right w:val="nil" w:sz="6" w:space="0" w:color="auto"/>
            </w:tcBorders>
            <w:shd w:val="clear" w:color="auto" w:fill="DEEAF6"/>
          </w:tcPr>
          <w:p>
            <w:pPr/>
          </w:p>
        </w:tc>
        <w:tc>
          <w:tcPr>
            <w:tcW w:w="2939" w:type="dxa"/>
            <w:gridSpan w:val="3"/>
            <w:vMerge/>
            <w:tcBorders>
              <w:left w:val="nil" w:sz="6" w:space="0" w:color="auto"/>
              <w:right w:val="nil" w:sz="6" w:space="0" w:color="auto"/>
            </w:tcBorders>
            <w:shd w:val="clear" w:color="auto" w:fill="DEEAF6"/>
          </w:tcPr>
          <w:p>
            <w:pPr/>
          </w:p>
        </w:tc>
        <w:tc>
          <w:tcPr>
            <w:tcW w:w="1011" w:type="dxa"/>
            <w:vMerge w:val="restart"/>
            <w:tcBorders>
              <w:top w:val="nil" w:sz="6" w:space="0" w:color="auto"/>
              <w:left w:val="nil" w:sz="6" w:space="0" w:color="auto"/>
              <w:right w:val="nil" w:sz="6" w:space="0" w:color="auto"/>
            </w:tcBorders>
            <w:shd w:val="clear" w:color="auto" w:fill="DEEAF6"/>
          </w:tcPr>
          <w:p>
            <w:pPr/>
          </w:p>
        </w:tc>
        <w:tc>
          <w:tcPr>
            <w:tcW w:w="831" w:type="dxa"/>
            <w:vMerge/>
            <w:tcBorders>
              <w:left w:val="nil" w:sz="6" w:space="0" w:color="auto"/>
              <w:bottom w:val="nil" w:sz="6" w:space="0" w:color="auto"/>
              <w:right w:val="nil" w:sz="6" w:space="0" w:color="auto"/>
            </w:tcBorders>
            <w:shd w:val="clear" w:color="auto" w:fill="DEEAF6"/>
          </w:tcPr>
          <w:p>
            <w:pPr/>
          </w:p>
        </w:tc>
        <w:tc>
          <w:tcPr>
            <w:tcW w:w="582" w:type="dxa"/>
            <w:vMerge/>
            <w:tcBorders>
              <w:left w:val="nil" w:sz="6" w:space="0" w:color="auto"/>
              <w:right w:val="nil" w:sz="6" w:space="0" w:color="auto"/>
            </w:tcBorders>
            <w:shd w:val="clear" w:color="auto" w:fill="DEEAF6"/>
          </w:tcPr>
          <w:p>
            <w:pPr/>
          </w:p>
        </w:tc>
        <w:tc>
          <w:tcPr>
            <w:tcW w:w="979" w:type="dxa"/>
            <w:vMerge/>
            <w:tcBorders>
              <w:left w:val="nil" w:sz="6" w:space="0" w:color="auto"/>
              <w:right w:val="nil" w:sz="6" w:space="0" w:color="auto"/>
            </w:tcBorders>
            <w:shd w:val="clear" w:color="auto" w:fill="DEEAF6"/>
          </w:tcPr>
          <w:p>
            <w:pPr/>
          </w:p>
        </w:tc>
        <w:tc>
          <w:tcPr>
            <w:tcW w:w="755" w:type="dxa"/>
            <w:vMerge w:val="restart"/>
            <w:tcBorders>
              <w:top w:val="nil" w:sz="6" w:space="0" w:color="auto"/>
              <w:left w:val="nil" w:sz="6" w:space="0" w:color="auto"/>
              <w:right w:val="nil" w:sz="6" w:space="0" w:color="auto"/>
            </w:tcBorders>
            <w:shd w:val="clear" w:color="auto" w:fill="DEEAF6"/>
          </w:tcPr>
          <w:p>
            <w:pPr/>
          </w:p>
        </w:tc>
        <w:tc>
          <w:tcPr>
            <w:tcW w:w="828" w:type="dxa"/>
            <w:vMerge/>
            <w:tcBorders>
              <w:left w:val="nil" w:sz="6" w:space="0" w:color="auto"/>
              <w:bottom w:val="nil" w:sz="6" w:space="0" w:color="auto"/>
              <w:right w:val="nil" w:sz="6" w:space="0" w:color="auto"/>
            </w:tcBorders>
            <w:shd w:val="clear" w:color="auto" w:fill="DEEAF6"/>
          </w:tcPr>
          <w:p>
            <w:pPr/>
          </w:p>
        </w:tc>
      </w:tr>
      <w:tr>
        <w:trPr>
          <w:trHeight w:val="478" w:hRule="exact"/>
        </w:trPr>
        <w:tc>
          <w:tcPr>
            <w:tcW w:w="1747" w:type="dxa"/>
            <w:vMerge/>
            <w:tcBorders>
              <w:left w:val="nil" w:sz="6" w:space="0" w:color="auto"/>
              <w:bottom w:val="single" w:sz="4" w:space="0" w:color="5B9BD4"/>
              <w:right w:val="nil" w:sz="6" w:space="0" w:color="auto"/>
            </w:tcBorders>
            <w:shd w:val="clear" w:color="auto" w:fill="DEEAF6"/>
          </w:tcPr>
          <w:p>
            <w:pPr/>
          </w:p>
        </w:tc>
        <w:tc>
          <w:tcPr>
            <w:tcW w:w="793" w:type="dxa"/>
            <w:gridSpan w:val="2"/>
            <w:tcBorders>
              <w:top w:val="nil" w:sz="6" w:space="0" w:color="auto"/>
              <w:left w:val="nil" w:sz="6" w:space="0" w:color="auto"/>
              <w:bottom w:val="single" w:sz="4" w:space="0" w:color="5B9BD4"/>
              <w:right w:val="nil" w:sz="6" w:space="0" w:color="auto"/>
            </w:tcBorders>
            <w:shd w:val="clear" w:color="auto" w:fill="DEEAF6"/>
          </w:tcPr>
          <w:p>
            <w:pPr/>
          </w:p>
        </w:tc>
        <w:tc>
          <w:tcPr>
            <w:tcW w:w="2939" w:type="dxa"/>
            <w:gridSpan w:val="3"/>
            <w:vMerge/>
            <w:tcBorders>
              <w:left w:val="nil" w:sz="6" w:space="0" w:color="auto"/>
              <w:bottom w:val="single" w:sz="4" w:space="0" w:color="5B9BD4"/>
              <w:right w:val="nil" w:sz="6" w:space="0" w:color="auto"/>
            </w:tcBorders>
            <w:shd w:val="clear" w:color="auto" w:fill="DEEAF6"/>
          </w:tcPr>
          <w:p>
            <w:pPr/>
          </w:p>
        </w:tc>
        <w:tc>
          <w:tcPr>
            <w:tcW w:w="1011" w:type="dxa"/>
            <w:vMerge/>
            <w:tcBorders>
              <w:left w:val="nil" w:sz="6" w:space="0" w:color="auto"/>
              <w:bottom w:val="single" w:sz="4" w:space="0" w:color="5B9BD4"/>
              <w:right w:val="nil" w:sz="6" w:space="0" w:color="auto"/>
            </w:tcBorders>
            <w:shd w:val="clear" w:color="auto" w:fill="DEEAF6"/>
          </w:tcPr>
          <w:p>
            <w:pPr/>
          </w:p>
        </w:tc>
        <w:tc>
          <w:tcPr>
            <w:tcW w:w="831" w:type="dxa"/>
            <w:tcBorders>
              <w:top w:val="nil" w:sz="6" w:space="0" w:color="auto"/>
              <w:left w:val="nil" w:sz="6" w:space="0" w:color="auto"/>
              <w:bottom w:val="single" w:sz="4" w:space="0" w:color="5B9BD4"/>
              <w:right w:val="nil" w:sz="6" w:space="0" w:color="auto"/>
            </w:tcBorders>
            <w:shd w:val="clear" w:color="auto" w:fill="DEEAF6"/>
          </w:tcPr>
          <w:p>
            <w:pPr/>
          </w:p>
        </w:tc>
        <w:tc>
          <w:tcPr>
            <w:tcW w:w="582" w:type="dxa"/>
            <w:vMerge/>
            <w:tcBorders>
              <w:left w:val="nil" w:sz="6" w:space="0" w:color="auto"/>
              <w:bottom w:val="single" w:sz="4" w:space="0" w:color="5B9BD4"/>
              <w:right w:val="nil" w:sz="6" w:space="0" w:color="auto"/>
            </w:tcBorders>
            <w:shd w:val="clear" w:color="auto" w:fill="DEEAF6"/>
          </w:tcPr>
          <w:p>
            <w:pPr/>
          </w:p>
        </w:tc>
        <w:tc>
          <w:tcPr>
            <w:tcW w:w="979" w:type="dxa"/>
            <w:vMerge/>
            <w:tcBorders>
              <w:left w:val="nil" w:sz="6" w:space="0" w:color="auto"/>
              <w:bottom w:val="single" w:sz="4" w:space="0" w:color="5B9BD4"/>
              <w:right w:val="nil" w:sz="6" w:space="0" w:color="auto"/>
            </w:tcBorders>
            <w:shd w:val="clear" w:color="auto" w:fill="DEEAF6"/>
          </w:tcPr>
          <w:p>
            <w:pPr/>
          </w:p>
        </w:tc>
        <w:tc>
          <w:tcPr>
            <w:tcW w:w="755" w:type="dxa"/>
            <w:vMerge/>
            <w:tcBorders>
              <w:left w:val="nil" w:sz="6" w:space="0" w:color="auto"/>
              <w:bottom w:val="single" w:sz="4" w:space="0" w:color="5B9BD4"/>
              <w:right w:val="nil" w:sz="6" w:space="0" w:color="auto"/>
            </w:tcBorders>
            <w:shd w:val="clear" w:color="auto" w:fill="DEEAF6"/>
          </w:tcPr>
          <w:p>
            <w:pPr/>
          </w:p>
        </w:tc>
        <w:tc>
          <w:tcPr>
            <w:tcW w:w="828" w:type="dxa"/>
            <w:tcBorders>
              <w:top w:val="nil" w:sz="6" w:space="0" w:color="auto"/>
              <w:left w:val="nil" w:sz="6" w:space="0" w:color="auto"/>
              <w:bottom w:val="single" w:sz="4" w:space="0" w:color="5B9BD4"/>
              <w:right w:val="nil" w:sz="6" w:space="0" w:color="auto"/>
            </w:tcBorders>
            <w:shd w:val="clear" w:color="auto" w:fill="DEEAF6"/>
          </w:tcPr>
          <w:p>
            <w:pPr/>
          </w:p>
        </w:tc>
      </w:tr>
      <w:tr>
        <w:trPr>
          <w:trHeight w:val="392" w:hRule="exact"/>
        </w:trPr>
        <w:tc>
          <w:tcPr>
            <w:tcW w:w="10463" w:type="dxa"/>
            <w:gridSpan w:val="1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1"/>
              <w:ind w:left="1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66" w:hRule="exact"/>
        </w:trPr>
        <w:tc>
          <w:tcPr>
            <w:tcW w:w="1747" w:type="dxa"/>
            <w:vMerge w:val="restart"/>
            <w:tcBorders>
              <w:top w:val="single" w:sz="4" w:space="0" w:color="5B9BD4"/>
              <w:left w:val="nil" w:sz="6" w:space="0" w:color="auto"/>
              <w:right w:val="nil" w:sz="6" w:space="0" w:color="auto"/>
            </w:tcBorders>
            <w:shd w:val="clear" w:color="auto" w:fill="DEEAF6"/>
          </w:tcPr>
          <w:p>
            <w:pPr>
              <w:pStyle w:val="TableParagraph"/>
              <w:spacing w:line="302" w:lineRule="auto" w:before="51"/>
              <w:ind w:left="13" w:right="16"/>
              <w:jc w:val="left"/>
              <w:rPr>
                <w:rFonts w:ascii="宋体" w:hAnsi="宋体" w:cs="宋体" w:eastAsia="宋体" w:hint="default"/>
                <w:sz w:val="18"/>
                <w:szCs w:val="18"/>
              </w:rPr>
            </w:pPr>
            <w:r>
              <w:rPr>
                <w:rFonts w:ascii="Arial" w:hAnsi="Arial" w:cs="Arial" w:eastAsia="Arial" w:hint="default"/>
                <w:spacing w:val="-1"/>
                <w:sz w:val="18"/>
                <w:szCs w:val="18"/>
              </w:rPr>
              <w:t>1</w:t>
            </w:r>
            <w:r>
              <w:rPr>
                <w:rFonts w:ascii="宋体" w:hAnsi="宋体" w:cs="宋体" w:eastAsia="宋体" w:hint="default"/>
                <w:spacing w:val="-1"/>
                <w:sz w:val="18"/>
                <w:szCs w:val="18"/>
              </w:rPr>
              <w:t>、补充营运资金</w:t>
            </w:r>
            <w:r>
              <w:rPr>
                <w:rFonts w:ascii="Arial" w:hAnsi="Arial" w:cs="Arial" w:eastAsia="Arial" w:hint="default"/>
                <w:spacing w:val="-1"/>
                <w:sz w:val="18"/>
                <w:szCs w:val="18"/>
              </w:rPr>
              <w:t>---</w:t>
            </w:r>
            <w:r>
              <w:rPr>
                <w:rFonts w:ascii="宋体" w:hAnsi="宋体" w:cs="宋体" w:eastAsia="宋体" w:hint="default"/>
                <w:spacing w:val="-1"/>
                <w:sz w:val="18"/>
                <w:szCs w:val="18"/>
              </w:rPr>
              <w:t>增</w:t>
            </w:r>
            <w:r>
              <w:rPr>
                <w:rFonts w:ascii="宋体" w:hAnsi="宋体" w:cs="宋体" w:eastAsia="宋体" w:hint="default"/>
                <w:spacing w:val="-85"/>
                <w:sz w:val="18"/>
                <w:szCs w:val="18"/>
              </w:rPr>
              <w:t> </w:t>
            </w:r>
            <w:r>
              <w:rPr>
                <w:rFonts w:ascii="宋体" w:hAnsi="宋体" w:cs="宋体" w:eastAsia="宋体" w:hint="default"/>
                <w:sz w:val="18"/>
                <w:szCs w:val="18"/>
              </w:rPr>
              <w:t>值分销渠道扩建项目</w:t>
            </w:r>
          </w:p>
        </w:tc>
        <w:tc>
          <w:tcPr>
            <w:tcW w:w="793" w:type="dxa"/>
            <w:gridSpan w:val="2"/>
            <w:vMerge w:val="restart"/>
            <w:tcBorders>
              <w:top w:val="single" w:sz="4" w:space="0" w:color="5B9BD4"/>
              <w:left w:val="single" w:sz="11" w:space="0" w:color="DEEAF6"/>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5B9BD4"/>
              <w:left w:val="nil" w:sz="6" w:space="0" w:color="auto"/>
              <w:bottom w:val="nil" w:sz="6" w:space="0" w:color="auto"/>
              <w:right w:val="nil" w:sz="6" w:space="0" w:color="auto"/>
            </w:tcBorders>
            <w:shd w:val="clear" w:color="auto" w:fill="DEEAF6"/>
          </w:tcPr>
          <w:p>
            <w:pPr/>
          </w:p>
        </w:tc>
        <w:tc>
          <w:tcPr>
            <w:tcW w:w="1011"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74" w:right="0"/>
              <w:jc w:val="left"/>
              <w:rPr>
                <w:rFonts w:ascii="Arial" w:hAnsi="Arial" w:cs="Arial" w:eastAsia="Arial" w:hint="default"/>
                <w:sz w:val="18"/>
                <w:szCs w:val="18"/>
              </w:rPr>
            </w:pPr>
            <w:r>
              <w:rPr>
                <w:rFonts w:ascii="Arial"/>
                <w:sz w:val="18"/>
              </w:rPr>
              <w:t>41,021.15</w:t>
            </w:r>
          </w:p>
        </w:tc>
        <w:tc>
          <w:tcPr>
            <w:tcW w:w="974" w:type="dxa"/>
            <w:tcBorders>
              <w:top w:val="single" w:sz="4" w:space="0" w:color="5B9BD4"/>
              <w:left w:val="nil" w:sz="6" w:space="0" w:color="auto"/>
              <w:bottom w:val="nil" w:sz="6" w:space="0" w:color="auto"/>
              <w:right w:val="nil" w:sz="6" w:space="0" w:color="auto"/>
            </w:tcBorders>
            <w:shd w:val="clear" w:color="auto" w:fill="DEEAF6"/>
          </w:tcPr>
          <w:p>
            <w:pPr/>
          </w:p>
        </w:tc>
        <w:tc>
          <w:tcPr>
            <w:tcW w:w="1011"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74" w:right="0"/>
              <w:jc w:val="left"/>
              <w:rPr>
                <w:rFonts w:ascii="Arial" w:hAnsi="Arial" w:cs="Arial" w:eastAsia="Arial" w:hint="default"/>
                <w:sz w:val="18"/>
                <w:szCs w:val="18"/>
              </w:rPr>
            </w:pPr>
            <w:r>
              <w:rPr>
                <w:rFonts w:ascii="Arial"/>
                <w:sz w:val="18"/>
              </w:rPr>
              <w:t>41,021.15</w:t>
            </w:r>
          </w:p>
        </w:tc>
        <w:tc>
          <w:tcPr>
            <w:tcW w:w="831" w:type="dxa"/>
            <w:tcBorders>
              <w:top w:val="single" w:sz="4" w:space="0" w:color="5B9BD4"/>
              <w:left w:val="nil" w:sz="6" w:space="0" w:color="auto"/>
              <w:bottom w:val="nil" w:sz="6" w:space="0" w:color="auto"/>
              <w:right w:val="nil" w:sz="6" w:space="0" w:color="auto"/>
            </w:tcBorders>
            <w:shd w:val="clear" w:color="auto" w:fill="DEEAF6"/>
          </w:tcPr>
          <w:p>
            <w:pPr/>
          </w:p>
        </w:tc>
        <w:tc>
          <w:tcPr>
            <w:tcW w:w="582" w:type="dxa"/>
            <w:vMerge w:val="restart"/>
            <w:tcBorders>
              <w:top w:val="single" w:sz="4" w:space="0" w:color="5B9BD4"/>
              <w:left w:val="nil" w:sz="6" w:space="0" w:color="auto"/>
              <w:right w:val="nil" w:sz="6" w:space="0" w:color="auto"/>
            </w:tcBorders>
          </w:tcPr>
          <w:p>
            <w:pPr/>
          </w:p>
        </w:tc>
        <w:tc>
          <w:tcPr>
            <w:tcW w:w="979" w:type="dxa"/>
            <w:tcBorders>
              <w:top w:val="single" w:sz="4" w:space="0" w:color="5B9BD4"/>
              <w:left w:val="nil" w:sz="6" w:space="0" w:color="auto"/>
              <w:bottom w:val="nil" w:sz="6" w:space="0" w:color="auto"/>
              <w:right w:val="nil" w:sz="6" w:space="0" w:color="auto"/>
            </w:tcBorders>
            <w:shd w:val="clear" w:color="auto" w:fill="DEEAF6"/>
          </w:tcPr>
          <w:p>
            <w:pPr/>
          </w:p>
        </w:tc>
        <w:tc>
          <w:tcPr>
            <w:tcW w:w="755" w:type="dxa"/>
            <w:vMerge w:val="restart"/>
            <w:tcBorders>
              <w:top w:val="single" w:sz="4" w:space="0" w:color="5B9BD4"/>
              <w:left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28" w:type="dxa"/>
            <w:tcBorders>
              <w:top w:val="single" w:sz="4" w:space="0" w:color="5B9BD4"/>
              <w:left w:val="nil" w:sz="6" w:space="0" w:color="auto"/>
              <w:bottom w:val="nil" w:sz="6" w:space="0" w:color="auto"/>
              <w:right w:val="nil" w:sz="6" w:space="0" w:color="auto"/>
            </w:tcBorders>
            <w:shd w:val="clear" w:color="auto" w:fill="DEEAF6"/>
          </w:tcPr>
          <w:p>
            <w:pPr/>
          </w:p>
        </w:tc>
      </w:tr>
      <w:tr>
        <w:trPr>
          <w:trHeight w:val="392" w:hRule="exact"/>
        </w:trPr>
        <w:tc>
          <w:tcPr>
            <w:tcW w:w="1747" w:type="dxa"/>
            <w:vMerge/>
            <w:tcBorders>
              <w:left w:val="nil" w:sz="6" w:space="0" w:color="auto"/>
              <w:right w:val="nil" w:sz="6" w:space="0" w:color="auto"/>
            </w:tcBorders>
            <w:shd w:val="clear" w:color="auto" w:fill="DEEAF6"/>
          </w:tcPr>
          <w:p>
            <w:pPr/>
          </w:p>
        </w:tc>
        <w:tc>
          <w:tcPr>
            <w:tcW w:w="793" w:type="dxa"/>
            <w:gridSpan w:val="2"/>
            <w:vMerge/>
            <w:tcBorders>
              <w:left w:val="single" w:sz="11" w:space="0" w:color="DEEAF6"/>
              <w:right w:val="nil" w:sz="6" w:space="0" w:color="auto"/>
            </w:tcBorders>
          </w:tcPr>
          <w:p>
            <w:pPr/>
          </w:p>
        </w:tc>
        <w:tc>
          <w:tcPr>
            <w:tcW w:w="953"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17"/>
              <w:jc w:val="right"/>
              <w:rPr>
                <w:rFonts w:ascii="Arial" w:hAnsi="Arial" w:cs="Arial" w:eastAsia="Arial" w:hint="default"/>
                <w:sz w:val="18"/>
                <w:szCs w:val="18"/>
              </w:rPr>
            </w:pPr>
            <w:r>
              <w:rPr>
                <w:rFonts w:ascii="Arial"/>
                <w:w w:val="95"/>
                <w:sz w:val="18"/>
              </w:rPr>
              <w:t>41,021.15</w:t>
            </w:r>
            <w:r>
              <w:rPr>
                <w:rFonts w:ascii="Arial"/>
                <w:sz w:val="18"/>
              </w:rPr>
            </w:r>
          </w:p>
        </w:tc>
        <w:tc>
          <w:tcPr>
            <w:tcW w:w="1011" w:type="dxa"/>
            <w:vMerge/>
            <w:tcBorders>
              <w:left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shd w:val="clear" w:color="auto" w:fill="DEEAF6"/>
          </w:tcPr>
          <w:p>
            <w:pPr/>
          </w:p>
        </w:tc>
        <w:tc>
          <w:tcPr>
            <w:tcW w:w="1011" w:type="dxa"/>
            <w:vMerge/>
            <w:tcBorders>
              <w:left w:val="nil" w:sz="6" w:space="0" w:color="auto"/>
              <w:right w:val="nil" w:sz="6" w:space="0" w:color="auto"/>
            </w:tcBorders>
          </w:tcPr>
          <w:p>
            <w:pPr/>
          </w:p>
        </w:tc>
        <w:tc>
          <w:tcPr>
            <w:tcW w:w="831"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16"/>
              <w:jc w:val="right"/>
              <w:rPr>
                <w:rFonts w:ascii="Arial" w:hAnsi="Arial" w:cs="Arial" w:eastAsia="Arial" w:hint="default"/>
                <w:sz w:val="18"/>
                <w:szCs w:val="18"/>
              </w:rPr>
            </w:pPr>
            <w:r>
              <w:rPr>
                <w:rFonts w:ascii="Arial"/>
                <w:w w:val="95"/>
                <w:sz w:val="18"/>
              </w:rPr>
              <w:t>100.00%</w:t>
            </w:r>
            <w:r>
              <w:rPr>
                <w:rFonts w:ascii="Arial"/>
                <w:sz w:val="18"/>
              </w:rPr>
            </w:r>
          </w:p>
        </w:tc>
        <w:tc>
          <w:tcPr>
            <w:tcW w:w="582" w:type="dxa"/>
            <w:vMerge/>
            <w:tcBorders>
              <w:left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shd w:val="clear" w:color="auto" w:fill="DEEAF6"/>
          </w:tcPr>
          <w:p>
            <w:pPr/>
          </w:p>
        </w:tc>
        <w:tc>
          <w:tcPr>
            <w:tcW w:w="755" w:type="dxa"/>
            <w:vMerge/>
            <w:tcBorders>
              <w:left w:val="nil" w:sz="6" w:space="0" w:color="auto"/>
              <w:right w:val="nil" w:sz="6" w:space="0" w:color="auto"/>
            </w:tcBorders>
          </w:tcPr>
          <w:p>
            <w:pPr/>
          </w:p>
        </w:tc>
        <w:tc>
          <w:tcPr>
            <w:tcW w:w="828"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747" w:type="dxa"/>
            <w:vMerge/>
            <w:tcBorders>
              <w:left w:val="nil" w:sz="6" w:space="0" w:color="auto"/>
              <w:bottom w:val="single" w:sz="4" w:space="0" w:color="5B9BD4"/>
              <w:right w:val="nil" w:sz="6" w:space="0" w:color="auto"/>
            </w:tcBorders>
            <w:shd w:val="clear" w:color="auto" w:fill="DEEAF6"/>
          </w:tcPr>
          <w:p>
            <w:pPr/>
          </w:p>
        </w:tc>
        <w:tc>
          <w:tcPr>
            <w:tcW w:w="793" w:type="dxa"/>
            <w:gridSpan w:val="2"/>
            <w:vMerge/>
            <w:tcBorders>
              <w:left w:val="single" w:sz="11" w:space="0" w:color="DEEAF6"/>
              <w:bottom w:val="single" w:sz="4" w:space="0" w:color="5B9BD4"/>
              <w:right w:val="nil" w:sz="6" w:space="0" w:color="auto"/>
            </w:tcBorders>
          </w:tcPr>
          <w:p>
            <w:pPr/>
          </w:p>
        </w:tc>
        <w:tc>
          <w:tcPr>
            <w:tcW w:w="953" w:type="dxa"/>
            <w:tcBorders>
              <w:top w:val="nil" w:sz="6" w:space="0" w:color="auto"/>
              <w:left w:val="nil" w:sz="6" w:space="0" w:color="auto"/>
              <w:bottom w:val="single" w:sz="4" w:space="0" w:color="5B9BD4"/>
              <w:right w:val="nil" w:sz="6" w:space="0" w:color="auto"/>
            </w:tcBorders>
            <w:shd w:val="clear" w:color="auto" w:fill="DEEAF6"/>
          </w:tcPr>
          <w:p>
            <w:pPr/>
          </w:p>
        </w:tc>
        <w:tc>
          <w:tcPr>
            <w:tcW w:w="1011" w:type="dxa"/>
            <w:vMerge/>
            <w:tcBorders>
              <w:left w:val="nil" w:sz="6" w:space="0" w:color="auto"/>
              <w:bottom w:val="single" w:sz="4" w:space="0" w:color="5B9BD4"/>
              <w:right w:val="nil" w:sz="6" w:space="0" w:color="auto"/>
            </w:tcBorders>
          </w:tcPr>
          <w:p>
            <w:pPr/>
          </w:p>
        </w:tc>
        <w:tc>
          <w:tcPr>
            <w:tcW w:w="974" w:type="dxa"/>
            <w:tcBorders>
              <w:top w:val="nil" w:sz="6" w:space="0" w:color="auto"/>
              <w:left w:val="nil" w:sz="6" w:space="0" w:color="auto"/>
              <w:bottom w:val="single" w:sz="4" w:space="0" w:color="5B9BD4"/>
              <w:right w:val="nil" w:sz="6" w:space="0" w:color="auto"/>
            </w:tcBorders>
            <w:shd w:val="clear" w:color="auto" w:fill="DEEAF6"/>
          </w:tcPr>
          <w:p>
            <w:pPr/>
          </w:p>
        </w:tc>
        <w:tc>
          <w:tcPr>
            <w:tcW w:w="1011" w:type="dxa"/>
            <w:vMerge/>
            <w:tcBorders>
              <w:left w:val="nil" w:sz="6" w:space="0" w:color="auto"/>
              <w:bottom w:val="single" w:sz="4" w:space="0" w:color="5B9BD4"/>
              <w:right w:val="nil" w:sz="6" w:space="0" w:color="auto"/>
            </w:tcBorders>
          </w:tcPr>
          <w:p>
            <w:pPr/>
          </w:p>
        </w:tc>
        <w:tc>
          <w:tcPr>
            <w:tcW w:w="831" w:type="dxa"/>
            <w:tcBorders>
              <w:top w:val="nil" w:sz="6" w:space="0" w:color="auto"/>
              <w:left w:val="nil" w:sz="6" w:space="0" w:color="auto"/>
              <w:bottom w:val="single" w:sz="4" w:space="0" w:color="5B9BD4"/>
              <w:right w:val="nil" w:sz="6" w:space="0" w:color="auto"/>
            </w:tcBorders>
            <w:shd w:val="clear" w:color="auto" w:fill="DEEAF6"/>
          </w:tcPr>
          <w:p>
            <w:pPr/>
          </w:p>
        </w:tc>
        <w:tc>
          <w:tcPr>
            <w:tcW w:w="582" w:type="dxa"/>
            <w:vMerge/>
            <w:tcBorders>
              <w:left w:val="nil" w:sz="6" w:space="0" w:color="auto"/>
              <w:bottom w:val="single" w:sz="4" w:space="0" w:color="5B9BD4"/>
              <w:right w:val="nil" w:sz="6" w:space="0" w:color="auto"/>
            </w:tcBorders>
          </w:tcPr>
          <w:p>
            <w:pPr/>
          </w:p>
        </w:tc>
        <w:tc>
          <w:tcPr>
            <w:tcW w:w="979" w:type="dxa"/>
            <w:tcBorders>
              <w:top w:val="nil" w:sz="6" w:space="0" w:color="auto"/>
              <w:left w:val="nil" w:sz="6" w:space="0" w:color="auto"/>
              <w:bottom w:val="single" w:sz="4" w:space="0" w:color="5B9BD4"/>
              <w:right w:val="nil" w:sz="6" w:space="0" w:color="auto"/>
            </w:tcBorders>
            <w:shd w:val="clear" w:color="auto" w:fill="DEEAF6"/>
          </w:tcPr>
          <w:p>
            <w:pPr/>
          </w:p>
        </w:tc>
        <w:tc>
          <w:tcPr>
            <w:tcW w:w="755" w:type="dxa"/>
            <w:vMerge/>
            <w:tcBorders>
              <w:left w:val="nil" w:sz="6" w:space="0" w:color="auto"/>
              <w:bottom w:val="single" w:sz="4" w:space="0" w:color="5B9BD4"/>
              <w:right w:val="nil" w:sz="6" w:space="0" w:color="auto"/>
            </w:tcBorders>
          </w:tcPr>
          <w:p>
            <w:pPr/>
          </w:p>
        </w:tc>
        <w:tc>
          <w:tcPr>
            <w:tcW w:w="828" w:type="dxa"/>
            <w:tcBorders>
              <w:top w:val="nil" w:sz="6" w:space="0" w:color="auto"/>
              <w:left w:val="nil" w:sz="6" w:space="0" w:color="auto"/>
              <w:bottom w:val="single" w:sz="4" w:space="0" w:color="5B9BD4"/>
              <w:right w:val="nil" w:sz="6" w:space="0" w:color="auto"/>
            </w:tcBorders>
            <w:shd w:val="clear" w:color="auto" w:fill="DEEAF6"/>
          </w:tcPr>
          <w:p>
            <w:pPr/>
          </w:p>
        </w:tc>
      </w:tr>
      <w:tr>
        <w:trPr>
          <w:trHeight w:val="317" w:hRule="exact"/>
        </w:trPr>
        <w:tc>
          <w:tcPr>
            <w:tcW w:w="1747" w:type="dxa"/>
            <w:vMerge w:val="restart"/>
            <w:tcBorders>
              <w:top w:val="single" w:sz="4" w:space="0" w:color="5B9BD4"/>
              <w:left w:val="nil" w:sz="6" w:space="0" w:color="auto"/>
              <w:right w:val="nil" w:sz="6" w:space="0" w:color="auto"/>
            </w:tcBorders>
            <w:shd w:val="clear" w:color="auto" w:fill="DEEAF6"/>
          </w:tcPr>
          <w:p>
            <w:pPr>
              <w:pStyle w:val="TableParagraph"/>
              <w:spacing w:line="309" w:lineRule="auto" w:before="46"/>
              <w:ind w:left="13" w:right="16"/>
              <w:jc w:val="left"/>
              <w:rPr>
                <w:rFonts w:ascii="宋体" w:hAnsi="宋体" w:cs="宋体" w:eastAsia="宋体" w:hint="default"/>
                <w:sz w:val="18"/>
                <w:szCs w:val="18"/>
              </w:rPr>
            </w:pPr>
            <w:r>
              <w:rPr>
                <w:rFonts w:ascii="Arial" w:hAnsi="Arial" w:cs="Arial" w:eastAsia="Arial" w:hint="default"/>
                <w:spacing w:val="-1"/>
                <w:sz w:val="18"/>
                <w:szCs w:val="18"/>
              </w:rPr>
              <w:t>2</w:t>
            </w:r>
            <w:r>
              <w:rPr>
                <w:rFonts w:ascii="宋体" w:hAnsi="宋体" w:cs="宋体" w:eastAsia="宋体" w:hint="default"/>
                <w:spacing w:val="-1"/>
                <w:sz w:val="18"/>
                <w:szCs w:val="18"/>
              </w:rPr>
              <w:t>、补充营运资金</w:t>
            </w:r>
            <w:r>
              <w:rPr>
                <w:rFonts w:ascii="Arial" w:hAnsi="Arial" w:cs="Arial" w:eastAsia="Arial" w:hint="default"/>
                <w:spacing w:val="-1"/>
                <w:sz w:val="18"/>
                <w:szCs w:val="18"/>
              </w:rPr>
              <w:t>---</w:t>
            </w:r>
            <w:r>
              <w:rPr>
                <w:rFonts w:ascii="宋体" w:hAnsi="宋体" w:cs="宋体" w:eastAsia="宋体" w:hint="default"/>
                <w:spacing w:val="-1"/>
                <w:sz w:val="18"/>
                <w:szCs w:val="18"/>
              </w:rPr>
              <w:t>关</w:t>
            </w:r>
            <w:r>
              <w:rPr>
                <w:rFonts w:ascii="宋体" w:hAnsi="宋体" w:cs="宋体" w:eastAsia="宋体" w:hint="default"/>
                <w:spacing w:val="-85"/>
                <w:sz w:val="18"/>
                <w:szCs w:val="18"/>
              </w:rPr>
              <w:t> </w:t>
            </w:r>
            <w:r>
              <w:rPr>
                <w:rFonts w:ascii="宋体" w:hAnsi="宋体" w:cs="宋体" w:eastAsia="宋体" w:hint="default"/>
                <w:sz w:val="18"/>
                <w:szCs w:val="18"/>
              </w:rPr>
              <w:t>键客户综合服务提升 项目</w:t>
            </w:r>
          </w:p>
        </w:tc>
        <w:tc>
          <w:tcPr>
            <w:tcW w:w="793" w:type="dxa"/>
            <w:gridSpan w:val="2"/>
            <w:vMerge w:val="restart"/>
            <w:tcBorders>
              <w:top w:val="single" w:sz="4" w:space="0" w:color="5B9BD4"/>
              <w:left w:val="single" w:sz="11" w:space="0" w:color="DEEAF6"/>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5B9BD4"/>
              <w:left w:val="nil" w:sz="6" w:space="0" w:color="auto"/>
              <w:bottom w:val="nil" w:sz="6" w:space="0" w:color="auto"/>
              <w:right w:val="nil" w:sz="6" w:space="0" w:color="auto"/>
            </w:tcBorders>
            <w:shd w:val="clear" w:color="auto" w:fill="DEEAF6"/>
          </w:tcPr>
          <w:p>
            <w:pPr/>
          </w:p>
        </w:tc>
        <w:tc>
          <w:tcPr>
            <w:tcW w:w="1011"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74" w:right="0"/>
              <w:jc w:val="left"/>
              <w:rPr>
                <w:rFonts w:ascii="Arial" w:hAnsi="Arial" w:cs="Arial" w:eastAsia="Arial" w:hint="default"/>
                <w:sz w:val="18"/>
                <w:szCs w:val="18"/>
              </w:rPr>
            </w:pPr>
            <w:r>
              <w:rPr>
                <w:rFonts w:ascii="Arial"/>
                <w:sz w:val="18"/>
              </w:rPr>
              <w:t>26,212.44</w:t>
            </w:r>
          </w:p>
        </w:tc>
        <w:tc>
          <w:tcPr>
            <w:tcW w:w="974" w:type="dxa"/>
            <w:tcBorders>
              <w:top w:val="single" w:sz="4" w:space="0" w:color="5B9BD4"/>
              <w:left w:val="nil" w:sz="6" w:space="0" w:color="auto"/>
              <w:bottom w:val="nil" w:sz="6" w:space="0" w:color="auto"/>
              <w:right w:val="nil" w:sz="6" w:space="0" w:color="auto"/>
            </w:tcBorders>
            <w:shd w:val="clear" w:color="auto" w:fill="DEEAF6"/>
          </w:tcPr>
          <w:p>
            <w:pPr/>
          </w:p>
        </w:tc>
        <w:tc>
          <w:tcPr>
            <w:tcW w:w="1011"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74" w:right="0"/>
              <w:jc w:val="left"/>
              <w:rPr>
                <w:rFonts w:ascii="Arial" w:hAnsi="Arial" w:cs="Arial" w:eastAsia="Arial" w:hint="default"/>
                <w:sz w:val="18"/>
                <w:szCs w:val="18"/>
              </w:rPr>
            </w:pPr>
            <w:r>
              <w:rPr>
                <w:rFonts w:ascii="Arial"/>
                <w:sz w:val="18"/>
              </w:rPr>
              <w:t>26,212.44</w:t>
            </w:r>
          </w:p>
        </w:tc>
        <w:tc>
          <w:tcPr>
            <w:tcW w:w="831" w:type="dxa"/>
            <w:tcBorders>
              <w:top w:val="single" w:sz="4" w:space="0" w:color="5B9BD4"/>
              <w:left w:val="nil" w:sz="6" w:space="0" w:color="auto"/>
              <w:bottom w:val="nil" w:sz="6" w:space="0" w:color="auto"/>
              <w:right w:val="nil" w:sz="6" w:space="0" w:color="auto"/>
            </w:tcBorders>
            <w:shd w:val="clear" w:color="auto" w:fill="DEEAF6"/>
          </w:tcPr>
          <w:p>
            <w:pPr/>
          </w:p>
        </w:tc>
        <w:tc>
          <w:tcPr>
            <w:tcW w:w="582" w:type="dxa"/>
            <w:vMerge w:val="restart"/>
            <w:tcBorders>
              <w:top w:val="single" w:sz="4" w:space="0" w:color="5B9BD4"/>
              <w:left w:val="nil" w:sz="6" w:space="0" w:color="auto"/>
              <w:right w:val="nil" w:sz="6" w:space="0" w:color="auto"/>
            </w:tcBorders>
          </w:tcPr>
          <w:p>
            <w:pPr/>
          </w:p>
        </w:tc>
        <w:tc>
          <w:tcPr>
            <w:tcW w:w="979" w:type="dxa"/>
            <w:tcBorders>
              <w:top w:val="single" w:sz="4" w:space="0" w:color="5B9BD4"/>
              <w:left w:val="nil" w:sz="6" w:space="0" w:color="auto"/>
              <w:bottom w:val="nil" w:sz="6" w:space="0" w:color="auto"/>
              <w:right w:val="nil" w:sz="6" w:space="0" w:color="auto"/>
            </w:tcBorders>
            <w:shd w:val="clear" w:color="auto" w:fill="DEEAF6"/>
          </w:tcPr>
          <w:p>
            <w:pPr/>
          </w:p>
        </w:tc>
        <w:tc>
          <w:tcPr>
            <w:tcW w:w="755"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28" w:type="dxa"/>
            <w:tcBorders>
              <w:top w:val="single" w:sz="4" w:space="0" w:color="5B9BD4"/>
              <w:left w:val="nil" w:sz="6" w:space="0" w:color="auto"/>
              <w:bottom w:val="nil" w:sz="6" w:space="0" w:color="auto"/>
              <w:right w:val="nil" w:sz="6" w:space="0" w:color="auto"/>
            </w:tcBorders>
            <w:shd w:val="clear" w:color="auto" w:fill="DEEAF6"/>
          </w:tcPr>
          <w:p>
            <w:pPr/>
          </w:p>
        </w:tc>
      </w:tr>
      <w:tr>
        <w:trPr>
          <w:trHeight w:val="392" w:hRule="exact"/>
        </w:trPr>
        <w:tc>
          <w:tcPr>
            <w:tcW w:w="1747" w:type="dxa"/>
            <w:vMerge/>
            <w:tcBorders>
              <w:left w:val="nil" w:sz="6" w:space="0" w:color="auto"/>
              <w:right w:val="nil" w:sz="6" w:space="0" w:color="auto"/>
            </w:tcBorders>
            <w:shd w:val="clear" w:color="auto" w:fill="DEEAF6"/>
          </w:tcPr>
          <w:p>
            <w:pPr/>
          </w:p>
        </w:tc>
        <w:tc>
          <w:tcPr>
            <w:tcW w:w="793" w:type="dxa"/>
            <w:gridSpan w:val="2"/>
            <w:vMerge/>
            <w:tcBorders>
              <w:left w:val="single" w:sz="11" w:space="0" w:color="DEEAF6"/>
              <w:right w:val="nil" w:sz="6" w:space="0" w:color="auto"/>
            </w:tcBorders>
          </w:tcPr>
          <w:p>
            <w:pPr/>
          </w:p>
        </w:tc>
        <w:tc>
          <w:tcPr>
            <w:tcW w:w="953"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17"/>
              <w:jc w:val="right"/>
              <w:rPr>
                <w:rFonts w:ascii="Arial" w:hAnsi="Arial" w:cs="Arial" w:eastAsia="Arial" w:hint="default"/>
                <w:sz w:val="18"/>
                <w:szCs w:val="18"/>
              </w:rPr>
            </w:pPr>
            <w:r>
              <w:rPr>
                <w:rFonts w:ascii="Arial"/>
                <w:w w:val="95"/>
                <w:sz w:val="18"/>
              </w:rPr>
              <w:t>26,212.44</w:t>
            </w:r>
            <w:r>
              <w:rPr>
                <w:rFonts w:ascii="Arial"/>
                <w:sz w:val="18"/>
              </w:rPr>
            </w:r>
          </w:p>
        </w:tc>
        <w:tc>
          <w:tcPr>
            <w:tcW w:w="1011" w:type="dxa"/>
            <w:vMerge/>
            <w:tcBorders>
              <w:left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shd w:val="clear" w:color="auto" w:fill="DEEAF6"/>
          </w:tcPr>
          <w:p>
            <w:pPr/>
          </w:p>
        </w:tc>
        <w:tc>
          <w:tcPr>
            <w:tcW w:w="1011" w:type="dxa"/>
            <w:vMerge/>
            <w:tcBorders>
              <w:left w:val="nil" w:sz="6" w:space="0" w:color="auto"/>
              <w:right w:val="nil" w:sz="6" w:space="0" w:color="auto"/>
            </w:tcBorders>
          </w:tcPr>
          <w:p>
            <w:pPr/>
          </w:p>
        </w:tc>
        <w:tc>
          <w:tcPr>
            <w:tcW w:w="831"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16"/>
              <w:jc w:val="right"/>
              <w:rPr>
                <w:rFonts w:ascii="Arial" w:hAnsi="Arial" w:cs="Arial" w:eastAsia="Arial" w:hint="default"/>
                <w:sz w:val="18"/>
                <w:szCs w:val="18"/>
              </w:rPr>
            </w:pPr>
            <w:r>
              <w:rPr>
                <w:rFonts w:ascii="Arial"/>
                <w:w w:val="95"/>
                <w:sz w:val="18"/>
              </w:rPr>
              <w:t>100.00%</w:t>
            </w:r>
            <w:r>
              <w:rPr>
                <w:rFonts w:ascii="Arial"/>
                <w:sz w:val="18"/>
              </w:rPr>
            </w:r>
          </w:p>
        </w:tc>
        <w:tc>
          <w:tcPr>
            <w:tcW w:w="582" w:type="dxa"/>
            <w:vMerge/>
            <w:tcBorders>
              <w:left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shd w:val="clear" w:color="auto" w:fill="DEEAF6"/>
          </w:tcPr>
          <w:p>
            <w:pPr/>
          </w:p>
        </w:tc>
        <w:tc>
          <w:tcPr>
            <w:tcW w:w="755" w:type="dxa"/>
            <w:vMerge/>
            <w:tcBorders>
              <w:left w:val="nil" w:sz="6" w:space="0" w:color="auto"/>
              <w:right w:val="nil" w:sz="6" w:space="0" w:color="auto"/>
            </w:tcBorders>
          </w:tcPr>
          <w:p>
            <w:pPr/>
          </w:p>
        </w:tc>
        <w:tc>
          <w:tcPr>
            <w:tcW w:w="828"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7" w:hRule="exact"/>
        </w:trPr>
        <w:tc>
          <w:tcPr>
            <w:tcW w:w="1747" w:type="dxa"/>
            <w:vMerge/>
            <w:tcBorders>
              <w:left w:val="nil" w:sz="6" w:space="0" w:color="auto"/>
              <w:bottom w:val="single" w:sz="4" w:space="0" w:color="5B9BD4"/>
              <w:right w:val="nil" w:sz="6" w:space="0" w:color="auto"/>
            </w:tcBorders>
            <w:shd w:val="clear" w:color="auto" w:fill="DEEAF6"/>
          </w:tcPr>
          <w:p>
            <w:pPr/>
          </w:p>
        </w:tc>
        <w:tc>
          <w:tcPr>
            <w:tcW w:w="793" w:type="dxa"/>
            <w:gridSpan w:val="2"/>
            <w:vMerge/>
            <w:tcBorders>
              <w:left w:val="single" w:sz="11" w:space="0" w:color="DEEAF6"/>
              <w:bottom w:val="single" w:sz="4" w:space="0" w:color="5B9BD4"/>
              <w:right w:val="nil" w:sz="6" w:space="0" w:color="auto"/>
            </w:tcBorders>
          </w:tcPr>
          <w:p>
            <w:pPr/>
          </w:p>
        </w:tc>
        <w:tc>
          <w:tcPr>
            <w:tcW w:w="953" w:type="dxa"/>
            <w:tcBorders>
              <w:top w:val="nil" w:sz="6" w:space="0" w:color="auto"/>
              <w:left w:val="nil" w:sz="6" w:space="0" w:color="auto"/>
              <w:bottom w:val="single" w:sz="4" w:space="0" w:color="5B9BD4"/>
              <w:right w:val="nil" w:sz="6" w:space="0" w:color="auto"/>
            </w:tcBorders>
            <w:shd w:val="clear" w:color="auto" w:fill="DEEAF6"/>
          </w:tcPr>
          <w:p>
            <w:pPr/>
          </w:p>
        </w:tc>
        <w:tc>
          <w:tcPr>
            <w:tcW w:w="1011" w:type="dxa"/>
            <w:vMerge/>
            <w:tcBorders>
              <w:left w:val="nil" w:sz="6" w:space="0" w:color="auto"/>
              <w:bottom w:val="single" w:sz="4" w:space="0" w:color="5B9BD4"/>
              <w:right w:val="nil" w:sz="6" w:space="0" w:color="auto"/>
            </w:tcBorders>
          </w:tcPr>
          <w:p>
            <w:pPr/>
          </w:p>
        </w:tc>
        <w:tc>
          <w:tcPr>
            <w:tcW w:w="974" w:type="dxa"/>
            <w:tcBorders>
              <w:top w:val="nil" w:sz="6" w:space="0" w:color="auto"/>
              <w:left w:val="nil" w:sz="6" w:space="0" w:color="auto"/>
              <w:bottom w:val="single" w:sz="4" w:space="0" w:color="5B9BD4"/>
              <w:right w:val="nil" w:sz="6" w:space="0" w:color="auto"/>
            </w:tcBorders>
            <w:shd w:val="clear" w:color="auto" w:fill="DEEAF6"/>
          </w:tcPr>
          <w:p>
            <w:pPr/>
          </w:p>
        </w:tc>
        <w:tc>
          <w:tcPr>
            <w:tcW w:w="1011" w:type="dxa"/>
            <w:vMerge/>
            <w:tcBorders>
              <w:left w:val="nil" w:sz="6" w:space="0" w:color="auto"/>
              <w:bottom w:val="single" w:sz="4" w:space="0" w:color="5B9BD4"/>
              <w:right w:val="nil" w:sz="6" w:space="0" w:color="auto"/>
            </w:tcBorders>
          </w:tcPr>
          <w:p>
            <w:pPr/>
          </w:p>
        </w:tc>
        <w:tc>
          <w:tcPr>
            <w:tcW w:w="831" w:type="dxa"/>
            <w:tcBorders>
              <w:top w:val="nil" w:sz="6" w:space="0" w:color="auto"/>
              <w:left w:val="nil" w:sz="6" w:space="0" w:color="auto"/>
              <w:bottom w:val="single" w:sz="4" w:space="0" w:color="5B9BD4"/>
              <w:right w:val="nil" w:sz="6" w:space="0" w:color="auto"/>
            </w:tcBorders>
            <w:shd w:val="clear" w:color="auto" w:fill="DEEAF6"/>
          </w:tcPr>
          <w:p>
            <w:pPr/>
          </w:p>
        </w:tc>
        <w:tc>
          <w:tcPr>
            <w:tcW w:w="582" w:type="dxa"/>
            <w:vMerge/>
            <w:tcBorders>
              <w:left w:val="nil" w:sz="6" w:space="0" w:color="auto"/>
              <w:bottom w:val="single" w:sz="4" w:space="0" w:color="5B9BD4"/>
              <w:right w:val="nil" w:sz="6" w:space="0" w:color="auto"/>
            </w:tcBorders>
          </w:tcPr>
          <w:p>
            <w:pPr/>
          </w:p>
        </w:tc>
        <w:tc>
          <w:tcPr>
            <w:tcW w:w="979" w:type="dxa"/>
            <w:tcBorders>
              <w:top w:val="nil" w:sz="6" w:space="0" w:color="auto"/>
              <w:left w:val="nil" w:sz="6" w:space="0" w:color="auto"/>
              <w:bottom w:val="single" w:sz="4" w:space="0" w:color="5B9BD4"/>
              <w:right w:val="nil" w:sz="6" w:space="0" w:color="auto"/>
            </w:tcBorders>
            <w:shd w:val="clear" w:color="auto" w:fill="DEEAF6"/>
          </w:tcPr>
          <w:p>
            <w:pPr/>
          </w:p>
        </w:tc>
        <w:tc>
          <w:tcPr>
            <w:tcW w:w="755" w:type="dxa"/>
            <w:vMerge/>
            <w:tcBorders>
              <w:left w:val="nil" w:sz="6" w:space="0" w:color="auto"/>
              <w:bottom w:val="single" w:sz="4" w:space="0" w:color="5B9BD4"/>
              <w:right w:val="nil" w:sz="6" w:space="0" w:color="auto"/>
            </w:tcBorders>
          </w:tcPr>
          <w:p>
            <w:pPr/>
          </w:p>
        </w:tc>
        <w:tc>
          <w:tcPr>
            <w:tcW w:w="828" w:type="dxa"/>
            <w:tcBorders>
              <w:top w:val="nil" w:sz="6" w:space="0" w:color="auto"/>
              <w:left w:val="nil" w:sz="6" w:space="0" w:color="auto"/>
              <w:bottom w:val="single" w:sz="4" w:space="0" w:color="5B9BD4"/>
              <w:right w:val="nil" w:sz="6" w:space="0" w:color="auto"/>
            </w:tcBorders>
            <w:shd w:val="clear" w:color="auto" w:fill="DEEAF6"/>
          </w:tcPr>
          <w:p>
            <w:pPr/>
          </w:p>
        </w:tc>
      </w:tr>
      <w:tr>
        <w:trPr>
          <w:trHeight w:val="161" w:hRule="exact"/>
        </w:trPr>
        <w:tc>
          <w:tcPr>
            <w:tcW w:w="1747" w:type="dxa"/>
            <w:vMerge w:val="restart"/>
            <w:tcBorders>
              <w:top w:val="single" w:sz="4" w:space="0" w:color="5B9BD4"/>
              <w:left w:val="nil" w:sz="6" w:space="0" w:color="auto"/>
              <w:right w:val="nil" w:sz="6" w:space="0" w:color="auto"/>
            </w:tcBorders>
            <w:shd w:val="clear" w:color="auto" w:fill="DEEAF6"/>
          </w:tcPr>
          <w:p>
            <w:pPr>
              <w:pStyle w:val="TableParagraph"/>
              <w:spacing w:line="302" w:lineRule="auto" w:before="47"/>
              <w:ind w:left="13" w:right="17"/>
              <w:jc w:val="left"/>
              <w:rPr>
                <w:rFonts w:ascii="宋体" w:hAnsi="宋体" w:cs="宋体" w:eastAsia="宋体" w:hint="default"/>
                <w:sz w:val="18"/>
                <w:szCs w:val="18"/>
              </w:rPr>
            </w:pPr>
            <w:r>
              <w:rPr>
                <w:rFonts w:ascii="Arial" w:hAnsi="Arial" w:cs="Arial" w:eastAsia="Arial" w:hint="default"/>
                <w:spacing w:val="-1"/>
                <w:sz w:val="18"/>
                <w:szCs w:val="18"/>
              </w:rPr>
              <w:t>3</w:t>
            </w:r>
            <w:r>
              <w:rPr>
                <w:rFonts w:ascii="宋体" w:hAnsi="宋体" w:cs="宋体" w:eastAsia="宋体" w:hint="default"/>
                <w:spacing w:val="-1"/>
                <w:sz w:val="18"/>
                <w:szCs w:val="18"/>
              </w:rPr>
              <w:t>、数码电子产品零售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终端扩建项目</w:t>
            </w:r>
          </w:p>
        </w:tc>
        <w:tc>
          <w:tcPr>
            <w:tcW w:w="793" w:type="dxa"/>
            <w:gridSpan w:val="2"/>
            <w:vMerge w:val="restart"/>
            <w:tcBorders>
              <w:top w:val="single" w:sz="4" w:space="0" w:color="5B9BD4"/>
              <w:left w:val="single" w:sz="11" w:space="0" w:color="DEEAF6"/>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5B9BD4"/>
              <w:left w:val="nil" w:sz="6" w:space="0" w:color="auto"/>
              <w:bottom w:val="nil" w:sz="6" w:space="0" w:color="auto"/>
              <w:right w:val="nil" w:sz="6" w:space="0" w:color="auto"/>
            </w:tcBorders>
            <w:shd w:val="clear" w:color="auto" w:fill="DEEAF6"/>
          </w:tcPr>
          <w:p>
            <w:pPr/>
          </w:p>
        </w:tc>
        <w:tc>
          <w:tcPr>
            <w:tcW w:w="1011" w:type="dxa"/>
            <w:vMerge w:val="restart"/>
            <w:tcBorders>
              <w:top w:val="single" w:sz="4" w:space="0" w:color="5B9BD4"/>
              <w:left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4" w:right="0"/>
              <w:jc w:val="left"/>
              <w:rPr>
                <w:rFonts w:ascii="Arial" w:hAnsi="Arial" w:cs="Arial" w:eastAsia="Arial" w:hint="default"/>
                <w:sz w:val="18"/>
                <w:szCs w:val="18"/>
              </w:rPr>
            </w:pPr>
            <w:r>
              <w:rPr>
                <w:rFonts w:ascii="Arial"/>
                <w:sz w:val="18"/>
              </w:rPr>
              <w:t>12,868.61</w:t>
            </w:r>
          </w:p>
        </w:tc>
        <w:tc>
          <w:tcPr>
            <w:tcW w:w="974" w:type="dxa"/>
            <w:tcBorders>
              <w:top w:val="single" w:sz="4" w:space="0" w:color="5B9BD4"/>
              <w:left w:val="nil" w:sz="6" w:space="0" w:color="auto"/>
              <w:bottom w:val="nil" w:sz="6" w:space="0" w:color="auto"/>
              <w:right w:val="nil" w:sz="6" w:space="0" w:color="auto"/>
            </w:tcBorders>
            <w:shd w:val="clear" w:color="auto" w:fill="DEEAF6"/>
          </w:tcPr>
          <w:p>
            <w:pPr/>
          </w:p>
        </w:tc>
        <w:tc>
          <w:tcPr>
            <w:tcW w:w="1011" w:type="dxa"/>
            <w:vMerge w:val="restart"/>
            <w:tcBorders>
              <w:top w:val="single" w:sz="4" w:space="0" w:color="5B9BD4"/>
              <w:left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74" w:right="0"/>
              <w:jc w:val="left"/>
              <w:rPr>
                <w:rFonts w:ascii="Arial" w:hAnsi="Arial" w:cs="Arial" w:eastAsia="Arial" w:hint="default"/>
                <w:sz w:val="18"/>
                <w:szCs w:val="18"/>
              </w:rPr>
            </w:pPr>
            <w:r>
              <w:rPr>
                <w:rFonts w:ascii="Arial"/>
                <w:sz w:val="18"/>
              </w:rPr>
              <w:t>10,491.5</w:t>
            </w:r>
          </w:p>
        </w:tc>
        <w:tc>
          <w:tcPr>
            <w:tcW w:w="831" w:type="dxa"/>
            <w:tcBorders>
              <w:top w:val="single" w:sz="4" w:space="0" w:color="5B9BD4"/>
              <w:left w:val="nil" w:sz="6" w:space="0" w:color="auto"/>
              <w:bottom w:val="nil" w:sz="6" w:space="0" w:color="auto"/>
              <w:right w:val="nil" w:sz="6" w:space="0" w:color="auto"/>
            </w:tcBorders>
            <w:shd w:val="clear" w:color="auto" w:fill="DEEAF6"/>
          </w:tcPr>
          <w:p>
            <w:pPr/>
          </w:p>
        </w:tc>
        <w:tc>
          <w:tcPr>
            <w:tcW w:w="582" w:type="dxa"/>
            <w:vMerge w:val="restart"/>
            <w:tcBorders>
              <w:top w:val="single" w:sz="4" w:space="0" w:color="5B9BD4"/>
              <w:left w:val="nil" w:sz="6" w:space="0" w:color="auto"/>
              <w:right w:val="nil" w:sz="6" w:space="0" w:color="auto"/>
            </w:tcBorders>
          </w:tcPr>
          <w:p>
            <w:pPr/>
          </w:p>
        </w:tc>
        <w:tc>
          <w:tcPr>
            <w:tcW w:w="979" w:type="dxa"/>
            <w:tcBorders>
              <w:top w:val="single" w:sz="4" w:space="0" w:color="5B9BD4"/>
              <w:left w:val="nil" w:sz="6" w:space="0" w:color="auto"/>
              <w:bottom w:val="nil" w:sz="6" w:space="0" w:color="auto"/>
              <w:right w:val="nil" w:sz="6" w:space="0" w:color="auto"/>
            </w:tcBorders>
            <w:shd w:val="clear" w:color="auto" w:fill="DEEAF6"/>
          </w:tcPr>
          <w:p>
            <w:pPr/>
          </w:p>
        </w:tc>
        <w:tc>
          <w:tcPr>
            <w:tcW w:w="755" w:type="dxa"/>
            <w:vMerge w:val="restart"/>
            <w:tcBorders>
              <w:top w:val="single" w:sz="4" w:space="0" w:color="5B9BD4"/>
              <w:left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28" w:type="dxa"/>
            <w:tcBorders>
              <w:top w:val="single" w:sz="4" w:space="0" w:color="5B9BD4"/>
              <w:left w:val="nil" w:sz="6" w:space="0" w:color="auto"/>
              <w:bottom w:val="nil" w:sz="6" w:space="0" w:color="auto"/>
              <w:right w:val="nil" w:sz="6" w:space="0" w:color="auto"/>
            </w:tcBorders>
            <w:shd w:val="clear" w:color="auto" w:fill="DEEAF6"/>
          </w:tcPr>
          <w:p>
            <w:pPr/>
          </w:p>
        </w:tc>
      </w:tr>
      <w:tr>
        <w:trPr>
          <w:trHeight w:val="393" w:hRule="exact"/>
        </w:trPr>
        <w:tc>
          <w:tcPr>
            <w:tcW w:w="1747" w:type="dxa"/>
            <w:vMerge/>
            <w:tcBorders>
              <w:left w:val="nil" w:sz="6" w:space="0" w:color="auto"/>
              <w:right w:val="nil" w:sz="6" w:space="0" w:color="auto"/>
            </w:tcBorders>
            <w:shd w:val="clear" w:color="auto" w:fill="DEEAF6"/>
          </w:tcPr>
          <w:p>
            <w:pPr/>
          </w:p>
        </w:tc>
        <w:tc>
          <w:tcPr>
            <w:tcW w:w="793" w:type="dxa"/>
            <w:gridSpan w:val="2"/>
            <w:vMerge/>
            <w:tcBorders>
              <w:left w:val="single" w:sz="11" w:space="0" w:color="DEEAF6"/>
              <w:right w:val="nil" w:sz="6" w:space="0" w:color="auto"/>
            </w:tcBorders>
          </w:tcPr>
          <w:p>
            <w:pPr/>
          </w:p>
        </w:tc>
        <w:tc>
          <w:tcPr>
            <w:tcW w:w="953"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17"/>
              <w:jc w:val="right"/>
              <w:rPr>
                <w:rFonts w:ascii="Arial" w:hAnsi="Arial" w:cs="Arial" w:eastAsia="Arial" w:hint="default"/>
                <w:sz w:val="18"/>
                <w:szCs w:val="18"/>
              </w:rPr>
            </w:pPr>
            <w:r>
              <w:rPr>
                <w:rFonts w:ascii="Arial"/>
                <w:w w:val="95"/>
                <w:sz w:val="18"/>
              </w:rPr>
              <w:t>12,868.61</w:t>
            </w:r>
            <w:r>
              <w:rPr>
                <w:rFonts w:ascii="Arial"/>
                <w:sz w:val="18"/>
              </w:rPr>
            </w:r>
          </w:p>
        </w:tc>
        <w:tc>
          <w:tcPr>
            <w:tcW w:w="1011" w:type="dxa"/>
            <w:vMerge/>
            <w:tcBorders>
              <w:left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16"/>
              <w:jc w:val="right"/>
              <w:rPr>
                <w:rFonts w:ascii="Arial" w:hAnsi="Arial" w:cs="Arial" w:eastAsia="Arial" w:hint="default"/>
                <w:sz w:val="18"/>
                <w:szCs w:val="18"/>
              </w:rPr>
            </w:pPr>
            <w:r>
              <w:rPr>
                <w:rFonts w:ascii="Arial"/>
                <w:w w:val="95"/>
                <w:sz w:val="18"/>
              </w:rPr>
              <w:t>614.17</w:t>
            </w:r>
            <w:r>
              <w:rPr>
                <w:rFonts w:ascii="Arial"/>
                <w:sz w:val="18"/>
              </w:rPr>
            </w:r>
          </w:p>
        </w:tc>
        <w:tc>
          <w:tcPr>
            <w:tcW w:w="1011" w:type="dxa"/>
            <w:vMerge/>
            <w:tcBorders>
              <w:left w:val="nil" w:sz="6" w:space="0" w:color="auto"/>
              <w:right w:val="nil" w:sz="6" w:space="0" w:color="auto"/>
            </w:tcBorders>
          </w:tcPr>
          <w:p>
            <w:pPr/>
          </w:p>
        </w:tc>
        <w:tc>
          <w:tcPr>
            <w:tcW w:w="831"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16"/>
              <w:jc w:val="right"/>
              <w:rPr>
                <w:rFonts w:ascii="Arial" w:hAnsi="Arial" w:cs="Arial" w:eastAsia="Arial" w:hint="default"/>
                <w:sz w:val="18"/>
                <w:szCs w:val="18"/>
              </w:rPr>
            </w:pPr>
            <w:r>
              <w:rPr>
                <w:rFonts w:ascii="Arial"/>
                <w:w w:val="95"/>
                <w:sz w:val="18"/>
              </w:rPr>
              <w:t>0.82%</w:t>
            </w:r>
            <w:r>
              <w:rPr>
                <w:rFonts w:ascii="Arial"/>
                <w:sz w:val="18"/>
              </w:rPr>
            </w:r>
          </w:p>
        </w:tc>
        <w:tc>
          <w:tcPr>
            <w:tcW w:w="582" w:type="dxa"/>
            <w:vMerge/>
            <w:tcBorders>
              <w:left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shd w:val="clear" w:color="auto" w:fill="DEEAF6"/>
          </w:tcPr>
          <w:p>
            <w:pPr/>
          </w:p>
        </w:tc>
        <w:tc>
          <w:tcPr>
            <w:tcW w:w="755" w:type="dxa"/>
            <w:vMerge/>
            <w:tcBorders>
              <w:left w:val="nil" w:sz="6" w:space="0" w:color="auto"/>
              <w:right w:val="nil" w:sz="6" w:space="0" w:color="auto"/>
            </w:tcBorders>
          </w:tcPr>
          <w:p>
            <w:pPr/>
          </w:p>
        </w:tc>
        <w:tc>
          <w:tcPr>
            <w:tcW w:w="828"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7"/>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747" w:type="dxa"/>
            <w:vMerge/>
            <w:tcBorders>
              <w:left w:val="nil" w:sz="6" w:space="0" w:color="auto"/>
              <w:bottom w:val="single" w:sz="4" w:space="0" w:color="5B9BD4"/>
              <w:right w:val="nil" w:sz="6" w:space="0" w:color="auto"/>
            </w:tcBorders>
            <w:shd w:val="clear" w:color="auto" w:fill="DEEAF6"/>
          </w:tcPr>
          <w:p>
            <w:pPr/>
          </w:p>
        </w:tc>
        <w:tc>
          <w:tcPr>
            <w:tcW w:w="793" w:type="dxa"/>
            <w:gridSpan w:val="2"/>
            <w:vMerge/>
            <w:tcBorders>
              <w:left w:val="single" w:sz="11" w:space="0" w:color="DEEAF6"/>
              <w:bottom w:val="single" w:sz="4" w:space="0" w:color="5B9BD4"/>
              <w:right w:val="nil" w:sz="6" w:space="0" w:color="auto"/>
            </w:tcBorders>
          </w:tcPr>
          <w:p>
            <w:pPr/>
          </w:p>
        </w:tc>
        <w:tc>
          <w:tcPr>
            <w:tcW w:w="953" w:type="dxa"/>
            <w:tcBorders>
              <w:top w:val="nil" w:sz="6" w:space="0" w:color="auto"/>
              <w:left w:val="nil" w:sz="6" w:space="0" w:color="auto"/>
              <w:bottom w:val="single" w:sz="4" w:space="0" w:color="5B9BD4"/>
              <w:right w:val="nil" w:sz="6" w:space="0" w:color="auto"/>
            </w:tcBorders>
            <w:shd w:val="clear" w:color="auto" w:fill="DEEAF6"/>
          </w:tcPr>
          <w:p>
            <w:pPr/>
          </w:p>
        </w:tc>
        <w:tc>
          <w:tcPr>
            <w:tcW w:w="1011" w:type="dxa"/>
            <w:vMerge/>
            <w:tcBorders>
              <w:left w:val="nil" w:sz="6" w:space="0" w:color="auto"/>
              <w:bottom w:val="single" w:sz="4" w:space="0" w:color="5B9BD4"/>
              <w:right w:val="nil" w:sz="6" w:space="0" w:color="auto"/>
            </w:tcBorders>
          </w:tcPr>
          <w:p>
            <w:pPr/>
          </w:p>
        </w:tc>
        <w:tc>
          <w:tcPr>
            <w:tcW w:w="974" w:type="dxa"/>
            <w:tcBorders>
              <w:top w:val="nil" w:sz="6" w:space="0" w:color="auto"/>
              <w:left w:val="nil" w:sz="6" w:space="0" w:color="auto"/>
              <w:bottom w:val="single" w:sz="4" w:space="0" w:color="5B9BD4"/>
              <w:right w:val="nil" w:sz="6" w:space="0" w:color="auto"/>
            </w:tcBorders>
            <w:shd w:val="clear" w:color="auto" w:fill="DEEAF6"/>
          </w:tcPr>
          <w:p>
            <w:pPr/>
          </w:p>
        </w:tc>
        <w:tc>
          <w:tcPr>
            <w:tcW w:w="1011" w:type="dxa"/>
            <w:vMerge/>
            <w:tcBorders>
              <w:left w:val="nil" w:sz="6" w:space="0" w:color="auto"/>
              <w:bottom w:val="single" w:sz="4" w:space="0" w:color="5B9BD4"/>
              <w:right w:val="nil" w:sz="6" w:space="0" w:color="auto"/>
            </w:tcBorders>
          </w:tcPr>
          <w:p>
            <w:pPr/>
          </w:p>
        </w:tc>
        <w:tc>
          <w:tcPr>
            <w:tcW w:w="831" w:type="dxa"/>
            <w:tcBorders>
              <w:top w:val="nil" w:sz="6" w:space="0" w:color="auto"/>
              <w:left w:val="nil" w:sz="6" w:space="0" w:color="auto"/>
              <w:bottom w:val="single" w:sz="4" w:space="0" w:color="5B9BD4"/>
              <w:right w:val="nil" w:sz="6" w:space="0" w:color="auto"/>
            </w:tcBorders>
            <w:shd w:val="clear" w:color="auto" w:fill="DEEAF6"/>
          </w:tcPr>
          <w:p>
            <w:pPr/>
          </w:p>
        </w:tc>
        <w:tc>
          <w:tcPr>
            <w:tcW w:w="582" w:type="dxa"/>
            <w:vMerge/>
            <w:tcBorders>
              <w:left w:val="nil" w:sz="6" w:space="0" w:color="auto"/>
              <w:bottom w:val="single" w:sz="4" w:space="0" w:color="5B9BD4"/>
              <w:right w:val="nil" w:sz="6" w:space="0" w:color="auto"/>
            </w:tcBorders>
          </w:tcPr>
          <w:p>
            <w:pPr/>
          </w:p>
        </w:tc>
        <w:tc>
          <w:tcPr>
            <w:tcW w:w="979" w:type="dxa"/>
            <w:tcBorders>
              <w:top w:val="nil" w:sz="6" w:space="0" w:color="auto"/>
              <w:left w:val="nil" w:sz="6" w:space="0" w:color="auto"/>
              <w:bottom w:val="single" w:sz="4" w:space="0" w:color="5B9BD4"/>
              <w:right w:val="nil" w:sz="6" w:space="0" w:color="auto"/>
            </w:tcBorders>
            <w:shd w:val="clear" w:color="auto" w:fill="DEEAF6"/>
          </w:tcPr>
          <w:p>
            <w:pPr/>
          </w:p>
        </w:tc>
        <w:tc>
          <w:tcPr>
            <w:tcW w:w="755" w:type="dxa"/>
            <w:vMerge/>
            <w:tcBorders>
              <w:left w:val="nil" w:sz="6" w:space="0" w:color="auto"/>
              <w:bottom w:val="single" w:sz="4" w:space="0" w:color="5B9BD4"/>
              <w:right w:val="nil" w:sz="6" w:space="0" w:color="auto"/>
            </w:tcBorders>
          </w:tcPr>
          <w:p>
            <w:pPr/>
          </w:p>
        </w:tc>
        <w:tc>
          <w:tcPr>
            <w:tcW w:w="828" w:type="dxa"/>
            <w:tcBorders>
              <w:top w:val="nil" w:sz="6" w:space="0" w:color="auto"/>
              <w:left w:val="nil" w:sz="6" w:space="0" w:color="auto"/>
              <w:bottom w:val="single" w:sz="4" w:space="0" w:color="5B9BD4"/>
              <w:right w:val="nil" w:sz="6" w:space="0" w:color="auto"/>
            </w:tcBorders>
            <w:shd w:val="clear" w:color="auto" w:fill="DEEAF6"/>
          </w:tcPr>
          <w:p>
            <w:pPr/>
          </w:p>
        </w:tc>
      </w:tr>
      <w:tr>
        <w:trPr>
          <w:trHeight w:val="161" w:hRule="exact"/>
        </w:trPr>
        <w:tc>
          <w:tcPr>
            <w:tcW w:w="1747" w:type="dxa"/>
            <w:vMerge w:val="restart"/>
            <w:tcBorders>
              <w:top w:val="single" w:sz="4" w:space="0" w:color="5B9BD4"/>
              <w:left w:val="nil" w:sz="6" w:space="0" w:color="auto"/>
              <w:right w:val="nil" w:sz="6" w:space="0" w:color="auto"/>
            </w:tcBorders>
            <w:shd w:val="clear" w:color="auto" w:fill="DEEAF6"/>
          </w:tcPr>
          <w:p>
            <w:pPr>
              <w:pStyle w:val="TableParagraph"/>
              <w:spacing w:line="302" w:lineRule="auto" w:before="46"/>
              <w:ind w:left="13" w:right="17"/>
              <w:jc w:val="left"/>
              <w:rPr>
                <w:rFonts w:ascii="宋体" w:hAnsi="宋体" w:cs="宋体" w:eastAsia="宋体" w:hint="default"/>
                <w:sz w:val="18"/>
                <w:szCs w:val="18"/>
              </w:rPr>
            </w:pPr>
            <w:r>
              <w:rPr>
                <w:rFonts w:ascii="Arial" w:hAnsi="Arial" w:cs="Arial" w:eastAsia="Arial" w:hint="default"/>
                <w:spacing w:val="-1"/>
                <w:sz w:val="18"/>
                <w:szCs w:val="18"/>
              </w:rPr>
              <w:t>4</w:t>
            </w:r>
            <w:r>
              <w:rPr>
                <w:rFonts w:ascii="宋体" w:hAnsi="宋体" w:cs="宋体" w:eastAsia="宋体" w:hint="default"/>
                <w:spacing w:val="-1"/>
                <w:sz w:val="18"/>
                <w:szCs w:val="18"/>
              </w:rPr>
              <w:t>、产品运营平台扩建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w:t>
            </w:r>
          </w:p>
        </w:tc>
        <w:tc>
          <w:tcPr>
            <w:tcW w:w="793" w:type="dxa"/>
            <w:gridSpan w:val="2"/>
            <w:vMerge w:val="restart"/>
            <w:tcBorders>
              <w:top w:val="single" w:sz="4" w:space="0" w:color="5B9BD4"/>
              <w:left w:val="single" w:sz="11" w:space="0" w:color="DEEAF6"/>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5B9BD4"/>
              <w:left w:val="nil" w:sz="6" w:space="0" w:color="auto"/>
              <w:bottom w:val="nil" w:sz="6" w:space="0" w:color="auto"/>
              <w:right w:val="nil" w:sz="6" w:space="0" w:color="auto"/>
            </w:tcBorders>
            <w:shd w:val="clear" w:color="auto" w:fill="DEEAF6"/>
          </w:tcPr>
          <w:p>
            <w:pPr/>
          </w:p>
        </w:tc>
        <w:tc>
          <w:tcPr>
            <w:tcW w:w="1011" w:type="dxa"/>
            <w:vMerge w:val="restart"/>
            <w:tcBorders>
              <w:top w:val="single" w:sz="4" w:space="0" w:color="5B9BD4"/>
              <w:left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74" w:right="0"/>
              <w:jc w:val="left"/>
              <w:rPr>
                <w:rFonts w:ascii="Arial" w:hAnsi="Arial" w:cs="Arial" w:eastAsia="Arial" w:hint="default"/>
                <w:sz w:val="18"/>
                <w:szCs w:val="18"/>
              </w:rPr>
            </w:pPr>
            <w:r>
              <w:rPr>
                <w:rFonts w:ascii="Arial"/>
                <w:sz w:val="18"/>
              </w:rPr>
              <w:t>1,537.3</w:t>
            </w:r>
          </w:p>
        </w:tc>
        <w:tc>
          <w:tcPr>
            <w:tcW w:w="974" w:type="dxa"/>
            <w:tcBorders>
              <w:top w:val="single" w:sz="4" w:space="0" w:color="5B9BD4"/>
              <w:left w:val="nil" w:sz="6" w:space="0" w:color="auto"/>
              <w:bottom w:val="nil" w:sz="6" w:space="0" w:color="auto"/>
              <w:right w:val="nil" w:sz="6" w:space="0" w:color="auto"/>
            </w:tcBorders>
            <w:shd w:val="clear" w:color="auto" w:fill="DEEAF6"/>
          </w:tcPr>
          <w:p>
            <w:pPr/>
          </w:p>
        </w:tc>
        <w:tc>
          <w:tcPr>
            <w:tcW w:w="1011" w:type="dxa"/>
            <w:vMerge w:val="restart"/>
            <w:tcBorders>
              <w:top w:val="single" w:sz="4" w:space="0" w:color="5B9BD4"/>
              <w:left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35"/>
              <w:jc w:val="right"/>
              <w:rPr>
                <w:rFonts w:ascii="Arial" w:hAnsi="Arial" w:cs="Arial" w:eastAsia="Arial" w:hint="default"/>
                <w:sz w:val="18"/>
                <w:szCs w:val="18"/>
              </w:rPr>
            </w:pPr>
            <w:r>
              <w:rPr>
                <w:rFonts w:ascii="Arial"/>
                <w:spacing w:val="-1"/>
                <w:w w:val="95"/>
                <w:sz w:val="18"/>
              </w:rPr>
              <w:t>510</w:t>
            </w:r>
            <w:r>
              <w:rPr>
                <w:rFonts w:ascii="Arial"/>
                <w:sz w:val="18"/>
              </w:rPr>
            </w:r>
          </w:p>
        </w:tc>
        <w:tc>
          <w:tcPr>
            <w:tcW w:w="831" w:type="dxa"/>
            <w:tcBorders>
              <w:top w:val="single" w:sz="4" w:space="0" w:color="5B9BD4"/>
              <w:left w:val="nil" w:sz="6" w:space="0" w:color="auto"/>
              <w:bottom w:val="nil" w:sz="6" w:space="0" w:color="auto"/>
              <w:right w:val="nil" w:sz="6" w:space="0" w:color="auto"/>
            </w:tcBorders>
            <w:shd w:val="clear" w:color="auto" w:fill="DEEAF6"/>
          </w:tcPr>
          <w:p>
            <w:pPr/>
          </w:p>
        </w:tc>
        <w:tc>
          <w:tcPr>
            <w:tcW w:w="582" w:type="dxa"/>
            <w:vMerge w:val="restart"/>
            <w:tcBorders>
              <w:top w:val="single" w:sz="4" w:space="0" w:color="5B9BD4"/>
              <w:left w:val="nil" w:sz="6" w:space="0" w:color="auto"/>
              <w:right w:val="nil" w:sz="6" w:space="0" w:color="auto"/>
            </w:tcBorders>
          </w:tcPr>
          <w:p>
            <w:pPr/>
          </w:p>
        </w:tc>
        <w:tc>
          <w:tcPr>
            <w:tcW w:w="979" w:type="dxa"/>
            <w:tcBorders>
              <w:top w:val="single" w:sz="4" w:space="0" w:color="5B9BD4"/>
              <w:left w:val="nil" w:sz="6" w:space="0" w:color="auto"/>
              <w:bottom w:val="nil" w:sz="6" w:space="0" w:color="auto"/>
              <w:right w:val="nil" w:sz="6" w:space="0" w:color="auto"/>
            </w:tcBorders>
            <w:shd w:val="clear" w:color="auto" w:fill="DEEAF6"/>
          </w:tcPr>
          <w:p>
            <w:pPr/>
          </w:p>
        </w:tc>
        <w:tc>
          <w:tcPr>
            <w:tcW w:w="755" w:type="dxa"/>
            <w:vMerge w:val="restart"/>
            <w:tcBorders>
              <w:top w:val="single" w:sz="4" w:space="0" w:color="5B9BD4"/>
              <w:left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28" w:type="dxa"/>
            <w:tcBorders>
              <w:top w:val="single" w:sz="4" w:space="0" w:color="5B9BD4"/>
              <w:left w:val="nil" w:sz="6" w:space="0" w:color="auto"/>
              <w:bottom w:val="nil" w:sz="6" w:space="0" w:color="auto"/>
              <w:right w:val="nil" w:sz="6" w:space="0" w:color="auto"/>
            </w:tcBorders>
            <w:shd w:val="clear" w:color="auto" w:fill="DEEAF6"/>
          </w:tcPr>
          <w:p>
            <w:pPr/>
          </w:p>
        </w:tc>
      </w:tr>
      <w:tr>
        <w:trPr>
          <w:trHeight w:val="392" w:hRule="exact"/>
        </w:trPr>
        <w:tc>
          <w:tcPr>
            <w:tcW w:w="1747" w:type="dxa"/>
            <w:vMerge/>
            <w:tcBorders>
              <w:left w:val="nil" w:sz="6" w:space="0" w:color="auto"/>
              <w:right w:val="nil" w:sz="6" w:space="0" w:color="auto"/>
            </w:tcBorders>
            <w:shd w:val="clear" w:color="auto" w:fill="DEEAF6"/>
          </w:tcPr>
          <w:p>
            <w:pPr/>
          </w:p>
        </w:tc>
        <w:tc>
          <w:tcPr>
            <w:tcW w:w="793" w:type="dxa"/>
            <w:gridSpan w:val="2"/>
            <w:vMerge/>
            <w:tcBorders>
              <w:left w:val="single" w:sz="11" w:space="0" w:color="DEEAF6"/>
              <w:right w:val="nil" w:sz="6" w:space="0" w:color="auto"/>
            </w:tcBorders>
          </w:tcPr>
          <w:p>
            <w:pPr/>
          </w:p>
        </w:tc>
        <w:tc>
          <w:tcPr>
            <w:tcW w:w="953"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17"/>
              <w:jc w:val="right"/>
              <w:rPr>
                <w:rFonts w:ascii="Arial" w:hAnsi="Arial" w:cs="Arial" w:eastAsia="Arial" w:hint="default"/>
                <w:sz w:val="18"/>
                <w:szCs w:val="18"/>
              </w:rPr>
            </w:pPr>
            <w:r>
              <w:rPr>
                <w:rFonts w:ascii="Arial"/>
                <w:w w:val="95"/>
                <w:sz w:val="18"/>
              </w:rPr>
              <w:t>1,537.3</w:t>
            </w:r>
            <w:r>
              <w:rPr>
                <w:rFonts w:ascii="Arial"/>
                <w:sz w:val="18"/>
              </w:rPr>
            </w:r>
          </w:p>
        </w:tc>
        <w:tc>
          <w:tcPr>
            <w:tcW w:w="1011" w:type="dxa"/>
            <w:vMerge/>
            <w:tcBorders>
              <w:left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shd w:val="clear" w:color="auto" w:fill="DEEAF6"/>
          </w:tcPr>
          <w:p>
            <w:pPr/>
          </w:p>
        </w:tc>
        <w:tc>
          <w:tcPr>
            <w:tcW w:w="1011" w:type="dxa"/>
            <w:vMerge/>
            <w:tcBorders>
              <w:left w:val="nil" w:sz="6" w:space="0" w:color="auto"/>
              <w:right w:val="nil" w:sz="6" w:space="0" w:color="auto"/>
            </w:tcBorders>
          </w:tcPr>
          <w:p>
            <w:pPr/>
          </w:p>
        </w:tc>
        <w:tc>
          <w:tcPr>
            <w:tcW w:w="831"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16"/>
              <w:jc w:val="right"/>
              <w:rPr>
                <w:rFonts w:ascii="Arial" w:hAnsi="Arial" w:cs="Arial" w:eastAsia="Arial" w:hint="default"/>
                <w:sz w:val="18"/>
                <w:szCs w:val="18"/>
              </w:rPr>
            </w:pPr>
            <w:r>
              <w:rPr>
                <w:rFonts w:ascii="Arial"/>
                <w:w w:val="95"/>
                <w:sz w:val="18"/>
              </w:rPr>
              <w:t>33.18%</w:t>
            </w:r>
            <w:r>
              <w:rPr>
                <w:rFonts w:ascii="Arial"/>
                <w:sz w:val="18"/>
              </w:rPr>
            </w:r>
          </w:p>
        </w:tc>
        <w:tc>
          <w:tcPr>
            <w:tcW w:w="582" w:type="dxa"/>
            <w:vMerge/>
            <w:tcBorders>
              <w:left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shd w:val="clear" w:color="auto" w:fill="DEEAF6"/>
          </w:tcPr>
          <w:p>
            <w:pPr/>
          </w:p>
        </w:tc>
        <w:tc>
          <w:tcPr>
            <w:tcW w:w="755" w:type="dxa"/>
            <w:vMerge/>
            <w:tcBorders>
              <w:left w:val="nil" w:sz="6" w:space="0" w:color="auto"/>
              <w:right w:val="nil" w:sz="6" w:space="0" w:color="auto"/>
            </w:tcBorders>
          </w:tcPr>
          <w:p>
            <w:pPr/>
          </w:p>
        </w:tc>
        <w:tc>
          <w:tcPr>
            <w:tcW w:w="828"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747" w:type="dxa"/>
            <w:vMerge/>
            <w:tcBorders>
              <w:left w:val="nil" w:sz="6" w:space="0" w:color="auto"/>
              <w:bottom w:val="single" w:sz="4" w:space="0" w:color="5B9BD4"/>
              <w:right w:val="nil" w:sz="6" w:space="0" w:color="auto"/>
            </w:tcBorders>
            <w:shd w:val="clear" w:color="auto" w:fill="DEEAF6"/>
          </w:tcPr>
          <w:p>
            <w:pPr/>
          </w:p>
        </w:tc>
        <w:tc>
          <w:tcPr>
            <w:tcW w:w="793" w:type="dxa"/>
            <w:gridSpan w:val="2"/>
            <w:vMerge/>
            <w:tcBorders>
              <w:left w:val="single" w:sz="11" w:space="0" w:color="DEEAF6"/>
              <w:bottom w:val="single" w:sz="4" w:space="0" w:color="5B9BD4"/>
              <w:right w:val="nil" w:sz="6" w:space="0" w:color="auto"/>
            </w:tcBorders>
          </w:tcPr>
          <w:p>
            <w:pPr/>
          </w:p>
        </w:tc>
        <w:tc>
          <w:tcPr>
            <w:tcW w:w="953" w:type="dxa"/>
            <w:tcBorders>
              <w:top w:val="nil" w:sz="6" w:space="0" w:color="auto"/>
              <w:left w:val="nil" w:sz="6" w:space="0" w:color="auto"/>
              <w:bottom w:val="single" w:sz="4" w:space="0" w:color="5B9BD4"/>
              <w:right w:val="nil" w:sz="6" w:space="0" w:color="auto"/>
            </w:tcBorders>
            <w:shd w:val="clear" w:color="auto" w:fill="DEEAF6"/>
          </w:tcPr>
          <w:p>
            <w:pPr/>
          </w:p>
        </w:tc>
        <w:tc>
          <w:tcPr>
            <w:tcW w:w="1011" w:type="dxa"/>
            <w:vMerge/>
            <w:tcBorders>
              <w:left w:val="nil" w:sz="6" w:space="0" w:color="auto"/>
              <w:bottom w:val="single" w:sz="4" w:space="0" w:color="5B9BD4"/>
              <w:right w:val="nil" w:sz="6" w:space="0" w:color="auto"/>
            </w:tcBorders>
          </w:tcPr>
          <w:p>
            <w:pPr/>
          </w:p>
        </w:tc>
        <w:tc>
          <w:tcPr>
            <w:tcW w:w="974" w:type="dxa"/>
            <w:tcBorders>
              <w:top w:val="nil" w:sz="6" w:space="0" w:color="auto"/>
              <w:left w:val="nil" w:sz="6" w:space="0" w:color="auto"/>
              <w:bottom w:val="single" w:sz="4" w:space="0" w:color="5B9BD4"/>
              <w:right w:val="nil" w:sz="6" w:space="0" w:color="auto"/>
            </w:tcBorders>
            <w:shd w:val="clear" w:color="auto" w:fill="DEEAF6"/>
          </w:tcPr>
          <w:p>
            <w:pPr/>
          </w:p>
        </w:tc>
        <w:tc>
          <w:tcPr>
            <w:tcW w:w="1011" w:type="dxa"/>
            <w:vMerge/>
            <w:tcBorders>
              <w:left w:val="nil" w:sz="6" w:space="0" w:color="auto"/>
              <w:bottom w:val="single" w:sz="4" w:space="0" w:color="5B9BD4"/>
              <w:right w:val="nil" w:sz="6" w:space="0" w:color="auto"/>
            </w:tcBorders>
          </w:tcPr>
          <w:p>
            <w:pPr/>
          </w:p>
        </w:tc>
        <w:tc>
          <w:tcPr>
            <w:tcW w:w="831" w:type="dxa"/>
            <w:tcBorders>
              <w:top w:val="nil" w:sz="6" w:space="0" w:color="auto"/>
              <w:left w:val="nil" w:sz="6" w:space="0" w:color="auto"/>
              <w:bottom w:val="single" w:sz="4" w:space="0" w:color="5B9BD4"/>
              <w:right w:val="nil" w:sz="6" w:space="0" w:color="auto"/>
            </w:tcBorders>
            <w:shd w:val="clear" w:color="auto" w:fill="DEEAF6"/>
          </w:tcPr>
          <w:p>
            <w:pPr/>
          </w:p>
        </w:tc>
        <w:tc>
          <w:tcPr>
            <w:tcW w:w="582" w:type="dxa"/>
            <w:vMerge/>
            <w:tcBorders>
              <w:left w:val="nil" w:sz="6" w:space="0" w:color="auto"/>
              <w:bottom w:val="single" w:sz="4" w:space="0" w:color="5B9BD4"/>
              <w:right w:val="nil" w:sz="6" w:space="0" w:color="auto"/>
            </w:tcBorders>
          </w:tcPr>
          <w:p>
            <w:pPr/>
          </w:p>
        </w:tc>
        <w:tc>
          <w:tcPr>
            <w:tcW w:w="979" w:type="dxa"/>
            <w:tcBorders>
              <w:top w:val="nil" w:sz="6" w:space="0" w:color="auto"/>
              <w:left w:val="nil" w:sz="6" w:space="0" w:color="auto"/>
              <w:bottom w:val="single" w:sz="4" w:space="0" w:color="5B9BD4"/>
              <w:right w:val="nil" w:sz="6" w:space="0" w:color="auto"/>
            </w:tcBorders>
            <w:shd w:val="clear" w:color="auto" w:fill="DEEAF6"/>
          </w:tcPr>
          <w:p>
            <w:pPr/>
          </w:p>
        </w:tc>
        <w:tc>
          <w:tcPr>
            <w:tcW w:w="755" w:type="dxa"/>
            <w:vMerge/>
            <w:tcBorders>
              <w:left w:val="nil" w:sz="6" w:space="0" w:color="auto"/>
              <w:bottom w:val="single" w:sz="4" w:space="0" w:color="5B9BD4"/>
              <w:right w:val="nil" w:sz="6" w:space="0" w:color="auto"/>
            </w:tcBorders>
          </w:tcPr>
          <w:p>
            <w:pPr/>
          </w:p>
        </w:tc>
        <w:tc>
          <w:tcPr>
            <w:tcW w:w="828" w:type="dxa"/>
            <w:tcBorders>
              <w:top w:val="nil" w:sz="6" w:space="0" w:color="auto"/>
              <w:left w:val="nil" w:sz="6" w:space="0" w:color="auto"/>
              <w:bottom w:val="single" w:sz="4" w:space="0" w:color="5B9BD4"/>
              <w:right w:val="nil" w:sz="6" w:space="0" w:color="auto"/>
            </w:tcBorders>
            <w:shd w:val="clear" w:color="auto" w:fill="DEEAF6"/>
          </w:tcPr>
          <w:p>
            <w:pPr/>
          </w:p>
        </w:tc>
      </w:tr>
      <w:tr>
        <w:trPr>
          <w:trHeight w:val="161" w:hRule="exact"/>
        </w:trPr>
        <w:tc>
          <w:tcPr>
            <w:tcW w:w="1747" w:type="dxa"/>
            <w:vMerge w:val="restart"/>
            <w:tcBorders>
              <w:top w:val="single" w:sz="4" w:space="0" w:color="5B9BD4"/>
              <w:left w:val="nil" w:sz="6" w:space="0" w:color="auto"/>
              <w:right w:val="nil" w:sz="6" w:space="0" w:color="auto"/>
            </w:tcBorders>
            <w:shd w:val="clear" w:color="auto" w:fill="DEEAF6"/>
          </w:tcPr>
          <w:p>
            <w:pPr>
              <w:pStyle w:val="TableParagraph"/>
              <w:spacing w:line="302" w:lineRule="auto" w:before="46"/>
              <w:ind w:left="13" w:right="17"/>
              <w:jc w:val="left"/>
              <w:rPr>
                <w:rFonts w:ascii="宋体" w:hAnsi="宋体" w:cs="宋体" w:eastAsia="宋体" w:hint="default"/>
                <w:sz w:val="18"/>
                <w:szCs w:val="18"/>
              </w:rPr>
            </w:pPr>
            <w:r>
              <w:rPr>
                <w:rFonts w:ascii="Arial" w:hAnsi="Arial" w:cs="Arial" w:eastAsia="Arial" w:hint="default"/>
                <w:spacing w:val="-1"/>
                <w:sz w:val="18"/>
                <w:szCs w:val="18"/>
              </w:rPr>
              <w:t>5</w:t>
            </w:r>
            <w:r>
              <w:rPr>
                <w:rFonts w:ascii="宋体" w:hAnsi="宋体" w:cs="宋体" w:eastAsia="宋体" w:hint="default"/>
                <w:spacing w:val="-1"/>
                <w:sz w:val="18"/>
                <w:szCs w:val="18"/>
              </w:rPr>
              <w:t>、信息系统综合管理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平台扩建项目</w:t>
            </w:r>
          </w:p>
        </w:tc>
        <w:tc>
          <w:tcPr>
            <w:tcW w:w="793" w:type="dxa"/>
            <w:gridSpan w:val="2"/>
            <w:vMerge w:val="restart"/>
            <w:tcBorders>
              <w:top w:val="single" w:sz="4" w:space="0" w:color="5B9BD4"/>
              <w:left w:val="single" w:sz="11" w:space="0" w:color="DEEAF6"/>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5B9BD4"/>
              <w:left w:val="nil" w:sz="6" w:space="0" w:color="auto"/>
              <w:bottom w:val="nil" w:sz="6" w:space="0" w:color="auto"/>
              <w:right w:val="nil" w:sz="6" w:space="0" w:color="auto"/>
            </w:tcBorders>
            <w:shd w:val="clear" w:color="auto" w:fill="DEEAF6"/>
          </w:tcPr>
          <w:p>
            <w:pPr/>
          </w:p>
        </w:tc>
        <w:tc>
          <w:tcPr>
            <w:tcW w:w="1011" w:type="dxa"/>
            <w:vMerge w:val="restart"/>
            <w:tcBorders>
              <w:top w:val="single" w:sz="4" w:space="0" w:color="5B9BD4"/>
              <w:left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24" w:right="0"/>
              <w:jc w:val="left"/>
              <w:rPr>
                <w:rFonts w:ascii="Arial" w:hAnsi="Arial" w:cs="Arial" w:eastAsia="Arial" w:hint="default"/>
                <w:sz w:val="18"/>
                <w:szCs w:val="18"/>
              </w:rPr>
            </w:pPr>
            <w:r>
              <w:rPr>
                <w:rFonts w:ascii="Arial"/>
                <w:sz w:val="18"/>
              </w:rPr>
              <w:t>5,000</w:t>
            </w:r>
          </w:p>
        </w:tc>
        <w:tc>
          <w:tcPr>
            <w:tcW w:w="974" w:type="dxa"/>
            <w:tcBorders>
              <w:top w:val="single" w:sz="4" w:space="0" w:color="5B9BD4"/>
              <w:left w:val="nil" w:sz="6" w:space="0" w:color="auto"/>
              <w:bottom w:val="nil" w:sz="6" w:space="0" w:color="auto"/>
              <w:right w:val="nil" w:sz="6" w:space="0" w:color="auto"/>
            </w:tcBorders>
            <w:shd w:val="clear" w:color="auto" w:fill="DEEAF6"/>
          </w:tcPr>
          <w:p>
            <w:pPr/>
          </w:p>
        </w:tc>
        <w:tc>
          <w:tcPr>
            <w:tcW w:w="1011" w:type="dxa"/>
            <w:vMerge w:val="restart"/>
            <w:tcBorders>
              <w:top w:val="single" w:sz="4" w:space="0" w:color="5B9BD4"/>
              <w:left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74" w:right="0"/>
              <w:jc w:val="left"/>
              <w:rPr>
                <w:rFonts w:ascii="Arial" w:hAnsi="Arial" w:cs="Arial" w:eastAsia="Arial" w:hint="default"/>
                <w:sz w:val="18"/>
                <w:szCs w:val="18"/>
              </w:rPr>
            </w:pPr>
            <w:r>
              <w:rPr>
                <w:rFonts w:ascii="Arial"/>
                <w:sz w:val="18"/>
              </w:rPr>
              <w:t>3,495.15</w:t>
            </w:r>
          </w:p>
        </w:tc>
        <w:tc>
          <w:tcPr>
            <w:tcW w:w="831" w:type="dxa"/>
            <w:tcBorders>
              <w:top w:val="single" w:sz="4" w:space="0" w:color="5B9BD4"/>
              <w:left w:val="nil" w:sz="6" w:space="0" w:color="auto"/>
              <w:bottom w:val="nil" w:sz="6" w:space="0" w:color="auto"/>
              <w:right w:val="nil" w:sz="6" w:space="0" w:color="auto"/>
            </w:tcBorders>
            <w:shd w:val="clear" w:color="auto" w:fill="DEEAF6"/>
          </w:tcPr>
          <w:p>
            <w:pPr/>
          </w:p>
        </w:tc>
        <w:tc>
          <w:tcPr>
            <w:tcW w:w="582" w:type="dxa"/>
            <w:vMerge w:val="restart"/>
            <w:tcBorders>
              <w:top w:val="single" w:sz="4" w:space="0" w:color="5B9BD4"/>
              <w:left w:val="nil" w:sz="6" w:space="0" w:color="auto"/>
              <w:right w:val="nil" w:sz="6" w:space="0" w:color="auto"/>
            </w:tcBorders>
          </w:tcPr>
          <w:p>
            <w:pPr/>
          </w:p>
        </w:tc>
        <w:tc>
          <w:tcPr>
            <w:tcW w:w="979" w:type="dxa"/>
            <w:tcBorders>
              <w:top w:val="single" w:sz="4" w:space="0" w:color="5B9BD4"/>
              <w:left w:val="nil" w:sz="6" w:space="0" w:color="auto"/>
              <w:bottom w:val="nil" w:sz="6" w:space="0" w:color="auto"/>
              <w:right w:val="nil" w:sz="6" w:space="0" w:color="auto"/>
            </w:tcBorders>
            <w:shd w:val="clear" w:color="auto" w:fill="DEEAF6"/>
          </w:tcPr>
          <w:p>
            <w:pPr/>
          </w:p>
        </w:tc>
        <w:tc>
          <w:tcPr>
            <w:tcW w:w="755" w:type="dxa"/>
            <w:vMerge w:val="restart"/>
            <w:tcBorders>
              <w:top w:val="single" w:sz="4" w:space="0" w:color="5B9BD4"/>
              <w:left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28" w:type="dxa"/>
            <w:tcBorders>
              <w:top w:val="single" w:sz="4" w:space="0" w:color="5B9BD4"/>
              <w:left w:val="nil" w:sz="6" w:space="0" w:color="auto"/>
              <w:bottom w:val="nil" w:sz="6" w:space="0" w:color="auto"/>
              <w:right w:val="nil" w:sz="6" w:space="0" w:color="auto"/>
            </w:tcBorders>
            <w:shd w:val="clear" w:color="auto" w:fill="DEEAF6"/>
          </w:tcPr>
          <w:p>
            <w:pPr/>
          </w:p>
        </w:tc>
      </w:tr>
      <w:tr>
        <w:trPr>
          <w:trHeight w:val="392" w:hRule="exact"/>
        </w:trPr>
        <w:tc>
          <w:tcPr>
            <w:tcW w:w="1747" w:type="dxa"/>
            <w:vMerge/>
            <w:tcBorders>
              <w:left w:val="nil" w:sz="6" w:space="0" w:color="auto"/>
              <w:right w:val="nil" w:sz="6" w:space="0" w:color="auto"/>
            </w:tcBorders>
            <w:shd w:val="clear" w:color="auto" w:fill="DEEAF6"/>
          </w:tcPr>
          <w:p>
            <w:pPr/>
          </w:p>
        </w:tc>
        <w:tc>
          <w:tcPr>
            <w:tcW w:w="793" w:type="dxa"/>
            <w:gridSpan w:val="2"/>
            <w:vMerge/>
            <w:tcBorders>
              <w:left w:val="single" w:sz="11" w:space="0" w:color="DEEAF6"/>
              <w:right w:val="nil" w:sz="6" w:space="0" w:color="auto"/>
            </w:tcBorders>
          </w:tcPr>
          <w:p>
            <w:pPr/>
          </w:p>
        </w:tc>
        <w:tc>
          <w:tcPr>
            <w:tcW w:w="953"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17"/>
              <w:jc w:val="right"/>
              <w:rPr>
                <w:rFonts w:ascii="Arial" w:hAnsi="Arial" w:cs="Arial" w:eastAsia="Arial" w:hint="default"/>
                <w:sz w:val="18"/>
                <w:szCs w:val="18"/>
              </w:rPr>
            </w:pPr>
            <w:r>
              <w:rPr>
                <w:rFonts w:ascii="Arial"/>
                <w:w w:val="95"/>
                <w:sz w:val="18"/>
              </w:rPr>
              <w:t>5,000</w:t>
            </w:r>
            <w:r>
              <w:rPr>
                <w:rFonts w:ascii="Arial"/>
                <w:sz w:val="18"/>
              </w:rPr>
            </w:r>
          </w:p>
        </w:tc>
        <w:tc>
          <w:tcPr>
            <w:tcW w:w="1011" w:type="dxa"/>
            <w:vMerge/>
            <w:tcBorders>
              <w:left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shd w:val="clear" w:color="auto" w:fill="DEEAF6"/>
          </w:tcPr>
          <w:p>
            <w:pPr/>
          </w:p>
        </w:tc>
        <w:tc>
          <w:tcPr>
            <w:tcW w:w="1011" w:type="dxa"/>
            <w:vMerge/>
            <w:tcBorders>
              <w:left w:val="nil" w:sz="6" w:space="0" w:color="auto"/>
              <w:right w:val="nil" w:sz="6" w:space="0" w:color="auto"/>
            </w:tcBorders>
          </w:tcPr>
          <w:p>
            <w:pPr/>
          </w:p>
        </w:tc>
        <w:tc>
          <w:tcPr>
            <w:tcW w:w="831"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16"/>
              <w:jc w:val="right"/>
              <w:rPr>
                <w:rFonts w:ascii="Arial" w:hAnsi="Arial" w:cs="Arial" w:eastAsia="Arial" w:hint="default"/>
                <w:sz w:val="18"/>
                <w:szCs w:val="18"/>
              </w:rPr>
            </w:pPr>
            <w:r>
              <w:rPr>
                <w:rFonts w:ascii="Arial"/>
                <w:w w:val="95"/>
                <w:sz w:val="18"/>
              </w:rPr>
              <w:t>69.90%</w:t>
            </w:r>
            <w:r>
              <w:rPr>
                <w:rFonts w:ascii="Arial"/>
                <w:sz w:val="18"/>
              </w:rPr>
            </w:r>
          </w:p>
        </w:tc>
        <w:tc>
          <w:tcPr>
            <w:tcW w:w="582" w:type="dxa"/>
            <w:vMerge/>
            <w:tcBorders>
              <w:left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shd w:val="clear" w:color="auto" w:fill="DEEAF6"/>
          </w:tcPr>
          <w:p>
            <w:pPr/>
          </w:p>
        </w:tc>
        <w:tc>
          <w:tcPr>
            <w:tcW w:w="755" w:type="dxa"/>
            <w:vMerge/>
            <w:tcBorders>
              <w:left w:val="nil" w:sz="6" w:space="0" w:color="auto"/>
              <w:right w:val="nil" w:sz="6" w:space="0" w:color="auto"/>
            </w:tcBorders>
          </w:tcPr>
          <w:p>
            <w:pPr/>
          </w:p>
        </w:tc>
        <w:tc>
          <w:tcPr>
            <w:tcW w:w="828"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747" w:type="dxa"/>
            <w:vMerge/>
            <w:tcBorders>
              <w:left w:val="nil" w:sz="6" w:space="0" w:color="auto"/>
              <w:bottom w:val="single" w:sz="4" w:space="0" w:color="5B9BD4"/>
              <w:right w:val="nil" w:sz="6" w:space="0" w:color="auto"/>
            </w:tcBorders>
            <w:shd w:val="clear" w:color="auto" w:fill="DEEAF6"/>
          </w:tcPr>
          <w:p>
            <w:pPr/>
          </w:p>
        </w:tc>
        <w:tc>
          <w:tcPr>
            <w:tcW w:w="793" w:type="dxa"/>
            <w:gridSpan w:val="2"/>
            <w:vMerge/>
            <w:tcBorders>
              <w:left w:val="single" w:sz="11" w:space="0" w:color="DEEAF6"/>
              <w:bottom w:val="single" w:sz="4" w:space="0" w:color="5B9BD4"/>
              <w:right w:val="nil" w:sz="6" w:space="0" w:color="auto"/>
            </w:tcBorders>
          </w:tcPr>
          <w:p>
            <w:pPr/>
          </w:p>
        </w:tc>
        <w:tc>
          <w:tcPr>
            <w:tcW w:w="953" w:type="dxa"/>
            <w:tcBorders>
              <w:top w:val="nil" w:sz="6" w:space="0" w:color="auto"/>
              <w:left w:val="nil" w:sz="6" w:space="0" w:color="auto"/>
              <w:bottom w:val="single" w:sz="4" w:space="0" w:color="5B9BD4"/>
              <w:right w:val="nil" w:sz="6" w:space="0" w:color="auto"/>
            </w:tcBorders>
            <w:shd w:val="clear" w:color="auto" w:fill="DEEAF6"/>
          </w:tcPr>
          <w:p>
            <w:pPr/>
          </w:p>
        </w:tc>
        <w:tc>
          <w:tcPr>
            <w:tcW w:w="1011" w:type="dxa"/>
            <w:vMerge/>
            <w:tcBorders>
              <w:left w:val="nil" w:sz="6" w:space="0" w:color="auto"/>
              <w:bottom w:val="single" w:sz="4" w:space="0" w:color="5B9BD4"/>
              <w:right w:val="nil" w:sz="6" w:space="0" w:color="auto"/>
            </w:tcBorders>
          </w:tcPr>
          <w:p>
            <w:pPr/>
          </w:p>
        </w:tc>
        <w:tc>
          <w:tcPr>
            <w:tcW w:w="974" w:type="dxa"/>
            <w:tcBorders>
              <w:top w:val="nil" w:sz="6" w:space="0" w:color="auto"/>
              <w:left w:val="nil" w:sz="6" w:space="0" w:color="auto"/>
              <w:bottom w:val="single" w:sz="4" w:space="0" w:color="5B9BD4"/>
              <w:right w:val="nil" w:sz="6" w:space="0" w:color="auto"/>
            </w:tcBorders>
            <w:shd w:val="clear" w:color="auto" w:fill="DEEAF6"/>
          </w:tcPr>
          <w:p>
            <w:pPr/>
          </w:p>
        </w:tc>
        <w:tc>
          <w:tcPr>
            <w:tcW w:w="1011" w:type="dxa"/>
            <w:vMerge/>
            <w:tcBorders>
              <w:left w:val="nil" w:sz="6" w:space="0" w:color="auto"/>
              <w:bottom w:val="single" w:sz="4" w:space="0" w:color="5B9BD4"/>
              <w:right w:val="nil" w:sz="6" w:space="0" w:color="auto"/>
            </w:tcBorders>
          </w:tcPr>
          <w:p>
            <w:pPr/>
          </w:p>
        </w:tc>
        <w:tc>
          <w:tcPr>
            <w:tcW w:w="831" w:type="dxa"/>
            <w:tcBorders>
              <w:top w:val="nil" w:sz="6" w:space="0" w:color="auto"/>
              <w:left w:val="nil" w:sz="6" w:space="0" w:color="auto"/>
              <w:bottom w:val="single" w:sz="4" w:space="0" w:color="5B9BD4"/>
              <w:right w:val="nil" w:sz="6" w:space="0" w:color="auto"/>
            </w:tcBorders>
            <w:shd w:val="clear" w:color="auto" w:fill="DEEAF6"/>
          </w:tcPr>
          <w:p>
            <w:pPr/>
          </w:p>
        </w:tc>
        <w:tc>
          <w:tcPr>
            <w:tcW w:w="582" w:type="dxa"/>
            <w:vMerge/>
            <w:tcBorders>
              <w:left w:val="nil" w:sz="6" w:space="0" w:color="auto"/>
              <w:bottom w:val="single" w:sz="4" w:space="0" w:color="5B9BD4"/>
              <w:right w:val="nil" w:sz="6" w:space="0" w:color="auto"/>
            </w:tcBorders>
          </w:tcPr>
          <w:p>
            <w:pPr/>
          </w:p>
        </w:tc>
        <w:tc>
          <w:tcPr>
            <w:tcW w:w="979" w:type="dxa"/>
            <w:tcBorders>
              <w:top w:val="nil" w:sz="6" w:space="0" w:color="auto"/>
              <w:left w:val="nil" w:sz="6" w:space="0" w:color="auto"/>
              <w:bottom w:val="single" w:sz="4" w:space="0" w:color="5B9BD4"/>
              <w:right w:val="nil" w:sz="6" w:space="0" w:color="auto"/>
            </w:tcBorders>
            <w:shd w:val="clear" w:color="auto" w:fill="DEEAF6"/>
          </w:tcPr>
          <w:p>
            <w:pPr/>
          </w:p>
        </w:tc>
        <w:tc>
          <w:tcPr>
            <w:tcW w:w="755" w:type="dxa"/>
            <w:vMerge/>
            <w:tcBorders>
              <w:left w:val="nil" w:sz="6" w:space="0" w:color="auto"/>
              <w:bottom w:val="single" w:sz="4" w:space="0" w:color="5B9BD4"/>
              <w:right w:val="nil" w:sz="6" w:space="0" w:color="auto"/>
            </w:tcBorders>
          </w:tcPr>
          <w:p>
            <w:pPr/>
          </w:p>
        </w:tc>
        <w:tc>
          <w:tcPr>
            <w:tcW w:w="828" w:type="dxa"/>
            <w:tcBorders>
              <w:top w:val="nil" w:sz="6" w:space="0" w:color="auto"/>
              <w:left w:val="nil" w:sz="6" w:space="0" w:color="auto"/>
              <w:bottom w:val="single" w:sz="4" w:space="0" w:color="5B9BD4"/>
              <w:right w:val="nil" w:sz="6" w:space="0" w:color="auto"/>
            </w:tcBorders>
            <w:shd w:val="clear" w:color="auto" w:fill="DEEAF6"/>
          </w:tcPr>
          <w:p>
            <w:pPr/>
          </w:p>
        </w:tc>
      </w:tr>
      <w:tr>
        <w:trPr>
          <w:trHeight w:val="161" w:hRule="exact"/>
        </w:trPr>
        <w:tc>
          <w:tcPr>
            <w:tcW w:w="1747" w:type="dxa"/>
            <w:vMerge w:val="restart"/>
            <w:tcBorders>
              <w:top w:val="single" w:sz="4" w:space="0" w:color="5B9BD4"/>
              <w:left w:val="nil" w:sz="6" w:space="0" w:color="auto"/>
              <w:right w:val="nil" w:sz="6" w:space="0" w:color="auto"/>
            </w:tcBorders>
            <w:shd w:val="clear" w:color="auto" w:fill="DEEAF6"/>
          </w:tcPr>
          <w:p>
            <w:pPr>
              <w:pStyle w:val="TableParagraph"/>
              <w:spacing w:line="302" w:lineRule="auto" w:before="46"/>
              <w:ind w:left="13" w:right="17"/>
              <w:jc w:val="left"/>
              <w:rPr>
                <w:rFonts w:ascii="宋体" w:hAnsi="宋体" w:cs="宋体" w:eastAsia="宋体" w:hint="default"/>
                <w:sz w:val="18"/>
                <w:szCs w:val="18"/>
              </w:rPr>
            </w:pPr>
            <w:r>
              <w:rPr>
                <w:rFonts w:ascii="Arial" w:hAnsi="Arial" w:cs="Arial" w:eastAsia="Arial" w:hint="default"/>
                <w:spacing w:val="-1"/>
                <w:sz w:val="18"/>
                <w:szCs w:val="18"/>
              </w:rPr>
              <w:t>6</w:t>
            </w:r>
            <w:r>
              <w:rPr>
                <w:rFonts w:ascii="宋体" w:hAnsi="宋体" w:cs="宋体" w:eastAsia="宋体" w:hint="default"/>
                <w:spacing w:val="-1"/>
                <w:sz w:val="18"/>
                <w:szCs w:val="18"/>
              </w:rPr>
              <w:t>、偿还到期债务和补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充公司流动资金</w:t>
            </w:r>
          </w:p>
        </w:tc>
        <w:tc>
          <w:tcPr>
            <w:tcW w:w="793" w:type="dxa"/>
            <w:gridSpan w:val="2"/>
            <w:vMerge w:val="restart"/>
            <w:tcBorders>
              <w:top w:val="single" w:sz="4" w:space="0" w:color="5B9BD4"/>
              <w:left w:val="single" w:sz="11" w:space="0" w:color="DEEAF6"/>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5B9BD4"/>
              <w:left w:val="nil" w:sz="6" w:space="0" w:color="auto"/>
              <w:bottom w:val="nil" w:sz="6" w:space="0" w:color="auto"/>
              <w:right w:val="nil" w:sz="6" w:space="0" w:color="auto"/>
            </w:tcBorders>
            <w:shd w:val="clear" w:color="auto" w:fill="DEEAF6"/>
          </w:tcPr>
          <w:p>
            <w:pPr/>
          </w:p>
        </w:tc>
        <w:tc>
          <w:tcPr>
            <w:tcW w:w="1011" w:type="dxa"/>
            <w:vMerge w:val="restart"/>
            <w:tcBorders>
              <w:top w:val="single" w:sz="4" w:space="0" w:color="5B9BD4"/>
              <w:left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24" w:right="0"/>
              <w:jc w:val="left"/>
              <w:rPr>
                <w:rFonts w:ascii="Arial" w:hAnsi="Arial" w:cs="Arial" w:eastAsia="Arial" w:hint="default"/>
                <w:sz w:val="18"/>
                <w:szCs w:val="18"/>
              </w:rPr>
            </w:pPr>
            <w:r>
              <w:rPr>
                <w:rFonts w:ascii="Arial"/>
                <w:sz w:val="18"/>
              </w:rPr>
              <w:t>59,495</w:t>
            </w:r>
          </w:p>
        </w:tc>
        <w:tc>
          <w:tcPr>
            <w:tcW w:w="974" w:type="dxa"/>
            <w:tcBorders>
              <w:top w:val="single" w:sz="4" w:space="0" w:color="5B9BD4"/>
              <w:left w:val="nil" w:sz="6" w:space="0" w:color="auto"/>
              <w:bottom w:val="nil" w:sz="6" w:space="0" w:color="auto"/>
              <w:right w:val="nil" w:sz="6" w:space="0" w:color="auto"/>
            </w:tcBorders>
            <w:shd w:val="clear" w:color="auto" w:fill="DEEAF6"/>
          </w:tcPr>
          <w:p>
            <w:pPr/>
          </w:p>
        </w:tc>
        <w:tc>
          <w:tcPr>
            <w:tcW w:w="1011" w:type="dxa"/>
            <w:vMerge w:val="restart"/>
            <w:tcBorders>
              <w:top w:val="single" w:sz="4" w:space="0" w:color="5B9BD4"/>
              <w:left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24" w:right="0"/>
              <w:jc w:val="left"/>
              <w:rPr>
                <w:rFonts w:ascii="Arial" w:hAnsi="Arial" w:cs="Arial" w:eastAsia="Arial" w:hint="default"/>
                <w:sz w:val="18"/>
                <w:szCs w:val="18"/>
              </w:rPr>
            </w:pPr>
            <w:r>
              <w:rPr>
                <w:rFonts w:ascii="Arial"/>
                <w:sz w:val="18"/>
              </w:rPr>
              <w:t>59,495</w:t>
            </w:r>
          </w:p>
        </w:tc>
        <w:tc>
          <w:tcPr>
            <w:tcW w:w="831" w:type="dxa"/>
            <w:tcBorders>
              <w:top w:val="single" w:sz="4" w:space="0" w:color="5B9BD4"/>
              <w:left w:val="nil" w:sz="6" w:space="0" w:color="auto"/>
              <w:bottom w:val="nil" w:sz="6" w:space="0" w:color="auto"/>
              <w:right w:val="nil" w:sz="6" w:space="0" w:color="auto"/>
            </w:tcBorders>
            <w:shd w:val="clear" w:color="auto" w:fill="DEEAF6"/>
          </w:tcPr>
          <w:p>
            <w:pPr/>
          </w:p>
        </w:tc>
        <w:tc>
          <w:tcPr>
            <w:tcW w:w="582" w:type="dxa"/>
            <w:vMerge w:val="restart"/>
            <w:tcBorders>
              <w:top w:val="single" w:sz="4" w:space="0" w:color="5B9BD4"/>
              <w:left w:val="nil" w:sz="6" w:space="0" w:color="auto"/>
              <w:right w:val="nil" w:sz="6" w:space="0" w:color="auto"/>
            </w:tcBorders>
          </w:tcPr>
          <w:p>
            <w:pPr/>
          </w:p>
        </w:tc>
        <w:tc>
          <w:tcPr>
            <w:tcW w:w="979" w:type="dxa"/>
            <w:tcBorders>
              <w:top w:val="single" w:sz="4" w:space="0" w:color="5B9BD4"/>
              <w:left w:val="nil" w:sz="6" w:space="0" w:color="auto"/>
              <w:bottom w:val="nil" w:sz="6" w:space="0" w:color="auto"/>
              <w:right w:val="nil" w:sz="6" w:space="0" w:color="auto"/>
            </w:tcBorders>
            <w:shd w:val="clear" w:color="auto" w:fill="DEEAF6"/>
          </w:tcPr>
          <w:p>
            <w:pPr/>
          </w:p>
        </w:tc>
        <w:tc>
          <w:tcPr>
            <w:tcW w:w="755" w:type="dxa"/>
            <w:vMerge w:val="restart"/>
            <w:tcBorders>
              <w:top w:val="single" w:sz="4" w:space="0" w:color="5B9BD4"/>
              <w:left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28" w:type="dxa"/>
            <w:tcBorders>
              <w:top w:val="single" w:sz="4" w:space="0" w:color="5B9BD4"/>
              <w:left w:val="nil" w:sz="6" w:space="0" w:color="auto"/>
              <w:bottom w:val="nil" w:sz="6" w:space="0" w:color="auto"/>
              <w:right w:val="nil" w:sz="6" w:space="0" w:color="auto"/>
            </w:tcBorders>
            <w:shd w:val="clear" w:color="auto" w:fill="DEEAF6"/>
          </w:tcPr>
          <w:p>
            <w:pPr/>
          </w:p>
        </w:tc>
      </w:tr>
      <w:tr>
        <w:trPr>
          <w:trHeight w:val="392" w:hRule="exact"/>
        </w:trPr>
        <w:tc>
          <w:tcPr>
            <w:tcW w:w="1747" w:type="dxa"/>
            <w:vMerge/>
            <w:tcBorders>
              <w:left w:val="nil" w:sz="6" w:space="0" w:color="auto"/>
              <w:right w:val="nil" w:sz="6" w:space="0" w:color="auto"/>
            </w:tcBorders>
            <w:shd w:val="clear" w:color="auto" w:fill="DEEAF6"/>
          </w:tcPr>
          <w:p>
            <w:pPr/>
          </w:p>
        </w:tc>
        <w:tc>
          <w:tcPr>
            <w:tcW w:w="793" w:type="dxa"/>
            <w:gridSpan w:val="2"/>
            <w:vMerge/>
            <w:tcBorders>
              <w:left w:val="single" w:sz="11" w:space="0" w:color="DEEAF6"/>
              <w:right w:val="nil" w:sz="6" w:space="0" w:color="auto"/>
            </w:tcBorders>
          </w:tcPr>
          <w:p>
            <w:pPr/>
          </w:p>
        </w:tc>
        <w:tc>
          <w:tcPr>
            <w:tcW w:w="953"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17"/>
              <w:jc w:val="right"/>
              <w:rPr>
                <w:rFonts w:ascii="Arial" w:hAnsi="Arial" w:cs="Arial" w:eastAsia="Arial" w:hint="default"/>
                <w:sz w:val="18"/>
                <w:szCs w:val="18"/>
              </w:rPr>
            </w:pPr>
            <w:r>
              <w:rPr>
                <w:rFonts w:ascii="Arial"/>
                <w:w w:val="95"/>
                <w:sz w:val="18"/>
              </w:rPr>
              <w:t>59,495</w:t>
            </w:r>
            <w:r>
              <w:rPr>
                <w:rFonts w:ascii="Arial"/>
                <w:sz w:val="18"/>
              </w:rPr>
            </w:r>
          </w:p>
        </w:tc>
        <w:tc>
          <w:tcPr>
            <w:tcW w:w="1011" w:type="dxa"/>
            <w:vMerge/>
            <w:tcBorders>
              <w:left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16"/>
              <w:jc w:val="right"/>
              <w:rPr>
                <w:rFonts w:ascii="Arial" w:hAnsi="Arial" w:cs="Arial" w:eastAsia="Arial" w:hint="default"/>
                <w:sz w:val="18"/>
                <w:szCs w:val="18"/>
              </w:rPr>
            </w:pPr>
            <w:r>
              <w:rPr>
                <w:rFonts w:ascii="Arial"/>
                <w:w w:val="95"/>
                <w:sz w:val="18"/>
              </w:rPr>
              <w:t>59,495</w:t>
            </w:r>
            <w:r>
              <w:rPr>
                <w:rFonts w:ascii="Arial"/>
                <w:sz w:val="18"/>
              </w:rPr>
            </w:r>
          </w:p>
        </w:tc>
        <w:tc>
          <w:tcPr>
            <w:tcW w:w="1011" w:type="dxa"/>
            <w:vMerge/>
            <w:tcBorders>
              <w:left w:val="nil" w:sz="6" w:space="0" w:color="auto"/>
              <w:right w:val="nil" w:sz="6" w:space="0" w:color="auto"/>
            </w:tcBorders>
          </w:tcPr>
          <w:p>
            <w:pPr/>
          </w:p>
        </w:tc>
        <w:tc>
          <w:tcPr>
            <w:tcW w:w="831"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16"/>
              <w:jc w:val="right"/>
              <w:rPr>
                <w:rFonts w:ascii="Arial" w:hAnsi="Arial" w:cs="Arial" w:eastAsia="Arial" w:hint="default"/>
                <w:sz w:val="18"/>
                <w:szCs w:val="18"/>
              </w:rPr>
            </w:pPr>
            <w:r>
              <w:rPr>
                <w:rFonts w:ascii="Arial"/>
                <w:w w:val="95"/>
                <w:sz w:val="18"/>
              </w:rPr>
              <w:t>100.00%</w:t>
            </w:r>
            <w:r>
              <w:rPr>
                <w:rFonts w:ascii="Arial"/>
                <w:sz w:val="18"/>
              </w:rPr>
            </w:r>
          </w:p>
        </w:tc>
        <w:tc>
          <w:tcPr>
            <w:tcW w:w="582" w:type="dxa"/>
            <w:vMerge/>
            <w:tcBorders>
              <w:left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shd w:val="clear" w:color="auto" w:fill="DEEAF6"/>
          </w:tcPr>
          <w:p>
            <w:pPr/>
          </w:p>
        </w:tc>
        <w:tc>
          <w:tcPr>
            <w:tcW w:w="755" w:type="dxa"/>
            <w:vMerge/>
            <w:tcBorders>
              <w:left w:val="nil" w:sz="6" w:space="0" w:color="auto"/>
              <w:right w:val="nil" w:sz="6" w:space="0" w:color="auto"/>
            </w:tcBorders>
          </w:tcPr>
          <w:p>
            <w:pPr/>
          </w:p>
        </w:tc>
        <w:tc>
          <w:tcPr>
            <w:tcW w:w="828"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747" w:type="dxa"/>
            <w:vMerge/>
            <w:tcBorders>
              <w:left w:val="nil" w:sz="6" w:space="0" w:color="auto"/>
              <w:bottom w:val="single" w:sz="4" w:space="0" w:color="5B9BD4"/>
              <w:right w:val="nil" w:sz="6" w:space="0" w:color="auto"/>
            </w:tcBorders>
            <w:shd w:val="clear" w:color="auto" w:fill="DEEAF6"/>
          </w:tcPr>
          <w:p>
            <w:pPr/>
          </w:p>
        </w:tc>
        <w:tc>
          <w:tcPr>
            <w:tcW w:w="793" w:type="dxa"/>
            <w:gridSpan w:val="2"/>
            <w:vMerge/>
            <w:tcBorders>
              <w:left w:val="single" w:sz="11" w:space="0" w:color="DEEAF6"/>
              <w:bottom w:val="single" w:sz="4" w:space="0" w:color="5B9BD4"/>
              <w:right w:val="nil" w:sz="6" w:space="0" w:color="auto"/>
            </w:tcBorders>
          </w:tcPr>
          <w:p>
            <w:pPr/>
          </w:p>
        </w:tc>
        <w:tc>
          <w:tcPr>
            <w:tcW w:w="953" w:type="dxa"/>
            <w:tcBorders>
              <w:top w:val="nil" w:sz="6" w:space="0" w:color="auto"/>
              <w:left w:val="nil" w:sz="6" w:space="0" w:color="auto"/>
              <w:bottom w:val="single" w:sz="4" w:space="0" w:color="5B9BD4"/>
              <w:right w:val="nil" w:sz="6" w:space="0" w:color="auto"/>
            </w:tcBorders>
            <w:shd w:val="clear" w:color="auto" w:fill="DEEAF6"/>
          </w:tcPr>
          <w:p>
            <w:pPr/>
          </w:p>
        </w:tc>
        <w:tc>
          <w:tcPr>
            <w:tcW w:w="1011" w:type="dxa"/>
            <w:vMerge/>
            <w:tcBorders>
              <w:left w:val="nil" w:sz="6" w:space="0" w:color="auto"/>
              <w:bottom w:val="single" w:sz="4" w:space="0" w:color="5B9BD4"/>
              <w:right w:val="nil" w:sz="6" w:space="0" w:color="auto"/>
            </w:tcBorders>
          </w:tcPr>
          <w:p>
            <w:pPr/>
          </w:p>
        </w:tc>
        <w:tc>
          <w:tcPr>
            <w:tcW w:w="974" w:type="dxa"/>
            <w:tcBorders>
              <w:top w:val="nil" w:sz="6" w:space="0" w:color="auto"/>
              <w:left w:val="nil" w:sz="6" w:space="0" w:color="auto"/>
              <w:bottom w:val="single" w:sz="4" w:space="0" w:color="5B9BD4"/>
              <w:right w:val="nil" w:sz="6" w:space="0" w:color="auto"/>
            </w:tcBorders>
            <w:shd w:val="clear" w:color="auto" w:fill="DEEAF6"/>
          </w:tcPr>
          <w:p>
            <w:pPr/>
          </w:p>
        </w:tc>
        <w:tc>
          <w:tcPr>
            <w:tcW w:w="1011" w:type="dxa"/>
            <w:vMerge/>
            <w:tcBorders>
              <w:left w:val="nil" w:sz="6" w:space="0" w:color="auto"/>
              <w:bottom w:val="single" w:sz="4" w:space="0" w:color="5B9BD4"/>
              <w:right w:val="nil" w:sz="6" w:space="0" w:color="auto"/>
            </w:tcBorders>
          </w:tcPr>
          <w:p>
            <w:pPr/>
          </w:p>
        </w:tc>
        <w:tc>
          <w:tcPr>
            <w:tcW w:w="831" w:type="dxa"/>
            <w:tcBorders>
              <w:top w:val="nil" w:sz="6" w:space="0" w:color="auto"/>
              <w:left w:val="nil" w:sz="6" w:space="0" w:color="auto"/>
              <w:bottom w:val="single" w:sz="4" w:space="0" w:color="5B9BD4"/>
              <w:right w:val="nil" w:sz="6" w:space="0" w:color="auto"/>
            </w:tcBorders>
            <w:shd w:val="clear" w:color="auto" w:fill="DEEAF6"/>
          </w:tcPr>
          <w:p>
            <w:pPr/>
          </w:p>
        </w:tc>
        <w:tc>
          <w:tcPr>
            <w:tcW w:w="582" w:type="dxa"/>
            <w:vMerge/>
            <w:tcBorders>
              <w:left w:val="nil" w:sz="6" w:space="0" w:color="auto"/>
              <w:bottom w:val="single" w:sz="4" w:space="0" w:color="5B9BD4"/>
              <w:right w:val="nil" w:sz="6" w:space="0" w:color="auto"/>
            </w:tcBorders>
          </w:tcPr>
          <w:p>
            <w:pPr/>
          </w:p>
        </w:tc>
        <w:tc>
          <w:tcPr>
            <w:tcW w:w="979" w:type="dxa"/>
            <w:tcBorders>
              <w:top w:val="nil" w:sz="6" w:space="0" w:color="auto"/>
              <w:left w:val="nil" w:sz="6" w:space="0" w:color="auto"/>
              <w:bottom w:val="single" w:sz="4" w:space="0" w:color="5B9BD4"/>
              <w:right w:val="nil" w:sz="6" w:space="0" w:color="auto"/>
            </w:tcBorders>
            <w:shd w:val="clear" w:color="auto" w:fill="DEEAF6"/>
          </w:tcPr>
          <w:p>
            <w:pPr/>
          </w:p>
        </w:tc>
        <w:tc>
          <w:tcPr>
            <w:tcW w:w="755" w:type="dxa"/>
            <w:vMerge/>
            <w:tcBorders>
              <w:left w:val="nil" w:sz="6" w:space="0" w:color="auto"/>
              <w:bottom w:val="single" w:sz="4" w:space="0" w:color="5B9BD4"/>
              <w:right w:val="nil" w:sz="6" w:space="0" w:color="auto"/>
            </w:tcBorders>
          </w:tcPr>
          <w:p>
            <w:pPr/>
          </w:p>
        </w:tc>
        <w:tc>
          <w:tcPr>
            <w:tcW w:w="828" w:type="dxa"/>
            <w:tcBorders>
              <w:top w:val="nil" w:sz="6" w:space="0" w:color="auto"/>
              <w:left w:val="nil" w:sz="6" w:space="0" w:color="auto"/>
              <w:bottom w:val="single" w:sz="4" w:space="0" w:color="5B9BD4"/>
              <w:right w:val="nil" w:sz="6" w:space="0" w:color="auto"/>
            </w:tcBorders>
            <w:shd w:val="clear" w:color="auto" w:fill="DEEAF6"/>
          </w:tcPr>
          <w:p>
            <w:pPr/>
          </w:p>
        </w:tc>
      </w:tr>
      <w:tr>
        <w:trPr>
          <w:trHeight w:val="407" w:hRule="exact"/>
        </w:trPr>
        <w:tc>
          <w:tcPr>
            <w:tcW w:w="174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93" w:type="dxa"/>
            <w:gridSpan w:val="2"/>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8"/>
              <w:ind w:left="3" w:right="0"/>
              <w:jc w:val="center"/>
              <w:rPr>
                <w:rFonts w:ascii="Arial" w:hAnsi="Arial" w:cs="Arial" w:eastAsia="Arial" w:hint="default"/>
                <w:sz w:val="18"/>
                <w:szCs w:val="18"/>
              </w:rPr>
            </w:pPr>
            <w:r>
              <w:rPr>
                <w:rFonts w:ascii="Arial"/>
                <w:sz w:val="18"/>
              </w:rPr>
              <w:t>--</w:t>
            </w:r>
          </w:p>
        </w:tc>
        <w:tc>
          <w:tcPr>
            <w:tcW w:w="95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7"/>
              <w:jc w:val="right"/>
              <w:rPr>
                <w:rFonts w:ascii="Arial" w:hAnsi="Arial" w:cs="Arial" w:eastAsia="Arial" w:hint="default"/>
                <w:sz w:val="18"/>
                <w:szCs w:val="18"/>
              </w:rPr>
            </w:pPr>
            <w:r>
              <w:rPr>
                <w:rFonts w:ascii="Arial"/>
                <w:w w:val="95"/>
                <w:sz w:val="18"/>
              </w:rPr>
              <w:t>146,134.5</w:t>
            </w:r>
            <w:r>
              <w:rPr>
                <w:rFonts w:ascii="Arial"/>
                <w:sz w:val="18"/>
              </w:rPr>
            </w:r>
          </w:p>
        </w:tc>
        <w:tc>
          <w:tcPr>
            <w:tcW w:w="1011"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8"/>
              <w:ind w:right="22"/>
              <w:jc w:val="right"/>
              <w:rPr>
                <w:rFonts w:ascii="Arial" w:hAnsi="Arial" w:cs="Arial" w:eastAsia="Arial" w:hint="default"/>
                <w:sz w:val="18"/>
                <w:szCs w:val="18"/>
              </w:rPr>
            </w:pPr>
            <w:r>
              <w:rPr>
                <w:rFonts w:ascii="Arial"/>
                <w:w w:val="95"/>
                <w:sz w:val="18"/>
              </w:rPr>
              <w:t>146,134.5</w:t>
            </w:r>
            <w:r>
              <w:rPr>
                <w:rFonts w:ascii="Arial"/>
                <w:sz w:val="18"/>
              </w:rPr>
            </w:r>
          </w:p>
        </w:tc>
        <w:tc>
          <w:tcPr>
            <w:tcW w:w="97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6"/>
              <w:jc w:val="right"/>
              <w:rPr>
                <w:rFonts w:ascii="Arial" w:hAnsi="Arial" w:cs="Arial" w:eastAsia="Arial" w:hint="default"/>
                <w:sz w:val="18"/>
                <w:szCs w:val="18"/>
              </w:rPr>
            </w:pPr>
            <w:r>
              <w:rPr>
                <w:rFonts w:ascii="Arial"/>
                <w:w w:val="95"/>
                <w:sz w:val="18"/>
              </w:rPr>
              <w:t>60,109.17</w:t>
            </w:r>
            <w:r>
              <w:rPr>
                <w:rFonts w:ascii="Arial"/>
                <w:sz w:val="18"/>
              </w:rPr>
            </w:r>
          </w:p>
        </w:tc>
        <w:tc>
          <w:tcPr>
            <w:tcW w:w="1011"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8"/>
              <w:ind w:left="37" w:right="0"/>
              <w:jc w:val="center"/>
              <w:rPr>
                <w:rFonts w:ascii="Arial" w:hAnsi="Arial" w:cs="Arial" w:eastAsia="Arial" w:hint="default"/>
                <w:sz w:val="18"/>
                <w:szCs w:val="18"/>
              </w:rPr>
            </w:pPr>
            <w:r>
              <w:rPr>
                <w:rFonts w:ascii="Arial"/>
                <w:sz w:val="18"/>
              </w:rPr>
              <w:t>141,225.24</w:t>
            </w:r>
          </w:p>
        </w:tc>
        <w:tc>
          <w:tcPr>
            <w:tcW w:w="83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0"/>
              <w:jc w:val="center"/>
              <w:rPr>
                <w:rFonts w:ascii="Arial" w:hAnsi="Arial" w:cs="Arial" w:eastAsia="Arial" w:hint="default"/>
                <w:sz w:val="18"/>
                <w:szCs w:val="18"/>
              </w:rPr>
            </w:pPr>
            <w:r>
              <w:rPr>
                <w:rFonts w:ascii="Arial"/>
                <w:sz w:val="18"/>
              </w:rPr>
              <w:t>--</w:t>
            </w:r>
          </w:p>
        </w:tc>
        <w:tc>
          <w:tcPr>
            <w:tcW w:w="582"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8"/>
              <w:ind w:left="218" w:right="0"/>
              <w:jc w:val="left"/>
              <w:rPr>
                <w:rFonts w:ascii="Arial" w:hAnsi="Arial" w:cs="Arial" w:eastAsia="Arial" w:hint="default"/>
                <w:sz w:val="18"/>
                <w:szCs w:val="18"/>
              </w:rPr>
            </w:pPr>
            <w:r>
              <w:rPr>
                <w:rFonts w:ascii="Arial"/>
                <w:sz w:val="18"/>
              </w:rPr>
              <w:t>--</w:t>
            </w:r>
          </w:p>
        </w:tc>
        <w:tc>
          <w:tcPr>
            <w:tcW w:w="979" w:type="dxa"/>
            <w:tcBorders>
              <w:top w:val="single" w:sz="4" w:space="0" w:color="5B9BD4"/>
              <w:left w:val="nil" w:sz="6" w:space="0" w:color="auto"/>
              <w:bottom w:val="single" w:sz="4" w:space="0" w:color="5B9BD4"/>
              <w:right w:val="nil" w:sz="6" w:space="0" w:color="auto"/>
            </w:tcBorders>
            <w:shd w:val="clear" w:color="auto" w:fill="DEEAF6"/>
          </w:tcPr>
          <w:p>
            <w:pPr/>
          </w:p>
        </w:tc>
        <w:tc>
          <w:tcPr>
            <w:tcW w:w="755"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301"/>
              <w:jc w:val="right"/>
              <w:rPr>
                <w:rFonts w:ascii="Arial" w:hAnsi="Arial" w:cs="Arial" w:eastAsia="Arial" w:hint="default"/>
                <w:sz w:val="18"/>
                <w:szCs w:val="18"/>
              </w:rPr>
            </w:pPr>
            <w:r>
              <w:rPr>
                <w:rFonts w:ascii="Arial"/>
                <w:w w:val="95"/>
                <w:sz w:val="18"/>
              </w:rPr>
              <w:t>--</w:t>
            </w:r>
            <w:r>
              <w:rPr>
                <w:rFonts w:ascii="Arial"/>
                <w:sz w:val="18"/>
              </w:rPr>
            </w:r>
          </w:p>
        </w:tc>
        <w:tc>
          <w:tcPr>
            <w:tcW w:w="8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349"/>
              <w:jc w:val="right"/>
              <w:rPr>
                <w:rFonts w:ascii="Arial" w:hAnsi="Arial" w:cs="Arial" w:eastAsia="Arial" w:hint="default"/>
                <w:sz w:val="18"/>
                <w:szCs w:val="18"/>
              </w:rPr>
            </w:pPr>
            <w:r>
              <w:rPr>
                <w:rFonts w:ascii="Arial"/>
                <w:w w:val="95"/>
                <w:sz w:val="18"/>
              </w:rPr>
              <w:t>--</w:t>
            </w:r>
            <w:r>
              <w:rPr>
                <w:rFonts w:ascii="Arial"/>
                <w:sz w:val="18"/>
              </w:rPr>
            </w:r>
          </w:p>
        </w:tc>
      </w:tr>
      <w:tr>
        <w:trPr>
          <w:trHeight w:val="392" w:hRule="exact"/>
        </w:trPr>
        <w:tc>
          <w:tcPr>
            <w:tcW w:w="10463" w:type="dxa"/>
            <w:gridSpan w:val="1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1"/>
              <w:ind w:left="1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7" w:hRule="exact"/>
        </w:trPr>
        <w:tc>
          <w:tcPr>
            <w:tcW w:w="174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1"/>
              <w:ind w:left="1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、补充营运资金</w:t>
            </w:r>
          </w:p>
        </w:tc>
        <w:tc>
          <w:tcPr>
            <w:tcW w:w="793" w:type="dxa"/>
            <w:gridSpan w:val="2"/>
            <w:tcBorders>
              <w:top w:val="single" w:sz="4" w:space="0" w:color="5B9BD4"/>
              <w:left w:val="single" w:sz="11" w:space="0" w:color="DEEAF6"/>
              <w:bottom w:val="single" w:sz="4" w:space="0" w:color="5B9BD4"/>
              <w:right w:val="single" w:sz="11" w:space="0" w:color="DEEAF6"/>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92"/>
              <w:ind w:right="17"/>
              <w:jc w:val="right"/>
              <w:rPr>
                <w:rFonts w:ascii="Arial" w:hAnsi="Arial" w:cs="Arial" w:eastAsia="Arial" w:hint="default"/>
                <w:sz w:val="18"/>
                <w:szCs w:val="18"/>
              </w:rPr>
            </w:pPr>
            <w:r>
              <w:rPr>
                <w:rFonts w:ascii="Arial"/>
                <w:w w:val="95"/>
                <w:sz w:val="18"/>
              </w:rPr>
              <w:t>127,563.19</w:t>
            </w:r>
            <w:r>
              <w:rPr>
                <w:rFonts w:ascii="Arial"/>
                <w:sz w:val="18"/>
              </w:rPr>
            </w:r>
          </w:p>
        </w:tc>
        <w:tc>
          <w:tcPr>
            <w:tcW w:w="1011"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92"/>
              <w:ind w:right="22"/>
              <w:jc w:val="right"/>
              <w:rPr>
                <w:rFonts w:ascii="Arial" w:hAnsi="Arial" w:cs="Arial" w:eastAsia="Arial" w:hint="default"/>
                <w:sz w:val="18"/>
                <w:szCs w:val="18"/>
              </w:rPr>
            </w:pPr>
            <w:r>
              <w:rPr>
                <w:rFonts w:ascii="Arial"/>
                <w:w w:val="95"/>
                <w:sz w:val="18"/>
              </w:rPr>
              <w:t>128,722.4</w:t>
            </w:r>
            <w:r>
              <w:rPr>
                <w:rFonts w:ascii="Arial"/>
                <w:sz w:val="18"/>
              </w:rPr>
            </w:r>
          </w:p>
        </w:tc>
        <w:tc>
          <w:tcPr>
            <w:tcW w:w="97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92"/>
              <w:ind w:right="16"/>
              <w:jc w:val="right"/>
              <w:rPr>
                <w:rFonts w:ascii="Arial" w:hAnsi="Arial" w:cs="Arial" w:eastAsia="Arial" w:hint="default"/>
                <w:sz w:val="18"/>
                <w:szCs w:val="18"/>
              </w:rPr>
            </w:pPr>
            <w:r>
              <w:rPr>
                <w:rFonts w:ascii="Arial"/>
                <w:w w:val="99"/>
                <w:sz w:val="18"/>
              </w:rPr>
              <w:t>0</w:t>
            </w:r>
            <w:r>
              <w:rPr>
                <w:rFonts w:ascii="Arial"/>
                <w:sz w:val="18"/>
              </w:rPr>
            </w:r>
          </w:p>
        </w:tc>
        <w:tc>
          <w:tcPr>
            <w:tcW w:w="1011"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92"/>
              <w:ind w:left="136" w:right="0"/>
              <w:jc w:val="center"/>
              <w:rPr>
                <w:rFonts w:ascii="Arial" w:hAnsi="Arial" w:cs="Arial" w:eastAsia="Arial" w:hint="default"/>
                <w:sz w:val="18"/>
                <w:szCs w:val="18"/>
              </w:rPr>
            </w:pPr>
            <w:r>
              <w:rPr>
                <w:rFonts w:ascii="Arial"/>
                <w:sz w:val="18"/>
              </w:rPr>
              <w:t>128,722.4</w:t>
            </w:r>
          </w:p>
        </w:tc>
        <w:tc>
          <w:tcPr>
            <w:tcW w:w="83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92"/>
              <w:ind w:right="16"/>
              <w:jc w:val="right"/>
              <w:rPr>
                <w:rFonts w:ascii="Arial" w:hAnsi="Arial" w:cs="Arial" w:eastAsia="Arial" w:hint="default"/>
                <w:sz w:val="18"/>
                <w:szCs w:val="18"/>
              </w:rPr>
            </w:pPr>
            <w:r>
              <w:rPr>
                <w:rFonts w:ascii="Arial"/>
                <w:w w:val="95"/>
                <w:sz w:val="18"/>
              </w:rPr>
              <w:t>100.00%</w:t>
            </w:r>
            <w:r>
              <w:rPr>
                <w:rFonts w:ascii="Arial"/>
                <w:sz w:val="18"/>
              </w:rPr>
            </w:r>
          </w:p>
        </w:tc>
        <w:tc>
          <w:tcPr>
            <w:tcW w:w="582" w:type="dxa"/>
            <w:tcBorders>
              <w:top w:val="single" w:sz="4" w:space="0" w:color="5B9BD4"/>
              <w:left w:val="single" w:sz="11" w:space="0" w:color="DEEAF6"/>
              <w:bottom w:val="single" w:sz="4" w:space="0" w:color="5B9BD4"/>
              <w:right w:val="single" w:sz="11" w:space="0" w:color="DEEAF6"/>
            </w:tcBorders>
          </w:tcPr>
          <w:p>
            <w:pPr/>
          </w:p>
        </w:tc>
        <w:tc>
          <w:tcPr>
            <w:tcW w:w="979" w:type="dxa"/>
            <w:tcBorders>
              <w:top w:val="single" w:sz="4" w:space="0" w:color="5B9BD4"/>
              <w:left w:val="nil" w:sz="6" w:space="0" w:color="auto"/>
              <w:bottom w:val="single" w:sz="4" w:space="0" w:color="5B9BD4"/>
              <w:right w:val="nil" w:sz="6" w:space="0" w:color="auto"/>
            </w:tcBorders>
            <w:shd w:val="clear" w:color="auto" w:fill="DEEAF6"/>
          </w:tcPr>
          <w:p>
            <w:pPr/>
          </w:p>
        </w:tc>
        <w:tc>
          <w:tcPr>
            <w:tcW w:w="755"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1"/>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4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202"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46"/>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590" w:type="dxa"/>
            <w:tcBorders>
              <w:top w:val="single" w:sz="4" w:space="0" w:color="5B9BD4"/>
              <w:left w:val="nil" w:sz="6" w:space="0" w:color="auto"/>
              <w:bottom w:val="single" w:sz="4" w:space="0" w:color="5B9BD4"/>
              <w:right w:val="single" w:sz="11" w:space="0" w:color="DEEAF6"/>
            </w:tcBorders>
          </w:tcPr>
          <w:p>
            <w:pPr>
              <w:pStyle w:val="TableParagraph"/>
              <w:spacing w:line="240" w:lineRule="auto" w:before="88"/>
              <w:ind w:left="135" w:right="0"/>
              <w:jc w:val="left"/>
              <w:rPr>
                <w:rFonts w:ascii="Arial" w:hAnsi="Arial" w:cs="Arial" w:eastAsia="Arial" w:hint="default"/>
                <w:sz w:val="18"/>
                <w:szCs w:val="18"/>
              </w:rPr>
            </w:pPr>
            <w:r>
              <w:rPr>
                <w:rFonts w:ascii="Arial"/>
                <w:sz w:val="18"/>
              </w:rPr>
              <w:t>--</w:t>
            </w:r>
          </w:p>
        </w:tc>
        <w:tc>
          <w:tcPr>
            <w:tcW w:w="953" w:type="dxa"/>
            <w:tcBorders>
              <w:top w:val="single" w:sz="4" w:space="0" w:color="5B9BD4"/>
              <w:left w:val="nil" w:sz="6" w:space="0" w:color="auto"/>
              <w:bottom w:val="single" w:sz="4" w:space="0" w:color="5B9BD4"/>
              <w:right w:val="nil" w:sz="6" w:space="0" w:color="auto"/>
            </w:tcBorders>
            <w:shd w:val="clear" w:color="auto" w:fill="DEEAF6"/>
          </w:tcPr>
          <w:p>
            <w:pPr/>
          </w:p>
        </w:tc>
        <w:tc>
          <w:tcPr>
            <w:tcW w:w="1011" w:type="dxa"/>
            <w:tcBorders>
              <w:top w:val="single" w:sz="4" w:space="0" w:color="5B9BD4"/>
              <w:left w:val="single" w:sz="11" w:space="0" w:color="DEEAF6"/>
              <w:bottom w:val="single" w:sz="4" w:space="0" w:color="5B9BD4"/>
              <w:right w:val="single" w:sz="11" w:space="0" w:color="DEEAF6"/>
            </w:tcBorders>
          </w:tcPr>
          <w:p>
            <w:pPr/>
          </w:p>
        </w:tc>
        <w:tc>
          <w:tcPr>
            <w:tcW w:w="974" w:type="dxa"/>
            <w:tcBorders>
              <w:top w:val="single" w:sz="4" w:space="0" w:color="5B9BD4"/>
              <w:left w:val="nil" w:sz="6" w:space="0" w:color="auto"/>
              <w:bottom w:val="single" w:sz="4" w:space="0" w:color="5B9BD4"/>
              <w:right w:val="nil" w:sz="6" w:space="0" w:color="auto"/>
            </w:tcBorders>
            <w:shd w:val="clear" w:color="auto" w:fill="DEEAF6"/>
          </w:tcPr>
          <w:p>
            <w:pPr/>
          </w:p>
        </w:tc>
        <w:tc>
          <w:tcPr>
            <w:tcW w:w="1011" w:type="dxa"/>
            <w:tcBorders>
              <w:top w:val="single" w:sz="4" w:space="0" w:color="5B9BD4"/>
              <w:left w:val="single" w:sz="11" w:space="0" w:color="DEEAF6"/>
              <w:bottom w:val="single" w:sz="4" w:space="0" w:color="5B9BD4"/>
              <w:right w:val="single" w:sz="11" w:space="0" w:color="DEEAF6"/>
            </w:tcBorders>
          </w:tcPr>
          <w:p>
            <w:pPr/>
          </w:p>
        </w:tc>
        <w:tc>
          <w:tcPr>
            <w:tcW w:w="831" w:type="dxa"/>
            <w:tcBorders>
              <w:top w:val="single" w:sz="4" w:space="0" w:color="5B9BD4"/>
              <w:left w:val="nil" w:sz="6" w:space="0" w:color="auto"/>
              <w:bottom w:val="single" w:sz="4" w:space="0" w:color="5B9BD4"/>
              <w:right w:val="nil" w:sz="6" w:space="0" w:color="auto"/>
            </w:tcBorders>
            <w:shd w:val="clear" w:color="auto" w:fill="DEEAF6"/>
          </w:tcPr>
          <w:p>
            <w:pPr/>
          </w:p>
        </w:tc>
        <w:tc>
          <w:tcPr>
            <w:tcW w:w="582"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8"/>
              <w:ind w:left="218" w:right="0"/>
              <w:jc w:val="left"/>
              <w:rPr>
                <w:rFonts w:ascii="Arial" w:hAnsi="Arial" w:cs="Arial" w:eastAsia="Arial" w:hint="default"/>
                <w:sz w:val="18"/>
                <w:szCs w:val="18"/>
              </w:rPr>
            </w:pPr>
            <w:r>
              <w:rPr>
                <w:rFonts w:ascii="Arial"/>
                <w:sz w:val="18"/>
              </w:rPr>
              <w:t>--</w:t>
            </w:r>
          </w:p>
        </w:tc>
        <w:tc>
          <w:tcPr>
            <w:tcW w:w="97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left="3" w:right="0"/>
              <w:jc w:val="center"/>
              <w:rPr>
                <w:rFonts w:ascii="Arial" w:hAnsi="Arial" w:cs="Arial" w:eastAsia="Arial" w:hint="default"/>
                <w:sz w:val="18"/>
                <w:szCs w:val="18"/>
              </w:rPr>
            </w:pPr>
            <w:r>
              <w:rPr>
                <w:rFonts w:ascii="Arial"/>
                <w:sz w:val="18"/>
              </w:rPr>
              <w:t>--</w:t>
            </w:r>
          </w:p>
        </w:tc>
        <w:tc>
          <w:tcPr>
            <w:tcW w:w="755"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301"/>
              <w:jc w:val="right"/>
              <w:rPr>
                <w:rFonts w:ascii="Arial" w:hAnsi="Arial" w:cs="Arial" w:eastAsia="Arial" w:hint="default"/>
                <w:sz w:val="18"/>
                <w:szCs w:val="18"/>
              </w:rPr>
            </w:pPr>
            <w:r>
              <w:rPr>
                <w:rFonts w:ascii="Arial"/>
                <w:w w:val="95"/>
                <w:sz w:val="18"/>
              </w:rPr>
              <w:t>--</w:t>
            </w:r>
            <w:r>
              <w:rPr>
                <w:rFonts w:ascii="Arial"/>
                <w:sz w:val="18"/>
              </w:rPr>
            </w:r>
          </w:p>
        </w:tc>
        <w:tc>
          <w:tcPr>
            <w:tcW w:w="8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349"/>
              <w:jc w:val="right"/>
              <w:rPr>
                <w:rFonts w:ascii="Arial" w:hAnsi="Arial" w:cs="Arial" w:eastAsia="Arial" w:hint="default"/>
                <w:sz w:val="18"/>
                <w:szCs w:val="18"/>
              </w:rPr>
            </w:pPr>
            <w:r>
              <w:rPr>
                <w:rFonts w:ascii="Arial"/>
                <w:w w:val="95"/>
                <w:sz w:val="18"/>
              </w:rPr>
              <w:t>--</w:t>
            </w:r>
            <w:r>
              <w:rPr>
                <w:rFonts w:ascii="Arial"/>
                <w:sz w:val="18"/>
              </w:rPr>
            </w:r>
          </w:p>
        </w:tc>
      </w:tr>
      <w:tr>
        <w:trPr>
          <w:trHeight w:val="402" w:hRule="exact"/>
        </w:trPr>
        <w:tc>
          <w:tcPr>
            <w:tcW w:w="174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202"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46"/>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590" w:type="dxa"/>
            <w:tcBorders>
              <w:top w:val="single" w:sz="4" w:space="0" w:color="5B9BD4"/>
              <w:left w:val="nil" w:sz="6" w:space="0" w:color="auto"/>
              <w:bottom w:val="single" w:sz="4" w:space="0" w:color="5B9BD4"/>
              <w:right w:val="single" w:sz="11" w:space="0" w:color="DEEAF6"/>
            </w:tcBorders>
          </w:tcPr>
          <w:p>
            <w:pPr>
              <w:pStyle w:val="TableParagraph"/>
              <w:spacing w:line="240" w:lineRule="auto" w:before="88"/>
              <w:ind w:left="135" w:right="0"/>
              <w:jc w:val="left"/>
              <w:rPr>
                <w:rFonts w:ascii="Arial" w:hAnsi="Arial" w:cs="Arial" w:eastAsia="Arial" w:hint="default"/>
                <w:sz w:val="18"/>
                <w:szCs w:val="18"/>
              </w:rPr>
            </w:pPr>
            <w:r>
              <w:rPr>
                <w:rFonts w:ascii="Arial"/>
                <w:sz w:val="18"/>
              </w:rPr>
              <w:t>--</w:t>
            </w:r>
          </w:p>
        </w:tc>
        <w:tc>
          <w:tcPr>
            <w:tcW w:w="953" w:type="dxa"/>
            <w:tcBorders>
              <w:top w:val="single" w:sz="4" w:space="0" w:color="5B9BD4"/>
              <w:left w:val="nil" w:sz="6" w:space="0" w:color="auto"/>
              <w:bottom w:val="single" w:sz="4" w:space="0" w:color="5B9BD4"/>
              <w:right w:val="nil" w:sz="6" w:space="0" w:color="auto"/>
            </w:tcBorders>
            <w:shd w:val="clear" w:color="auto" w:fill="DEEAF6"/>
          </w:tcPr>
          <w:p>
            <w:pPr/>
          </w:p>
        </w:tc>
        <w:tc>
          <w:tcPr>
            <w:tcW w:w="1011" w:type="dxa"/>
            <w:tcBorders>
              <w:top w:val="single" w:sz="4" w:space="0" w:color="5B9BD4"/>
              <w:left w:val="single" w:sz="11" w:space="0" w:color="DEEAF6"/>
              <w:bottom w:val="single" w:sz="4" w:space="0" w:color="5B9BD4"/>
              <w:right w:val="single" w:sz="11" w:space="0" w:color="DEEAF6"/>
            </w:tcBorders>
          </w:tcPr>
          <w:p>
            <w:pPr/>
          </w:p>
        </w:tc>
        <w:tc>
          <w:tcPr>
            <w:tcW w:w="974" w:type="dxa"/>
            <w:tcBorders>
              <w:top w:val="single" w:sz="4" w:space="0" w:color="5B9BD4"/>
              <w:left w:val="nil" w:sz="6" w:space="0" w:color="auto"/>
              <w:bottom w:val="single" w:sz="4" w:space="0" w:color="5B9BD4"/>
              <w:right w:val="nil" w:sz="6" w:space="0" w:color="auto"/>
            </w:tcBorders>
            <w:shd w:val="clear" w:color="auto" w:fill="DEEAF6"/>
          </w:tcPr>
          <w:p>
            <w:pPr/>
          </w:p>
        </w:tc>
        <w:tc>
          <w:tcPr>
            <w:tcW w:w="1011" w:type="dxa"/>
            <w:tcBorders>
              <w:top w:val="single" w:sz="4" w:space="0" w:color="5B9BD4"/>
              <w:left w:val="single" w:sz="11" w:space="0" w:color="DEEAF6"/>
              <w:bottom w:val="single" w:sz="4" w:space="0" w:color="5B9BD4"/>
              <w:right w:val="single" w:sz="11" w:space="0" w:color="DEEAF6"/>
            </w:tcBorders>
          </w:tcPr>
          <w:p>
            <w:pPr/>
          </w:p>
        </w:tc>
        <w:tc>
          <w:tcPr>
            <w:tcW w:w="831" w:type="dxa"/>
            <w:tcBorders>
              <w:top w:val="single" w:sz="4" w:space="0" w:color="5B9BD4"/>
              <w:left w:val="nil" w:sz="6" w:space="0" w:color="auto"/>
              <w:bottom w:val="single" w:sz="4" w:space="0" w:color="5B9BD4"/>
              <w:right w:val="nil" w:sz="6" w:space="0" w:color="auto"/>
            </w:tcBorders>
            <w:shd w:val="clear" w:color="auto" w:fill="DEEAF6"/>
          </w:tcPr>
          <w:p>
            <w:pPr/>
          </w:p>
        </w:tc>
        <w:tc>
          <w:tcPr>
            <w:tcW w:w="582"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8"/>
              <w:ind w:left="218" w:right="0"/>
              <w:jc w:val="left"/>
              <w:rPr>
                <w:rFonts w:ascii="Arial" w:hAnsi="Arial" w:cs="Arial" w:eastAsia="Arial" w:hint="default"/>
                <w:sz w:val="18"/>
                <w:szCs w:val="18"/>
              </w:rPr>
            </w:pPr>
            <w:r>
              <w:rPr>
                <w:rFonts w:ascii="Arial"/>
                <w:sz w:val="18"/>
              </w:rPr>
              <w:t>--</w:t>
            </w:r>
          </w:p>
        </w:tc>
        <w:tc>
          <w:tcPr>
            <w:tcW w:w="97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left="3" w:right="0"/>
              <w:jc w:val="center"/>
              <w:rPr>
                <w:rFonts w:ascii="Arial" w:hAnsi="Arial" w:cs="Arial" w:eastAsia="Arial" w:hint="default"/>
                <w:sz w:val="18"/>
                <w:szCs w:val="18"/>
              </w:rPr>
            </w:pPr>
            <w:r>
              <w:rPr>
                <w:rFonts w:ascii="Arial"/>
                <w:sz w:val="18"/>
              </w:rPr>
              <w:t>--</w:t>
            </w:r>
          </w:p>
        </w:tc>
        <w:tc>
          <w:tcPr>
            <w:tcW w:w="755"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301"/>
              <w:jc w:val="right"/>
              <w:rPr>
                <w:rFonts w:ascii="Arial" w:hAnsi="Arial" w:cs="Arial" w:eastAsia="Arial" w:hint="default"/>
                <w:sz w:val="18"/>
                <w:szCs w:val="18"/>
              </w:rPr>
            </w:pPr>
            <w:r>
              <w:rPr>
                <w:rFonts w:ascii="Arial"/>
                <w:w w:val="95"/>
                <w:sz w:val="18"/>
              </w:rPr>
              <w:t>--</w:t>
            </w:r>
            <w:r>
              <w:rPr>
                <w:rFonts w:ascii="Arial"/>
                <w:sz w:val="18"/>
              </w:rPr>
            </w:r>
          </w:p>
        </w:tc>
        <w:tc>
          <w:tcPr>
            <w:tcW w:w="8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349"/>
              <w:jc w:val="right"/>
              <w:rPr>
                <w:rFonts w:ascii="Arial" w:hAnsi="Arial" w:cs="Arial" w:eastAsia="Arial" w:hint="default"/>
                <w:sz w:val="18"/>
                <w:szCs w:val="18"/>
              </w:rPr>
            </w:pPr>
            <w:r>
              <w:rPr>
                <w:rFonts w:ascii="Arial"/>
                <w:w w:val="95"/>
                <w:sz w:val="18"/>
              </w:rPr>
              <w:t>--</w:t>
            </w:r>
            <w:r>
              <w:rPr>
                <w:rFonts w:ascii="Arial"/>
                <w:sz w:val="18"/>
              </w:rPr>
            </w:r>
          </w:p>
        </w:tc>
      </w:tr>
      <w:tr>
        <w:trPr>
          <w:trHeight w:val="402" w:hRule="exact"/>
        </w:trPr>
        <w:tc>
          <w:tcPr>
            <w:tcW w:w="174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93" w:type="dxa"/>
            <w:gridSpan w:val="2"/>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8"/>
              <w:ind w:left="3" w:right="0"/>
              <w:jc w:val="center"/>
              <w:rPr>
                <w:rFonts w:ascii="Arial" w:hAnsi="Arial" w:cs="Arial" w:eastAsia="Arial" w:hint="default"/>
                <w:sz w:val="18"/>
                <w:szCs w:val="18"/>
              </w:rPr>
            </w:pPr>
            <w:r>
              <w:rPr>
                <w:rFonts w:ascii="Arial"/>
                <w:sz w:val="18"/>
              </w:rPr>
              <w:t>--</w:t>
            </w:r>
          </w:p>
        </w:tc>
        <w:tc>
          <w:tcPr>
            <w:tcW w:w="95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7"/>
              <w:jc w:val="right"/>
              <w:rPr>
                <w:rFonts w:ascii="Arial" w:hAnsi="Arial" w:cs="Arial" w:eastAsia="Arial" w:hint="default"/>
                <w:sz w:val="18"/>
                <w:szCs w:val="18"/>
              </w:rPr>
            </w:pPr>
            <w:r>
              <w:rPr>
                <w:rFonts w:ascii="Arial"/>
                <w:w w:val="95"/>
                <w:sz w:val="18"/>
              </w:rPr>
              <w:t>127,563.19</w:t>
            </w:r>
            <w:r>
              <w:rPr>
                <w:rFonts w:ascii="Arial"/>
                <w:sz w:val="18"/>
              </w:rPr>
            </w:r>
          </w:p>
        </w:tc>
        <w:tc>
          <w:tcPr>
            <w:tcW w:w="1011"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8"/>
              <w:ind w:right="22"/>
              <w:jc w:val="right"/>
              <w:rPr>
                <w:rFonts w:ascii="Arial" w:hAnsi="Arial" w:cs="Arial" w:eastAsia="Arial" w:hint="default"/>
                <w:sz w:val="18"/>
                <w:szCs w:val="18"/>
              </w:rPr>
            </w:pPr>
            <w:r>
              <w:rPr>
                <w:rFonts w:ascii="Arial"/>
                <w:w w:val="95"/>
                <w:sz w:val="18"/>
              </w:rPr>
              <w:t>128,722.4</w:t>
            </w:r>
            <w:r>
              <w:rPr>
                <w:rFonts w:ascii="Arial"/>
                <w:sz w:val="18"/>
              </w:rPr>
            </w:r>
          </w:p>
        </w:tc>
        <w:tc>
          <w:tcPr>
            <w:tcW w:w="97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6"/>
              <w:jc w:val="right"/>
              <w:rPr>
                <w:rFonts w:ascii="Arial" w:hAnsi="Arial" w:cs="Arial" w:eastAsia="Arial" w:hint="default"/>
                <w:sz w:val="18"/>
                <w:szCs w:val="18"/>
              </w:rPr>
            </w:pPr>
            <w:r>
              <w:rPr>
                <w:rFonts w:ascii="Arial"/>
                <w:w w:val="99"/>
                <w:sz w:val="18"/>
              </w:rPr>
              <w:t>0</w:t>
            </w:r>
            <w:r>
              <w:rPr>
                <w:rFonts w:ascii="Arial"/>
                <w:sz w:val="18"/>
              </w:rPr>
            </w:r>
          </w:p>
        </w:tc>
        <w:tc>
          <w:tcPr>
            <w:tcW w:w="1011"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8"/>
              <w:ind w:left="136" w:right="0"/>
              <w:jc w:val="center"/>
              <w:rPr>
                <w:rFonts w:ascii="Arial" w:hAnsi="Arial" w:cs="Arial" w:eastAsia="Arial" w:hint="default"/>
                <w:sz w:val="18"/>
                <w:szCs w:val="18"/>
              </w:rPr>
            </w:pPr>
            <w:r>
              <w:rPr>
                <w:rFonts w:ascii="Arial"/>
                <w:sz w:val="18"/>
              </w:rPr>
              <w:t>128,722.4</w:t>
            </w:r>
          </w:p>
        </w:tc>
        <w:tc>
          <w:tcPr>
            <w:tcW w:w="83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0"/>
              <w:jc w:val="center"/>
              <w:rPr>
                <w:rFonts w:ascii="Arial" w:hAnsi="Arial" w:cs="Arial" w:eastAsia="Arial" w:hint="default"/>
                <w:sz w:val="18"/>
                <w:szCs w:val="18"/>
              </w:rPr>
            </w:pPr>
            <w:r>
              <w:rPr>
                <w:rFonts w:ascii="Arial"/>
                <w:sz w:val="18"/>
              </w:rPr>
              <w:t>--</w:t>
            </w:r>
          </w:p>
        </w:tc>
        <w:tc>
          <w:tcPr>
            <w:tcW w:w="582"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8"/>
              <w:ind w:left="218" w:right="0"/>
              <w:jc w:val="left"/>
              <w:rPr>
                <w:rFonts w:ascii="Arial" w:hAnsi="Arial" w:cs="Arial" w:eastAsia="Arial" w:hint="default"/>
                <w:sz w:val="18"/>
                <w:szCs w:val="18"/>
              </w:rPr>
            </w:pPr>
            <w:r>
              <w:rPr>
                <w:rFonts w:ascii="Arial"/>
                <w:sz w:val="18"/>
              </w:rPr>
              <w:t>--</w:t>
            </w:r>
          </w:p>
        </w:tc>
        <w:tc>
          <w:tcPr>
            <w:tcW w:w="979" w:type="dxa"/>
            <w:tcBorders>
              <w:top w:val="single" w:sz="4" w:space="0" w:color="5B9BD4"/>
              <w:left w:val="nil" w:sz="6" w:space="0" w:color="auto"/>
              <w:bottom w:val="single" w:sz="4" w:space="0" w:color="5B9BD4"/>
              <w:right w:val="nil" w:sz="6" w:space="0" w:color="auto"/>
            </w:tcBorders>
            <w:shd w:val="clear" w:color="auto" w:fill="DEEAF6"/>
          </w:tcPr>
          <w:p>
            <w:pPr/>
          </w:p>
        </w:tc>
        <w:tc>
          <w:tcPr>
            <w:tcW w:w="755"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301"/>
              <w:jc w:val="right"/>
              <w:rPr>
                <w:rFonts w:ascii="Arial" w:hAnsi="Arial" w:cs="Arial" w:eastAsia="Arial" w:hint="default"/>
                <w:sz w:val="18"/>
                <w:szCs w:val="18"/>
              </w:rPr>
            </w:pPr>
            <w:r>
              <w:rPr>
                <w:rFonts w:ascii="Arial"/>
                <w:w w:val="95"/>
                <w:sz w:val="18"/>
              </w:rPr>
              <w:t>--</w:t>
            </w:r>
            <w:r>
              <w:rPr>
                <w:rFonts w:ascii="Arial"/>
                <w:sz w:val="18"/>
              </w:rPr>
            </w:r>
          </w:p>
        </w:tc>
        <w:tc>
          <w:tcPr>
            <w:tcW w:w="8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349"/>
              <w:jc w:val="right"/>
              <w:rPr>
                <w:rFonts w:ascii="Arial" w:hAnsi="Arial" w:cs="Arial" w:eastAsia="Arial" w:hint="default"/>
                <w:sz w:val="18"/>
                <w:szCs w:val="18"/>
              </w:rPr>
            </w:pPr>
            <w:r>
              <w:rPr>
                <w:rFonts w:ascii="Arial"/>
                <w:w w:val="95"/>
                <w:sz w:val="18"/>
              </w:rPr>
              <w:t>--</w:t>
            </w:r>
            <w:r>
              <w:rPr>
                <w:rFonts w:ascii="Arial"/>
                <w:sz w:val="18"/>
              </w:rPr>
            </w:r>
          </w:p>
        </w:tc>
      </w:tr>
      <w:tr>
        <w:trPr>
          <w:trHeight w:val="402" w:hRule="exact"/>
        </w:trPr>
        <w:tc>
          <w:tcPr>
            <w:tcW w:w="174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3" w:type="dxa"/>
            <w:gridSpan w:val="2"/>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8"/>
              <w:ind w:left="3" w:right="0"/>
              <w:jc w:val="center"/>
              <w:rPr>
                <w:rFonts w:ascii="Arial" w:hAnsi="Arial" w:cs="Arial" w:eastAsia="Arial" w:hint="default"/>
                <w:sz w:val="18"/>
                <w:szCs w:val="18"/>
              </w:rPr>
            </w:pPr>
            <w:r>
              <w:rPr>
                <w:rFonts w:ascii="Arial"/>
                <w:sz w:val="18"/>
              </w:rPr>
              <w:t>--</w:t>
            </w:r>
          </w:p>
        </w:tc>
        <w:tc>
          <w:tcPr>
            <w:tcW w:w="95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7"/>
              <w:jc w:val="right"/>
              <w:rPr>
                <w:rFonts w:ascii="Arial" w:hAnsi="Arial" w:cs="Arial" w:eastAsia="Arial" w:hint="default"/>
                <w:sz w:val="18"/>
                <w:szCs w:val="18"/>
              </w:rPr>
            </w:pPr>
            <w:r>
              <w:rPr>
                <w:rFonts w:ascii="Arial"/>
                <w:w w:val="95"/>
                <w:sz w:val="18"/>
              </w:rPr>
              <w:t>273,697.69</w:t>
            </w:r>
            <w:r>
              <w:rPr>
                <w:rFonts w:ascii="Arial"/>
                <w:sz w:val="18"/>
              </w:rPr>
            </w:r>
          </w:p>
        </w:tc>
        <w:tc>
          <w:tcPr>
            <w:tcW w:w="1011"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8"/>
              <w:ind w:right="22"/>
              <w:jc w:val="right"/>
              <w:rPr>
                <w:rFonts w:ascii="Arial" w:hAnsi="Arial" w:cs="Arial" w:eastAsia="Arial" w:hint="default"/>
                <w:sz w:val="18"/>
                <w:szCs w:val="18"/>
              </w:rPr>
            </w:pPr>
            <w:r>
              <w:rPr>
                <w:rFonts w:ascii="Arial"/>
                <w:w w:val="95"/>
                <w:sz w:val="18"/>
              </w:rPr>
              <w:t>274,856.9</w:t>
            </w:r>
            <w:r>
              <w:rPr>
                <w:rFonts w:ascii="Arial"/>
                <w:sz w:val="18"/>
              </w:rPr>
            </w:r>
          </w:p>
        </w:tc>
        <w:tc>
          <w:tcPr>
            <w:tcW w:w="97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6"/>
              <w:jc w:val="right"/>
              <w:rPr>
                <w:rFonts w:ascii="Arial" w:hAnsi="Arial" w:cs="Arial" w:eastAsia="Arial" w:hint="default"/>
                <w:sz w:val="18"/>
                <w:szCs w:val="18"/>
              </w:rPr>
            </w:pPr>
            <w:r>
              <w:rPr>
                <w:rFonts w:ascii="Arial"/>
                <w:w w:val="95"/>
                <w:sz w:val="18"/>
              </w:rPr>
              <w:t>60,109.17</w:t>
            </w:r>
            <w:r>
              <w:rPr>
                <w:rFonts w:ascii="Arial"/>
                <w:sz w:val="18"/>
              </w:rPr>
            </w:r>
          </w:p>
        </w:tc>
        <w:tc>
          <w:tcPr>
            <w:tcW w:w="1011"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8"/>
              <w:ind w:left="37" w:right="0"/>
              <w:jc w:val="center"/>
              <w:rPr>
                <w:rFonts w:ascii="Arial" w:hAnsi="Arial" w:cs="Arial" w:eastAsia="Arial" w:hint="default"/>
                <w:sz w:val="18"/>
                <w:szCs w:val="18"/>
              </w:rPr>
            </w:pPr>
            <w:r>
              <w:rPr>
                <w:rFonts w:ascii="Arial"/>
                <w:sz w:val="18"/>
              </w:rPr>
              <w:t>269,947.64</w:t>
            </w:r>
          </w:p>
        </w:tc>
        <w:tc>
          <w:tcPr>
            <w:tcW w:w="83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0"/>
              <w:jc w:val="center"/>
              <w:rPr>
                <w:rFonts w:ascii="Arial" w:hAnsi="Arial" w:cs="Arial" w:eastAsia="Arial" w:hint="default"/>
                <w:sz w:val="18"/>
                <w:szCs w:val="18"/>
              </w:rPr>
            </w:pPr>
            <w:r>
              <w:rPr>
                <w:rFonts w:ascii="Arial"/>
                <w:sz w:val="18"/>
              </w:rPr>
              <w:t>--</w:t>
            </w:r>
          </w:p>
        </w:tc>
        <w:tc>
          <w:tcPr>
            <w:tcW w:w="582"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8"/>
              <w:ind w:left="218" w:right="0"/>
              <w:jc w:val="left"/>
              <w:rPr>
                <w:rFonts w:ascii="Arial" w:hAnsi="Arial" w:cs="Arial" w:eastAsia="Arial" w:hint="default"/>
                <w:sz w:val="18"/>
                <w:szCs w:val="18"/>
              </w:rPr>
            </w:pPr>
            <w:r>
              <w:rPr>
                <w:rFonts w:ascii="Arial"/>
                <w:sz w:val="18"/>
              </w:rPr>
              <w:t>--</w:t>
            </w:r>
          </w:p>
        </w:tc>
        <w:tc>
          <w:tcPr>
            <w:tcW w:w="979" w:type="dxa"/>
            <w:tcBorders>
              <w:top w:val="single" w:sz="4" w:space="0" w:color="5B9BD4"/>
              <w:left w:val="nil" w:sz="6" w:space="0" w:color="auto"/>
              <w:bottom w:val="single" w:sz="4" w:space="0" w:color="5B9BD4"/>
              <w:right w:val="nil" w:sz="6" w:space="0" w:color="auto"/>
            </w:tcBorders>
            <w:shd w:val="clear" w:color="auto" w:fill="DEEAF6"/>
          </w:tcPr>
          <w:p>
            <w:pPr/>
          </w:p>
        </w:tc>
        <w:tc>
          <w:tcPr>
            <w:tcW w:w="755"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301"/>
              <w:jc w:val="right"/>
              <w:rPr>
                <w:rFonts w:ascii="Arial" w:hAnsi="Arial" w:cs="Arial" w:eastAsia="Arial" w:hint="default"/>
                <w:sz w:val="18"/>
                <w:szCs w:val="18"/>
              </w:rPr>
            </w:pPr>
            <w:r>
              <w:rPr>
                <w:rFonts w:ascii="Arial"/>
                <w:w w:val="95"/>
                <w:sz w:val="18"/>
              </w:rPr>
              <w:t>--</w:t>
            </w:r>
            <w:r>
              <w:rPr>
                <w:rFonts w:ascii="Arial"/>
                <w:sz w:val="18"/>
              </w:rPr>
            </w:r>
          </w:p>
        </w:tc>
        <w:tc>
          <w:tcPr>
            <w:tcW w:w="8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349"/>
              <w:jc w:val="right"/>
              <w:rPr>
                <w:rFonts w:ascii="Arial" w:hAnsi="Arial" w:cs="Arial" w:eastAsia="Arial" w:hint="default"/>
                <w:sz w:val="18"/>
                <w:szCs w:val="18"/>
              </w:rPr>
            </w:pPr>
            <w:r>
              <w:rPr>
                <w:rFonts w:ascii="Arial"/>
                <w:w w:val="95"/>
                <w:sz w:val="18"/>
              </w:rPr>
              <w:t>--</w:t>
            </w:r>
            <w:r>
              <w:rPr>
                <w:rFonts w:ascii="Arial"/>
                <w:sz w:val="18"/>
              </w:rPr>
            </w:r>
          </w:p>
        </w:tc>
      </w:tr>
      <w:tr>
        <w:trPr>
          <w:trHeight w:val="140" w:hRule="exact"/>
        </w:trPr>
        <w:tc>
          <w:tcPr>
            <w:tcW w:w="1747" w:type="dxa"/>
            <w:tcBorders>
              <w:top w:val="single" w:sz="4" w:space="0" w:color="5B9BD4"/>
              <w:left w:val="nil" w:sz="6" w:space="0" w:color="auto"/>
              <w:bottom w:val="nil" w:sz="6" w:space="0" w:color="auto"/>
              <w:right w:val="nil" w:sz="6" w:space="0" w:color="auto"/>
            </w:tcBorders>
            <w:shd w:val="clear" w:color="auto" w:fill="DEEAF6"/>
          </w:tcPr>
          <w:p>
            <w:pPr/>
          </w:p>
        </w:tc>
        <w:tc>
          <w:tcPr>
            <w:tcW w:w="8716" w:type="dxa"/>
            <w:gridSpan w:val="11"/>
            <w:vMerge w:val="restart"/>
            <w:tcBorders>
              <w:top w:val="single" w:sz="4" w:space="0" w:color="5B9BD4"/>
              <w:left w:val="single" w:sz="11" w:space="0" w:color="DEEAF6"/>
              <w:right w:val="nil" w:sz="6" w:space="0" w:color="auto"/>
            </w:tcBorders>
          </w:tcPr>
          <w:p>
            <w:pPr>
              <w:pStyle w:val="TableParagraph"/>
              <w:spacing w:line="307" w:lineRule="auto" w:before="47"/>
              <w:ind w:left="23" w:right="12"/>
              <w:jc w:val="both"/>
              <w:rPr>
                <w:rFonts w:ascii="宋体" w:hAnsi="宋体" w:cs="宋体" w:eastAsia="宋体" w:hint="default"/>
                <w:sz w:val="18"/>
                <w:szCs w:val="18"/>
              </w:rPr>
            </w:pPr>
            <w:r>
              <w:rPr>
                <w:rFonts w:ascii="Arial" w:hAnsi="Arial" w:cs="Arial" w:eastAsia="Arial" w:hint="default"/>
                <w:sz w:val="18"/>
                <w:szCs w:val="18"/>
              </w:rPr>
              <w:t>1. </w:t>
            </w:r>
            <w:r>
              <w:rPr>
                <w:rFonts w:ascii="宋体" w:hAnsi="宋体" w:cs="宋体" w:eastAsia="宋体" w:hint="default"/>
                <w:sz w:val="18"/>
                <w:szCs w:val="18"/>
              </w:rPr>
              <w:t>数码电子产品零售终端扩建项目：本项目原计划在全国范围内开设数码电子产品专卖店，同时增加 </w:t>
            </w:r>
            <w:r>
              <w:rPr>
                <w:rFonts w:ascii="Arial" w:hAnsi="Arial" w:cs="Arial" w:eastAsia="Arial" w:hint="default"/>
                <w:sz w:val="18"/>
                <w:szCs w:val="18"/>
              </w:rPr>
              <w:t>IT</w:t>
            </w:r>
            <w:r>
              <w:rPr>
                <w:rFonts w:ascii="Arial" w:hAnsi="Arial" w:cs="Arial" w:eastAsia="Arial" w:hint="default"/>
                <w:spacing w:val="2"/>
                <w:sz w:val="18"/>
                <w:szCs w:val="18"/>
              </w:rPr>
              <w:t> </w:t>
            </w:r>
            <w:r>
              <w:rPr>
                <w:rFonts w:ascii="宋体" w:hAnsi="宋体" w:cs="宋体" w:eastAsia="宋体" w:hint="default"/>
                <w:sz w:val="18"/>
                <w:szCs w:val="18"/>
              </w:rPr>
              <w:t>软硬 件投资，以支持深圳酷动管理门店数量的增加。期末累计投入金额未达到预期的主要原因是公司不断优化门店 的同时注意控制专卖店的新建成本，扩建项目资金结余所致；</w:t>
            </w:r>
            <w:r>
              <w:rPr>
                <w:rFonts w:ascii="Arial" w:hAnsi="Arial" w:cs="Arial" w:eastAsia="Arial" w:hint="default"/>
                <w:sz w:val="18"/>
                <w:szCs w:val="18"/>
              </w:rPr>
              <w:t>2.</w:t>
            </w:r>
            <w:r>
              <w:rPr>
                <w:rFonts w:ascii="Arial" w:hAnsi="Arial" w:cs="Arial" w:eastAsia="Arial" w:hint="default"/>
                <w:spacing w:val="8"/>
                <w:sz w:val="18"/>
                <w:szCs w:val="18"/>
              </w:rPr>
              <w:t> </w:t>
            </w:r>
            <w:r>
              <w:rPr>
                <w:rFonts w:ascii="宋体" w:hAnsi="宋体" w:cs="宋体" w:eastAsia="宋体" w:hint="default"/>
                <w:sz w:val="18"/>
                <w:szCs w:val="18"/>
              </w:rPr>
              <w:t>产品运营平台扩建项目：本项目期末累计投入 </w:t>
            </w:r>
            <w:r>
              <w:rPr>
                <w:rFonts w:ascii="宋体" w:hAnsi="宋体" w:cs="宋体" w:eastAsia="宋体" w:hint="default"/>
                <w:spacing w:val="-5"/>
                <w:sz w:val="18"/>
                <w:szCs w:val="18"/>
              </w:rPr>
              <w:t>金额未达到预期的主要原因是公司出于成本控制考虑，部分投入与公司日常运营共用，造成项目资金结余；</w:t>
            </w:r>
            <w:r>
              <w:rPr>
                <w:rFonts w:ascii="Arial" w:hAnsi="Arial" w:cs="Arial" w:eastAsia="Arial" w:hint="default"/>
                <w:spacing w:val="-5"/>
                <w:sz w:val="18"/>
                <w:szCs w:val="18"/>
              </w:rPr>
              <w:t>3. </w:t>
            </w:r>
            <w:r>
              <w:rPr>
                <w:rFonts w:ascii="Arial" w:hAnsi="Arial" w:cs="Arial" w:eastAsia="Arial" w:hint="default"/>
                <w:spacing w:val="22"/>
                <w:sz w:val="18"/>
                <w:szCs w:val="18"/>
              </w:rPr>
              <w:t> </w:t>
            </w:r>
            <w:r>
              <w:rPr>
                <w:rFonts w:ascii="宋体" w:hAnsi="宋体" w:cs="宋体" w:eastAsia="宋体" w:hint="default"/>
                <w:sz w:val="18"/>
                <w:szCs w:val="18"/>
              </w:rPr>
              <w:t>信</w:t>
            </w:r>
          </w:p>
        </w:tc>
      </w:tr>
      <w:tr>
        <w:trPr>
          <w:trHeight w:val="1017" w:hRule="exact"/>
        </w:trPr>
        <w:tc>
          <w:tcPr>
            <w:tcW w:w="1747" w:type="dxa"/>
            <w:tcBorders>
              <w:top w:val="nil" w:sz="6" w:space="0" w:color="auto"/>
              <w:left w:val="nil" w:sz="6" w:space="0" w:color="auto"/>
              <w:bottom w:val="nil" w:sz="6" w:space="0" w:color="auto"/>
              <w:right w:val="nil" w:sz="6" w:space="0" w:color="auto"/>
            </w:tcBorders>
            <w:shd w:val="clear" w:color="auto" w:fill="DEEAF6"/>
          </w:tcPr>
          <w:p>
            <w:pPr>
              <w:pStyle w:val="TableParagraph"/>
              <w:spacing w:line="316" w:lineRule="auto" w:before="47"/>
              <w:ind w:left="13" w:right="111"/>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13"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8716" w:type="dxa"/>
            <w:gridSpan w:val="11"/>
            <w:vMerge/>
            <w:tcBorders>
              <w:left w:val="single" w:sz="11" w:space="0" w:color="DEEAF6"/>
              <w:right w:val="nil" w:sz="6" w:space="0" w:color="auto"/>
            </w:tcBorders>
          </w:tcPr>
          <w:p>
            <w:pPr/>
          </w:p>
        </w:tc>
      </w:tr>
      <w:tr>
        <w:trPr>
          <w:trHeight w:val="142" w:hRule="exact"/>
        </w:trPr>
        <w:tc>
          <w:tcPr>
            <w:tcW w:w="1747" w:type="dxa"/>
            <w:tcBorders>
              <w:top w:val="nil" w:sz="6" w:space="0" w:color="auto"/>
              <w:left w:val="nil" w:sz="6" w:space="0" w:color="auto"/>
              <w:bottom w:val="single" w:sz="4" w:space="0" w:color="5B9BD4"/>
              <w:right w:val="nil" w:sz="6" w:space="0" w:color="auto"/>
            </w:tcBorders>
            <w:shd w:val="clear" w:color="auto" w:fill="DEEAF6"/>
          </w:tcPr>
          <w:p>
            <w:pPr/>
          </w:p>
        </w:tc>
        <w:tc>
          <w:tcPr>
            <w:tcW w:w="8716" w:type="dxa"/>
            <w:gridSpan w:val="11"/>
            <w:vMerge/>
            <w:tcBorders>
              <w:left w:val="single" w:sz="11" w:space="0" w:color="DEEAF6"/>
              <w:bottom w:val="single" w:sz="4" w:space="0" w:color="5B9BD4"/>
              <w:right w:val="nil" w:sz="6" w:space="0" w:color="auto"/>
            </w:tcBorders>
          </w:tcPr>
          <w:p>
            <w:pPr/>
          </w:p>
        </w:tc>
      </w:tr>
    </w:tbl>
    <w:p>
      <w:pPr>
        <w:spacing w:after="0"/>
        <w:sectPr>
          <w:pgSz w:w="11910" w:h="16840"/>
          <w:pgMar w:header="877" w:footer="979" w:top="1100" w:bottom="1160" w:left="600" w:right="0"/>
        </w:sectPr>
      </w:pPr>
    </w:p>
    <w:p>
      <w:pPr>
        <w:spacing w:line="240" w:lineRule="auto" w:before="6"/>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770"/>
        <w:gridCol w:w="8721"/>
      </w:tblGrid>
      <w:tr>
        <w:trPr>
          <w:trHeight w:val="674" w:hRule="exact"/>
        </w:trPr>
        <w:tc>
          <w:tcPr>
            <w:tcW w:w="1770" w:type="dxa"/>
            <w:tcBorders>
              <w:top w:val="single" w:sz="4" w:space="0" w:color="5B9BD4"/>
              <w:left w:val="nil" w:sz="6" w:space="0" w:color="auto"/>
              <w:bottom w:val="single" w:sz="4" w:space="0" w:color="5B9BD4"/>
              <w:right w:val="nil" w:sz="6" w:space="0" w:color="auto"/>
            </w:tcBorders>
            <w:shd w:val="clear" w:color="auto" w:fill="DEEAF6"/>
          </w:tcPr>
          <w:p>
            <w:pPr/>
          </w:p>
        </w:tc>
        <w:tc>
          <w:tcPr>
            <w:tcW w:w="8721" w:type="dxa"/>
            <w:tcBorders>
              <w:top w:val="single" w:sz="4" w:space="0" w:color="5B9BD4"/>
              <w:left w:val="nil" w:sz="6" w:space="0" w:color="auto"/>
              <w:bottom w:val="single" w:sz="4" w:space="0" w:color="5B9BD4"/>
              <w:right w:val="nil" w:sz="6" w:space="0" w:color="auto"/>
            </w:tcBorders>
          </w:tcPr>
          <w:p>
            <w:pPr>
              <w:pStyle w:val="TableParagraph"/>
              <w:spacing w:line="319" w:lineRule="auto" w:before="5"/>
              <w:ind w:left="27" w:right="51"/>
              <w:jc w:val="left"/>
              <w:rPr>
                <w:rFonts w:ascii="宋体" w:hAnsi="宋体" w:cs="宋体" w:eastAsia="宋体" w:hint="default"/>
                <w:sz w:val="18"/>
                <w:szCs w:val="18"/>
              </w:rPr>
            </w:pPr>
            <w:r>
              <w:rPr>
                <w:rFonts w:ascii="宋体" w:hAnsi="宋体" w:cs="宋体" w:eastAsia="宋体" w:hint="default"/>
                <w:sz w:val="18"/>
                <w:szCs w:val="18"/>
              </w:rPr>
              <w:t>息系统综合管理平台扩建项目：本项目期末累计投入金额未达到预期的主要原因是在项目实施过程中公司优化 供应商及项目开发方案，节约开支，造成项目资金结余。</w:t>
            </w:r>
          </w:p>
        </w:tc>
      </w:tr>
      <w:tr>
        <w:trPr>
          <w:trHeight w:val="714" w:hRule="exact"/>
        </w:trPr>
        <w:tc>
          <w:tcPr>
            <w:tcW w:w="177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46"/>
              <w:ind w:left="27" w:right="120"/>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8721" w:type="dxa"/>
            <w:tcBorders>
              <w:top w:val="single" w:sz="4" w:space="0" w:color="5B9BD4"/>
              <w:left w:val="nil" w:sz="6" w:space="0" w:color="auto"/>
              <w:bottom w:val="single" w:sz="4" w:space="0" w:color="5B9BD4"/>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0"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9" w:lineRule="auto"/>
              <w:ind w:left="27" w:right="27"/>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8721" w:type="dxa"/>
            <w:tcBorders>
              <w:top w:val="single" w:sz="4" w:space="0" w:color="5B9BD4"/>
              <w:left w:val="nil" w:sz="6" w:space="0" w:color="auto"/>
              <w:bottom w:val="single" w:sz="4" w:space="0" w:color="5B9BD4"/>
              <w:right w:val="nil" w:sz="6" w:space="0" w:color="auto"/>
            </w:tcBorders>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586" w:hRule="exact"/>
        </w:trPr>
        <w:tc>
          <w:tcPr>
            <w:tcW w:w="1770" w:type="dxa"/>
            <w:vMerge/>
            <w:tcBorders>
              <w:left w:val="nil" w:sz="6" w:space="0" w:color="auto"/>
              <w:bottom w:val="single" w:sz="4" w:space="0" w:color="5B9BD4"/>
              <w:right w:val="nil" w:sz="6" w:space="0" w:color="auto"/>
            </w:tcBorders>
            <w:shd w:val="clear" w:color="auto" w:fill="DEEAF6"/>
          </w:tcPr>
          <w:p>
            <w:pPr/>
          </w:p>
        </w:tc>
        <w:tc>
          <w:tcPr>
            <w:tcW w:w="8721" w:type="dxa"/>
            <w:tcBorders>
              <w:top w:val="single" w:sz="4" w:space="0" w:color="5B9BD4"/>
              <w:left w:val="nil" w:sz="6" w:space="0" w:color="auto"/>
              <w:bottom w:val="single" w:sz="4" w:space="0" w:color="5B9BD4"/>
              <w:right w:val="nil" w:sz="6" w:space="0" w:color="auto"/>
            </w:tcBorders>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超募资金</w:t>
            </w:r>
            <w:r>
              <w:rPr>
                <w:rFonts w:ascii="宋体" w:hAnsi="宋体" w:cs="宋体" w:eastAsia="宋体" w:hint="default"/>
                <w:spacing w:val="-51"/>
                <w:sz w:val="18"/>
                <w:szCs w:val="18"/>
              </w:rPr>
              <w:t> </w:t>
            </w:r>
            <w:r>
              <w:rPr>
                <w:rFonts w:ascii="Arial" w:hAnsi="Arial" w:cs="Arial" w:eastAsia="Arial" w:hint="default"/>
                <w:sz w:val="18"/>
                <w:szCs w:val="18"/>
              </w:rPr>
              <w:t>1,275,631,900.00</w:t>
            </w:r>
            <w:r>
              <w:rPr>
                <w:rFonts w:ascii="Arial" w:hAnsi="Arial" w:cs="Arial" w:eastAsia="Arial" w:hint="default"/>
                <w:spacing w:val="-11"/>
                <w:sz w:val="18"/>
                <w:szCs w:val="18"/>
              </w:rPr>
              <w:t> </w:t>
            </w:r>
            <w:r>
              <w:rPr>
                <w:rFonts w:ascii="宋体" w:hAnsi="宋体" w:cs="宋体" w:eastAsia="宋体" w:hint="default"/>
                <w:sz w:val="18"/>
                <w:szCs w:val="18"/>
              </w:rPr>
              <w:t>元，加利息收入扣除手续费后之后净总额</w:t>
            </w:r>
            <w:r>
              <w:rPr>
                <w:rFonts w:ascii="宋体" w:hAnsi="宋体" w:cs="宋体" w:eastAsia="宋体" w:hint="default"/>
                <w:spacing w:val="-51"/>
                <w:sz w:val="18"/>
                <w:szCs w:val="18"/>
              </w:rPr>
              <w:t> </w:t>
            </w:r>
            <w:r>
              <w:rPr>
                <w:rFonts w:ascii="Arial" w:hAnsi="Arial" w:cs="Arial" w:eastAsia="Arial" w:hint="default"/>
                <w:sz w:val="18"/>
                <w:szCs w:val="18"/>
              </w:rPr>
              <w:t>1,288,693,557.39</w:t>
            </w:r>
            <w:r>
              <w:rPr>
                <w:rFonts w:ascii="Arial" w:hAnsi="Arial" w:cs="Arial" w:eastAsia="Arial" w:hint="default"/>
                <w:spacing w:val="-11"/>
                <w:sz w:val="18"/>
                <w:szCs w:val="18"/>
              </w:rPr>
              <w:t> </w:t>
            </w:r>
            <w:r>
              <w:rPr>
                <w:rFonts w:ascii="宋体" w:hAnsi="宋体" w:cs="宋体" w:eastAsia="宋体" w:hint="default"/>
                <w:sz w:val="18"/>
                <w:szCs w:val="18"/>
              </w:rPr>
              <w:t>元，根据公司</w:t>
            </w:r>
            <w:r>
              <w:rPr>
                <w:rFonts w:ascii="宋体" w:hAnsi="宋体" w:cs="宋体" w:eastAsia="宋体" w:hint="default"/>
                <w:spacing w:val="-51"/>
                <w:sz w:val="18"/>
                <w:szCs w:val="18"/>
              </w:rPr>
              <w:t> </w:t>
            </w:r>
            <w:r>
              <w:rPr>
                <w:rFonts w:ascii="Arial" w:hAnsi="Arial" w:cs="Arial" w:eastAsia="Arial" w:hint="default"/>
                <w:sz w:val="18"/>
                <w:szCs w:val="18"/>
              </w:rPr>
              <w:t>2009</w:t>
            </w:r>
            <w:r>
              <w:rPr>
                <w:rFonts w:ascii="Arial" w:hAnsi="Arial" w:cs="Arial" w:eastAsia="Arial" w:hint="default"/>
                <w:spacing w:val="-11"/>
                <w:sz w:val="18"/>
                <w:szCs w:val="18"/>
              </w:rPr>
              <w:t> </w:t>
            </w:r>
            <w:r>
              <w:rPr>
                <w:rFonts w:ascii="宋体" w:hAnsi="宋体" w:cs="宋体" w:eastAsia="宋体" w:hint="default"/>
                <w:sz w:val="18"/>
                <w:szCs w:val="18"/>
              </w:rPr>
              <w:t>年</w:t>
            </w:r>
          </w:p>
          <w:p>
            <w:pPr>
              <w:pStyle w:val="TableParagraph"/>
              <w:spacing w:line="240" w:lineRule="auto" w:before="62"/>
              <w:ind w:left="27" w:right="0"/>
              <w:jc w:val="left"/>
              <w:rPr>
                <w:rFonts w:ascii="宋体" w:hAnsi="宋体" w:cs="宋体" w:eastAsia="宋体" w:hint="default"/>
                <w:sz w:val="18"/>
                <w:szCs w:val="18"/>
              </w:rPr>
            </w:pPr>
            <w:r>
              <w:rPr>
                <w:rFonts w:ascii="Arial" w:hAnsi="Arial" w:cs="Arial" w:eastAsia="Arial" w:hint="default"/>
                <w:w w:val="99"/>
                <w:sz w:val="18"/>
                <w:szCs w:val="18"/>
              </w:rPr>
              <w:t>8</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pacing w:val="1"/>
                <w:w w:val="99"/>
                <w:sz w:val="18"/>
                <w:szCs w:val="18"/>
              </w:rPr>
              <w:t>1</w:t>
            </w:r>
            <w:r>
              <w:rPr>
                <w:rFonts w:ascii="Arial" w:hAnsi="Arial" w:cs="Arial" w:eastAsia="Arial" w:hint="default"/>
                <w:w w:val="99"/>
                <w:sz w:val="18"/>
                <w:szCs w:val="18"/>
              </w:rPr>
              <w:t>8</w:t>
            </w:r>
            <w:r>
              <w:rPr>
                <w:rFonts w:ascii="Arial" w:hAnsi="Arial" w:cs="Arial" w:eastAsia="Arial" w:hint="default"/>
                <w:spacing w:val="-6"/>
                <w:sz w:val="18"/>
                <w:szCs w:val="18"/>
              </w:rPr>
              <w:t> </w:t>
            </w:r>
            <w:r>
              <w:rPr>
                <w:rFonts w:ascii="宋体" w:hAnsi="宋体" w:cs="宋体" w:eastAsia="宋体" w:hint="default"/>
                <w:sz w:val="18"/>
                <w:szCs w:val="18"/>
              </w:rPr>
              <w:t>日股</w:t>
            </w:r>
            <w:r>
              <w:rPr>
                <w:rFonts w:ascii="宋体" w:hAnsi="宋体" w:cs="宋体" w:eastAsia="宋体" w:hint="default"/>
                <w:spacing w:val="1"/>
                <w:sz w:val="18"/>
                <w:szCs w:val="18"/>
              </w:rPr>
              <w:t>东</w:t>
            </w:r>
            <w:r>
              <w:rPr>
                <w:rFonts w:ascii="宋体" w:hAnsi="宋体" w:cs="宋体" w:eastAsia="宋体" w:hint="default"/>
                <w:sz w:val="18"/>
                <w:szCs w:val="18"/>
              </w:rPr>
              <w:t>大会决议和《招股说明书</w:t>
            </w:r>
            <w:r>
              <w:rPr>
                <w:rFonts w:ascii="宋体" w:hAnsi="宋体" w:cs="宋体" w:eastAsia="宋体" w:hint="default"/>
                <w:spacing w:val="-90"/>
                <w:sz w:val="18"/>
                <w:szCs w:val="18"/>
              </w:rPr>
              <w:t>》</w:t>
            </w:r>
            <w:r>
              <w:rPr>
                <w:rFonts w:ascii="宋体" w:hAnsi="宋体" w:cs="宋体" w:eastAsia="宋体" w:hint="default"/>
                <w:sz w:val="18"/>
                <w:szCs w:val="18"/>
              </w:rPr>
              <w:t>，超募资金用于补充公司业务资金需求。</w:t>
            </w:r>
            <w:r>
              <w:rPr>
                <w:rFonts w:ascii="Arial" w:hAnsi="Arial" w:cs="Arial" w:eastAsia="Arial" w:hint="default"/>
                <w:spacing w:val="-1"/>
                <w:w w:val="99"/>
                <w:sz w:val="18"/>
                <w:szCs w:val="18"/>
              </w:rPr>
              <w:t>201</w:t>
            </w:r>
            <w:r>
              <w:rPr>
                <w:rFonts w:ascii="Arial" w:hAnsi="Arial" w:cs="Arial" w:eastAsia="Arial" w:hint="default"/>
                <w:w w:val="99"/>
                <w:sz w:val="18"/>
                <w:szCs w:val="18"/>
              </w:rPr>
              <w:t>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pacing w:val="1"/>
                <w:w w:val="99"/>
                <w:sz w:val="18"/>
                <w:szCs w:val="18"/>
              </w:rPr>
              <w:t>1</w:t>
            </w:r>
            <w:r>
              <w:rPr>
                <w:rFonts w:ascii="Arial" w:hAnsi="Arial" w:cs="Arial" w:eastAsia="Arial" w:hint="default"/>
                <w:w w:val="99"/>
                <w:sz w:val="18"/>
                <w:szCs w:val="18"/>
              </w:rPr>
              <w:t>0</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pacing w:val="1"/>
                <w:w w:val="99"/>
                <w:sz w:val="18"/>
                <w:szCs w:val="18"/>
              </w:rPr>
              <w:t>1</w:t>
            </w:r>
            <w:r>
              <w:rPr>
                <w:rFonts w:ascii="Arial" w:hAnsi="Arial" w:cs="Arial" w:eastAsia="Arial" w:hint="default"/>
                <w:w w:val="99"/>
                <w:sz w:val="18"/>
                <w:szCs w:val="18"/>
              </w:rPr>
              <w:t>5</w:t>
            </w:r>
            <w:r>
              <w:rPr>
                <w:rFonts w:ascii="Arial" w:hAnsi="Arial" w:cs="Arial" w:eastAsia="Arial" w:hint="default"/>
                <w:spacing w:val="-5"/>
                <w:sz w:val="18"/>
                <w:szCs w:val="18"/>
              </w:rPr>
              <w:t> </w:t>
            </w:r>
            <w:r>
              <w:rPr>
                <w:rFonts w:ascii="宋体" w:hAnsi="宋体" w:cs="宋体" w:eastAsia="宋体" w:hint="default"/>
                <w:sz w:val="18"/>
                <w:szCs w:val="18"/>
              </w:rPr>
              <w:t>日，公司</w:t>
            </w:r>
          </w:p>
          <w:p>
            <w:pPr>
              <w:pStyle w:val="TableParagraph"/>
              <w:spacing w:line="302" w:lineRule="auto" w:before="63"/>
              <w:ind w:left="27" w:right="47"/>
              <w:jc w:val="left"/>
              <w:rPr>
                <w:rFonts w:ascii="宋体" w:hAnsi="宋体" w:cs="宋体" w:eastAsia="宋体" w:hint="default"/>
                <w:sz w:val="18"/>
                <w:szCs w:val="18"/>
              </w:rPr>
            </w:pPr>
            <w:r>
              <w:rPr>
                <w:rFonts w:ascii="Arial" w:hAnsi="Arial" w:cs="Arial" w:eastAsia="Arial" w:hint="default"/>
                <w:spacing w:val="-1"/>
                <w:w w:val="99"/>
                <w:sz w:val="18"/>
                <w:szCs w:val="18"/>
              </w:rPr>
              <w:t>2010</w:t>
            </w:r>
            <w:r>
              <w:rPr>
                <w:rFonts w:ascii="Arial" w:hAnsi="Arial" w:cs="Arial" w:eastAsia="Arial" w:hint="default"/>
                <w:spacing w:val="-3"/>
                <w:w w:val="99"/>
                <w:sz w:val="18"/>
                <w:szCs w:val="18"/>
              </w:rPr>
              <w:t> </w:t>
            </w:r>
            <w:r>
              <w:rPr>
                <w:rFonts w:ascii="宋体" w:hAnsi="宋体" w:cs="宋体" w:eastAsia="宋体" w:hint="default"/>
                <w:spacing w:val="-2"/>
                <w:sz w:val="18"/>
                <w:szCs w:val="18"/>
              </w:rPr>
              <w:t>年第一次临时股东大会审议通过了《关于利用部分超募资金补充募投项目资金缺口的议案》，同意利用部</w:t>
            </w:r>
            <w:r>
              <w:rPr>
                <w:rFonts w:ascii="宋体" w:hAnsi="宋体" w:cs="宋体" w:eastAsia="宋体" w:hint="default"/>
                <w:sz w:val="18"/>
                <w:szCs w:val="18"/>
              </w:rPr>
              <w:t> 分超募资金</w:t>
            </w:r>
            <w:r>
              <w:rPr>
                <w:rFonts w:ascii="宋体" w:hAnsi="宋体" w:cs="宋体" w:eastAsia="宋体" w:hint="default"/>
                <w:spacing w:val="-47"/>
                <w:sz w:val="18"/>
                <w:szCs w:val="18"/>
              </w:rPr>
              <w:t> </w:t>
            </w:r>
            <w:r>
              <w:rPr>
                <w:rFonts w:ascii="Arial" w:hAnsi="Arial" w:cs="Arial" w:eastAsia="Arial" w:hint="default"/>
                <w:sz w:val="18"/>
                <w:szCs w:val="18"/>
              </w:rPr>
              <w:t>701,987,900.00</w:t>
            </w:r>
            <w:r>
              <w:rPr>
                <w:rFonts w:ascii="Arial" w:hAnsi="Arial" w:cs="Arial" w:eastAsia="Arial" w:hint="default"/>
                <w:spacing w:val="-7"/>
                <w:sz w:val="18"/>
                <w:szCs w:val="18"/>
              </w:rPr>
              <w:t> </w:t>
            </w:r>
            <w:r>
              <w:rPr>
                <w:rFonts w:ascii="宋体" w:hAnsi="宋体" w:cs="宋体" w:eastAsia="宋体" w:hint="default"/>
                <w:sz w:val="18"/>
                <w:szCs w:val="18"/>
              </w:rPr>
              <w:t>元补充募投项目之一补充营运资金项目的资金缺口，</w:t>
            </w:r>
            <w:r>
              <w:rPr>
                <w:rFonts w:ascii="Arial" w:hAnsi="Arial" w:cs="Arial" w:eastAsia="Arial" w:hint="default"/>
                <w:sz w:val="18"/>
                <w:szCs w:val="18"/>
              </w:rPr>
              <w:t>2010</w:t>
            </w:r>
            <w:r>
              <w:rPr>
                <w:rFonts w:ascii="Arial" w:hAnsi="Arial" w:cs="Arial" w:eastAsia="Arial" w:hint="default"/>
                <w:spacing w:val="-7"/>
                <w:sz w:val="18"/>
                <w:szCs w:val="18"/>
              </w:rPr>
              <w:t> </w:t>
            </w:r>
            <w:r>
              <w:rPr>
                <w:rFonts w:ascii="宋体" w:hAnsi="宋体" w:cs="宋体" w:eastAsia="宋体" w:hint="default"/>
                <w:sz w:val="18"/>
                <w:szCs w:val="18"/>
              </w:rPr>
              <w:t>年度已使用 </w:t>
            </w:r>
            <w:r>
              <w:rPr>
                <w:rFonts w:ascii="Arial" w:hAnsi="Arial" w:cs="Arial" w:eastAsia="Arial" w:hint="default"/>
                <w:sz w:val="18"/>
                <w:szCs w:val="18"/>
              </w:rPr>
              <w:t>698,359,960.00</w:t>
            </w:r>
            <w:r>
              <w:rPr>
                <w:rFonts w:ascii="Arial" w:hAnsi="Arial" w:cs="Arial" w:eastAsia="Arial" w:hint="default"/>
                <w:spacing w:val="-8"/>
                <w:sz w:val="18"/>
                <w:szCs w:val="18"/>
              </w:rPr>
              <w:t> </w:t>
            </w:r>
            <w:r>
              <w:rPr>
                <w:rFonts w:ascii="宋体" w:hAnsi="宋体" w:cs="宋体" w:eastAsia="宋体" w:hint="default"/>
                <w:sz w:val="18"/>
                <w:szCs w:val="18"/>
              </w:rPr>
              <w:t>元。</w:t>
            </w:r>
            <w:r>
              <w:rPr>
                <w:rFonts w:ascii="Arial" w:hAnsi="Arial" w:cs="Arial" w:eastAsia="Arial" w:hint="default"/>
                <w:sz w:val="18"/>
                <w:szCs w:val="18"/>
              </w:rPr>
              <w:t>2011</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6</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30</w:t>
            </w:r>
            <w:r>
              <w:rPr>
                <w:rFonts w:ascii="Arial" w:hAnsi="Arial" w:cs="Arial" w:eastAsia="Arial" w:hint="default"/>
                <w:spacing w:val="-8"/>
                <w:sz w:val="18"/>
                <w:szCs w:val="18"/>
              </w:rPr>
              <w:t> </w:t>
            </w:r>
            <w:r>
              <w:rPr>
                <w:rFonts w:ascii="宋体" w:hAnsi="宋体" w:cs="宋体" w:eastAsia="宋体" w:hint="default"/>
                <w:sz w:val="18"/>
                <w:szCs w:val="18"/>
              </w:rPr>
              <w:t>日，公司</w:t>
            </w:r>
            <w:r>
              <w:rPr>
                <w:rFonts w:ascii="宋体" w:hAnsi="宋体" w:cs="宋体" w:eastAsia="宋体" w:hint="default"/>
                <w:spacing w:val="-48"/>
                <w:sz w:val="18"/>
                <w:szCs w:val="18"/>
              </w:rPr>
              <w:t> </w:t>
            </w: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年度股东大会审议通过了《关于利用超募资金补充募投项</w:t>
            </w:r>
          </w:p>
          <w:p>
            <w:pPr>
              <w:pStyle w:val="TableParagraph"/>
              <w:spacing w:line="240" w:lineRule="auto" w:before="11"/>
              <w:ind w:left="27" w:right="0"/>
              <w:jc w:val="left"/>
              <w:rPr>
                <w:rFonts w:ascii="宋体" w:hAnsi="宋体" w:cs="宋体" w:eastAsia="宋体" w:hint="default"/>
                <w:sz w:val="18"/>
                <w:szCs w:val="18"/>
              </w:rPr>
            </w:pPr>
            <w:r>
              <w:rPr>
                <w:rFonts w:ascii="宋体" w:hAnsi="宋体" w:cs="宋体" w:eastAsia="宋体" w:hint="default"/>
                <w:sz w:val="18"/>
                <w:szCs w:val="18"/>
              </w:rPr>
              <w:t>目资金缺口的议案</w:t>
            </w:r>
            <w:r>
              <w:rPr>
                <w:rFonts w:ascii="宋体" w:hAnsi="宋体" w:cs="宋体" w:eastAsia="宋体" w:hint="default"/>
                <w:spacing w:val="-90"/>
                <w:sz w:val="18"/>
                <w:szCs w:val="18"/>
              </w:rPr>
              <w:t>》</w:t>
            </w:r>
            <w:r>
              <w:rPr>
                <w:rFonts w:ascii="宋体" w:hAnsi="宋体" w:cs="宋体" w:eastAsia="宋体" w:hint="default"/>
                <w:sz w:val="18"/>
                <w:szCs w:val="18"/>
              </w:rPr>
              <w:t>，同意利用超募资金</w:t>
            </w:r>
            <w:r>
              <w:rPr>
                <w:rFonts w:ascii="宋体" w:hAnsi="宋体" w:cs="宋体" w:eastAsia="宋体" w:hint="default"/>
                <w:spacing w:val="-46"/>
                <w:sz w:val="18"/>
                <w:szCs w:val="18"/>
              </w:rPr>
              <w:t> </w:t>
            </w:r>
            <w:r>
              <w:rPr>
                <w:rFonts w:ascii="Arial" w:hAnsi="Arial" w:cs="Arial" w:eastAsia="Arial" w:hint="default"/>
                <w:w w:val="99"/>
                <w:sz w:val="18"/>
                <w:szCs w:val="18"/>
              </w:rPr>
              <w:t>59</w:t>
            </w:r>
            <w:r>
              <w:rPr>
                <w:rFonts w:ascii="Arial" w:hAnsi="Arial" w:cs="Arial" w:eastAsia="Arial" w:hint="default"/>
                <w:w w:val="99"/>
                <w:sz w:val="18"/>
                <w:szCs w:val="18"/>
              </w:rPr>
              <w:t>0,333,597.39</w:t>
            </w:r>
            <w:r>
              <w:rPr>
                <w:rFonts w:ascii="Arial" w:hAnsi="Arial" w:cs="Arial" w:eastAsia="Arial" w:hint="default"/>
                <w:spacing w:val="-6"/>
                <w:sz w:val="18"/>
                <w:szCs w:val="18"/>
              </w:rPr>
              <w:t> </w:t>
            </w:r>
            <w:r>
              <w:rPr>
                <w:rFonts w:ascii="宋体" w:hAnsi="宋体" w:cs="宋体" w:eastAsia="宋体" w:hint="default"/>
                <w:sz w:val="18"/>
                <w:szCs w:val="18"/>
              </w:rPr>
              <w:t>元补充募投项目—补充营运资金项目之增值分销渠道</w:t>
            </w:r>
          </w:p>
          <w:p>
            <w:pPr>
              <w:pStyle w:val="TableParagraph"/>
              <w:spacing w:line="240" w:lineRule="auto" w:before="63"/>
              <w:ind w:left="27" w:right="0"/>
              <w:jc w:val="left"/>
              <w:rPr>
                <w:rFonts w:ascii="宋体" w:hAnsi="宋体" w:cs="宋体" w:eastAsia="宋体" w:hint="default"/>
                <w:sz w:val="18"/>
                <w:szCs w:val="18"/>
              </w:rPr>
            </w:pPr>
            <w:r>
              <w:rPr>
                <w:rFonts w:ascii="宋体" w:hAnsi="宋体" w:cs="宋体" w:eastAsia="宋体" w:hint="default"/>
                <w:sz w:val="18"/>
                <w:szCs w:val="18"/>
              </w:rPr>
              <w:t>扩建项目的资金缺口，</w:t>
            </w:r>
            <w:r>
              <w:rPr>
                <w:rFonts w:ascii="Arial" w:hAnsi="Arial" w:cs="Arial" w:eastAsia="Arial" w:hint="default"/>
                <w:sz w:val="18"/>
                <w:szCs w:val="18"/>
              </w:rPr>
              <w:t>2011</w:t>
            </w:r>
            <w:r>
              <w:rPr>
                <w:rFonts w:ascii="Arial" w:hAnsi="Arial" w:cs="Arial" w:eastAsia="Arial" w:hint="default"/>
                <w:spacing w:val="-7"/>
                <w:sz w:val="18"/>
                <w:szCs w:val="18"/>
              </w:rPr>
              <w:t> </w:t>
            </w:r>
            <w:r>
              <w:rPr>
                <w:rFonts w:ascii="宋体" w:hAnsi="宋体" w:cs="宋体" w:eastAsia="宋体" w:hint="default"/>
                <w:sz w:val="18"/>
                <w:szCs w:val="18"/>
              </w:rPr>
              <w:t>年度已使用</w:t>
            </w:r>
            <w:r>
              <w:rPr>
                <w:rFonts w:ascii="宋体" w:hAnsi="宋体" w:cs="宋体" w:eastAsia="宋体" w:hint="default"/>
                <w:spacing w:val="-48"/>
                <w:sz w:val="18"/>
                <w:szCs w:val="18"/>
              </w:rPr>
              <w:t> </w:t>
            </w:r>
            <w:r>
              <w:rPr>
                <w:rFonts w:ascii="Arial" w:hAnsi="Arial" w:cs="Arial" w:eastAsia="Arial" w:hint="default"/>
                <w:sz w:val="18"/>
                <w:szCs w:val="18"/>
              </w:rPr>
              <w:t>588,864,024.80</w:t>
            </w:r>
            <w:r>
              <w:rPr>
                <w:rFonts w:ascii="Arial" w:hAnsi="Arial" w:cs="Arial" w:eastAsia="Arial" w:hint="default"/>
                <w:spacing w:val="-8"/>
                <w:sz w:val="18"/>
                <w:szCs w:val="18"/>
              </w:rPr>
              <w:t> </w:t>
            </w:r>
            <w:r>
              <w:rPr>
                <w:rFonts w:ascii="宋体" w:hAnsi="宋体" w:cs="宋体" w:eastAsia="宋体" w:hint="default"/>
                <w:sz w:val="18"/>
                <w:szCs w:val="18"/>
              </w:rPr>
              <w:t>元。截至</w:t>
            </w:r>
            <w:r>
              <w:rPr>
                <w:rFonts w:ascii="宋体" w:hAnsi="宋体" w:cs="宋体" w:eastAsia="宋体" w:hint="default"/>
                <w:spacing w:val="-48"/>
                <w:sz w:val="18"/>
                <w:szCs w:val="18"/>
              </w:rPr>
              <w:t> </w:t>
            </w:r>
            <w:r>
              <w:rPr>
                <w:rFonts w:ascii="Arial" w:hAnsi="Arial" w:cs="Arial" w:eastAsia="Arial" w:hint="default"/>
                <w:sz w:val="18"/>
                <w:szCs w:val="18"/>
              </w:rPr>
              <w:t>2015</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日，已使用超募资金累计</w:t>
            </w:r>
          </w:p>
          <w:p>
            <w:pPr>
              <w:pStyle w:val="TableParagraph"/>
              <w:spacing w:line="240" w:lineRule="auto" w:before="65"/>
              <w:ind w:left="27" w:right="0"/>
              <w:jc w:val="left"/>
              <w:rPr>
                <w:rFonts w:ascii="宋体" w:hAnsi="宋体" w:cs="宋体" w:eastAsia="宋体" w:hint="default"/>
                <w:sz w:val="18"/>
                <w:szCs w:val="18"/>
              </w:rPr>
            </w:pPr>
            <w:r>
              <w:rPr>
                <w:rFonts w:ascii="Arial" w:hAnsi="Arial" w:cs="Arial" w:eastAsia="Arial" w:hint="default"/>
                <w:sz w:val="18"/>
                <w:szCs w:val="18"/>
              </w:rPr>
              <w:t>1,287,223,984.80</w:t>
            </w:r>
            <w:r>
              <w:rPr>
                <w:rFonts w:ascii="Arial" w:hAnsi="Arial" w:cs="Arial" w:eastAsia="Arial" w:hint="default"/>
                <w:spacing w:val="-10"/>
                <w:sz w:val="18"/>
                <w:szCs w:val="18"/>
              </w:rPr>
              <w:t> </w:t>
            </w:r>
            <w:r>
              <w:rPr>
                <w:rFonts w:ascii="宋体" w:hAnsi="宋体" w:cs="宋体" w:eastAsia="宋体" w:hint="default"/>
                <w:sz w:val="18"/>
                <w:szCs w:val="18"/>
              </w:rPr>
              <w:t>元，超募资金余额为</w:t>
            </w:r>
            <w:r>
              <w:rPr>
                <w:rFonts w:ascii="宋体" w:hAnsi="宋体" w:cs="宋体" w:eastAsia="宋体" w:hint="default"/>
                <w:spacing w:val="-50"/>
                <w:sz w:val="18"/>
                <w:szCs w:val="18"/>
              </w:rPr>
              <w:t> </w:t>
            </w:r>
            <w:r>
              <w:rPr>
                <w:rFonts w:ascii="Arial" w:hAnsi="Arial" w:cs="Arial" w:eastAsia="Arial" w:hint="default"/>
                <w:sz w:val="18"/>
                <w:szCs w:val="18"/>
              </w:rPr>
              <w:t>1,469,572.59</w:t>
            </w:r>
            <w:r>
              <w:rPr>
                <w:rFonts w:ascii="Arial" w:hAnsi="Arial" w:cs="Arial" w:eastAsia="Arial" w:hint="default"/>
                <w:spacing w:val="-10"/>
                <w:sz w:val="18"/>
                <w:szCs w:val="18"/>
              </w:rPr>
              <w:t> </w:t>
            </w:r>
            <w:r>
              <w:rPr>
                <w:rFonts w:ascii="宋体" w:hAnsi="宋体" w:cs="宋体" w:eastAsia="宋体" w:hint="default"/>
                <w:sz w:val="18"/>
                <w:szCs w:val="18"/>
              </w:rPr>
              <w:t>元。</w:t>
            </w:r>
          </w:p>
        </w:tc>
      </w:tr>
      <w:tr>
        <w:trPr>
          <w:trHeight w:val="402" w:hRule="exact"/>
        </w:trPr>
        <w:tc>
          <w:tcPr>
            <w:tcW w:w="1770"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5"/>
              <w:ind w:right="0"/>
              <w:jc w:val="left"/>
              <w:rPr>
                <w:rFonts w:ascii="宋体" w:hAnsi="宋体" w:cs="宋体" w:eastAsia="宋体" w:hint="default"/>
                <w:sz w:val="22"/>
                <w:szCs w:val="22"/>
              </w:rPr>
            </w:pPr>
          </w:p>
          <w:p>
            <w:pPr>
              <w:pStyle w:val="TableParagraph"/>
              <w:spacing w:line="316" w:lineRule="auto"/>
              <w:ind w:left="27" w:right="120"/>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8721" w:type="dxa"/>
            <w:tcBorders>
              <w:top w:val="single" w:sz="4" w:space="0" w:color="5B9BD4"/>
              <w:left w:val="nil" w:sz="6" w:space="0" w:color="auto"/>
              <w:bottom w:val="single" w:sz="4" w:space="0" w:color="5B9BD4"/>
              <w:right w:val="nil" w:sz="6" w:space="0" w:color="auto"/>
            </w:tcBorders>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nil" w:sz="6" w:space="0" w:color="auto"/>
              <w:right w:val="nil" w:sz="6" w:space="0" w:color="auto"/>
            </w:tcBorders>
            <w:shd w:val="clear" w:color="auto" w:fill="DEEAF6"/>
          </w:tcPr>
          <w:p>
            <w:pPr/>
          </w:p>
        </w:tc>
        <w:tc>
          <w:tcPr>
            <w:tcW w:w="8721" w:type="dxa"/>
            <w:tcBorders>
              <w:top w:val="single" w:sz="4" w:space="0" w:color="5B9BD4"/>
              <w:left w:val="nil" w:sz="6" w:space="0" w:color="auto"/>
              <w:bottom w:val="single" w:sz="4" w:space="0" w:color="5B9BD4"/>
              <w:right w:val="nil" w:sz="6" w:space="0" w:color="auto"/>
            </w:tcBorders>
          </w:tcPr>
          <w:p>
            <w:pPr/>
          </w:p>
        </w:tc>
      </w:tr>
      <w:tr>
        <w:trPr>
          <w:trHeight w:val="402" w:hRule="exact"/>
        </w:trPr>
        <w:tc>
          <w:tcPr>
            <w:tcW w:w="1770" w:type="dxa"/>
            <w:vMerge/>
            <w:tcBorders>
              <w:left w:val="nil" w:sz="6" w:space="0" w:color="auto"/>
              <w:bottom w:val="single" w:sz="4" w:space="0" w:color="5B9BD4"/>
              <w:right w:val="nil" w:sz="6" w:space="0" w:color="auto"/>
            </w:tcBorders>
            <w:shd w:val="clear" w:color="auto" w:fill="DEEAF6"/>
          </w:tcPr>
          <w:p>
            <w:pPr/>
          </w:p>
        </w:tc>
        <w:tc>
          <w:tcPr>
            <w:tcW w:w="8721" w:type="dxa"/>
            <w:tcBorders>
              <w:top w:val="single" w:sz="4" w:space="0" w:color="5B9BD4"/>
              <w:left w:val="nil" w:sz="6" w:space="0" w:color="auto"/>
              <w:bottom w:val="single" w:sz="4" w:space="0" w:color="5B9BD4"/>
              <w:right w:val="nil" w:sz="6" w:space="0" w:color="auto"/>
            </w:tcBorders>
          </w:tcPr>
          <w:p>
            <w:pPr/>
          </w:p>
        </w:tc>
      </w:tr>
      <w:tr>
        <w:trPr>
          <w:trHeight w:val="402" w:hRule="exact"/>
        </w:trPr>
        <w:tc>
          <w:tcPr>
            <w:tcW w:w="1770"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5"/>
              <w:ind w:right="0"/>
              <w:jc w:val="left"/>
              <w:rPr>
                <w:rFonts w:ascii="宋体" w:hAnsi="宋体" w:cs="宋体" w:eastAsia="宋体" w:hint="default"/>
                <w:sz w:val="22"/>
                <w:szCs w:val="22"/>
              </w:rPr>
            </w:pPr>
          </w:p>
          <w:p>
            <w:pPr>
              <w:pStyle w:val="TableParagraph"/>
              <w:spacing w:line="316" w:lineRule="auto"/>
              <w:ind w:left="27" w:right="120"/>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8721" w:type="dxa"/>
            <w:tcBorders>
              <w:top w:val="single" w:sz="4" w:space="0" w:color="5B9BD4"/>
              <w:left w:val="nil" w:sz="6" w:space="0" w:color="auto"/>
              <w:bottom w:val="single" w:sz="4" w:space="0" w:color="5B9BD4"/>
              <w:right w:val="nil" w:sz="6" w:space="0" w:color="auto"/>
            </w:tcBorders>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nil" w:sz="6" w:space="0" w:color="auto"/>
              <w:right w:val="nil" w:sz="6" w:space="0" w:color="auto"/>
            </w:tcBorders>
            <w:shd w:val="clear" w:color="auto" w:fill="DEEAF6"/>
          </w:tcPr>
          <w:p>
            <w:pPr/>
          </w:p>
        </w:tc>
        <w:tc>
          <w:tcPr>
            <w:tcW w:w="8721" w:type="dxa"/>
            <w:tcBorders>
              <w:top w:val="single" w:sz="4" w:space="0" w:color="5B9BD4"/>
              <w:left w:val="nil" w:sz="6" w:space="0" w:color="auto"/>
              <w:bottom w:val="single" w:sz="4" w:space="0" w:color="5B9BD4"/>
              <w:right w:val="nil" w:sz="6" w:space="0" w:color="auto"/>
            </w:tcBorders>
          </w:tcPr>
          <w:p>
            <w:pPr/>
          </w:p>
        </w:tc>
      </w:tr>
      <w:tr>
        <w:trPr>
          <w:trHeight w:val="402" w:hRule="exact"/>
        </w:trPr>
        <w:tc>
          <w:tcPr>
            <w:tcW w:w="1770" w:type="dxa"/>
            <w:vMerge/>
            <w:tcBorders>
              <w:left w:val="nil" w:sz="6" w:space="0" w:color="auto"/>
              <w:bottom w:val="single" w:sz="4" w:space="0" w:color="5B9BD4"/>
              <w:right w:val="nil" w:sz="6" w:space="0" w:color="auto"/>
            </w:tcBorders>
            <w:shd w:val="clear" w:color="auto" w:fill="DEEAF6"/>
          </w:tcPr>
          <w:p>
            <w:pPr/>
          </w:p>
        </w:tc>
        <w:tc>
          <w:tcPr>
            <w:tcW w:w="8721" w:type="dxa"/>
            <w:tcBorders>
              <w:top w:val="single" w:sz="4" w:space="0" w:color="5B9BD4"/>
              <w:left w:val="nil" w:sz="6" w:space="0" w:color="auto"/>
              <w:bottom w:val="single" w:sz="4" w:space="0" w:color="5B9BD4"/>
              <w:right w:val="nil" w:sz="6" w:space="0" w:color="auto"/>
            </w:tcBorders>
          </w:tcPr>
          <w:p>
            <w:pPr/>
          </w:p>
        </w:tc>
      </w:tr>
      <w:tr>
        <w:trPr>
          <w:trHeight w:val="402" w:hRule="exact"/>
        </w:trPr>
        <w:tc>
          <w:tcPr>
            <w:tcW w:w="1770"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12"/>
              <w:ind w:right="0"/>
              <w:jc w:val="left"/>
              <w:rPr>
                <w:rFonts w:ascii="宋体" w:hAnsi="宋体" w:cs="宋体" w:eastAsia="宋体" w:hint="default"/>
                <w:sz w:val="18"/>
                <w:szCs w:val="18"/>
              </w:rPr>
            </w:pPr>
          </w:p>
          <w:p>
            <w:pPr>
              <w:pStyle w:val="TableParagraph"/>
              <w:spacing w:line="319" w:lineRule="auto"/>
              <w:ind w:left="27" w:right="120"/>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872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27"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4" w:hRule="exact"/>
        </w:trPr>
        <w:tc>
          <w:tcPr>
            <w:tcW w:w="1770" w:type="dxa"/>
            <w:vMerge/>
            <w:tcBorders>
              <w:left w:val="nil" w:sz="6" w:space="0" w:color="auto"/>
              <w:bottom w:val="single" w:sz="4" w:space="0" w:color="FFFFFF"/>
              <w:right w:val="nil" w:sz="6" w:space="0" w:color="auto"/>
            </w:tcBorders>
            <w:shd w:val="clear" w:color="auto" w:fill="DEEAF6"/>
          </w:tcPr>
          <w:p>
            <w:pPr/>
          </w:p>
        </w:tc>
        <w:tc>
          <w:tcPr>
            <w:tcW w:w="8721" w:type="dxa"/>
            <w:tcBorders>
              <w:top w:val="single" w:sz="4" w:space="0" w:color="5B9BD4"/>
              <w:left w:val="nil" w:sz="6" w:space="0" w:color="auto"/>
              <w:bottom w:val="single" w:sz="4" w:space="0" w:color="FFFFFF"/>
              <w:right w:val="nil" w:sz="6" w:space="0" w:color="auto"/>
            </w:tcBorders>
          </w:tcPr>
          <w:p>
            <w:pPr>
              <w:pStyle w:val="TableParagraph"/>
              <w:spacing w:line="302" w:lineRule="auto" w:before="46"/>
              <w:ind w:left="27" w:right="28"/>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1"/>
                <w:sz w:val="18"/>
                <w:szCs w:val="18"/>
              </w:rPr>
              <w:t> </w:t>
            </w:r>
            <w:r>
              <w:rPr>
                <w:rFonts w:ascii="Arial" w:hAnsi="Arial" w:cs="Arial" w:eastAsia="Arial" w:hint="default"/>
                <w:w w:val="99"/>
                <w:sz w:val="18"/>
                <w:szCs w:val="18"/>
              </w:rPr>
              <w:t>2015</w:t>
            </w:r>
            <w:r>
              <w:rPr>
                <w:rFonts w:ascii="Arial" w:hAnsi="Arial" w:cs="Arial" w:eastAsia="Arial" w:hint="default"/>
                <w:spacing w:val="-6"/>
                <w:w w:val="9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w w:val="99"/>
                <w:sz w:val="18"/>
                <w:szCs w:val="18"/>
              </w:rPr>
              <w:t>12</w:t>
            </w:r>
            <w:r>
              <w:rPr>
                <w:rFonts w:ascii="Arial" w:hAnsi="Arial" w:cs="Arial" w:eastAsia="Arial" w:hint="default"/>
                <w:spacing w:val="-6"/>
                <w:w w:val="9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w w:val="99"/>
                <w:sz w:val="18"/>
                <w:szCs w:val="18"/>
              </w:rPr>
              <w:t>31</w:t>
            </w:r>
            <w:r>
              <w:rPr>
                <w:rFonts w:ascii="Arial" w:hAnsi="Arial" w:cs="Arial" w:eastAsia="Arial" w:hint="default"/>
                <w:spacing w:val="-6"/>
                <w:w w:val="99"/>
                <w:sz w:val="18"/>
                <w:szCs w:val="18"/>
              </w:rPr>
              <w:t> </w:t>
            </w:r>
            <w:r>
              <w:rPr>
                <w:rFonts w:ascii="宋体" w:hAnsi="宋体" w:cs="宋体" w:eastAsia="宋体" w:hint="default"/>
                <w:spacing w:val="-8"/>
                <w:sz w:val="18"/>
                <w:szCs w:val="18"/>
              </w:rPr>
              <w:t>日止，公司使用募集资金</w:t>
            </w:r>
            <w:r>
              <w:rPr>
                <w:rFonts w:ascii="宋体" w:hAnsi="宋体" w:cs="宋体" w:eastAsia="宋体" w:hint="default"/>
                <w:spacing w:val="-46"/>
                <w:sz w:val="18"/>
                <w:szCs w:val="18"/>
              </w:rPr>
              <w:t> </w:t>
            </w:r>
            <w:r>
              <w:rPr>
                <w:rFonts w:ascii="Arial" w:hAnsi="Arial" w:cs="Arial" w:eastAsia="Arial" w:hint="default"/>
                <w:w w:val="99"/>
                <w:sz w:val="18"/>
                <w:szCs w:val="18"/>
              </w:rPr>
              <w:t>477,862,150.27</w:t>
            </w:r>
            <w:r>
              <w:rPr>
                <w:rFonts w:ascii="Arial" w:hAnsi="Arial" w:cs="Arial" w:eastAsia="Arial" w:hint="default"/>
                <w:spacing w:val="-6"/>
                <w:w w:val="99"/>
                <w:sz w:val="18"/>
                <w:szCs w:val="18"/>
              </w:rPr>
              <w:t> </w:t>
            </w:r>
            <w:r>
              <w:rPr>
                <w:rFonts w:ascii="宋体" w:hAnsi="宋体" w:cs="宋体" w:eastAsia="宋体" w:hint="default"/>
                <w:sz w:val="18"/>
                <w:szCs w:val="18"/>
              </w:rPr>
              <w:t>元置换已预先投入的募集资金投资项目的同等 金额的自筹资金。</w:t>
            </w:r>
          </w:p>
        </w:tc>
      </w:tr>
      <w:tr>
        <w:trPr>
          <w:trHeight w:val="402" w:hRule="exact"/>
        </w:trPr>
        <w:tc>
          <w:tcPr>
            <w:tcW w:w="1770" w:type="dxa"/>
            <w:vMerge w:val="restart"/>
            <w:tcBorders>
              <w:top w:val="single" w:sz="4" w:space="0" w:color="FFFFFF"/>
              <w:left w:val="nil" w:sz="6" w:space="0" w:color="auto"/>
              <w:right w:val="nil" w:sz="6" w:space="0" w:color="auto"/>
            </w:tcBorders>
            <w:shd w:val="clear" w:color="auto" w:fill="DEEAF6"/>
          </w:tcPr>
          <w:p>
            <w:pPr>
              <w:pStyle w:val="TableParagraph"/>
              <w:spacing w:line="319" w:lineRule="auto" w:before="91"/>
              <w:ind w:left="27" w:right="120"/>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8721" w:type="dxa"/>
            <w:tcBorders>
              <w:top w:val="single" w:sz="4" w:space="0" w:color="FFFFFF"/>
              <w:left w:val="nil" w:sz="6" w:space="0" w:color="auto"/>
              <w:bottom w:val="single" w:sz="4" w:space="0" w:color="5B9BD4"/>
              <w:right w:val="nil" w:sz="6" w:space="0" w:color="auto"/>
            </w:tcBorders>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nil" w:sz="6" w:space="0" w:color="auto"/>
              <w:bottom w:val="single" w:sz="4" w:space="0" w:color="FFFFFF"/>
              <w:right w:val="nil" w:sz="6" w:space="0" w:color="auto"/>
            </w:tcBorders>
            <w:shd w:val="clear" w:color="auto" w:fill="DEEAF6"/>
          </w:tcPr>
          <w:p>
            <w:pPr/>
          </w:p>
        </w:tc>
        <w:tc>
          <w:tcPr>
            <w:tcW w:w="8721" w:type="dxa"/>
            <w:tcBorders>
              <w:top w:val="single" w:sz="4" w:space="0" w:color="5B9BD4"/>
              <w:left w:val="nil" w:sz="6" w:space="0" w:color="auto"/>
              <w:bottom w:val="single" w:sz="4" w:space="0" w:color="FFFFFF"/>
              <w:right w:val="nil" w:sz="6" w:space="0" w:color="auto"/>
            </w:tcBorders>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0" w:type="dxa"/>
            <w:vMerge w:val="restart"/>
            <w:tcBorders>
              <w:top w:val="single" w:sz="4" w:space="0" w:color="FFFFFF"/>
              <w:left w:val="nil" w:sz="6" w:space="0" w:color="auto"/>
              <w:right w:val="nil" w:sz="6" w:space="0" w:color="auto"/>
            </w:tcBorders>
            <w:shd w:val="clear" w:color="auto" w:fill="DEEAF6"/>
          </w:tcPr>
          <w:p>
            <w:pPr>
              <w:pStyle w:val="TableParagraph"/>
              <w:spacing w:line="319" w:lineRule="auto" w:before="91"/>
              <w:ind w:left="27" w:right="120"/>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8721" w:type="dxa"/>
            <w:tcBorders>
              <w:top w:val="single" w:sz="4" w:space="0" w:color="FFFFFF"/>
              <w:left w:val="nil" w:sz="6" w:space="0" w:color="auto"/>
              <w:bottom w:val="single" w:sz="4" w:space="0" w:color="5B9BD4"/>
              <w:right w:val="nil" w:sz="6" w:space="0" w:color="auto"/>
            </w:tcBorders>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nil" w:sz="6" w:space="0" w:color="auto"/>
              <w:bottom w:val="single" w:sz="4" w:space="0" w:color="5B9BD4"/>
              <w:right w:val="nil" w:sz="6" w:space="0" w:color="auto"/>
            </w:tcBorders>
            <w:shd w:val="clear" w:color="auto" w:fill="DEEAF6"/>
          </w:tcPr>
          <w:p>
            <w:pPr/>
          </w:p>
        </w:tc>
        <w:tc>
          <w:tcPr>
            <w:tcW w:w="8721" w:type="dxa"/>
            <w:tcBorders>
              <w:top w:val="single" w:sz="4" w:space="0" w:color="5B9BD4"/>
              <w:left w:val="nil" w:sz="6" w:space="0" w:color="auto"/>
              <w:bottom w:val="single" w:sz="4" w:space="0" w:color="5B9BD4"/>
              <w:right w:val="nil" w:sz="6" w:space="0" w:color="auto"/>
            </w:tcBorders>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77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46"/>
              <w:ind w:left="27" w:right="120"/>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8721" w:type="dxa"/>
            <w:tcBorders>
              <w:top w:val="single" w:sz="4" w:space="0" w:color="5B9BD4"/>
              <w:left w:val="nil" w:sz="6" w:space="0" w:color="auto"/>
              <w:bottom w:val="single" w:sz="4" w:space="0" w:color="5B9BD4"/>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尚未使用的募集资金存放于银行募集资金监管专户</w:t>
            </w:r>
          </w:p>
        </w:tc>
      </w:tr>
      <w:tr>
        <w:trPr>
          <w:trHeight w:val="1026" w:hRule="exact"/>
        </w:trPr>
        <w:tc>
          <w:tcPr>
            <w:tcW w:w="177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46"/>
              <w:ind w:left="27" w:right="120"/>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8721"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20"/>
          <w:szCs w:val="20"/>
        </w:rPr>
      </w:pPr>
    </w:p>
    <w:p>
      <w:pPr>
        <w:pStyle w:val="Heading5"/>
        <w:spacing w:line="317" w:lineRule="exact" w:before="0"/>
        <w:ind w:left="534" w:right="912"/>
        <w:jc w:val="left"/>
        <w:rPr>
          <w:rFonts w:ascii="Microsoft JhengHei" w:hAnsi="Microsoft JhengHei" w:cs="Microsoft JhengHei" w:eastAsia="Microsoft JhengHei" w:hint="default"/>
          <w:b w:val="0"/>
          <w:bCs w:val="0"/>
        </w:rPr>
      </w:pPr>
      <w:bookmarkStart w:name="（3）募集资金变更项目情况" w:id="83"/>
      <w:bookmarkEnd w:id="83"/>
      <w:r>
        <w:rPr>
          <w:b w:val="0"/>
          <w:bCs w:val="0"/>
        </w:rPr>
      </w:r>
      <w:r>
        <w:rPr>
          <w:rFonts w:ascii="Microsoft JhengHei" w:hAnsi="Microsoft JhengHei" w:cs="Microsoft JhengHei" w:eastAsia="Microsoft JhengHei" w:hint="default"/>
        </w:rPr>
        <w:t>（</w:t>
      </w:r>
      <w:r>
        <w:rPr>
          <w:rFonts w:ascii="Trebuchet MS" w:hAnsi="Trebuchet MS" w:cs="Trebuchet MS" w:eastAsia="Trebuchet MS" w:hint="default"/>
        </w:rPr>
        <w:t>3</w:t>
      </w:r>
      <w:r>
        <w:rPr>
          <w:rFonts w:ascii="Microsoft JhengHei" w:hAnsi="Microsoft JhengHei" w:cs="Microsoft JhengHei" w:eastAsia="Microsoft JhengHei" w:hint="default"/>
        </w:rPr>
        <w:t>）募集资金变更项目情况</w:t>
      </w:r>
      <w:r>
        <w:rPr>
          <w:rFonts w:ascii="Microsoft JhengHei" w:hAnsi="Microsoft JhengHei" w:cs="Microsoft JhengHei" w:eastAsia="Microsoft JhengHei" w:hint="default"/>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18"/>
          <w:szCs w:val="18"/>
        </w:rPr>
      </w:pPr>
    </w:p>
    <w:p>
      <w:pPr>
        <w:pStyle w:val="BodyText"/>
        <w:spacing w:line="240" w:lineRule="auto"/>
        <w:ind w:left="533" w:right="912"/>
        <w:jc w:val="left"/>
      </w:pPr>
      <w:r>
        <w:rPr/>
        <w:t>公司报告期不存在募集资金变更项目情况。</w:t>
      </w:r>
    </w:p>
    <w:p>
      <w:pPr>
        <w:spacing w:after="0" w:line="240" w:lineRule="auto"/>
        <w:jc w:val="left"/>
        <w:sectPr>
          <w:pgSz w:w="11910" w:h="16840"/>
          <w:pgMar w:header="877" w:footer="979" w:top="1100" w:bottom="1160" w:left="600" w:right="0"/>
        </w:sectPr>
      </w:pPr>
    </w:p>
    <w:p>
      <w:pPr>
        <w:spacing w:line="240" w:lineRule="auto" w:before="0"/>
        <w:rPr>
          <w:rFonts w:ascii="宋体" w:hAnsi="宋体" w:cs="宋体" w:eastAsia="宋体" w:hint="default"/>
          <w:sz w:val="20"/>
          <w:szCs w:val="20"/>
        </w:rPr>
      </w:pPr>
    </w:p>
    <w:p>
      <w:pPr>
        <w:pStyle w:val="Heading1"/>
        <w:spacing w:line="240" w:lineRule="auto" w:before="24"/>
        <w:ind w:left="533" w:right="912"/>
        <w:jc w:val="left"/>
        <w:rPr>
          <w:b w:val="0"/>
          <w:bCs w:val="0"/>
        </w:rPr>
      </w:pPr>
      <w:bookmarkStart w:name="4.6 重大资产和股权出售" w:id="84"/>
      <w:bookmarkEnd w:id="84"/>
      <w:r>
        <w:rPr>
          <w:b w:val="0"/>
          <w:bCs w:val="0"/>
        </w:rPr>
      </w:r>
      <w:bookmarkStart w:name="_bookmark24" w:id="85"/>
      <w:bookmarkEnd w:id="85"/>
      <w:r>
        <w:rPr>
          <w:b w:val="0"/>
          <w:bCs w:val="0"/>
        </w:rPr>
      </w:r>
      <w:r>
        <w:rPr>
          <w:rFonts w:ascii="Trebuchet MS" w:hAnsi="Trebuchet MS" w:cs="Trebuchet MS" w:eastAsia="Trebuchet MS" w:hint="default"/>
        </w:rPr>
        <w:t>4.6</w:t>
      </w:r>
      <w:r>
        <w:rPr>
          <w:rFonts w:ascii="Trebuchet MS" w:hAnsi="Trebuchet MS" w:cs="Trebuchet MS" w:eastAsia="Trebuchet MS" w:hint="default"/>
          <w:spacing w:val="14"/>
        </w:rPr>
        <w:t> </w:t>
      </w:r>
      <w:r>
        <w:rPr/>
        <w:t>重大资产和股权出售</w:t>
      </w:r>
      <w:r>
        <w:rPr>
          <w:b w:val="0"/>
          <w:bCs w:val="0"/>
        </w:rPr>
      </w:r>
    </w:p>
    <w:p>
      <w:pPr>
        <w:spacing w:line="240" w:lineRule="auto" w:before="1"/>
        <w:rPr>
          <w:rFonts w:ascii="Microsoft JhengHei" w:hAnsi="Microsoft JhengHei" w:cs="Microsoft JhengHei" w:eastAsia="Microsoft JhengHei" w:hint="default"/>
          <w:b/>
          <w:bCs/>
          <w:sz w:val="27"/>
          <w:szCs w:val="27"/>
        </w:rPr>
      </w:pPr>
    </w:p>
    <w:p>
      <w:pPr>
        <w:pStyle w:val="Heading2"/>
        <w:spacing w:line="240" w:lineRule="auto"/>
        <w:ind w:left="533" w:right="912"/>
        <w:jc w:val="left"/>
        <w:rPr>
          <w:b w:val="0"/>
          <w:bCs w:val="0"/>
        </w:rPr>
      </w:pPr>
      <w:bookmarkStart w:name="4.6.1 出售重大资产情况" w:id="86"/>
      <w:bookmarkEnd w:id="86"/>
      <w:r>
        <w:rPr>
          <w:b w:val="0"/>
          <w:bCs w:val="0"/>
        </w:rPr>
      </w:r>
      <w:r>
        <w:rPr>
          <w:rFonts w:ascii="Trebuchet MS" w:hAnsi="Trebuchet MS" w:cs="Trebuchet MS" w:eastAsia="Trebuchet MS" w:hint="default"/>
        </w:rPr>
        <w:t>4.6.1</w:t>
      </w:r>
      <w:r>
        <w:rPr>
          <w:rFonts w:ascii="Trebuchet MS" w:hAnsi="Trebuchet MS" w:cs="Trebuchet MS" w:eastAsia="Trebuchet MS" w:hint="default"/>
          <w:spacing w:val="-18"/>
        </w:rPr>
        <w:t> </w:t>
      </w:r>
      <w:r>
        <w:rPr/>
        <w:t>出售重大资产情况</w:t>
      </w:r>
      <w:r>
        <w:rPr>
          <w:b w:val="0"/>
          <w:bCs w:val="0"/>
        </w:rPr>
      </w:r>
    </w:p>
    <w:p>
      <w:pPr>
        <w:spacing w:line="240" w:lineRule="auto" w:before="1"/>
        <w:rPr>
          <w:rFonts w:ascii="Microsoft JhengHei" w:hAnsi="Microsoft JhengHei" w:cs="Microsoft JhengHei" w:eastAsia="Microsoft JhengHei" w:hint="default"/>
          <w:b/>
          <w:bCs/>
          <w:sz w:val="26"/>
          <w:szCs w:val="26"/>
        </w:rPr>
      </w:pPr>
    </w:p>
    <w:p>
      <w:pPr>
        <w:pStyle w:val="BodyText"/>
        <w:spacing w:line="240" w:lineRule="auto"/>
        <w:ind w:left="533" w:right="912"/>
        <w:jc w:val="left"/>
      </w:pPr>
      <w:r>
        <w:rPr/>
        <w:t>公司报告期未出售重大资产。</w:t>
      </w:r>
    </w:p>
    <w:p>
      <w:pPr>
        <w:spacing w:line="240" w:lineRule="auto" w:before="11"/>
        <w:rPr>
          <w:rFonts w:ascii="宋体" w:hAnsi="宋体" w:cs="宋体" w:eastAsia="宋体" w:hint="default"/>
          <w:sz w:val="29"/>
          <w:szCs w:val="29"/>
        </w:rPr>
      </w:pPr>
    </w:p>
    <w:p>
      <w:pPr>
        <w:pStyle w:val="Heading2"/>
        <w:spacing w:line="240" w:lineRule="auto"/>
        <w:ind w:left="533" w:right="912"/>
        <w:jc w:val="left"/>
        <w:rPr>
          <w:b w:val="0"/>
          <w:bCs w:val="0"/>
        </w:rPr>
      </w:pPr>
      <w:bookmarkStart w:name="4.6.2 出售重大股权情况" w:id="87"/>
      <w:bookmarkEnd w:id="87"/>
      <w:r>
        <w:rPr>
          <w:b w:val="0"/>
          <w:bCs w:val="0"/>
        </w:rPr>
      </w:r>
      <w:r>
        <w:rPr>
          <w:rFonts w:ascii="Trebuchet MS" w:hAnsi="Trebuchet MS" w:cs="Trebuchet MS" w:eastAsia="Trebuchet MS" w:hint="default"/>
        </w:rPr>
        <w:t>4.6.2</w:t>
      </w:r>
      <w:r>
        <w:rPr>
          <w:rFonts w:ascii="Trebuchet MS" w:hAnsi="Trebuchet MS" w:cs="Trebuchet MS" w:eastAsia="Trebuchet MS" w:hint="default"/>
          <w:spacing w:val="-18"/>
        </w:rPr>
        <w:t> </w:t>
      </w:r>
      <w:r>
        <w:rPr/>
        <w:t>出售重大股权情况</w:t>
      </w:r>
      <w:r>
        <w:rPr>
          <w:b w:val="0"/>
          <w:bCs w:val="0"/>
        </w:rPr>
      </w:r>
    </w:p>
    <w:p>
      <w:pPr>
        <w:spacing w:line="240" w:lineRule="auto" w:before="9"/>
        <w:rPr>
          <w:rFonts w:ascii="Microsoft JhengHei" w:hAnsi="Microsoft JhengHei" w:cs="Microsoft JhengHei" w:eastAsia="Microsoft JhengHei" w:hint="default"/>
          <w:b/>
          <w:bCs/>
          <w:sz w:val="27"/>
          <w:szCs w:val="27"/>
        </w:rPr>
      </w:pPr>
    </w:p>
    <w:p>
      <w:pPr>
        <w:spacing w:before="0"/>
        <w:ind w:left="533" w:right="91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744"/>
        <w:gridCol w:w="757"/>
        <w:gridCol w:w="749"/>
        <w:gridCol w:w="763"/>
        <w:gridCol w:w="721"/>
        <w:gridCol w:w="778"/>
        <w:gridCol w:w="721"/>
        <w:gridCol w:w="770"/>
        <w:gridCol w:w="742"/>
        <w:gridCol w:w="749"/>
        <w:gridCol w:w="763"/>
        <w:gridCol w:w="721"/>
        <w:gridCol w:w="756"/>
        <w:gridCol w:w="756"/>
      </w:tblGrid>
      <w:tr>
        <w:trPr>
          <w:trHeight w:val="125" w:hRule="exact"/>
        </w:trPr>
        <w:tc>
          <w:tcPr>
            <w:tcW w:w="1500" w:type="dxa"/>
            <w:gridSpan w:val="2"/>
            <w:vMerge w:val="restart"/>
            <w:tcBorders>
              <w:top w:val="single" w:sz="4" w:space="0" w:color="5B9BD4"/>
              <w:left w:val="nil" w:sz="6" w:space="0" w:color="auto"/>
              <w:right w:val="nil" w:sz="6" w:space="0" w:color="auto"/>
            </w:tcBorders>
            <w:shd w:val="clear" w:color="auto" w:fill="DEEAF6"/>
          </w:tcPr>
          <w:p>
            <w:pPr/>
          </w:p>
        </w:tc>
        <w:tc>
          <w:tcPr>
            <w:tcW w:w="749" w:type="dxa"/>
            <w:vMerge w:val="restart"/>
            <w:tcBorders>
              <w:top w:val="single" w:sz="4" w:space="0" w:color="5B9BD4"/>
              <w:left w:val="nil" w:sz="6" w:space="0" w:color="auto"/>
              <w:right w:val="nil" w:sz="6" w:space="0" w:color="auto"/>
            </w:tcBorders>
            <w:shd w:val="clear" w:color="auto" w:fill="DEEAF6"/>
          </w:tcPr>
          <w:p>
            <w:pPr/>
          </w:p>
        </w:tc>
        <w:tc>
          <w:tcPr>
            <w:tcW w:w="763" w:type="dxa"/>
            <w:vMerge w:val="restart"/>
            <w:tcBorders>
              <w:top w:val="single" w:sz="4" w:space="0" w:color="5B9BD4"/>
              <w:left w:val="nil" w:sz="6" w:space="0" w:color="auto"/>
              <w:right w:val="nil" w:sz="6" w:space="0" w:color="auto"/>
            </w:tcBorders>
            <w:shd w:val="clear" w:color="auto" w:fill="DEEAF6"/>
          </w:tcPr>
          <w:p>
            <w:pPr/>
          </w:p>
        </w:tc>
        <w:tc>
          <w:tcPr>
            <w:tcW w:w="721" w:type="dxa"/>
            <w:vMerge w:val="restart"/>
            <w:tcBorders>
              <w:top w:val="single" w:sz="4" w:space="0" w:color="5B9BD4"/>
              <w:left w:val="nil" w:sz="6" w:space="0" w:color="auto"/>
              <w:right w:val="nil" w:sz="6" w:space="0" w:color="auto"/>
            </w:tcBorders>
            <w:shd w:val="clear" w:color="auto" w:fill="DEEAF6"/>
          </w:tcPr>
          <w:p>
            <w:pPr/>
          </w:p>
        </w:tc>
        <w:tc>
          <w:tcPr>
            <w:tcW w:w="778" w:type="dxa"/>
            <w:vMerge w:val="restart"/>
            <w:tcBorders>
              <w:top w:val="single" w:sz="4" w:space="0" w:color="5B9BD4"/>
              <w:left w:val="nil" w:sz="6" w:space="0" w:color="auto"/>
              <w:right w:val="nil" w:sz="6" w:space="0" w:color="auto"/>
            </w:tcBorders>
            <w:shd w:val="clear" w:color="auto" w:fill="DEEAF6"/>
          </w:tcPr>
          <w:p>
            <w:pPr/>
          </w:p>
        </w:tc>
        <w:tc>
          <w:tcPr>
            <w:tcW w:w="721" w:type="dxa"/>
            <w:vMerge w:val="restart"/>
            <w:tcBorders>
              <w:top w:val="single" w:sz="4" w:space="0" w:color="5B9BD4"/>
              <w:left w:val="nil" w:sz="6" w:space="0" w:color="auto"/>
              <w:right w:val="nil" w:sz="6" w:space="0" w:color="auto"/>
            </w:tcBorders>
            <w:shd w:val="clear" w:color="auto" w:fill="DEEAF6"/>
          </w:tcPr>
          <w:p>
            <w:pPr/>
          </w:p>
        </w:tc>
        <w:tc>
          <w:tcPr>
            <w:tcW w:w="1512" w:type="dxa"/>
            <w:gridSpan w:val="2"/>
            <w:vMerge w:val="restart"/>
            <w:tcBorders>
              <w:top w:val="single" w:sz="4" w:space="0" w:color="5B9BD4"/>
              <w:left w:val="nil" w:sz="6" w:space="0" w:color="auto"/>
              <w:right w:val="nil" w:sz="6" w:space="0" w:color="auto"/>
            </w:tcBorders>
            <w:shd w:val="clear" w:color="auto" w:fill="DEEAF6"/>
          </w:tcPr>
          <w:p>
            <w:pPr/>
          </w:p>
        </w:tc>
        <w:tc>
          <w:tcPr>
            <w:tcW w:w="749" w:type="dxa"/>
            <w:vMerge w:val="restart"/>
            <w:tcBorders>
              <w:top w:val="single" w:sz="4" w:space="0" w:color="5B9BD4"/>
              <w:left w:val="nil" w:sz="6" w:space="0" w:color="auto"/>
              <w:right w:val="nil" w:sz="6" w:space="0" w:color="auto"/>
            </w:tcBorders>
            <w:shd w:val="clear" w:color="auto" w:fill="DEEAF6"/>
          </w:tcPr>
          <w:p>
            <w:pPr/>
          </w:p>
        </w:tc>
        <w:tc>
          <w:tcPr>
            <w:tcW w:w="763" w:type="dxa"/>
            <w:vMerge w:val="restart"/>
            <w:tcBorders>
              <w:top w:val="single" w:sz="4" w:space="0" w:color="5B9BD4"/>
              <w:left w:val="nil" w:sz="6" w:space="0" w:color="auto"/>
              <w:right w:val="nil" w:sz="6" w:space="0" w:color="auto"/>
            </w:tcBorders>
            <w:shd w:val="clear" w:color="auto" w:fill="DEEAF6"/>
          </w:tcPr>
          <w:p>
            <w:pPr/>
          </w:p>
        </w:tc>
        <w:tc>
          <w:tcPr>
            <w:tcW w:w="721" w:type="dxa"/>
            <w:tcBorders>
              <w:top w:val="single" w:sz="4" w:space="0" w:color="5B9BD4"/>
              <w:left w:val="nil" w:sz="6" w:space="0" w:color="auto"/>
              <w:bottom w:val="nil" w:sz="6" w:space="0" w:color="auto"/>
              <w:right w:val="nil" w:sz="6" w:space="0" w:color="auto"/>
            </w:tcBorders>
            <w:shd w:val="clear" w:color="auto" w:fill="DEEAF6"/>
          </w:tcPr>
          <w:p>
            <w:pPr/>
          </w:p>
        </w:tc>
        <w:tc>
          <w:tcPr>
            <w:tcW w:w="1513" w:type="dxa"/>
            <w:gridSpan w:val="2"/>
            <w:vMerge w:val="restart"/>
            <w:tcBorders>
              <w:top w:val="single" w:sz="4" w:space="0" w:color="5B9BD4"/>
              <w:left w:val="nil" w:sz="6" w:space="0" w:color="auto"/>
              <w:right w:val="nil" w:sz="6" w:space="0" w:color="auto"/>
            </w:tcBorders>
            <w:shd w:val="clear" w:color="auto" w:fill="DEEAF6"/>
          </w:tcPr>
          <w:p>
            <w:pPr/>
          </w:p>
        </w:tc>
      </w:tr>
      <w:tr>
        <w:trPr>
          <w:trHeight w:val="312" w:hRule="exact"/>
        </w:trPr>
        <w:tc>
          <w:tcPr>
            <w:tcW w:w="1500" w:type="dxa"/>
            <w:gridSpan w:val="2"/>
            <w:vMerge/>
            <w:tcBorders>
              <w:left w:val="nil" w:sz="6" w:space="0" w:color="auto"/>
              <w:right w:val="nil" w:sz="6" w:space="0" w:color="auto"/>
            </w:tcBorders>
            <w:shd w:val="clear" w:color="auto" w:fill="DEEAF6"/>
          </w:tcPr>
          <w:p>
            <w:pPr/>
          </w:p>
        </w:tc>
        <w:tc>
          <w:tcPr>
            <w:tcW w:w="749" w:type="dxa"/>
            <w:vMerge/>
            <w:tcBorders>
              <w:left w:val="nil" w:sz="6" w:space="0" w:color="auto"/>
              <w:right w:val="nil" w:sz="6" w:space="0" w:color="auto"/>
            </w:tcBorders>
            <w:shd w:val="clear" w:color="auto" w:fill="DEEAF6"/>
          </w:tcPr>
          <w:p>
            <w:pPr/>
          </w:p>
        </w:tc>
        <w:tc>
          <w:tcPr>
            <w:tcW w:w="763" w:type="dxa"/>
            <w:vMerge/>
            <w:tcBorders>
              <w:left w:val="nil" w:sz="6" w:space="0" w:color="auto"/>
              <w:right w:val="nil" w:sz="6" w:space="0" w:color="auto"/>
            </w:tcBorders>
            <w:shd w:val="clear" w:color="auto" w:fill="DEEAF6"/>
          </w:tcPr>
          <w:p>
            <w:pPr/>
          </w:p>
        </w:tc>
        <w:tc>
          <w:tcPr>
            <w:tcW w:w="721" w:type="dxa"/>
            <w:vMerge/>
            <w:tcBorders>
              <w:left w:val="nil" w:sz="6" w:space="0" w:color="auto"/>
              <w:bottom w:val="nil" w:sz="6" w:space="0" w:color="auto"/>
              <w:right w:val="nil" w:sz="6" w:space="0" w:color="auto"/>
            </w:tcBorders>
            <w:shd w:val="clear" w:color="auto" w:fill="DEEAF6"/>
          </w:tcPr>
          <w:p>
            <w:pPr/>
          </w:p>
        </w:tc>
        <w:tc>
          <w:tcPr>
            <w:tcW w:w="778" w:type="dxa"/>
            <w:vMerge/>
            <w:tcBorders>
              <w:left w:val="nil" w:sz="6" w:space="0" w:color="auto"/>
              <w:right w:val="nil" w:sz="6" w:space="0" w:color="auto"/>
            </w:tcBorders>
            <w:shd w:val="clear" w:color="auto" w:fill="DEEAF6"/>
          </w:tcPr>
          <w:p>
            <w:pPr/>
          </w:p>
        </w:tc>
        <w:tc>
          <w:tcPr>
            <w:tcW w:w="721" w:type="dxa"/>
            <w:vMerge/>
            <w:tcBorders>
              <w:left w:val="nil" w:sz="6" w:space="0" w:color="auto"/>
              <w:right w:val="nil" w:sz="6" w:space="0" w:color="auto"/>
            </w:tcBorders>
            <w:shd w:val="clear" w:color="auto" w:fill="DEEAF6"/>
          </w:tcPr>
          <w:p>
            <w:pPr/>
          </w:p>
        </w:tc>
        <w:tc>
          <w:tcPr>
            <w:tcW w:w="1512" w:type="dxa"/>
            <w:gridSpan w:val="2"/>
            <w:vMerge/>
            <w:tcBorders>
              <w:left w:val="nil" w:sz="6" w:space="0" w:color="auto"/>
              <w:right w:val="nil" w:sz="6" w:space="0" w:color="auto"/>
            </w:tcBorders>
            <w:shd w:val="clear" w:color="auto" w:fill="DEEAF6"/>
          </w:tcPr>
          <w:p>
            <w:pPr/>
          </w:p>
        </w:tc>
        <w:tc>
          <w:tcPr>
            <w:tcW w:w="749" w:type="dxa"/>
            <w:vMerge/>
            <w:tcBorders>
              <w:left w:val="nil" w:sz="6" w:space="0" w:color="auto"/>
              <w:right w:val="nil" w:sz="6" w:space="0" w:color="auto"/>
            </w:tcBorders>
            <w:shd w:val="clear" w:color="auto" w:fill="DEEAF6"/>
          </w:tcPr>
          <w:p>
            <w:pPr/>
          </w:p>
        </w:tc>
        <w:tc>
          <w:tcPr>
            <w:tcW w:w="763" w:type="dxa"/>
            <w:vMerge/>
            <w:tcBorders>
              <w:left w:val="nil" w:sz="6" w:space="0" w:color="auto"/>
              <w:right w:val="nil" w:sz="6" w:space="0" w:color="auto"/>
            </w:tcBorders>
            <w:shd w:val="clear" w:color="auto" w:fill="DEEAF6"/>
          </w:tcPr>
          <w:p>
            <w:pPr/>
          </w:p>
        </w:tc>
        <w:tc>
          <w:tcPr>
            <w:tcW w:w="721"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14" w:right="-14" w:hanging="29"/>
              <w:jc w:val="center"/>
              <w:rPr>
                <w:rFonts w:ascii="宋体" w:hAnsi="宋体" w:cs="宋体" w:eastAsia="宋体" w:hint="default"/>
                <w:sz w:val="18"/>
                <w:szCs w:val="18"/>
              </w:rPr>
            </w:pPr>
            <w:r>
              <w:rPr>
                <w:rFonts w:ascii="宋体" w:hAnsi="宋体" w:cs="宋体" w:eastAsia="宋体" w:hint="default"/>
                <w:sz w:val="18"/>
                <w:szCs w:val="18"/>
              </w:rPr>
              <w:t>是否按 计划如 期实施， 如未按 计划实 </w:t>
            </w:r>
            <w:r>
              <w:rPr>
                <w:rFonts w:ascii="宋体" w:hAnsi="宋体" w:cs="宋体" w:eastAsia="宋体" w:hint="default"/>
                <w:spacing w:val="-7"/>
                <w:sz w:val="18"/>
                <w:szCs w:val="18"/>
              </w:rPr>
              <w:t>施，应当</w:t>
            </w:r>
            <w:r>
              <w:rPr>
                <w:rFonts w:ascii="宋体" w:hAnsi="宋体" w:cs="宋体" w:eastAsia="宋体" w:hint="default"/>
                <w:sz w:val="18"/>
                <w:szCs w:val="18"/>
              </w:rPr>
              <w:t> 说明原 因及公 司已采 取的措</w:t>
            </w:r>
          </w:p>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施</w:t>
            </w:r>
          </w:p>
        </w:tc>
        <w:tc>
          <w:tcPr>
            <w:tcW w:w="1513" w:type="dxa"/>
            <w:gridSpan w:val="2"/>
            <w:vMerge/>
            <w:tcBorders>
              <w:left w:val="nil" w:sz="6" w:space="0" w:color="auto"/>
              <w:right w:val="nil" w:sz="6" w:space="0" w:color="auto"/>
            </w:tcBorders>
            <w:shd w:val="clear" w:color="auto" w:fill="DEEAF6"/>
          </w:tcPr>
          <w:p>
            <w:pPr/>
          </w:p>
        </w:tc>
      </w:tr>
      <w:tr>
        <w:trPr>
          <w:trHeight w:val="156" w:hRule="exact"/>
        </w:trPr>
        <w:tc>
          <w:tcPr>
            <w:tcW w:w="1500" w:type="dxa"/>
            <w:gridSpan w:val="2"/>
            <w:vMerge/>
            <w:tcBorders>
              <w:left w:val="nil" w:sz="6" w:space="0" w:color="auto"/>
              <w:right w:val="nil" w:sz="6" w:space="0" w:color="auto"/>
            </w:tcBorders>
            <w:shd w:val="clear" w:color="auto" w:fill="DEEAF6"/>
          </w:tcPr>
          <w:p>
            <w:pPr/>
          </w:p>
        </w:tc>
        <w:tc>
          <w:tcPr>
            <w:tcW w:w="749" w:type="dxa"/>
            <w:vMerge/>
            <w:tcBorders>
              <w:left w:val="nil" w:sz="6" w:space="0" w:color="auto"/>
              <w:right w:val="nil" w:sz="6" w:space="0" w:color="auto"/>
            </w:tcBorders>
            <w:shd w:val="clear" w:color="auto" w:fill="DEEAF6"/>
          </w:tcPr>
          <w:p>
            <w:pPr/>
          </w:p>
        </w:tc>
        <w:tc>
          <w:tcPr>
            <w:tcW w:w="763" w:type="dxa"/>
            <w:vMerge/>
            <w:tcBorders>
              <w:left w:val="nil" w:sz="6" w:space="0" w:color="auto"/>
              <w:right w:val="nil" w:sz="6" w:space="0" w:color="auto"/>
            </w:tcBorders>
            <w:shd w:val="clear" w:color="auto" w:fill="DEEAF6"/>
          </w:tcPr>
          <w:p>
            <w:pPr/>
          </w:p>
        </w:tc>
        <w:tc>
          <w:tcPr>
            <w:tcW w:w="721"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89" w:right="89"/>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778" w:type="dxa"/>
            <w:vMerge/>
            <w:tcBorders>
              <w:left w:val="nil" w:sz="6" w:space="0" w:color="auto"/>
              <w:right w:val="nil" w:sz="6" w:space="0" w:color="auto"/>
            </w:tcBorders>
            <w:shd w:val="clear" w:color="auto" w:fill="DEEAF6"/>
          </w:tcPr>
          <w:p>
            <w:pPr/>
          </w:p>
        </w:tc>
        <w:tc>
          <w:tcPr>
            <w:tcW w:w="721" w:type="dxa"/>
            <w:vMerge/>
            <w:tcBorders>
              <w:left w:val="nil" w:sz="6" w:space="0" w:color="auto"/>
              <w:bottom w:val="nil" w:sz="6" w:space="0" w:color="auto"/>
              <w:right w:val="nil" w:sz="6" w:space="0" w:color="auto"/>
            </w:tcBorders>
            <w:shd w:val="clear" w:color="auto" w:fill="DEEAF6"/>
          </w:tcPr>
          <w:p>
            <w:pPr/>
          </w:p>
        </w:tc>
        <w:tc>
          <w:tcPr>
            <w:tcW w:w="1512" w:type="dxa"/>
            <w:gridSpan w:val="2"/>
            <w:vMerge/>
            <w:tcBorders>
              <w:left w:val="nil" w:sz="6" w:space="0" w:color="auto"/>
              <w:right w:val="nil" w:sz="6" w:space="0" w:color="auto"/>
            </w:tcBorders>
            <w:shd w:val="clear" w:color="auto" w:fill="DEEAF6"/>
          </w:tcPr>
          <w:p>
            <w:pPr/>
          </w:p>
        </w:tc>
        <w:tc>
          <w:tcPr>
            <w:tcW w:w="749" w:type="dxa"/>
            <w:vMerge/>
            <w:tcBorders>
              <w:left w:val="nil" w:sz="6" w:space="0" w:color="auto"/>
              <w:right w:val="nil" w:sz="6" w:space="0" w:color="auto"/>
            </w:tcBorders>
            <w:shd w:val="clear" w:color="auto" w:fill="DEEAF6"/>
          </w:tcPr>
          <w:p>
            <w:pPr/>
          </w:p>
        </w:tc>
        <w:tc>
          <w:tcPr>
            <w:tcW w:w="763" w:type="dxa"/>
            <w:vMerge/>
            <w:tcBorders>
              <w:left w:val="nil" w:sz="6" w:space="0" w:color="auto"/>
              <w:right w:val="nil" w:sz="6" w:space="0" w:color="auto"/>
            </w:tcBorders>
            <w:shd w:val="clear" w:color="auto" w:fill="DEEAF6"/>
          </w:tcPr>
          <w:p>
            <w:pPr/>
          </w:p>
        </w:tc>
        <w:tc>
          <w:tcPr>
            <w:tcW w:w="721" w:type="dxa"/>
            <w:vMerge/>
            <w:tcBorders>
              <w:left w:val="nil" w:sz="6" w:space="0" w:color="auto"/>
              <w:right w:val="nil" w:sz="6" w:space="0" w:color="auto"/>
            </w:tcBorders>
            <w:shd w:val="clear" w:color="auto" w:fill="DEEAF6"/>
          </w:tcPr>
          <w:p>
            <w:pPr/>
          </w:p>
        </w:tc>
        <w:tc>
          <w:tcPr>
            <w:tcW w:w="1513" w:type="dxa"/>
            <w:gridSpan w:val="2"/>
            <w:vMerge/>
            <w:tcBorders>
              <w:left w:val="nil" w:sz="6" w:space="0" w:color="auto"/>
              <w:right w:val="nil" w:sz="6" w:space="0" w:color="auto"/>
            </w:tcBorders>
            <w:shd w:val="clear" w:color="auto" w:fill="DEEAF6"/>
          </w:tcPr>
          <w:p>
            <w:pPr/>
          </w:p>
        </w:tc>
      </w:tr>
      <w:tr>
        <w:trPr>
          <w:trHeight w:val="468" w:hRule="exact"/>
        </w:trPr>
        <w:tc>
          <w:tcPr>
            <w:tcW w:w="1500" w:type="dxa"/>
            <w:gridSpan w:val="2"/>
            <w:vMerge/>
            <w:tcBorders>
              <w:left w:val="nil" w:sz="6" w:space="0" w:color="auto"/>
              <w:right w:val="nil" w:sz="6" w:space="0" w:color="auto"/>
            </w:tcBorders>
            <w:shd w:val="clear" w:color="auto" w:fill="DEEAF6"/>
          </w:tcPr>
          <w:p>
            <w:pPr/>
          </w:p>
        </w:tc>
        <w:tc>
          <w:tcPr>
            <w:tcW w:w="749" w:type="dxa"/>
            <w:vMerge/>
            <w:tcBorders>
              <w:left w:val="nil" w:sz="6" w:space="0" w:color="auto"/>
              <w:right w:val="nil" w:sz="6" w:space="0" w:color="auto"/>
            </w:tcBorders>
            <w:shd w:val="clear" w:color="auto" w:fill="DEEAF6"/>
          </w:tcPr>
          <w:p>
            <w:pPr/>
          </w:p>
        </w:tc>
        <w:tc>
          <w:tcPr>
            <w:tcW w:w="763" w:type="dxa"/>
            <w:vMerge/>
            <w:tcBorders>
              <w:left w:val="nil" w:sz="6" w:space="0" w:color="auto"/>
              <w:right w:val="nil" w:sz="6" w:space="0" w:color="auto"/>
            </w:tcBorders>
            <w:shd w:val="clear" w:color="auto" w:fill="DEEAF6"/>
          </w:tcPr>
          <w:p>
            <w:pPr/>
          </w:p>
        </w:tc>
        <w:tc>
          <w:tcPr>
            <w:tcW w:w="721" w:type="dxa"/>
            <w:vMerge/>
            <w:tcBorders>
              <w:left w:val="nil" w:sz="6" w:space="0" w:color="auto"/>
              <w:right w:val="nil" w:sz="6" w:space="0" w:color="auto"/>
            </w:tcBorders>
            <w:shd w:val="clear" w:color="auto" w:fill="DEEAF6"/>
          </w:tcPr>
          <w:p>
            <w:pPr/>
          </w:p>
        </w:tc>
        <w:tc>
          <w:tcPr>
            <w:tcW w:w="778" w:type="dxa"/>
            <w:vMerge/>
            <w:tcBorders>
              <w:left w:val="nil" w:sz="6" w:space="0" w:color="auto"/>
              <w:right w:val="nil" w:sz="6" w:space="0" w:color="auto"/>
            </w:tcBorders>
            <w:shd w:val="clear" w:color="auto" w:fill="DEEAF6"/>
          </w:tcPr>
          <w:p>
            <w:pPr/>
          </w:p>
        </w:tc>
        <w:tc>
          <w:tcPr>
            <w:tcW w:w="721"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89" w:right="89"/>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1512" w:type="dxa"/>
            <w:gridSpan w:val="2"/>
            <w:vMerge/>
            <w:tcBorders>
              <w:left w:val="nil" w:sz="6" w:space="0" w:color="auto"/>
              <w:right w:val="nil" w:sz="6" w:space="0" w:color="auto"/>
            </w:tcBorders>
            <w:shd w:val="clear" w:color="auto" w:fill="DEEAF6"/>
          </w:tcPr>
          <w:p>
            <w:pPr/>
          </w:p>
        </w:tc>
        <w:tc>
          <w:tcPr>
            <w:tcW w:w="749" w:type="dxa"/>
            <w:vMerge/>
            <w:tcBorders>
              <w:left w:val="nil" w:sz="6" w:space="0" w:color="auto"/>
              <w:right w:val="nil" w:sz="6" w:space="0" w:color="auto"/>
            </w:tcBorders>
            <w:shd w:val="clear" w:color="auto" w:fill="DEEAF6"/>
          </w:tcPr>
          <w:p>
            <w:pPr/>
          </w:p>
        </w:tc>
        <w:tc>
          <w:tcPr>
            <w:tcW w:w="763" w:type="dxa"/>
            <w:vMerge/>
            <w:tcBorders>
              <w:left w:val="nil" w:sz="6" w:space="0" w:color="auto"/>
              <w:bottom w:val="nil" w:sz="6" w:space="0" w:color="auto"/>
              <w:right w:val="nil" w:sz="6" w:space="0" w:color="auto"/>
            </w:tcBorders>
            <w:shd w:val="clear" w:color="auto" w:fill="DEEAF6"/>
          </w:tcPr>
          <w:p>
            <w:pPr/>
          </w:p>
        </w:tc>
        <w:tc>
          <w:tcPr>
            <w:tcW w:w="721" w:type="dxa"/>
            <w:vMerge/>
            <w:tcBorders>
              <w:left w:val="nil" w:sz="6" w:space="0" w:color="auto"/>
              <w:right w:val="nil" w:sz="6" w:space="0" w:color="auto"/>
            </w:tcBorders>
            <w:shd w:val="clear" w:color="auto" w:fill="DEEAF6"/>
          </w:tcPr>
          <w:p>
            <w:pPr/>
          </w:p>
        </w:tc>
        <w:tc>
          <w:tcPr>
            <w:tcW w:w="1513" w:type="dxa"/>
            <w:gridSpan w:val="2"/>
            <w:vMerge/>
            <w:tcBorders>
              <w:left w:val="nil" w:sz="6" w:space="0" w:color="auto"/>
              <w:right w:val="nil" w:sz="6" w:space="0" w:color="auto"/>
            </w:tcBorders>
            <w:shd w:val="clear" w:color="auto" w:fill="DEEAF6"/>
          </w:tcPr>
          <w:p>
            <w:pPr/>
          </w:p>
        </w:tc>
      </w:tr>
      <w:tr>
        <w:trPr>
          <w:trHeight w:val="156" w:hRule="exact"/>
        </w:trPr>
        <w:tc>
          <w:tcPr>
            <w:tcW w:w="1500" w:type="dxa"/>
            <w:gridSpan w:val="2"/>
            <w:vMerge/>
            <w:tcBorders>
              <w:left w:val="nil" w:sz="6" w:space="0" w:color="auto"/>
              <w:right w:val="nil" w:sz="6" w:space="0" w:color="auto"/>
            </w:tcBorders>
            <w:shd w:val="clear" w:color="auto" w:fill="DEEAF6"/>
          </w:tcPr>
          <w:p>
            <w:pPr/>
          </w:p>
        </w:tc>
        <w:tc>
          <w:tcPr>
            <w:tcW w:w="749" w:type="dxa"/>
            <w:vMerge/>
            <w:tcBorders>
              <w:left w:val="nil" w:sz="6" w:space="0" w:color="auto"/>
              <w:right w:val="nil" w:sz="6" w:space="0" w:color="auto"/>
            </w:tcBorders>
            <w:shd w:val="clear" w:color="auto" w:fill="DEEAF6"/>
          </w:tcPr>
          <w:p>
            <w:pPr/>
          </w:p>
        </w:tc>
        <w:tc>
          <w:tcPr>
            <w:tcW w:w="763" w:type="dxa"/>
            <w:vMerge/>
            <w:tcBorders>
              <w:left w:val="nil" w:sz="6" w:space="0" w:color="auto"/>
              <w:right w:val="nil" w:sz="6" w:space="0" w:color="auto"/>
            </w:tcBorders>
            <w:shd w:val="clear" w:color="auto" w:fill="DEEAF6"/>
          </w:tcPr>
          <w:p>
            <w:pPr/>
          </w:p>
        </w:tc>
        <w:tc>
          <w:tcPr>
            <w:tcW w:w="721" w:type="dxa"/>
            <w:vMerge/>
            <w:tcBorders>
              <w:left w:val="nil" w:sz="6" w:space="0" w:color="auto"/>
              <w:right w:val="nil" w:sz="6" w:space="0" w:color="auto"/>
            </w:tcBorders>
            <w:shd w:val="clear" w:color="auto" w:fill="DEEAF6"/>
          </w:tcPr>
          <w:p>
            <w:pPr/>
          </w:p>
        </w:tc>
        <w:tc>
          <w:tcPr>
            <w:tcW w:w="778" w:type="dxa"/>
            <w:vMerge/>
            <w:tcBorders>
              <w:left w:val="nil" w:sz="6" w:space="0" w:color="auto"/>
              <w:right w:val="nil" w:sz="6" w:space="0" w:color="auto"/>
            </w:tcBorders>
            <w:shd w:val="clear" w:color="auto" w:fill="DEEAF6"/>
          </w:tcPr>
          <w:p>
            <w:pPr/>
          </w:p>
        </w:tc>
        <w:tc>
          <w:tcPr>
            <w:tcW w:w="721" w:type="dxa"/>
            <w:vMerge/>
            <w:tcBorders>
              <w:left w:val="nil" w:sz="6" w:space="0" w:color="auto"/>
              <w:right w:val="nil" w:sz="6" w:space="0" w:color="auto"/>
            </w:tcBorders>
            <w:shd w:val="clear" w:color="auto" w:fill="DEEAF6"/>
          </w:tcPr>
          <w:p>
            <w:pPr/>
          </w:p>
        </w:tc>
        <w:tc>
          <w:tcPr>
            <w:tcW w:w="1512" w:type="dxa"/>
            <w:gridSpan w:val="2"/>
            <w:vMerge/>
            <w:tcBorders>
              <w:left w:val="nil" w:sz="6" w:space="0" w:color="auto"/>
              <w:right w:val="nil" w:sz="6" w:space="0" w:color="auto"/>
            </w:tcBorders>
            <w:shd w:val="clear" w:color="auto" w:fill="DEEAF6"/>
          </w:tcPr>
          <w:p>
            <w:pPr/>
          </w:p>
        </w:tc>
        <w:tc>
          <w:tcPr>
            <w:tcW w:w="749" w:type="dxa"/>
            <w:vMerge/>
            <w:tcBorders>
              <w:left w:val="nil" w:sz="6" w:space="0" w:color="auto"/>
              <w:bottom w:val="nil" w:sz="6" w:space="0" w:color="auto"/>
              <w:right w:val="nil" w:sz="6" w:space="0" w:color="auto"/>
            </w:tcBorders>
            <w:shd w:val="clear" w:color="auto" w:fill="DEEAF6"/>
          </w:tcPr>
          <w:p>
            <w:pPr/>
          </w:p>
        </w:tc>
        <w:tc>
          <w:tcPr>
            <w:tcW w:w="763"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103" w:right="119"/>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721" w:type="dxa"/>
            <w:vMerge/>
            <w:tcBorders>
              <w:left w:val="nil" w:sz="6" w:space="0" w:color="auto"/>
              <w:right w:val="nil" w:sz="6" w:space="0" w:color="auto"/>
            </w:tcBorders>
            <w:shd w:val="clear" w:color="auto" w:fill="DEEAF6"/>
          </w:tcPr>
          <w:p>
            <w:pPr/>
          </w:p>
        </w:tc>
        <w:tc>
          <w:tcPr>
            <w:tcW w:w="1513" w:type="dxa"/>
            <w:gridSpan w:val="2"/>
            <w:vMerge/>
            <w:tcBorders>
              <w:left w:val="nil" w:sz="6" w:space="0" w:color="auto"/>
              <w:right w:val="nil" w:sz="6" w:space="0" w:color="auto"/>
            </w:tcBorders>
            <w:shd w:val="clear" w:color="auto" w:fill="DEEAF6"/>
          </w:tcPr>
          <w:p>
            <w:pPr/>
          </w:p>
        </w:tc>
      </w:tr>
      <w:tr>
        <w:trPr>
          <w:trHeight w:val="156" w:hRule="exact"/>
        </w:trPr>
        <w:tc>
          <w:tcPr>
            <w:tcW w:w="1500" w:type="dxa"/>
            <w:gridSpan w:val="2"/>
            <w:vMerge/>
            <w:tcBorders>
              <w:left w:val="nil" w:sz="6" w:space="0" w:color="auto"/>
              <w:right w:val="nil" w:sz="6" w:space="0" w:color="auto"/>
            </w:tcBorders>
            <w:shd w:val="clear" w:color="auto" w:fill="DEEAF6"/>
          </w:tcPr>
          <w:p>
            <w:pPr/>
          </w:p>
        </w:tc>
        <w:tc>
          <w:tcPr>
            <w:tcW w:w="749" w:type="dxa"/>
            <w:vMerge/>
            <w:tcBorders>
              <w:left w:val="nil" w:sz="6" w:space="0" w:color="auto"/>
              <w:right w:val="nil" w:sz="6" w:space="0" w:color="auto"/>
            </w:tcBorders>
            <w:shd w:val="clear" w:color="auto" w:fill="DEEAF6"/>
          </w:tcPr>
          <w:p>
            <w:pPr/>
          </w:p>
        </w:tc>
        <w:tc>
          <w:tcPr>
            <w:tcW w:w="763" w:type="dxa"/>
            <w:vMerge/>
            <w:tcBorders>
              <w:left w:val="nil" w:sz="6" w:space="0" w:color="auto"/>
              <w:bottom w:val="nil" w:sz="6" w:space="0" w:color="auto"/>
              <w:right w:val="nil" w:sz="6" w:space="0" w:color="auto"/>
            </w:tcBorders>
            <w:shd w:val="clear" w:color="auto" w:fill="DEEAF6"/>
          </w:tcPr>
          <w:p>
            <w:pPr/>
          </w:p>
        </w:tc>
        <w:tc>
          <w:tcPr>
            <w:tcW w:w="721" w:type="dxa"/>
            <w:vMerge/>
            <w:tcBorders>
              <w:left w:val="nil" w:sz="6" w:space="0" w:color="auto"/>
              <w:right w:val="nil" w:sz="6" w:space="0" w:color="auto"/>
            </w:tcBorders>
            <w:shd w:val="clear" w:color="auto" w:fill="DEEAF6"/>
          </w:tcPr>
          <w:p>
            <w:pPr/>
          </w:p>
        </w:tc>
        <w:tc>
          <w:tcPr>
            <w:tcW w:w="778" w:type="dxa"/>
            <w:vMerge/>
            <w:tcBorders>
              <w:left w:val="nil" w:sz="6" w:space="0" w:color="auto"/>
              <w:bottom w:val="nil" w:sz="6" w:space="0" w:color="auto"/>
              <w:right w:val="nil" w:sz="6" w:space="0" w:color="auto"/>
            </w:tcBorders>
            <w:shd w:val="clear" w:color="auto" w:fill="DEEAF6"/>
          </w:tcPr>
          <w:p>
            <w:pPr/>
          </w:p>
        </w:tc>
        <w:tc>
          <w:tcPr>
            <w:tcW w:w="721" w:type="dxa"/>
            <w:vMerge/>
            <w:tcBorders>
              <w:left w:val="nil" w:sz="6" w:space="0" w:color="auto"/>
              <w:right w:val="nil" w:sz="6" w:space="0" w:color="auto"/>
            </w:tcBorders>
            <w:shd w:val="clear" w:color="auto" w:fill="DEEAF6"/>
          </w:tcPr>
          <w:p>
            <w:pPr/>
          </w:p>
        </w:tc>
        <w:tc>
          <w:tcPr>
            <w:tcW w:w="1512" w:type="dxa"/>
            <w:gridSpan w:val="2"/>
            <w:vMerge/>
            <w:tcBorders>
              <w:left w:val="nil" w:sz="6" w:space="0" w:color="auto"/>
              <w:bottom w:val="nil" w:sz="6" w:space="0" w:color="auto"/>
              <w:right w:val="nil" w:sz="6" w:space="0" w:color="auto"/>
            </w:tcBorders>
            <w:shd w:val="clear" w:color="auto" w:fill="DEEAF6"/>
          </w:tcPr>
          <w:p>
            <w:pPr/>
          </w:p>
        </w:tc>
        <w:tc>
          <w:tcPr>
            <w:tcW w:w="749"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103" w:right="105"/>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763" w:type="dxa"/>
            <w:vMerge/>
            <w:tcBorders>
              <w:left w:val="nil" w:sz="6" w:space="0" w:color="auto"/>
              <w:right w:val="nil" w:sz="6" w:space="0" w:color="auto"/>
            </w:tcBorders>
            <w:shd w:val="clear" w:color="auto" w:fill="DEEAF6"/>
          </w:tcPr>
          <w:p>
            <w:pPr/>
          </w:p>
        </w:tc>
        <w:tc>
          <w:tcPr>
            <w:tcW w:w="721" w:type="dxa"/>
            <w:vMerge/>
            <w:tcBorders>
              <w:left w:val="nil" w:sz="6" w:space="0" w:color="auto"/>
              <w:right w:val="nil" w:sz="6" w:space="0" w:color="auto"/>
            </w:tcBorders>
            <w:shd w:val="clear" w:color="auto" w:fill="DEEAF6"/>
          </w:tcPr>
          <w:p>
            <w:pPr/>
          </w:p>
        </w:tc>
        <w:tc>
          <w:tcPr>
            <w:tcW w:w="1513" w:type="dxa"/>
            <w:gridSpan w:val="2"/>
            <w:vMerge/>
            <w:tcBorders>
              <w:left w:val="nil" w:sz="6" w:space="0" w:color="auto"/>
              <w:right w:val="nil" w:sz="6" w:space="0" w:color="auto"/>
            </w:tcBorders>
            <w:shd w:val="clear" w:color="auto" w:fill="DEEAF6"/>
          </w:tcPr>
          <w:p>
            <w:pPr/>
          </w:p>
        </w:tc>
      </w:tr>
      <w:tr>
        <w:trPr>
          <w:trHeight w:val="156" w:hRule="exact"/>
        </w:trPr>
        <w:tc>
          <w:tcPr>
            <w:tcW w:w="1500" w:type="dxa"/>
            <w:gridSpan w:val="2"/>
            <w:vMerge/>
            <w:tcBorders>
              <w:left w:val="nil" w:sz="6" w:space="0" w:color="auto"/>
              <w:bottom w:val="nil" w:sz="6" w:space="0" w:color="auto"/>
              <w:right w:val="nil" w:sz="6" w:space="0" w:color="auto"/>
            </w:tcBorders>
            <w:shd w:val="clear" w:color="auto" w:fill="DEEAF6"/>
          </w:tcPr>
          <w:p>
            <w:pPr/>
          </w:p>
        </w:tc>
        <w:tc>
          <w:tcPr>
            <w:tcW w:w="749" w:type="dxa"/>
            <w:vMerge/>
            <w:tcBorders>
              <w:left w:val="nil" w:sz="6" w:space="0" w:color="auto"/>
              <w:right w:val="nil" w:sz="6" w:space="0" w:color="auto"/>
            </w:tcBorders>
            <w:shd w:val="clear" w:color="auto" w:fill="DEEAF6"/>
          </w:tcPr>
          <w:p>
            <w:pPr/>
          </w:p>
        </w:tc>
        <w:tc>
          <w:tcPr>
            <w:tcW w:w="763"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103" w:right="117"/>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721" w:type="dxa"/>
            <w:vMerge/>
            <w:tcBorders>
              <w:left w:val="nil" w:sz="6" w:space="0" w:color="auto"/>
              <w:right w:val="nil" w:sz="6" w:space="0" w:color="auto"/>
            </w:tcBorders>
            <w:shd w:val="clear" w:color="auto" w:fill="DEEAF6"/>
          </w:tcPr>
          <w:p>
            <w:pPr/>
          </w:p>
        </w:tc>
        <w:tc>
          <w:tcPr>
            <w:tcW w:w="778"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118" w:right="117"/>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721" w:type="dxa"/>
            <w:vMerge/>
            <w:tcBorders>
              <w:left w:val="nil" w:sz="6" w:space="0" w:color="auto"/>
              <w:right w:val="nil" w:sz="6" w:space="0" w:color="auto"/>
            </w:tcBorders>
            <w:shd w:val="clear" w:color="auto" w:fill="DEEAF6"/>
          </w:tcPr>
          <w:p>
            <w:pPr/>
          </w:p>
        </w:tc>
        <w:tc>
          <w:tcPr>
            <w:tcW w:w="770"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117" w:right="110"/>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742"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96" w:right="103"/>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749" w:type="dxa"/>
            <w:vMerge/>
            <w:tcBorders>
              <w:left w:val="nil" w:sz="6" w:space="0" w:color="auto"/>
              <w:right w:val="nil" w:sz="6" w:space="0" w:color="auto"/>
            </w:tcBorders>
            <w:shd w:val="clear" w:color="auto" w:fill="DEEAF6"/>
          </w:tcPr>
          <w:p>
            <w:pPr/>
          </w:p>
        </w:tc>
        <w:tc>
          <w:tcPr>
            <w:tcW w:w="763" w:type="dxa"/>
            <w:vMerge/>
            <w:tcBorders>
              <w:left w:val="nil" w:sz="6" w:space="0" w:color="auto"/>
              <w:right w:val="nil" w:sz="6" w:space="0" w:color="auto"/>
            </w:tcBorders>
            <w:shd w:val="clear" w:color="auto" w:fill="DEEAF6"/>
          </w:tcPr>
          <w:p>
            <w:pPr/>
          </w:p>
        </w:tc>
        <w:tc>
          <w:tcPr>
            <w:tcW w:w="721" w:type="dxa"/>
            <w:vMerge/>
            <w:tcBorders>
              <w:left w:val="nil" w:sz="6" w:space="0" w:color="auto"/>
              <w:right w:val="nil" w:sz="6" w:space="0" w:color="auto"/>
            </w:tcBorders>
            <w:shd w:val="clear" w:color="auto" w:fill="DEEAF6"/>
          </w:tcPr>
          <w:p>
            <w:pPr/>
          </w:p>
        </w:tc>
        <w:tc>
          <w:tcPr>
            <w:tcW w:w="1513" w:type="dxa"/>
            <w:gridSpan w:val="2"/>
            <w:vMerge/>
            <w:tcBorders>
              <w:left w:val="nil" w:sz="6" w:space="0" w:color="auto"/>
              <w:bottom w:val="nil" w:sz="6" w:space="0" w:color="auto"/>
              <w:right w:val="nil" w:sz="6" w:space="0" w:color="auto"/>
            </w:tcBorders>
            <w:shd w:val="clear" w:color="auto" w:fill="DEEAF6"/>
          </w:tcPr>
          <w:p>
            <w:pPr/>
          </w:p>
        </w:tc>
      </w:tr>
      <w:tr>
        <w:trPr>
          <w:trHeight w:val="156" w:hRule="exact"/>
        </w:trPr>
        <w:tc>
          <w:tcPr>
            <w:tcW w:w="744"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284" w:right="97"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757"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201" w:right="105" w:hanging="91"/>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749" w:type="dxa"/>
            <w:vMerge/>
            <w:tcBorders>
              <w:left w:val="nil" w:sz="6" w:space="0" w:color="auto"/>
              <w:bottom w:val="nil" w:sz="6" w:space="0" w:color="auto"/>
              <w:right w:val="nil" w:sz="6" w:space="0" w:color="auto"/>
            </w:tcBorders>
            <w:shd w:val="clear" w:color="auto" w:fill="DEEAF6"/>
          </w:tcPr>
          <w:p>
            <w:pPr/>
          </w:p>
        </w:tc>
        <w:tc>
          <w:tcPr>
            <w:tcW w:w="763" w:type="dxa"/>
            <w:vMerge/>
            <w:tcBorders>
              <w:left w:val="nil" w:sz="6" w:space="0" w:color="auto"/>
              <w:right w:val="nil" w:sz="6" w:space="0" w:color="auto"/>
            </w:tcBorders>
            <w:shd w:val="clear" w:color="auto" w:fill="DEEAF6"/>
          </w:tcPr>
          <w:p>
            <w:pPr/>
          </w:p>
        </w:tc>
        <w:tc>
          <w:tcPr>
            <w:tcW w:w="721" w:type="dxa"/>
            <w:vMerge/>
            <w:tcBorders>
              <w:left w:val="nil" w:sz="6" w:space="0" w:color="auto"/>
              <w:right w:val="nil" w:sz="6" w:space="0" w:color="auto"/>
            </w:tcBorders>
            <w:shd w:val="clear" w:color="auto" w:fill="DEEAF6"/>
          </w:tcPr>
          <w:p>
            <w:pPr/>
          </w:p>
        </w:tc>
        <w:tc>
          <w:tcPr>
            <w:tcW w:w="778" w:type="dxa"/>
            <w:vMerge/>
            <w:tcBorders>
              <w:left w:val="nil" w:sz="6" w:space="0" w:color="auto"/>
              <w:right w:val="nil" w:sz="6" w:space="0" w:color="auto"/>
            </w:tcBorders>
            <w:shd w:val="clear" w:color="auto" w:fill="DEEAF6"/>
          </w:tcPr>
          <w:p>
            <w:pPr/>
          </w:p>
        </w:tc>
        <w:tc>
          <w:tcPr>
            <w:tcW w:w="721" w:type="dxa"/>
            <w:vMerge/>
            <w:tcBorders>
              <w:left w:val="nil" w:sz="6" w:space="0" w:color="auto"/>
              <w:right w:val="nil" w:sz="6" w:space="0" w:color="auto"/>
            </w:tcBorders>
            <w:shd w:val="clear" w:color="auto" w:fill="DEEAF6"/>
          </w:tcPr>
          <w:p>
            <w:pPr/>
          </w:p>
        </w:tc>
        <w:tc>
          <w:tcPr>
            <w:tcW w:w="770" w:type="dxa"/>
            <w:vMerge/>
            <w:tcBorders>
              <w:left w:val="nil" w:sz="6" w:space="0" w:color="auto"/>
              <w:right w:val="nil" w:sz="6" w:space="0" w:color="auto"/>
            </w:tcBorders>
            <w:shd w:val="clear" w:color="auto" w:fill="DEEAF6"/>
          </w:tcPr>
          <w:p>
            <w:pPr/>
          </w:p>
        </w:tc>
        <w:tc>
          <w:tcPr>
            <w:tcW w:w="742" w:type="dxa"/>
            <w:vMerge/>
            <w:tcBorders>
              <w:left w:val="nil" w:sz="6" w:space="0" w:color="auto"/>
              <w:right w:val="nil" w:sz="6" w:space="0" w:color="auto"/>
            </w:tcBorders>
            <w:shd w:val="clear" w:color="auto" w:fill="DEEAF6"/>
          </w:tcPr>
          <w:p>
            <w:pPr/>
          </w:p>
        </w:tc>
        <w:tc>
          <w:tcPr>
            <w:tcW w:w="749" w:type="dxa"/>
            <w:vMerge/>
            <w:tcBorders>
              <w:left w:val="nil" w:sz="6" w:space="0" w:color="auto"/>
              <w:right w:val="nil" w:sz="6" w:space="0" w:color="auto"/>
            </w:tcBorders>
            <w:shd w:val="clear" w:color="auto" w:fill="DEEAF6"/>
          </w:tcPr>
          <w:p>
            <w:pPr/>
          </w:p>
        </w:tc>
        <w:tc>
          <w:tcPr>
            <w:tcW w:w="763" w:type="dxa"/>
            <w:vMerge/>
            <w:tcBorders>
              <w:left w:val="nil" w:sz="6" w:space="0" w:color="auto"/>
              <w:right w:val="nil" w:sz="6" w:space="0" w:color="auto"/>
            </w:tcBorders>
            <w:shd w:val="clear" w:color="auto" w:fill="DEEAF6"/>
          </w:tcPr>
          <w:p>
            <w:pPr/>
          </w:p>
        </w:tc>
        <w:tc>
          <w:tcPr>
            <w:tcW w:w="721" w:type="dxa"/>
            <w:vMerge/>
            <w:tcBorders>
              <w:left w:val="nil" w:sz="6" w:space="0" w:color="auto"/>
              <w:right w:val="nil" w:sz="6" w:space="0" w:color="auto"/>
            </w:tcBorders>
            <w:shd w:val="clear" w:color="auto" w:fill="DEEAF6"/>
          </w:tcPr>
          <w:p>
            <w:pPr/>
          </w:p>
        </w:tc>
        <w:tc>
          <w:tcPr>
            <w:tcW w:w="756"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298" w:right="96"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756"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290" w:right="103"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91" w:hRule="exact"/>
        </w:trPr>
        <w:tc>
          <w:tcPr>
            <w:tcW w:w="744" w:type="dxa"/>
            <w:vMerge/>
            <w:tcBorders>
              <w:left w:val="nil" w:sz="6" w:space="0" w:color="auto"/>
              <w:right w:val="nil" w:sz="6" w:space="0" w:color="auto"/>
            </w:tcBorders>
            <w:shd w:val="clear" w:color="auto" w:fill="DEEAF6"/>
          </w:tcPr>
          <w:p>
            <w:pPr/>
          </w:p>
        </w:tc>
        <w:tc>
          <w:tcPr>
            <w:tcW w:w="757" w:type="dxa"/>
            <w:vMerge/>
            <w:tcBorders>
              <w:left w:val="nil" w:sz="6" w:space="0" w:color="auto"/>
              <w:right w:val="nil" w:sz="6" w:space="0" w:color="auto"/>
            </w:tcBorders>
            <w:shd w:val="clear" w:color="auto" w:fill="DEEAF6"/>
          </w:tcPr>
          <w:p>
            <w:pPr/>
          </w:p>
        </w:tc>
        <w:tc>
          <w:tcPr>
            <w:tcW w:w="749"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763" w:type="dxa"/>
            <w:vMerge/>
            <w:tcBorders>
              <w:left w:val="nil" w:sz="6" w:space="0" w:color="auto"/>
              <w:right w:val="nil" w:sz="6" w:space="0" w:color="auto"/>
            </w:tcBorders>
            <w:shd w:val="clear" w:color="auto" w:fill="DEEAF6"/>
          </w:tcPr>
          <w:p>
            <w:pPr/>
          </w:p>
        </w:tc>
        <w:tc>
          <w:tcPr>
            <w:tcW w:w="721" w:type="dxa"/>
            <w:vMerge/>
            <w:tcBorders>
              <w:left w:val="nil" w:sz="6" w:space="0" w:color="auto"/>
              <w:right w:val="nil" w:sz="6" w:space="0" w:color="auto"/>
            </w:tcBorders>
            <w:shd w:val="clear" w:color="auto" w:fill="DEEAF6"/>
          </w:tcPr>
          <w:p>
            <w:pPr/>
          </w:p>
        </w:tc>
        <w:tc>
          <w:tcPr>
            <w:tcW w:w="778" w:type="dxa"/>
            <w:vMerge/>
            <w:tcBorders>
              <w:left w:val="nil" w:sz="6" w:space="0" w:color="auto"/>
              <w:right w:val="nil" w:sz="6" w:space="0" w:color="auto"/>
            </w:tcBorders>
            <w:shd w:val="clear" w:color="auto" w:fill="DEEAF6"/>
          </w:tcPr>
          <w:p>
            <w:pPr/>
          </w:p>
        </w:tc>
        <w:tc>
          <w:tcPr>
            <w:tcW w:w="721" w:type="dxa"/>
            <w:vMerge/>
            <w:tcBorders>
              <w:left w:val="nil" w:sz="6" w:space="0" w:color="auto"/>
              <w:right w:val="nil" w:sz="6" w:space="0" w:color="auto"/>
            </w:tcBorders>
            <w:shd w:val="clear" w:color="auto" w:fill="DEEAF6"/>
          </w:tcPr>
          <w:p>
            <w:pPr/>
          </w:p>
        </w:tc>
        <w:tc>
          <w:tcPr>
            <w:tcW w:w="770" w:type="dxa"/>
            <w:vMerge/>
            <w:tcBorders>
              <w:left w:val="nil" w:sz="6" w:space="0" w:color="auto"/>
              <w:right w:val="nil" w:sz="6" w:space="0" w:color="auto"/>
            </w:tcBorders>
            <w:shd w:val="clear" w:color="auto" w:fill="DEEAF6"/>
          </w:tcPr>
          <w:p>
            <w:pPr/>
          </w:p>
        </w:tc>
        <w:tc>
          <w:tcPr>
            <w:tcW w:w="742" w:type="dxa"/>
            <w:vMerge/>
            <w:tcBorders>
              <w:left w:val="nil" w:sz="6" w:space="0" w:color="auto"/>
              <w:right w:val="nil" w:sz="6" w:space="0" w:color="auto"/>
            </w:tcBorders>
            <w:shd w:val="clear" w:color="auto" w:fill="DEEAF6"/>
          </w:tcPr>
          <w:p>
            <w:pPr/>
          </w:p>
        </w:tc>
        <w:tc>
          <w:tcPr>
            <w:tcW w:w="749" w:type="dxa"/>
            <w:vMerge/>
            <w:tcBorders>
              <w:left w:val="nil" w:sz="6" w:space="0" w:color="auto"/>
              <w:right w:val="nil" w:sz="6" w:space="0" w:color="auto"/>
            </w:tcBorders>
            <w:shd w:val="clear" w:color="auto" w:fill="DEEAF6"/>
          </w:tcPr>
          <w:p>
            <w:pPr/>
          </w:p>
        </w:tc>
        <w:tc>
          <w:tcPr>
            <w:tcW w:w="763" w:type="dxa"/>
            <w:vMerge/>
            <w:tcBorders>
              <w:left w:val="nil" w:sz="6" w:space="0" w:color="auto"/>
              <w:right w:val="nil" w:sz="6" w:space="0" w:color="auto"/>
            </w:tcBorders>
            <w:shd w:val="clear" w:color="auto" w:fill="DEEAF6"/>
          </w:tcPr>
          <w:p>
            <w:pPr/>
          </w:p>
        </w:tc>
        <w:tc>
          <w:tcPr>
            <w:tcW w:w="721" w:type="dxa"/>
            <w:vMerge/>
            <w:tcBorders>
              <w:left w:val="nil" w:sz="6" w:space="0" w:color="auto"/>
              <w:right w:val="nil" w:sz="6" w:space="0" w:color="auto"/>
            </w:tcBorders>
            <w:shd w:val="clear" w:color="auto" w:fill="DEEAF6"/>
          </w:tcPr>
          <w:p>
            <w:pPr/>
          </w:p>
        </w:tc>
        <w:tc>
          <w:tcPr>
            <w:tcW w:w="756" w:type="dxa"/>
            <w:vMerge/>
            <w:tcBorders>
              <w:left w:val="nil" w:sz="6" w:space="0" w:color="auto"/>
              <w:right w:val="nil" w:sz="6" w:space="0" w:color="auto"/>
            </w:tcBorders>
            <w:shd w:val="clear" w:color="auto" w:fill="DEEAF6"/>
          </w:tcPr>
          <w:p>
            <w:pPr/>
          </w:p>
        </w:tc>
        <w:tc>
          <w:tcPr>
            <w:tcW w:w="756" w:type="dxa"/>
            <w:vMerge/>
            <w:tcBorders>
              <w:left w:val="nil" w:sz="6" w:space="0" w:color="auto"/>
              <w:right w:val="nil" w:sz="6" w:space="0" w:color="auto"/>
            </w:tcBorders>
            <w:shd w:val="clear" w:color="auto" w:fill="DEEAF6"/>
          </w:tcPr>
          <w:p>
            <w:pPr/>
          </w:p>
        </w:tc>
      </w:tr>
      <w:tr>
        <w:trPr>
          <w:trHeight w:val="156" w:hRule="exact"/>
        </w:trPr>
        <w:tc>
          <w:tcPr>
            <w:tcW w:w="744" w:type="dxa"/>
            <w:vMerge/>
            <w:tcBorders>
              <w:left w:val="nil" w:sz="6" w:space="0" w:color="auto"/>
              <w:bottom w:val="nil" w:sz="6" w:space="0" w:color="auto"/>
              <w:right w:val="nil" w:sz="6" w:space="0" w:color="auto"/>
            </w:tcBorders>
            <w:shd w:val="clear" w:color="auto" w:fill="DEEAF6"/>
          </w:tcPr>
          <w:p>
            <w:pPr/>
          </w:p>
        </w:tc>
        <w:tc>
          <w:tcPr>
            <w:tcW w:w="757" w:type="dxa"/>
            <w:vMerge/>
            <w:tcBorders>
              <w:left w:val="nil" w:sz="6" w:space="0" w:color="auto"/>
              <w:bottom w:val="nil" w:sz="6" w:space="0" w:color="auto"/>
              <w:right w:val="nil" w:sz="6" w:space="0" w:color="auto"/>
            </w:tcBorders>
            <w:shd w:val="clear" w:color="auto" w:fill="DEEAF6"/>
          </w:tcPr>
          <w:p>
            <w:pPr/>
          </w:p>
        </w:tc>
        <w:tc>
          <w:tcPr>
            <w:tcW w:w="749" w:type="dxa"/>
            <w:vMerge w:val="restart"/>
            <w:tcBorders>
              <w:top w:val="nil" w:sz="6" w:space="0" w:color="auto"/>
              <w:left w:val="nil" w:sz="6" w:space="0" w:color="auto"/>
              <w:right w:val="nil" w:sz="6" w:space="0" w:color="auto"/>
            </w:tcBorders>
            <w:shd w:val="clear" w:color="auto" w:fill="DEEAF6"/>
          </w:tcPr>
          <w:p>
            <w:pPr/>
          </w:p>
        </w:tc>
        <w:tc>
          <w:tcPr>
            <w:tcW w:w="763" w:type="dxa"/>
            <w:vMerge/>
            <w:tcBorders>
              <w:left w:val="nil" w:sz="6" w:space="0" w:color="auto"/>
              <w:right w:val="nil" w:sz="6" w:space="0" w:color="auto"/>
            </w:tcBorders>
            <w:shd w:val="clear" w:color="auto" w:fill="DEEAF6"/>
          </w:tcPr>
          <w:p>
            <w:pPr/>
          </w:p>
        </w:tc>
        <w:tc>
          <w:tcPr>
            <w:tcW w:w="721" w:type="dxa"/>
            <w:vMerge/>
            <w:tcBorders>
              <w:left w:val="nil" w:sz="6" w:space="0" w:color="auto"/>
              <w:right w:val="nil" w:sz="6" w:space="0" w:color="auto"/>
            </w:tcBorders>
            <w:shd w:val="clear" w:color="auto" w:fill="DEEAF6"/>
          </w:tcPr>
          <w:p>
            <w:pPr/>
          </w:p>
        </w:tc>
        <w:tc>
          <w:tcPr>
            <w:tcW w:w="778" w:type="dxa"/>
            <w:vMerge/>
            <w:tcBorders>
              <w:left w:val="nil" w:sz="6" w:space="0" w:color="auto"/>
              <w:right w:val="nil" w:sz="6" w:space="0" w:color="auto"/>
            </w:tcBorders>
            <w:shd w:val="clear" w:color="auto" w:fill="DEEAF6"/>
          </w:tcPr>
          <w:p>
            <w:pPr/>
          </w:p>
        </w:tc>
        <w:tc>
          <w:tcPr>
            <w:tcW w:w="721" w:type="dxa"/>
            <w:vMerge/>
            <w:tcBorders>
              <w:left w:val="nil" w:sz="6" w:space="0" w:color="auto"/>
              <w:right w:val="nil" w:sz="6" w:space="0" w:color="auto"/>
            </w:tcBorders>
            <w:shd w:val="clear" w:color="auto" w:fill="DEEAF6"/>
          </w:tcPr>
          <w:p>
            <w:pPr/>
          </w:p>
        </w:tc>
        <w:tc>
          <w:tcPr>
            <w:tcW w:w="770" w:type="dxa"/>
            <w:vMerge/>
            <w:tcBorders>
              <w:left w:val="nil" w:sz="6" w:space="0" w:color="auto"/>
              <w:right w:val="nil" w:sz="6" w:space="0" w:color="auto"/>
            </w:tcBorders>
            <w:shd w:val="clear" w:color="auto" w:fill="DEEAF6"/>
          </w:tcPr>
          <w:p>
            <w:pPr/>
          </w:p>
        </w:tc>
        <w:tc>
          <w:tcPr>
            <w:tcW w:w="742" w:type="dxa"/>
            <w:vMerge/>
            <w:tcBorders>
              <w:left w:val="nil" w:sz="6" w:space="0" w:color="auto"/>
              <w:right w:val="nil" w:sz="6" w:space="0" w:color="auto"/>
            </w:tcBorders>
            <w:shd w:val="clear" w:color="auto" w:fill="DEEAF6"/>
          </w:tcPr>
          <w:p>
            <w:pPr/>
          </w:p>
        </w:tc>
        <w:tc>
          <w:tcPr>
            <w:tcW w:w="749" w:type="dxa"/>
            <w:vMerge/>
            <w:tcBorders>
              <w:left w:val="nil" w:sz="6" w:space="0" w:color="auto"/>
              <w:right w:val="nil" w:sz="6" w:space="0" w:color="auto"/>
            </w:tcBorders>
            <w:shd w:val="clear" w:color="auto" w:fill="DEEAF6"/>
          </w:tcPr>
          <w:p>
            <w:pPr/>
          </w:p>
        </w:tc>
        <w:tc>
          <w:tcPr>
            <w:tcW w:w="763" w:type="dxa"/>
            <w:vMerge/>
            <w:tcBorders>
              <w:left w:val="nil" w:sz="6" w:space="0" w:color="auto"/>
              <w:right w:val="nil" w:sz="6" w:space="0" w:color="auto"/>
            </w:tcBorders>
            <w:shd w:val="clear" w:color="auto" w:fill="DEEAF6"/>
          </w:tcPr>
          <w:p>
            <w:pPr/>
          </w:p>
        </w:tc>
        <w:tc>
          <w:tcPr>
            <w:tcW w:w="721" w:type="dxa"/>
            <w:vMerge/>
            <w:tcBorders>
              <w:left w:val="nil" w:sz="6" w:space="0" w:color="auto"/>
              <w:right w:val="nil" w:sz="6" w:space="0" w:color="auto"/>
            </w:tcBorders>
            <w:shd w:val="clear" w:color="auto" w:fill="DEEAF6"/>
          </w:tcPr>
          <w:p>
            <w:pPr/>
          </w:p>
        </w:tc>
        <w:tc>
          <w:tcPr>
            <w:tcW w:w="756" w:type="dxa"/>
            <w:vMerge/>
            <w:tcBorders>
              <w:left w:val="nil" w:sz="6" w:space="0" w:color="auto"/>
              <w:bottom w:val="nil" w:sz="6" w:space="0" w:color="auto"/>
              <w:right w:val="nil" w:sz="6" w:space="0" w:color="auto"/>
            </w:tcBorders>
            <w:shd w:val="clear" w:color="auto" w:fill="DEEAF6"/>
          </w:tcPr>
          <w:p>
            <w:pPr/>
          </w:p>
        </w:tc>
        <w:tc>
          <w:tcPr>
            <w:tcW w:w="756" w:type="dxa"/>
            <w:vMerge/>
            <w:tcBorders>
              <w:left w:val="nil" w:sz="6" w:space="0" w:color="auto"/>
              <w:bottom w:val="nil" w:sz="6" w:space="0" w:color="auto"/>
              <w:right w:val="nil" w:sz="6" w:space="0" w:color="auto"/>
            </w:tcBorders>
            <w:shd w:val="clear" w:color="auto" w:fill="DEEAF6"/>
          </w:tcPr>
          <w:p>
            <w:pPr/>
          </w:p>
        </w:tc>
      </w:tr>
      <w:tr>
        <w:trPr>
          <w:trHeight w:val="156" w:hRule="exact"/>
        </w:trPr>
        <w:tc>
          <w:tcPr>
            <w:tcW w:w="1500" w:type="dxa"/>
            <w:gridSpan w:val="2"/>
            <w:vMerge w:val="restart"/>
            <w:tcBorders>
              <w:top w:val="nil" w:sz="6" w:space="0" w:color="auto"/>
              <w:left w:val="nil" w:sz="6" w:space="0" w:color="auto"/>
              <w:right w:val="nil" w:sz="6" w:space="0" w:color="auto"/>
            </w:tcBorders>
            <w:shd w:val="clear" w:color="auto" w:fill="DEEAF6"/>
          </w:tcPr>
          <w:p>
            <w:pPr/>
          </w:p>
        </w:tc>
        <w:tc>
          <w:tcPr>
            <w:tcW w:w="749" w:type="dxa"/>
            <w:vMerge/>
            <w:tcBorders>
              <w:left w:val="nil" w:sz="6" w:space="0" w:color="auto"/>
              <w:right w:val="nil" w:sz="6" w:space="0" w:color="auto"/>
            </w:tcBorders>
            <w:shd w:val="clear" w:color="auto" w:fill="DEEAF6"/>
          </w:tcPr>
          <w:p>
            <w:pPr/>
          </w:p>
        </w:tc>
        <w:tc>
          <w:tcPr>
            <w:tcW w:w="763" w:type="dxa"/>
            <w:vMerge/>
            <w:tcBorders>
              <w:left w:val="nil" w:sz="6" w:space="0" w:color="auto"/>
              <w:bottom w:val="nil" w:sz="6" w:space="0" w:color="auto"/>
              <w:right w:val="nil" w:sz="6" w:space="0" w:color="auto"/>
            </w:tcBorders>
            <w:shd w:val="clear" w:color="auto" w:fill="DEEAF6"/>
          </w:tcPr>
          <w:p>
            <w:pPr/>
          </w:p>
        </w:tc>
        <w:tc>
          <w:tcPr>
            <w:tcW w:w="721" w:type="dxa"/>
            <w:vMerge/>
            <w:tcBorders>
              <w:left w:val="nil" w:sz="6" w:space="0" w:color="auto"/>
              <w:right w:val="nil" w:sz="6" w:space="0" w:color="auto"/>
            </w:tcBorders>
            <w:shd w:val="clear" w:color="auto" w:fill="DEEAF6"/>
          </w:tcPr>
          <w:p>
            <w:pPr/>
          </w:p>
        </w:tc>
        <w:tc>
          <w:tcPr>
            <w:tcW w:w="778" w:type="dxa"/>
            <w:vMerge/>
            <w:tcBorders>
              <w:left w:val="nil" w:sz="6" w:space="0" w:color="auto"/>
              <w:bottom w:val="nil" w:sz="6" w:space="0" w:color="auto"/>
              <w:right w:val="nil" w:sz="6" w:space="0" w:color="auto"/>
            </w:tcBorders>
            <w:shd w:val="clear" w:color="auto" w:fill="DEEAF6"/>
          </w:tcPr>
          <w:p>
            <w:pPr/>
          </w:p>
        </w:tc>
        <w:tc>
          <w:tcPr>
            <w:tcW w:w="721" w:type="dxa"/>
            <w:vMerge/>
            <w:tcBorders>
              <w:left w:val="nil" w:sz="6" w:space="0" w:color="auto"/>
              <w:right w:val="nil" w:sz="6" w:space="0" w:color="auto"/>
            </w:tcBorders>
            <w:shd w:val="clear" w:color="auto" w:fill="DEEAF6"/>
          </w:tcPr>
          <w:p>
            <w:pPr/>
          </w:p>
        </w:tc>
        <w:tc>
          <w:tcPr>
            <w:tcW w:w="770" w:type="dxa"/>
            <w:vMerge/>
            <w:tcBorders>
              <w:left w:val="nil" w:sz="6" w:space="0" w:color="auto"/>
              <w:bottom w:val="nil" w:sz="6" w:space="0" w:color="auto"/>
              <w:right w:val="nil" w:sz="6" w:space="0" w:color="auto"/>
            </w:tcBorders>
            <w:shd w:val="clear" w:color="auto" w:fill="DEEAF6"/>
          </w:tcPr>
          <w:p>
            <w:pPr/>
          </w:p>
        </w:tc>
        <w:tc>
          <w:tcPr>
            <w:tcW w:w="742" w:type="dxa"/>
            <w:vMerge/>
            <w:tcBorders>
              <w:left w:val="nil" w:sz="6" w:space="0" w:color="auto"/>
              <w:bottom w:val="nil" w:sz="6" w:space="0" w:color="auto"/>
              <w:right w:val="nil" w:sz="6" w:space="0" w:color="auto"/>
            </w:tcBorders>
            <w:shd w:val="clear" w:color="auto" w:fill="DEEAF6"/>
          </w:tcPr>
          <w:p>
            <w:pPr/>
          </w:p>
        </w:tc>
        <w:tc>
          <w:tcPr>
            <w:tcW w:w="749" w:type="dxa"/>
            <w:vMerge/>
            <w:tcBorders>
              <w:left w:val="nil" w:sz="6" w:space="0" w:color="auto"/>
              <w:right w:val="nil" w:sz="6" w:space="0" w:color="auto"/>
            </w:tcBorders>
            <w:shd w:val="clear" w:color="auto" w:fill="DEEAF6"/>
          </w:tcPr>
          <w:p>
            <w:pPr/>
          </w:p>
        </w:tc>
        <w:tc>
          <w:tcPr>
            <w:tcW w:w="763" w:type="dxa"/>
            <w:vMerge/>
            <w:tcBorders>
              <w:left w:val="nil" w:sz="6" w:space="0" w:color="auto"/>
              <w:right w:val="nil" w:sz="6" w:space="0" w:color="auto"/>
            </w:tcBorders>
            <w:shd w:val="clear" w:color="auto" w:fill="DEEAF6"/>
          </w:tcPr>
          <w:p>
            <w:pPr/>
          </w:p>
        </w:tc>
        <w:tc>
          <w:tcPr>
            <w:tcW w:w="721" w:type="dxa"/>
            <w:vMerge/>
            <w:tcBorders>
              <w:left w:val="nil" w:sz="6" w:space="0" w:color="auto"/>
              <w:right w:val="nil" w:sz="6" w:space="0" w:color="auto"/>
            </w:tcBorders>
            <w:shd w:val="clear" w:color="auto" w:fill="DEEAF6"/>
          </w:tcPr>
          <w:p>
            <w:pPr/>
          </w:p>
        </w:tc>
        <w:tc>
          <w:tcPr>
            <w:tcW w:w="1513" w:type="dxa"/>
            <w:gridSpan w:val="2"/>
            <w:vMerge w:val="restart"/>
            <w:tcBorders>
              <w:top w:val="nil" w:sz="6" w:space="0" w:color="auto"/>
              <w:left w:val="nil" w:sz="6" w:space="0" w:color="auto"/>
              <w:right w:val="nil" w:sz="6" w:space="0" w:color="auto"/>
            </w:tcBorders>
            <w:shd w:val="clear" w:color="auto" w:fill="DEEAF6"/>
          </w:tcPr>
          <w:p>
            <w:pPr/>
          </w:p>
        </w:tc>
      </w:tr>
      <w:tr>
        <w:trPr>
          <w:trHeight w:val="156" w:hRule="exact"/>
        </w:trPr>
        <w:tc>
          <w:tcPr>
            <w:tcW w:w="1500" w:type="dxa"/>
            <w:gridSpan w:val="2"/>
            <w:vMerge/>
            <w:tcBorders>
              <w:left w:val="nil" w:sz="6" w:space="0" w:color="auto"/>
              <w:right w:val="nil" w:sz="6" w:space="0" w:color="auto"/>
            </w:tcBorders>
            <w:shd w:val="clear" w:color="auto" w:fill="DEEAF6"/>
          </w:tcPr>
          <w:p>
            <w:pPr/>
          </w:p>
        </w:tc>
        <w:tc>
          <w:tcPr>
            <w:tcW w:w="749" w:type="dxa"/>
            <w:vMerge/>
            <w:tcBorders>
              <w:left w:val="nil" w:sz="6" w:space="0" w:color="auto"/>
              <w:right w:val="nil" w:sz="6" w:space="0" w:color="auto"/>
            </w:tcBorders>
            <w:shd w:val="clear" w:color="auto" w:fill="DEEAF6"/>
          </w:tcPr>
          <w:p>
            <w:pPr/>
          </w:p>
        </w:tc>
        <w:tc>
          <w:tcPr>
            <w:tcW w:w="763" w:type="dxa"/>
            <w:vMerge w:val="restart"/>
            <w:tcBorders>
              <w:top w:val="nil" w:sz="6" w:space="0" w:color="auto"/>
              <w:left w:val="nil" w:sz="6" w:space="0" w:color="auto"/>
              <w:right w:val="nil" w:sz="6" w:space="0" w:color="auto"/>
            </w:tcBorders>
            <w:shd w:val="clear" w:color="auto" w:fill="DEEAF6"/>
          </w:tcPr>
          <w:p>
            <w:pPr/>
          </w:p>
        </w:tc>
        <w:tc>
          <w:tcPr>
            <w:tcW w:w="721" w:type="dxa"/>
            <w:vMerge/>
            <w:tcBorders>
              <w:left w:val="nil" w:sz="6" w:space="0" w:color="auto"/>
              <w:right w:val="nil" w:sz="6" w:space="0" w:color="auto"/>
            </w:tcBorders>
            <w:shd w:val="clear" w:color="auto" w:fill="DEEAF6"/>
          </w:tcPr>
          <w:p>
            <w:pPr/>
          </w:p>
        </w:tc>
        <w:tc>
          <w:tcPr>
            <w:tcW w:w="778" w:type="dxa"/>
            <w:vMerge w:val="restart"/>
            <w:tcBorders>
              <w:top w:val="nil" w:sz="6" w:space="0" w:color="auto"/>
              <w:left w:val="nil" w:sz="6" w:space="0" w:color="auto"/>
              <w:right w:val="nil" w:sz="6" w:space="0" w:color="auto"/>
            </w:tcBorders>
            <w:shd w:val="clear" w:color="auto" w:fill="DEEAF6"/>
          </w:tcPr>
          <w:p>
            <w:pPr/>
          </w:p>
        </w:tc>
        <w:tc>
          <w:tcPr>
            <w:tcW w:w="721" w:type="dxa"/>
            <w:vMerge/>
            <w:tcBorders>
              <w:left w:val="nil" w:sz="6" w:space="0" w:color="auto"/>
              <w:right w:val="nil" w:sz="6" w:space="0" w:color="auto"/>
            </w:tcBorders>
            <w:shd w:val="clear" w:color="auto" w:fill="DEEAF6"/>
          </w:tcPr>
          <w:p>
            <w:pPr/>
          </w:p>
        </w:tc>
        <w:tc>
          <w:tcPr>
            <w:tcW w:w="1512" w:type="dxa"/>
            <w:gridSpan w:val="2"/>
            <w:vMerge w:val="restart"/>
            <w:tcBorders>
              <w:top w:val="nil" w:sz="6" w:space="0" w:color="auto"/>
              <w:left w:val="nil" w:sz="6" w:space="0" w:color="auto"/>
              <w:right w:val="nil" w:sz="6" w:space="0" w:color="auto"/>
            </w:tcBorders>
            <w:shd w:val="clear" w:color="auto" w:fill="DEEAF6"/>
          </w:tcPr>
          <w:p>
            <w:pPr/>
          </w:p>
        </w:tc>
        <w:tc>
          <w:tcPr>
            <w:tcW w:w="749" w:type="dxa"/>
            <w:vMerge/>
            <w:tcBorders>
              <w:left w:val="nil" w:sz="6" w:space="0" w:color="auto"/>
              <w:bottom w:val="nil" w:sz="6" w:space="0" w:color="auto"/>
              <w:right w:val="nil" w:sz="6" w:space="0" w:color="auto"/>
            </w:tcBorders>
            <w:shd w:val="clear" w:color="auto" w:fill="DEEAF6"/>
          </w:tcPr>
          <w:p>
            <w:pPr/>
          </w:p>
        </w:tc>
        <w:tc>
          <w:tcPr>
            <w:tcW w:w="763" w:type="dxa"/>
            <w:vMerge/>
            <w:tcBorders>
              <w:left w:val="nil" w:sz="6" w:space="0" w:color="auto"/>
              <w:right w:val="nil" w:sz="6" w:space="0" w:color="auto"/>
            </w:tcBorders>
            <w:shd w:val="clear" w:color="auto" w:fill="DEEAF6"/>
          </w:tcPr>
          <w:p>
            <w:pPr/>
          </w:p>
        </w:tc>
        <w:tc>
          <w:tcPr>
            <w:tcW w:w="721" w:type="dxa"/>
            <w:vMerge/>
            <w:tcBorders>
              <w:left w:val="nil" w:sz="6" w:space="0" w:color="auto"/>
              <w:right w:val="nil" w:sz="6" w:space="0" w:color="auto"/>
            </w:tcBorders>
            <w:shd w:val="clear" w:color="auto" w:fill="DEEAF6"/>
          </w:tcPr>
          <w:p>
            <w:pPr/>
          </w:p>
        </w:tc>
        <w:tc>
          <w:tcPr>
            <w:tcW w:w="1513" w:type="dxa"/>
            <w:gridSpan w:val="2"/>
            <w:vMerge/>
            <w:tcBorders>
              <w:left w:val="nil" w:sz="6" w:space="0" w:color="auto"/>
              <w:right w:val="nil" w:sz="6" w:space="0" w:color="auto"/>
            </w:tcBorders>
            <w:shd w:val="clear" w:color="auto" w:fill="DEEAF6"/>
          </w:tcPr>
          <w:p>
            <w:pPr/>
          </w:p>
        </w:tc>
      </w:tr>
      <w:tr>
        <w:trPr>
          <w:trHeight w:val="156" w:hRule="exact"/>
        </w:trPr>
        <w:tc>
          <w:tcPr>
            <w:tcW w:w="1500" w:type="dxa"/>
            <w:gridSpan w:val="2"/>
            <w:vMerge/>
            <w:tcBorders>
              <w:left w:val="nil" w:sz="6" w:space="0" w:color="auto"/>
              <w:right w:val="nil" w:sz="6" w:space="0" w:color="auto"/>
            </w:tcBorders>
            <w:shd w:val="clear" w:color="auto" w:fill="DEEAF6"/>
          </w:tcPr>
          <w:p>
            <w:pPr/>
          </w:p>
        </w:tc>
        <w:tc>
          <w:tcPr>
            <w:tcW w:w="749" w:type="dxa"/>
            <w:vMerge/>
            <w:tcBorders>
              <w:left w:val="nil" w:sz="6" w:space="0" w:color="auto"/>
              <w:right w:val="nil" w:sz="6" w:space="0" w:color="auto"/>
            </w:tcBorders>
            <w:shd w:val="clear" w:color="auto" w:fill="DEEAF6"/>
          </w:tcPr>
          <w:p>
            <w:pPr/>
          </w:p>
        </w:tc>
        <w:tc>
          <w:tcPr>
            <w:tcW w:w="763" w:type="dxa"/>
            <w:vMerge/>
            <w:tcBorders>
              <w:left w:val="nil" w:sz="6" w:space="0" w:color="auto"/>
              <w:right w:val="nil" w:sz="6" w:space="0" w:color="auto"/>
            </w:tcBorders>
            <w:shd w:val="clear" w:color="auto" w:fill="DEEAF6"/>
          </w:tcPr>
          <w:p>
            <w:pPr/>
          </w:p>
        </w:tc>
        <w:tc>
          <w:tcPr>
            <w:tcW w:w="721" w:type="dxa"/>
            <w:vMerge/>
            <w:tcBorders>
              <w:left w:val="nil" w:sz="6" w:space="0" w:color="auto"/>
              <w:right w:val="nil" w:sz="6" w:space="0" w:color="auto"/>
            </w:tcBorders>
            <w:shd w:val="clear" w:color="auto" w:fill="DEEAF6"/>
          </w:tcPr>
          <w:p>
            <w:pPr/>
          </w:p>
        </w:tc>
        <w:tc>
          <w:tcPr>
            <w:tcW w:w="778" w:type="dxa"/>
            <w:vMerge/>
            <w:tcBorders>
              <w:left w:val="nil" w:sz="6" w:space="0" w:color="auto"/>
              <w:right w:val="nil" w:sz="6" w:space="0" w:color="auto"/>
            </w:tcBorders>
            <w:shd w:val="clear" w:color="auto" w:fill="DEEAF6"/>
          </w:tcPr>
          <w:p>
            <w:pPr/>
          </w:p>
        </w:tc>
        <w:tc>
          <w:tcPr>
            <w:tcW w:w="721" w:type="dxa"/>
            <w:vMerge/>
            <w:tcBorders>
              <w:left w:val="nil" w:sz="6" w:space="0" w:color="auto"/>
              <w:right w:val="nil" w:sz="6" w:space="0" w:color="auto"/>
            </w:tcBorders>
            <w:shd w:val="clear" w:color="auto" w:fill="DEEAF6"/>
          </w:tcPr>
          <w:p>
            <w:pPr/>
          </w:p>
        </w:tc>
        <w:tc>
          <w:tcPr>
            <w:tcW w:w="1512" w:type="dxa"/>
            <w:gridSpan w:val="2"/>
            <w:vMerge/>
            <w:tcBorders>
              <w:left w:val="nil" w:sz="6" w:space="0" w:color="auto"/>
              <w:right w:val="nil" w:sz="6" w:space="0" w:color="auto"/>
            </w:tcBorders>
            <w:shd w:val="clear" w:color="auto" w:fill="DEEAF6"/>
          </w:tcPr>
          <w:p>
            <w:pPr/>
          </w:p>
        </w:tc>
        <w:tc>
          <w:tcPr>
            <w:tcW w:w="749" w:type="dxa"/>
            <w:vMerge w:val="restart"/>
            <w:tcBorders>
              <w:top w:val="nil" w:sz="6" w:space="0" w:color="auto"/>
              <w:left w:val="nil" w:sz="6" w:space="0" w:color="auto"/>
              <w:right w:val="nil" w:sz="6" w:space="0" w:color="auto"/>
            </w:tcBorders>
            <w:shd w:val="clear" w:color="auto" w:fill="DEEAF6"/>
          </w:tcPr>
          <w:p>
            <w:pPr/>
          </w:p>
        </w:tc>
        <w:tc>
          <w:tcPr>
            <w:tcW w:w="763" w:type="dxa"/>
            <w:vMerge/>
            <w:tcBorders>
              <w:left w:val="nil" w:sz="6" w:space="0" w:color="auto"/>
              <w:bottom w:val="nil" w:sz="6" w:space="0" w:color="auto"/>
              <w:right w:val="nil" w:sz="6" w:space="0" w:color="auto"/>
            </w:tcBorders>
            <w:shd w:val="clear" w:color="auto" w:fill="DEEAF6"/>
          </w:tcPr>
          <w:p>
            <w:pPr/>
          </w:p>
        </w:tc>
        <w:tc>
          <w:tcPr>
            <w:tcW w:w="721" w:type="dxa"/>
            <w:vMerge/>
            <w:tcBorders>
              <w:left w:val="nil" w:sz="6" w:space="0" w:color="auto"/>
              <w:right w:val="nil" w:sz="6" w:space="0" w:color="auto"/>
            </w:tcBorders>
            <w:shd w:val="clear" w:color="auto" w:fill="DEEAF6"/>
          </w:tcPr>
          <w:p>
            <w:pPr/>
          </w:p>
        </w:tc>
        <w:tc>
          <w:tcPr>
            <w:tcW w:w="1513" w:type="dxa"/>
            <w:gridSpan w:val="2"/>
            <w:vMerge/>
            <w:tcBorders>
              <w:left w:val="nil" w:sz="6" w:space="0" w:color="auto"/>
              <w:right w:val="nil" w:sz="6" w:space="0" w:color="auto"/>
            </w:tcBorders>
            <w:shd w:val="clear" w:color="auto" w:fill="DEEAF6"/>
          </w:tcPr>
          <w:p>
            <w:pPr/>
          </w:p>
        </w:tc>
      </w:tr>
      <w:tr>
        <w:trPr>
          <w:trHeight w:val="468" w:hRule="exact"/>
        </w:trPr>
        <w:tc>
          <w:tcPr>
            <w:tcW w:w="1500" w:type="dxa"/>
            <w:gridSpan w:val="2"/>
            <w:vMerge/>
            <w:tcBorders>
              <w:left w:val="nil" w:sz="6" w:space="0" w:color="auto"/>
              <w:right w:val="nil" w:sz="6" w:space="0" w:color="auto"/>
            </w:tcBorders>
            <w:shd w:val="clear" w:color="auto" w:fill="DEEAF6"/>
          </w:tcPr>
          <w:p>
            <w:pPr/>
          </w:p>
        </w:tc>
        <w:tc>
          <w:tcPr>
            <w:tcW w:w="749" w:type="dxa"/>
            <w:vMerge/>
            <w:tcBorders>
              <w:left w:val="nil" w:sz="6" w:space="0" w:color="auto"/>
              <w:right w:val="nil" w:sz="6" w:space="0" w:color="auto"/>
            </w:tcBorders>
            <w:shd w:val="clear" w:color="auto" w:fill="DEEAF6"/>
          </w:tcPr>
          <w:p>
            <w:pPr/>
          </w:p>
        </w:tc>
        <w:tc>
          <w:tcPr>
            <w:tcW w:w="763" w:type="dxa"/>
            <w:vMerge/>
            <w:tcBorders>
              <w:left w:val="nil" w:sz="6" w:space="0" w:color="auto"/>
              <w:right w:val="nil" w:sz="6" w:space="0" w:color="auto"/>
            </w:tcBorders>
            <w:shd w:val="clear" w:color="auto" w:fill="DEEAF6"/>
          </w:tcPr>
          <w:p>
            <w:pPr/>
          </w:p>
        </w:tc>
        <w:tc>
          <w:tcPr>
            <w:tcW w:w="721" w:type="dxa"/>
            <w:vMerge/>
            <w:tcBorders>
              <w:left w:val="nil" w:sz="6" w:space="0" w:color="auto"/>
              <w:right w:val="nil" w:sz="6" w:space="0" w:color="auto"/>
            </w:tcBorders>
            <w:shd w:val="clear" w:color="auto" w:fill="DEEAF6"/>
          </w:tcPr>
          <w:p>
            <w:pPr/>
          </w:p>
        </w:tc>
        <w:tc>
          <w:tcPr>
            <w:tcW w:w="778" w:type="dxa"/>
            <w:vMerge/>
            <w:tcBorders>
              <w:left w:val="nil" w:sz="6" w:space="0" w:color="auto"/>
              <w:right w:val="nil" w:sz="6" w:space="0" w:color="auto"/>
            </w:tcBorders>
            <w:shd w:val="clear" w:color="auto" w:fill="DEEAF6"/>
          </w:tcPr>
          <w:p>
            <w:pPr/>
          </w:p>
        </w:tc>
        <w:tc>
          <w:tcPr>
            <w:tcW w:w="721" w:type="dxa"/>
            <w:vMerge/>
            <w:tcBorders>
              <w:left w:val="nil" w:sz="6" w:space="0" w:color="auto"/>
              <w:bottom w:val="nil" w:sz="6" w:space="0" w:color="auto"/>
              <w:right w:val="nil" w:sz="6" w:space="0" w:color="auto"/>
            </w:tcBorders>
            <w:shd w:val="clear" w:color="auto" w:fill="DEEAF6"/>
          </w:tcPr>
          <w:p>
            <w:pPr/>
          </w:p>
        </w:tc>
        <w:tc>
          <w:tcPr>
            <w:tcW w:w="1512" w:type="dxa"/>
            <w:gridSpan w:val="2"/>
            <w:vMerge/>
            <w:tcBorders>
              <w:left w:val="nil" w:sz="6" w:space="0" w:color="auto"/>
              <w:right w:val="nil" w:sz="6" w:space="0" w:color="auto"/>
            </w:tcBorders>
            <w:shd w:val="clear" w:color="auto" w:fill="DEEAF6"/>
          </w:tcPr>
          <w:p>
            <w:pPr/>
          </w:p>
        </w:tc>
        <w:tc>
          <w:tcPr>
            <w:tcW w:w="749" w:type="dxa"/>
            <w:vMerge/>
            <w:tcBorders>
              <w:left w:val="nil" w:sz="6" w:space="0" w:color="auto"/>
              <w:right w:val="nil" w:sz="6" w:space="0" w:color="auto"/>
            </w:tcBorders>
            <w:shd w:val="clear" w:color="auto" w:fill="DEEAF6"/>
          </w:tcPr>
          <w:p>
            <w:pPr/>
          </w:p>
        </w:tc>
        <w:tc>
          <w:tcPr>
            <w:tcW w:w="763" w:type="dxa"/>
            <w:vMerge w:val="restart"/>
            <w:tcBorders>
              <w:top w:val="nil" w:sz="6" w:space="0" w:color="auto"/>
              <w:left w:val="nil" w:sz="6" w:space="0" w:color="auto"/>
              <w:right w:val="nil" w:sz="6" w:space="0" w:color="auto"/>
            </w:tcBorders>
            <w:shd w:val="clear" w:color="auto" w:fill="DEEAF6"/>
          </w:tcPr>
          <w:p>
            <w:pPr/>
          </w:p>
        </w:tc>
        <w:tc>
          <w:tcPr>
            <w:tcW w:w="721" w:type="dxa"/>
            <w:vMerge/>
            <w:tcBorders>
              <w:left w:val="nil" w:sz="6" w:space="0" w:color="auto"/>
              <w:right w:val="nil" w:sz="6" w:space="0" w:color="auto"/>
            </w:tcBorders>
            <w:shd w:val="clear" w:color="auto" w:fill="DEEAF6"/>
          </w:tcPr>
          <w:p>
            <w:pPr/>
          </w:p>
        </w:tc>
        <w:tc>
          <w:tcPr>
            <w:tcW w:w="1513" w:type="dxa"/>
            <w:gridSpan w:val="2"/>
            <w:vMerge/>
            <w:tcBorders>
              <w:left w:val="nil" w:sz="6" w:space="0" w:color="auto"/>
              <w:right w:val="nil" w:sz="6" w:space="0" w:color="auto"/>
            </w:tcBorders>
            <w:shd w:val="clear" w:color="auto" w:fill="DEEAF6"/>
          </w:tcPr>
          <w:p>
            <w:pPr/>
          </w:p>
        </w:tc>
      </w:tr>
      <w:tr>
        <w:trPr>
          <w:trHeight w:val="156" w:hRule="exact"/>
        </w:trPr>
        <w:tc>
          <w:tcPr>
            <w:tcW w:w="1500" w:type="dxa"/>
            <w:gridSpan w:val="2"/>
            <w:vMerge/>
            <w:tcBorders>
              <w:left w:val="nil" w:sz="6" w:space="0" w:color="auto"/>
              <w:right w:val="nil" w:sz="6" w:space="0" w:color="auto"/>
            </w:tcBorders>
            <w:shd w:val="clear" w:color="auto" w:fill="DEEAF6"/>
          </w:tcPr>
          <w:p>
            <w:pPr/>
          </w:p>
        </w:tc>
        <w:tc>
          <w:tcPr>
            <w:tcW w:w="749" w:type="dxa"/>
            <w:vMerge/>
            <w:tcBorders>
              <w:left w:val="nil" w:sz="6" w:space="0" w:color="auto"/>
              <w:right w:val="nil" w:sz="6" w:space="0" w:color="auto"/>
            </w:tcBorders>
            <w:shd w:val="clear" w:color="auto" w:fill="DEEAF6"/>
          </w:tcPr>
          <w:p>
            <w:pPr/>
          </w:p>
        </w:tc>
        <w:tc>
          <w:tcPr>
            <w:tcW w:w="763" w:type="dxa"/>
            <w:vMerge/>
            <w:tcBorders>
              <w:left w:val="nil" w:sz="6" w:space="0" w:color="auto"/>
              <w:right w:val="nil" w:sz="6" w:space="0" w:color="auto"/>
            </w:tcBorders>
            <w:shd w:val="clear" w:color="auto" w:fill="DEEAF6"/>
          </w:tcPr>
          <w:p>
            <w:pPr/>
          </w:p>
        </w:tc>
        <w:tc>
          <w:tcPr>
            <w:tcW w:w="721" w:type="dxa"/>
            <w:vMerge/>
            <w:tcBorders>
              <w:left w:val="nil" w:sz="6" w:space="0" w:color="auto"/>
              <w:bottom w:val="nil" w:sz="6" w:space="0" w:color="auto"/>
              <w:right w:val="nil" w:sz="6" w:space="0" w:color="auto"/>
            </w:tcBorders>
            <w:shd w:val="clear" w:color="auto" w:fill="DEEAF6"/>
          </w:tcPr>
          <w:p>
            <w:pPr/>
          </w:p>
        </w:tc>
        <w:tc>
          <w:tcPr>
            <w:tcW w:w="778" w:type="dxa"/>
            <w:vMerge/>
            <w:tcBorders>
              <w:left w:val="nil" w:sz="6" w:space="0" w:color="auto"/>
              <w:right w:val="nil" w:sz="6" w:space="0" w:color="auto"/>
            </w:tcBorders>
            <w:shd w:val="clear" w:color="auto" w:fill="DEEAF6"/>
          </w:tcPr>
          <w:p>
            <w:pPr/>
          </w:p>
        </w:tc>
        <w:tc>
          <w:tcPr>
            <w:tcW w:w="721" w:type="dxa"/>
            <w:vMerge w:val="restart"/>
            <w:tcBorders>
              <w:top w:val="nil" w:sz="6" w:space="0" w:color="auto"/>
              <w:left w:val="nil" w:sz="6" w:space="0" w:color="auto"/>
              <w:right w:val="nil" w:sz="6" w:space="0" w:color="auto"/>
            </w:tcBorders>
            <w:shd w:val="clear" w:color="auto" w:fill="DEEAF6"/>
          </w:tcPr>
          <w:p>
            <w:pPr/>
          </w:p>
        </w:tc>
        <w:tc>
          <w:tcPr>
            <w:tcW w:w="1512" w:type="dxa"/>
            <w:gridSpan w:val="2"/>
            <w:vMerge/>
            <w:tcBorders>
              <w:left w:val="nil" w:sz="6" w:space="0" w:color="auto"/>
              <w:right w:val="nil" w:sz="6" w:space="0" w:color="auto"/>
            </w:tcBorders>
            <w:shd w:val="clear" w:color="auto" w:fill="DEEAF6"/>
          </w:tcPr>
          <w:p>
            <w:pPr/>
          </w:p>
        </w:tc>
        <w:tc>
          <w:tcPr>
            <w:tcW w:w="749" w:type="dxa"/>
            <w:vMerge/>
            <w:tcBorders>
              <w:left w:val="nil" w:sz="6" w:space="0" w:color="auto"/>
              <w:right w:val="nil" w:sz="6" w:space="0" w:color="auto"/>
            </w:tcBorders>
            <w:shd w:val="clear" w:color="auto" w:fill="DEEAF6"/>
          </w:tcPr>
          <w:p>
            <w:pPr/>
          </w:p>
        </w:tc>
        <w:tc>
          <w:tcPr>
            <w:tcW w:w="763" w:type="dxa"/>
            <w:vMerge/>
            <w:tcBorders>
              <w:left w:val="nil" w:sz="6" w:space="0" w:color="auto"/>
              <w:right w:val="nil" w:sz="6" w:space="0" w:color="auto"/>
            </w:tcBorders>
            <w:shd w:val="clear" w:color="auto" w:fill="DEEAF6"/>
          </w:tcPr>
          <w:p>
            <w:pPr/>
          </w:p>
        </w:tc>
        <w:tc>
          <w:tcPr>
            <w:tcW w:w="721" w:type="dxa"/>
            <w:vMerge/>
            <w:tcBorders>
              <w:left w:val="nil" w:sz="6" w:space="0" w:color="auto"/>
              <w:right w:val="nil" w:sz="6" w:space="0" w:color="auto"/>
            </w:tcBorders>
            <w:shd w:val="clear" w:color="auto" w:fill="DEEAF6"/>
          </w:tcPr>
          <w:p>
            <w:pPr/>
          </w:p>
        </w:tc>
        <w:tc>
          <w:tcPr>
            <w:tcW w:w="1513" w:type="dxa"/>
            <w:gridSpan w:val="2"/>
            <w:vMerge/>
            <w:tcBorders>
              <w:left w:val="nil" w:sz="6" w:space="0" w:color="auto"/>
              <w:right w:val="nil" w:sz="6" w:space="0" w:color="auto"/>
            </w:tcBorders>
            <w:shd w:val="clear" w:color="auto" w:fill="DEEAF6"/>
          </w:tcPr>
          <w:p>
            <w:pPr/>
          </w:p>
        </w:tc>
      </w:tr>
      <w:tr>
        <w:trPr>
          <w:trHeight w:val="437" w:hRule="exact"/>
        </w:trPr>
        <w:tc>
          <w:tcPr>
            <w:tcW w:w="1500" w:type="dxa"/>
            <w:gridSpan w:val="2"/>
            <w:vMerge/>
            <w:tcBorders>
              <w:left w:val="nil" w:sz="6" w:space="0" w:color="auto"/>
              <w:bottom w:val="single" w:sz="4" w:space="0" w:color="5B9BD4"/>
              <w:right w:val="nil" w:sz="6" w:space="0" w:color="auto"/>
            </w:tcBorders>
            <w:shd w:val="clear" w:color="auto" w:fill="DEEAF6"/>
          </w:tcPr>
          <w:p>
            <w:pPr/>
          </w:p>
        </w:tc>
        <w:tc>
          <w:tcPr>
            <w:tcW w:w="749" w:type="dxa"/>
            <w:vMerge/>
            <w:tcBorders>
              <w:left w:val="nil" w:sz="6" w:space="0" w:color="auto"/>
              <w:bottom w:val="single" w:sz="4" w:space="0" w:color="5B9BD4"/>
              <w:right w:val="nil" w:sz="6" w:space="0" w:color="auto"/>
            </w:tcBorders>
            <w:shd w:val="clear" w:color="auto" w:fill="DEEAF6"/>
          </w:tcPr>
          <w:p>
            <w:pPr/>
          </w:p>
        </w:tc>
        <w:tc>
          <w:tcPr>
            <w:tcW w:w="763" w:type="dxa"/>
            <w:vMerge/>
            <w:tcBorders>
              <w:left w:val="nil" w:sz="6" w:space="0" w:color="auto"/>
              <w:bottom w:val="single" w:sz="4" w:space="0" w:color="5B9BD4"/>
              <w:right w:val="nil" w:sz="6" w:space="0" w:color="auto"/>
            </w:tcBorders>
            <w:shd w:val="clear" w:color="auto" w:fill="DEEAF6"/>
          </w:tcPr>
          <w:p>
            <w:pPr/>
          </w:p>
        </w:tc>
        <w:tc>
          <w:tcPr>
            <w:tcW w:w="721" w:type="dxa"/>
            <w:tcBorders>
              <w:top w:val="nil" w:sz="6" w:space="0" w:color="auto"/>
              <w:left w:val="nil" w:sz="6" w:space="0" w:color="auto"/>
              <w:bottom w:val="single" w:sz="4" w:space="0" w:color="5B9BD4"/>
              <w:right w:val="nil" w:sz="6" w:space="0" w:color="auto"/>
            </w:tcBorders>
            <w:shd w:val="clear" w:color="auto" w:fill="DEEAF6"/>
          </w:tcPr>
          <w:p>
            <w:pPr/>
          </w:p>
        </w:tc>
        <w:tc>
          <w:tcPr>
            <w:tcW w:w="778" w:type="dxa"/>
            <w:vMerge/>
            <w:tcBorders>
              <w:left w:val="nil" w:sz="6" w:space="0" w:color="auto"/>
              <w:bottom w:val="single" w:sz="4" w:space="0" w:color="5B9BD4"/>
              <w:right w:val="nil" w:sz="6" w:space="0" w:color="auto"/>
            </w:tcBorders>
            <w:shd w:val="clear" w:color="auto" w:fill="DEEAF6"/>
          </w:tcPr>
          <w:p>
            <w:pPr/>
          </w:p>
        </w:tc>
        <w:tc>
          <w:tcPr>
            <w:tcW w:w="721" w:type="dxa"/>
            <w:vMerge/>
            <w:tcBorders>
              <w:left w:val="nil" w:sz="6" w:space="0" w:color="auto"/>
              <w:bottom w:val="single" w:sz="4" w:space="0" w:color="5B9BD4"/>
              <w:right w:val="nil" w:sz="6" w:space="0" w:color="auto"/>
            </w:tcBorders>
            <w:shd w:val="clear" w:color="auto" w:fill="DEEAF6"/>
          </w:tcPr>
          <w:p>
            <w:pPr/>
          </w:p>
        </w:tc>
        <w:tc>
          <w:tcPr>
            <w:tcW w:w="1512" w:type="dxa"/>
            <w:gridSpan w:val="2"/>
            <w:vMerge/>
            <w:tcBorders>
              <w:left w:val="nil" w:sz="6" w:space="0" w:color="auto"/>
              <w:bottom w:val="single" w:sz="4" w:space="0" w:color="5B9BD4"/>
              <w:right w:val="nil" w:sz="6" w:space="0" w:color="auto"/>
            </w:tcBorders>
            <w:shd w:val="clear" w:color="auto" w:fill="DEEAF6"/>
          </w:tcPr>
          <w:p>
            <w:pPr/>
          </w:p>
        </w:tc>
        <w:tc>
          <w:tcPr>
            <w:tcW w:w="749" w:type="dxa"/>
            <w:vMerge/>
            <w:tcBorders>
              <w:left w:val="nil" w:sz="6" w:space="0" w:color="auto"/>
              <w:bottom w:val="single" w:sz="4" w:space="0" w:color="5B9BD4"/>
              <w:right w:val="nil" w:sz="6" w:space="0" w:color="auto"/>
            </w:tcBorders>
            <w:shd w:val="clear" w:color="auto" w:fill="DEEAF6"/>
          </w:tcPr>
          <w:p>
            <w:pPr/>
          </w:p>
        </w:tc>
        <w:tc>
          <w:tcPr>
            <w:tcW w:w="763" w:type="dxa"/>
            <w:vMerge/>
            <w:tcBorders>
              <w:left w:val="nil" w:sz="6" w:space="0" w:color="auto"/>
              <w:bottom w:val="single" w:sz="4" w:space="0" w:color="5B9BD4"/>
              <w:right w:val="nil" w:sz="6" w:space="0" w:color="auto"/>
            </w:tcBorders>
            <w:shd w:val="clear" w:color="auto" w:fill="DEEAF6"/>
          </w:tcPr>
          <w:p>
            <w:pPr/>
          </w:p>
        </w:tc>
        <w:tc>
          <w:tcPr>
            <w:tcW w:w="721" w:type="dxa"/>
            <w:vMerge/>
            <w:tcBorders>
              <w:left w:val="nil" w:sz="6" w:space="0" w:color="auto"/>
              <w:bottom w:val="single" w:sz="4" w:space="0" w:color="5B9BD4"/>
              <w:right w:val="nil" w:sz="6" w:space="0" w:color="auto"/>
            </w:tcBorders>
            <w:shd w:val="clear" w:color="auto" w:fill="DEEAF6"/>
          </w:tcPr>
          <w:p>
            <w:pPr/>
          </w:p>
        </w:tc>
        <w:tc>
          <w:tcPr>
            <w:tcW w:w="1513" w:type="dxa"/>
            <w:gridSpan w:val="2"/>
            <w:vMerge/>
            <w:tcBorders>
              <w:left w:val="nil" w:sz="6" w:space="0" w:color="auto"/>
              <w:bottom w:val="single" w:sz="4" w:space="0" w:color="5B9BD4"/>
              <w:right w:val="nil" w:sz="6" w:space="0" w:color="auto"/>
            </w:tcBorders>
            <w:shd w:val="clear" w:color="auto" w:fill="DEEAF6"/>
          </w:tcPr>
          <w:p>
            <w:pPr/>
          </w:p>
        </w:tc>
      </w:tr>
      <w:tr>
        <w:trPr>
          <w:trHeight w:val="317" w:hRule="exact"/>
        </w:trPr>
        <w:tc>
          <w:tcPr>
            <w:tcW w:w="744" w:type="dxa"/>
            <w:vMerge w:val="restart"/>
            <w:tcBorders>
              <w:top w:val="single" w:sz="4" w:space="0" w:color="5B9BD4"/>
              <w:left w:val="nil" w:sz="6" w:space="0" w:color="auto"/>
              <w:right w:val="nil" w:sz="6" w:space="0" w:color="auto"/>
            </w:tcBorders>
            <w:shd w:val="clear" w:color="auto" w:fill="DEEAF6"/>
          </w:tcPr>
          <w:p>
            <w:pPr/>
          </w:p>
        </w:tc>
        <w:tc>
          <w:tcPr>
            <w:tcW w:w="757" w:type="dxa"/>
            <w:vMerge w:val="restart"/>
            <w:tcBorders>
              <w:top w:val="single" w:sz="4" w:space="0" w:color="5B9BD4"/>
              <w:left w:val="nil" w:sz="6" w:space="0" w:color="auto"/>
              <w:right w:val="nil" w:sz="6" w:space="0" w:color="auto"/>
            </w:tcBorders>
          </w:tcPr>
          <w:p>
            <w:pPr>
              <w:pStyle w:val="TableParagraph"/>
              <w:spacing w:line="316" w:lineRule="auto" w:before="46"/>
              <w:ind w:left="35" w:right="179"/>
              <w:jc w:val="both"/>
              <w:rPr>
                <w:rFonts w:ascii="宋体" w:hAnsi="宋体" w:cs="宋体" w:eastAsia="宋体" w:hint="default"/>
                <w:sz w:val="18"/>
                <w:szCs w:val="18"/>
              </w:rPr>
            </w:pPr>
            <w:r>
              <w:rPr>
                <w:rFonts w:ascii="宋体" w:hAnsi="宋体" w:cs="宋体" w:eastAsia="宋体" w:hint="default"/>
                <w:sz w:val="18"/>
                <w:szCs w:val="18"/>
              </w:rPr>
              <w:t>北京全 彩时代 网络科 技有限 公司</w:t>
            </w:r>
          </w:p>
        </w:tc>
        <w:tc>
          <w:tcPr>
            <w:tcW w:w="749" w:type="dxa"/>
            <w:tcBorders>
              <w:top w:val="single" w:sz="4" w:space="0" w:color="5B9BD4"/>
              <w:left w:val="nil" w:sz="6" w:space="0" w:color="auto"/>
              <w:bottom w:val="nil" w:sz="6" w:space="0" w:color="auto"/>
              <w:right w:val="nil" w:sz="6" w:space="0" w:color="auto"/>
            </w:tcBorders>
            <w:shd w:val="clear" w:color="auto" w:fill="DEEAF6"/>
          </w:tcPr>
          <w:p>
            <w:pPr/>
          </w:p>
        </w:tc>
        <w:tc>
          <w:tcPr>
            <w:tcW w:w="763"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71" w:right="0"/>
              <w:jc w:val="left"/>
              <w:rPr>
                <w:rFonts w:ascii="Arial" w:hAnsi="Arial" w:cs="Arial" w:eastAsia="Arial" w:hint="default"/>
                <w:sz w:val="18"/>
                <w:szCs w:val="18"/>
              </w:rPr>
            </w:pPr>
            <w:r>
              <w:rPr>
                <w:rFonts w:ascii="Arial"/>
                <w:sz w:val="18"/>
              </w:rPr>
              <w:t>3,700</w:t>
            </w:r>
          </w:p>
        </w:tc>
        <w:tc>
          <w:tcPr>
            <w:tcW w:w="721" w:type="dxa"/>
            <w:vMerge w:val="restart"/>
            <w:tcBorders>
              <w:top w:val="single" w:sz="4" w:space="0" w:color="5B9BD4"/>
              <w:left w:val="nil" w:sz="6" w:space="0" w:color="auto"/>
              <w:right w:val="nil" w:sz="6" w:space="0" w:color="auto"/>
            </w:tcBorders>
            <w:shd w:val="clear" w:color="auto" w:fill="DEEAF6"/>
          </w:tcPr>
          <w:p>
            <w:pPr/>
          </w:p>
        </w:tc>
        <w:tc>
          <w:tcPr>
            <w:tcW w:w="778"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42" w:right="42"/>
              <w:jc w:val="left"/>
              <w:rPr>
                <w:rFonts w:ascii="宋体" w:hAnsi="宋体" w:cs="宋体" w:eastAsia="宋体" w:hint="default"/>
                <w:sz w:val="18"/>
                <w:szCs w:val="18"/>
              </w:rPr>
            </w:pPr>
            <w:r>
              <w:rPr>
                <w:rFonts w:ascii="宋体" w:hAnsi="宋体" w:cs="宋体" w:eastAsia="宋体" w:hint="default"/>
                <w:sz w:val="18"/>
                <w:szCs w:val="18"/>
              </w:rPr>
              <w:t>增加投 资收益 </w:t>
            </w:r>
            <w:r>
              <w:rPr>
                <w:rFonts w:ascii="Arial" w:hAnsi="Arial" w:cs="Arial" w:eastAsia="Arial" w:hint="default"/>
                <w:sz w:val="18"/>
                <w:szCs w:val="18"/>
              </w:rPr>
              <w:t>700</w:t>
            </w:r>
            <w:r>
              <w:rPr>
                <w:rFonts w:ascii="Arial" w:hAnsi="Arial" w:cs="Arial" w:eastAsia="Arial" w:hint="default"/>
                <w:spacing w:val="-21"/>
                <w:sz w:val="18"/>
                <w:szCs w:val="18"/>
              </w:rPr>
              <w:t> </w:t>
            </w:r>
            <w:r>
              <w:rPr>
                <w:rFonts w:ascii="宋体" w:hAnsi="宋体" w:cs="宋体" w:eastAsia="宋体" w:hint="default"/>
                <w:sz w:val="18"/>
                <w:szCs w:val="18"/>
              </w:rPr>
              <w:t>万元</w:t>
            </w:r>
          </w:p>
        </w:tc>
        <w:tc>
          <w:tcPr>
            <w:tcW w:w="721" w:type="dxa"/>
            <w:vMerge w:val="restart"/>
            <w:tcBorders>
              <w:top w:val="single" w:sz="4" w:space="0" w:color="5B9BD4"/>
              <w:left w:val="nil" w:sz="6" w:space="0" w:color="auto"/>
              <w:right w:val="nil" w:sz="6" w:space="0" w:color="auto"/>
            </w:tcBorders>
            <w:shd w:val="clear" w:color="auto" w:fill="DEEAF6"/>
          </w:tcPr>
          <w:p>
            <w:pPr/>
          </w:p>
        </w:tc>
        <w:tc>
          <w:tcPr>
            <w:tcW w:w="770"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协议价</w:t>
            </w:r>
          </w:p>
        </w:tc>
        <w:tc>
          <w:tcPr>
            <w:tcW w:w="742" w:type="dxa"/>
            <w:vMerge w:val="restart"/>
            <w:tcBorders>
              <w:top w:val="single" w:sz="4" w:space="0" w:color="5B9BD4"/>
              <w:left w:val="nil" w:sz="6" w:space="0" w:color="auto"/>
              <w:right w:val="nil" w:sz="6" w:space="0" w:color="auto"/>
            </w:tcBorders>
            <w:shd w:val="clear" w:color="auto" w:fill="DEEAF6"/>
          </w:tcPr>
          <w:p>
            <w:pPr/>
          </w:p>
        </w:tc>
        <w:tc>
          <w:tcPr>
            <w:tcW w:w="749"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7" w:right="179"/>
              <w:jc w:val="left"/>
              <w:rPr>
                <w:rFonts w:ascii="宋体" w:hAnsi="宋体" w:cs="宋体" w:eastAsia="宋体" w:hint="default"/>
                <w:sz w:val="18"/>
                <w:szCs w:val="18"/>
              </w:rPr>
            </w:pPr>
            <w:r>
              <w:rPr>
                <w:rFonts w:ascii="宋体" w:hAnsi="宋体" w:cs="宋体" w:eastAsia="宋体" w:hint="default"/>
                <w:sz w:val="18"/>
                <w:szCs w:val="18"/>
              </w:rPr>
              <w:t>非关联 方</w:t>
            </w:r>
          </w:p>
        </w:tc>
        <w:tc>
          <w:tcPr>
            <w:tcW w:w="763" w:type="dxa"/>
            <w:vMerge w:val="restart"/>
            <w:tcBorders>
              <w:top w:val="single" w:sz="4" w:space="0" w:color="5B9BD4"/>
              <w:left w:val="nil" w:sz="6" w:space="0" w:color="auto"/>
              <w:right w:val="nil" w:sz="6" w:space="0" w:color="auto"/>
            </w:tcBorders>
            <w:shd w:val="clear" w:color="auto" w:fill="DEEAF6"/>
          </w:tcPr>
          <w:p>
            <w:pPr/>
          </w:p>
        </w:tc>
        <w:tc>
          <w:tcPr>
            <w:tcW w:w="721" w:type="dxa"/>
            <w:vMerge w:val="restart"/>
            <w:tcBorders>
              <w:top w:val="single" w:sz="52" w:space="0" w:color="DEEAF6"/>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56" w:type="dxa"/>
            <w:tcBorders>
              <w:top w:val="single" w:sz="4" w:space="0" w:color="5B9BD4"/>
              <w:left w:val="nil" w:sz="6" w:space="0" w:color="auto"/>
              <w:bottom w:val="nil" w:sz="6" w:space="0" w:color="auto"/>
              <w:right w:val="nil" w:sz="6" w:space="0" w:color="auto"/>
            </w:tcBorders>
            <w:shd w:val="clear" w:color="auto" w:fill="DEEAF6"/>
          </w:tcPr>
          <w:p>
            <w:pPr/>
          </w:p>
        </w:tc>
        <w:tc>
          <w:tcPr>
            <w:tcW w:w="756"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5" w:right="0"/>
              <w:jc w:val="left"/>
              <w:rPr>
                <w:rFonts w:ascii="Arial" w:hAnsi="Arial" w:cs="Arial" w:eastAsia="Arial" w:hint="default"/>
                <w:sz w:val="18"/>
                <w:szCs w:val="18"/>
              </w:rPr>
            </w:pPr>
            <w:r>
              <w:rPr>
                <w:rFonts w:ascii="Arial"/>
                <w:sz w:val="18"/>
              </w:rPr>
              <w:t>2015-13</w:t>
            </w:r>
          </w:p>
          <w:p>
            <w:pPr>
              <w:pStyle w:val="TableParagraph"/>
              <w:spacing w:line="240" w:lineRule="auto" w:before="105"/>
              <w:ind w:left="35" w:right="0"/>
              <w:jc w:val="left"/>
              <w:rPr>
                <w:rFonts w:ascii="Arial" w:hAnsi="Arial" w:cs="Arial" w:eastAsia="Arial" w:hint="default"/>
                <w:sz w:val="18"/>
                <w:szCs w:val="18"/>
              </w:rPr>
            </w:pPr>
            <w:r>
              <w:rPr>
                <w:rFonts w:ascii="Arial"/>
                <w:w w:val="99"/>
                <w:sz w:val="18"/>
              </w:rPr>
              <w:t>4</w:t>
            </w:r>
            <w:r>
              <w:rPr>
                <w:rFonts w:ascii="Arial"/>
                <w:sz w:val="18"/>
              </w:rPr>
            </w:r>
          </w:p>
        </w:tc>
      </w:tr>
      <w:tr>
        <w:trPr>
          <w:trHeight w:val="312" w:hRule="exact"/>
        </w:trPr>
        <w:tc>
          <w:tcPr>
            <w:tcW w:w="744" w:type="dxa"/>
            <w:vMerge/>
            <w:tcBorders>
              <w:left w:val="nil" w:sz="6" w:space="0" w:color="auto"/>
              <w:bottom w:val="nil" w:sz="6" w:space="0" w:color="auto"/>
              <w:right w:val="nil" w:sz="6" w:space="0" w:color="auto"/>
            </w:tcBorders>
            <w:shd w:val="clear" w:color="auto" w:fill="DEEAF6"/>
          </w:tcPr>
          <w:p>
            <w:pPr/>
          </w:p>
        </w:tc>
        <w:tc>
          <w:tcPr>
            <w:tcW w:w="757" w:type="dxa"/>
            <w:vMerge/>
            <w:tcBorders>
              <w:left w:val="nil" w:sz="6" w:space="0" w:color="auto"/>
              <w:right w:val="nil" w:sz="6" w:space="0" w:color="auto"/>
            </w:tcBorders>
          </w:tcPr>
          <w:p>
            <w:pPr/>
          </w:p>
        </w:tc>
        <w:tc>
          <w:tcPr>
            <w:tcW w:w="749" w:type="dxa"/>
            <w:vMerge w:val="restart"/>
            <w:tcBorders>
              <w:top w:val="nil" w:sz="6" w:space="0" w:color="auto"/>
              <w:left w:val="nil" w:sz="6" w:space="0" w:color="auto"/>
              <w:right w:val="nil" w:sz="6" w:space="0" w:color="auto"/>
            </w:tcBorders>
            <w:shd w:val="clear" w:color="auto" w:fill="DEEAF6"/>
          </w:tcPr>
          <w:p>
            <w:pPr>
              <w:pStyle w:val="TableParagraph"/>
              <w:spacing w:line="240" w:lineRule="auto" w:before="46"/>
              <w:ind w:left="27"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w:t>
            </w:r>
          </w:p>
          <w:p>
            <w:pPr>
              <w:pStyle w:val="TableParagraph"/>
              <w:spacing w:line="240" w:lineRule="auto" w:before="62"/>
              <w:ind w:left="27" w:right="0"/>
              <w:jc w:val="left"/>
              <w:rPr>
                <w:rFonts w:ascii="Arial" w:hAnsi="Arial" w:cs="Arial" w:eastAsia="Arial" w:hint="default"/>
                <w:sz w:val="18"/>
                <w:szCs w:val="18"/>
              </w:rPr>
            </w:pPr>
            <w:r>
              <w:rPr>
                <w:rFonts w:ascii="Arial" w:hAnsi="Arial" w:cs="Arial" w:eastAsia="Arial" w:hint="default"/>
                <w:sz w:val="18"/>
                <w:szCs w:val="18"/>
              </w:rPr>
              <w:t>11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w:hAnsi="Arial" w:cs="Arial" w:eastAsia="Arial" w:hint="default"/>
                <w:sz w:val="18"/>
                <w:szCs w:val="18"/>
              </w:rPr>
              <w:t>18</w:t>
            </w:r>
          </w:p>
          <w:p>
            <w:pPr>
              <w:pStyle w:val="TableParagraph"/>
              <w:spacing w:line="240" w:lineRule="auto" w:before="65"/>
              <w:ind w:left="2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63" w:type="dxa"/>
            <w:vMerge/>
            <w:tcBorders>
              <w:left w:val="nil" w:sz="6" w:space="0" w:color="auto"/>
              <w:right w:val="nil" w:sz="6" w:space="0" w:color="auto"/>
            </w:tcBorders>
          </w:tcPr>
          <w:p>
            <w:pPr/>
          </w:p>
        </w:tc>
        <w:tc>
          <w:tcPr>
            <w:tcW w:w="721" w:type="dxa"/>
            <w:vMerge/>
            <w:tcBorders>
              <w:left w:val="nil" w:sz="6" w:space="0" w:color="auto"/>
              <w:bottom w:val="nil" w:sz="6" w:space="0" w:color="auto"/>
              <w:right w:val="nil" w:sz="6" w:space="0" w:color="auto"/>
            </w:tcBorders>
            <w:shd w:val="clear" w:color="auto" w:fill="DEEAF6"/>
          </w:tcPr>
          <w:p>
            <w:pPr/>
          </w:p>
        </w:tc>
        <w:tc>
          <w:tcPr>
            <w:tcW w:w="778" w:type="dxa"/>
            <w:vMerge/>
            <w:tcBorders>
              <w:left w:val="nil" w:sz="6" w:space="0" w:color="auto"/>
              <w:right w:val="nil" w:sz="6" w:space="0" w:color="auto"/>
            </w:tcBorders>
          </w:tcPr>
          <w:p>
            <w:pPr/>
          </w:p>
        </w:tc>
        <w:tc>
          <w:tcPr>
            <w:tcW w:w="721" w:type="dxa"/>
            <w:vMerge/>
            <w:tcBorders>
              <w:left w:val="nil" w:sz="6" w:space="0" w:color="auto"/>
              <w:bottom w:val="nil" w:sz="6" w:space="0" w:color="auto"/>
              <w:right w:val="nil" w:sz="6" w:space="0" w:color="auto"/>
            </w:tcBorders>
            <w:shd w:val="clear" w:color="auto" w:fill="DEEAF6"/>
          </w:tcPr>
          <w:p>
            <w:pPr/>
          </w:p>
        </w:tc>
        <w:tc>
          <w:tcPr>
            <w:tcW w:w="770" w:type="dxa"/>
            <w:vMerge/>
            <w:tcBorders>
              <w:left w:val="nil" w:sz="6" w:space="0" w:color="auto"/>
              <w:right w:val="nil" w:sz="6" w:space="0" w:color="auto"/>
            </w:tcBorders>
          </w:tcPr>
          <w:p>
            <w:pPr/>
          </w:p>
        </w:tc>
        <w:tc>
          <w:tcPr>
            <w:tcW w:w="742" w:type="dxa"/>
            <w:vMerge/>
            <w:tcBorders>
              <w:left w:val="nil" w:sz="6" w:space="0" w:color="auto"/>
              <w:bottom w:val="nil" w:sz="6" w:space="0" w:color="auto"/>
              <w:right w:val="nil" w:sz="6" w:space="0" w:color="auto"/>
            </w:tcBorders>
            <w:shd w:val="clear" w:color="auto" w:fill="DEEAF6"/>
          </w:tcPr>
          <w:p>
            <w:pPr/>
          </w:p>
        </w:tc>
        <w:tc>
          <w:tcPr>
            <w:tcW w:w="749" w:type="dxa"/>
            <w:vMerge/>
            <w:tcBorders>
              <w:left w:val="nil" w:sz="6" w:space="0" w:color="auto"/>
              <w:right w:val="nil" w:sz="6" w:space="0" w:color="auto"/>
            </w:tcBorders>
          </w:tcPr>
          <w:p>
            <w:pPr/>
          </w:p>
        </w:tc>
        <w:tc>
          <w:tcPr>
            <w:tcW w:w="763" w:type="dxa"/>
            <w:vMerge/>
            <w:tcBorders>
              <w:left w:val="nil" w:sz="6" w:space="0" w:color="auto"/>
              <w:bottom w:val="nil" w:sz="6" w:space="0" w:color="auto"/>
              <w:right w:val="nil" w:sz="6" w:space="0" w:color="auto"/>
            </w:tcBorders>
            <w:shd w:val="clear" w:color="auto" w:fill="DEEAF6"/>
          </w:tcPr>
          <w:p>
            <w:pPr/>
          </w:p>
        </w:tc>
        <w:tc>
          <w:tcPr>
            <w:tcW w:w="721" w:type="dxa"/>
            <w:vMerge/>
            <w:tcBorders>
              <w:left w:val="nil" w:sz="6" w:space="0" w:color="auto"/>
              <w:right w:val="nil" w:sz="6" w:space="0" w:color="auto"/>
            </w:tcBorders>
          </w:tcPr>
          <w:p>
            <w:pPr/>
          </w:p>
        </w:tc>
        <w:tc>
          <w:tcPr>
            <w:tcW w:w="756" w:type="dxa"/>
            <w:vMerge w:val="restart"/>
            <w:tcBorders>
              <w:top w:val="nil" w:sz="6" w:space="0" w:color="auto"/>
              <w:left w:val="nil" w:sz="6" w:space="0" w:color="auto"/>
              <w:right w:val="nil" w:sz="6" w:space="0" w:color="auto"/>
            </w:tcBorders>
            <w:shd w:val="clear" w:color="auto" w:fill="DEEAF6"/>
          </w:tcPr>
          <w:p>
            <w:pPr>
              <w:pStyle w:val="TableParagraph"/>
              <w:spacing w:line="240" w:lineRule="auto" w:before="46"/>
              <w:ind w:left="42"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w:t>
            </w:r>
          </w:p>
          <w:p>
            <w:pPr>
              <w:pStyle w:val="TableParagraph"/>
              <w:spacing w:line="240" w:lineRule="auto" w:before="62"/>
              <w:ind w:left="42" w:right="0"/>
              <w:jc w:val="left"/>
              <w:rPr>
                <w:rFonts w:ascii="Arial" w:hAnsi="Arial" w:cs="Arial" w:eastAsia="Arial" w:hint="default"/>
                <w:sz w:val="18"/>
                <w:szCs w:val="18"/>
              </w:rPr>
            </w:pPr>
            <w:r>
              <w:rPr>
                <w:rFonts w:ascii="Arial" w:hAnsi="Arial" w:cs="Arial" w:eastAsia="Arial" w:hint="default"/>
                <w:sz w:val="18"/>
                <w:szCs w:val="18"/>
              </w:rPr>
              <w:t>11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w:hAnsi="Arial" w:cs="Arial" w:eastAsia="Arial" w:hint="default"/>
                <w:sz w:val="18"/>
                <w:szCs w:val="18"/>
              </w:rPr>
              <w:t>16</w:t>
            </w:r>
          </w:p>
          <w:p>
            <w:pPr>
              <w:pStyle w:val="TableParagraph"/>
              <w:spacing w:line="240" w:lineRule="auto" w:before="65"/>
              <w:ind w:left="4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56" w:type="dxa"/>
            <w:vMerge/>
            <w:tcBorders>
              <w:left w:val="nil" w:sz="6" w:space="0" w:color="auto"/>
              <w:right w:val="nil" w:sz="6" w:space="0" w:color="auto"/>
            </w:tcBorders>
          </w:tcPr>
          <w:p>
            <w:pPr/>
          </w:p>
        </w:tc>
      </w:tr>
      <w:tr>
        <w:trPr>
          <w:trHeight w:val="392" w:hRule="exact"/>
        </w:trPr>
        <w:tc>
          <w:tcPr>
            <w:tcW w:w="744"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王继军</w:t>
            </w:r>
          </w:p>
        </w:tc>
        <w:tc>
          <w:tcPr>
            <w:tcW w:w="757" w:type="dxa"/>
            <w:vMerge/>
            <w:tcBorders>
              <w:left w:val="nil" w:sz="6" w:space="0" w:color="auto"/>
              <w:right w:val="nil" w:sz="6" w:space="0" w:color="auto"/>
            </w:tcBorders>
          </w:tcPr>
          <w:p>
            <w:pPr/>
          </w:p>
        </w:tc>
        <w:tc>
          <w:tcPr>
            <w:tcW w:w="749" w:type="dxa"/>
            <w:vMerge/>
            <w:tcBorders>
              <w:left w:val="nil" w:sz="6" w:space="0" w:color="auto"/>
              <w:right w:val="nil" w:sz="6" w:space="0" w:color="auto"/>
            </w:tcBorders>
            <w:shd w:val="clear" w:color="auto" w:fill="DEEAF6"/>
          </w:tcPr>
          <w:p>
            <w:pPr/>
          </w:p>
        </w:tc>
        <w:tc>
          <w:tcPr>
            <w:tcW w:w="763" w:type="dxa"/>
            <w:vMerge/>
            <w:tcBorders>
              <w:left w:val="nil" w:sz="6" w:space="0" w:color="auto"/>
              <w:right w:val="nil" w:sz="6" w:space="0" w:color="auto"/>
            </w:tcBorders>
          </w:tcPr>
          <w:p>
            <w:pPr/>
          </w:p>
        </w:tc>
        <w:tc>
          <w:tcPr>
            <w:tcW w:w="721"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left="157" w:right="0"/>
              <w:jc w:val="left"/>
              <w:rPr>
                <w:rFonts w:ascii="Arial" w:hAnsi="Arial" w:cs="Arial" w:eastAsia="Arial" w:hint="default"/>
                <w:sz w:val="18"/>
                <w:szCs w:val="18"/>
              </w:rPr>
            </w:pPr>
            <w:r>
              <w:rPr>
                <w:rFonts w:ascii="Arial"/>
                <w:sz w:val="18"/>
              </w:rPr>
              <w:t>525.00</w:t>
            </w:r>
          </w:p>
        </w:tc>
        <w:tc>
          <w:tcPr>
            <w:tcW w:w="778" w:type="dxa"/>
            <w:vMerge/>
            <w:tcBorders>
              <w:left w:val="nil" w:sz="6" w:space="0" w:color="auto"/>
              <w:right w:val="nil" w:sz="6" w:space="0" w:color="auto"/>
            </w:tcBorders>
          </w:tcPr>
          <w:p>
            <w:pPr/>
          </w:p>
        </w:tc>
        <w:tc>
          <w:tcPr>
            <w:tcW w:w="721"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left="217" w:right="0"/>
              <w:jc w:val="left"/>
              <w:rPr>
                <w:rFonts w:ascii="Arial" w:hAnsi="Arial" w:cs="Arial" w:eastAsia="Arial" w:hint="default"/>
                <w:sz w:val="18"/>
                <w:szCs w:val="18"/>
              </w:rPr>
            </w:pPr>
            <w:r>
              <w:rPr>
                <w:rFonts w:ascii="Arial"/>
                <w:w w:val="95"/>
                <w:sz w:val="18"/>
              </w:rPr>
              <w:t>3.73%</w:t>
            </w:r>
            <w:r>
              <w:rPr>
                <w:rFonts w:ascii="Arial"/>
                <w:sz w:val="18"/>
              </w:rPr>
            </w:r>
          </w:p>
        </w:tc>
        <w:tc>
          <w:tcPr>
            <w:tcW w:w="770" w:type="dxa"/>
            <w:vMerge/>
            <w:tcBorders>
              <w:left w:val="nil" w:sz="6" w:space="0" w:color="auto"/>
              <w:right w:val="nil" w:sz="6" w:space="0" w:color="auto"/>
            </w:tcBorders>
          </w:tcPr>
          <w:p>
            <w:pPr/>
          </w:p>
        </w:tc>
        <w:tc>
          <w:tcPr>
            <w:tcW w:w="742"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49" w:type="dxa"/>
            <w:vMerge/>
            <w:tcBorders>
              <w:left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vMerge/>
            <w:tcBorders>
              <w:left w:val="nil" w:sz="6" w:space="0" w:color="auto"/>
              <w:right w:val="nil" w:sz="6" w:space="0" w:color="auto"/>
            </w:tcBorders>
          </w:tcPr>
          <w:p>
            <w:pPr/>
          </w:p>
        </w:tc>
        <w:tc>
          <w:tcPr>
            <w:tcW w:w="756" w:type="dxa"/>
            <w:vMerge/>
            <w:tcBorders>
              <w:left w:val="nil" w:sz="6" w:space="0" w:color="auto"/>
              <w:right w:val="nil" w:sz="6" w:space="0" w:color="auto"/>
            </w:tcBorders>
            <w:shd w:val="clear" w:color="auto" w:fill="DEEAF6"/>
          </w:tcPr>
          <w:p>
            <w:pPr/>
          </w:p>
        </w:tc>
        <w:tc>
          <w:tcPr>
            <w:tcW w:w="756" w:type="dxa"/>
            <w:vMerge/>
            <w:tcBorders>
              <w:left w:val="nil" w:sz="6" w:space="0" w:color="auto"/>
              <w:right w:val="nil" w:sz="6" w:space="0" w:color="auto"/>
            </w:tcBorders>
          </w:tcPr>
          <w:p>
            <w:pPr/>
          </w:p>
        </w:tc>
      </w:tr>
      <w:tr>
        <w:trPr>
          <w:trHeight w:val="312" w:hRule="exact"/>
        </w:trPr>
        <w:tc>
          <w:tcPr>
            <w:tcW w:w="744" w:type="dxa"/>
            <w:vMerge w:val="restart"/>
            <w:tcBorders>
              <w:top w:val="nil" w:sz="6" w:space="0" w:color="auto"/>
              <w:left w:val="nil" w:sz="6" w:space="0" w:color="auto"/>
              <w:right w:val="nil" w:sz="6" w:space="0" w:color="auto"/>
            </w:tcBorders>
            <w:shd w:val="clear" w:color="auto" w:fill="DEEAF6"/>
          </w:tcPr>
          <w:p>
            <w:pPr/>
          </w:p>
        </w:tc>
        <w:tc>
          <w:tcPr>
            <w:tcW w:w="757" w:type="dxa"/>
            <w:vMerge/>
            <w:tcBorders>
              <w:left w:val="nil" w:sz="6" w:space="0" w:color="auto"/>
              <w:right w:val="nil" w:sz="6" w:space="0" w:color="auto"/>
            </w:tcBorders>
          </w:tcPr>
          <w:p>
            <w:pPr/>
          </w:p>
        </w:tc>
        <w:tc>
          <w:tcPr>
            <w:tcW w:w="749" w:type="dxa"/>
            <w:vMerge/>
            <w:tcBorders>
              <w:left w:val="nil" w:sz="6" w:space="0" w:color="auto"/>
              <w:bottom w:val="nil" w:sz="6" w:space="0" w:color="auto"/>
              <w:right w:val="nil" w:sz="6" w:space="0" w:color="auto"/>
            </w:tcBorders>
            <w:shd w:val="clear" w:color="auto" w:fill="DEEAF6"/>
          </w:tcPr>
          <w:p>
            <w:pPr/>
          </w:p>
        </w:tc>
        <w:tc>
          <w:tcPr>
            <w:tcW w:w="763" w:type="dxa"/>
            <w:vMerge/>
            <w:tcBorders>
              <w:left w:val="nil" w:sz="6" w:space="0" w:color="auto"/>
              <w:right w:val="nil" w:sz="6" w:space="0" w:color="auto"/>
            </w:tcBorders>
          </w:tcPr>
          <w:p>
            <w:pPr/>
          </w:p>
        </w:tc>
        <w:tc>
          <w:tcPr>
            <w:tcW w:w="721" w:type="dxa"/>
            <w:vMerge w:val="restart"/>
            <w:tcBorders>
              <w:top w:val="nil" w:sz="6" w:space="0" w:color="auto"/>
              <w:left w:val="nil" w:sz="6" w:space="0" w:color="auto"/>
              <w:right w:val="nil" w:sz="6" w:space="0" w:color="auto"/>
            </w:tcBorders>
            <w:shd w:val="clear" w:color="auto" w:fill="DEEAF6"/>
          </w:tcPr>
          <w:p>
            <w:pPr/>
          </w:p>
        </w:tc>
        <w:tc>
          <w:tcPr>
            <w:tcW w:w="778" w:type="dxa"/>
            <w:vMerge/>
            <w:tcBorders>
              <w:left w:val="nil" w:sz="6" w:space="0" w:color="auto"/>
              <w:right w:val="nil" w:sz="6" w:space="0" w:color="auto"/>
            </w:tcBorders>
          </w:tcPr>
          <w:p>
            <w:pPr/>
          </w:p>
        </w:tc>
        <w:tc>
          <w:tcPr>
            <w:tcW w:w="721" w:type="dxa"/>
            <w:vMerge w:val="restart"/>
            <w:tcBorders>
              <w:top w:val="nil" w:sz="6" w:space="0" w:color="auto"/>
              <w:left w:val="nil" w:sz="6" w:space="0" w:color="auto"/>
              <w:right w:val="nil" w:sz="6" w:space="0" w:color="auto"/>
            </w:tcBorders>
            <w:shd w:val="clear" w:color="auto" w:fill="DEEAF6"/>
          </w:tcPr>
          <w:p>
            <w:pPr/>
          </w:p>
        </w:tc>
        <w:tc>
          <w:tcPr>
            <w:tcW w:w="770" w:type="dxa"/>
            <w:vMerge/>
            <w:tcBorders>
              <w:left w:val="nil" w:sz="6" w:space="0" w:color="auto"/>
              <w:right w:val="nil" w:sz="6" w:space="0" w:color="auto"/>
            </w:tcBorders>
          </w:tcPr>
          <w:p>
            <w:pPr/>
          </w:p>
        </w:tc>
        <w:tc>
          <w:tcPr>
            <w:tcW w:w="742" w:type="dxa"/>
            <w:vMerge w:val="restart"/>
            <w:tcBorders>
              <w:top w:val="nil" w:sz="6" w:space="0" w:color="auto"/>
              <w:left w:val="nil" w:sz="6" w:space="0" w:color="auto"/>
              <w:right w:val="nil" w:sz="6" w:space="0" w:color="auto"/>
            </w:tcBorders>
            <w:shd w:val="clear" w:color="auto" w:fill="DEEAF6"/>
          </w:tcPr>
          <w:p>
            <w:pPr/>
          </w:p>
        </w:tc>
        <w:tc>
          <w:tcPr>
            <w:tcW w:w="749" w:type="dxa"/>
            <w:vMerge/>
            <w:tcBorders>
              <w:left w:val="nil" w:sz="6" w:space="0" w:color="auto"/>
              <w:right w:val="nil" w:sz="6" w:space="0" w:color="auto"/>
            </w:tcBorders>
          </w:tcPr>
          <w:p>
            <w:pPr/>
          </w:p>
        </w:tc>
        <w:tc>
          <w:tcPr>
            <w:tcW w:w="763" w:type="dxa"/>
            <w:vMerge w:val="restart"/>
            <w:tcBorders>
              <w:top w:val="nil" w:sz="6" w:space="0" w:color="auto"/>
              <w:left w:val="nil" w:sz="6" w:space="0" w:color="auto"/>
              <w:right w:val="nil" w:sz="6" w:space="0" w:color="auto"/>
            </w:tcBorders>
            <w:shd w:val="clear" w:color="auto" w:fill="DEEAF6"/>
          </w:tcPr>
          <w:p>
            <w:pPr/>
          </w:p>
        </w:tc>
        <w:tc>
          <w:tcPr>
            <w:tcW w:w="721" w:type="dxa"/>
            <w:vMerge/>
            <w:tcBorders>
              <w:left w:val="nil" w:sz="6" w:space="0" w:color="auto"/>
              <w:right w:val="nil" w:sz="6" w:space="0" w:color="auto"/>
            </w:tcBorders>
          </w:tcPr>
          <w:p>
            <w:pPr/>
          </w:p>
        </w:tc>
        <w:tc>
          <w:tcPr>
            <w:tcW w:w="756" w:type="dxa"/>
            <w:vMerge/>
            <w:tcBorders>
              <w:left w:val="nil" w:sz="6" w:space="0" w:color="auto"/>
              <w:bottom w:val="nil" w:sz="6" w:space="0" w:color="auto"/>
              <w:right w:val="nil" w:sz="6" w:space="0" w:color="auto"/>
            </w:tcBorders>
            <w:shd w:val="clear" w:color="auto" w:fill="DEEAF6"/>
          </w:tcPr>
          <w:p>
            <w:pPr/>
          </w:p>
        </w:tc>
        <w:tc>
          <w:tcPr>
            <w:tcW w:w="756" w:type="dxa"/>
            <w:vMerge/>
            <w:tcBorders>
              <w:left w:val="nil" w:sz="6" w:space="0" w:color="auto"/>
              <w:right w:val="nil" w:sz="6" w:space="0" w:color="auto"/>
            </w:tcBorders>
          </w:tcPr>
          <w:p>
            <w:pPr/>
          </w:p>
        </w:tc>
      </w:tr>
      <w:tr>
        <w:trPr>
          <w:trHeight w:val="317" w:hRule="exact"/>
        </w:trPr>
        <w:tc>
          <w:tcPr>
            <w:tcW w:w="744" w:type="dxa"/>
            <w:vMerge/>
            <w:tcBorders>
              <w:left w:val="nil" w:sz="6" w:space="0" w:color="auto"/>
              <w:bottom w:val="single" w:sz="4" w:space="0" w:color="5B9BD4"/>
              <w:right w:val="nil" w:sz="6" w:space="0" w:color="auto"/>
            </w:tcBorders>
            <w:shd w:val="clear" w:color="auto" w:fill="DEEAF6"/>
          </w:tcPr>
          <w:p>
            <w:pPr/>
          </w:p>
        </w:tc>
        <w:tc>
          <w:tcPr>
            <w:tcW w:w="757" w:type="dxa"/>
            <w:vMerge/>
            <w:tcBorders>
              <w:left w:val="nil" w:sz="6" w:space="0" w:color="auto"/>
              <w:bottom w:val="single" w:sz="4" w:space="0" w:color="5B9BD4"/>
              <w:right w:val="nil" w:sz="6" w:space="0" w:color="auto"/>
            </w:tcBorders>
          </w:tcPr>
          <w:p>
            <w:pPr/>
          </w:p>
        </w:tc>
        <w:tc>
          <w:tcPr>
            <w:tcW w:w="749" w:type="dxa"/>
            <w:tcBorders>
              <w:top w:val="nil" w:sz="6" w:space="0" w:color="auto"/>
              <w:left w:val="nil" w:sz="6" w:space="0" w:color="auto"/>
              <w:bottom w:val="single" w:sz="4" w:space="0" w:color="5B9BD4"/>
              <w:right w:val="nil" w:sz="6" w:space="0" w:color="auto"/>
            </w:tcBorders>
            <w:shd w:val="clear" w:color="auto" w:fill="DEEAF6"/>
          </w:tcPr>
          <w:p>
            <w:pPr/>
          </w:p>
        </w:tc>
        <w:tc>
          <w:tcPr>
            <w:tcW w:w="763" w:type="dxa"/>
            <w:vMerge/>
            <w:tcBorders>
              <w:left w:val="nil" w:sz="6" w:space="0" w:color="auto"/>
              <w:bottom w:val="single" w:sz="4" w:space="0" w:color="5B9BD4"/>
              <w:right w:val="nil" w:sz="6" w:space="0" w:color="auto"/>
            </w:tcBorders>
          </w:tcPr>
          <w:p>
            <w:pPr/>
          </w:p>
        </w:tc>
        <w:tc>
          <w:tcPr>
            <w:tcW w:w="721" w:type="dxa"/>
            <w:vMerge/>
            <w:tcBorders>
              <w:left w:val="nil" w:sz="6" w:space="0" w:color="auto"/>
              <w:bottom w:val="single" w:sz="4" w:space="0" w:color="5B9BD4"/>
              <w:right w:val="nil" w:sz="6" w:space="0" w:color="auto"/>
            </w:tcBorders>
            <w:shd w:val="clear" w:color="auto" w:fill="DEEAF6"/>
          </w:tcPr>
          <w:p>
            <w:pPr/>
          </w:p>
        </w:tc>
        <w:tc>
          <w:tcPr>
            <w:tcW w:w="778" w:type="dxa"/>
            <w:vMerge/>
            <w:tcBorders>
              <w:left w:val="nil" w:sz="6" w:space="0" w:color="auto"/>
              <w:bottom w:val="single" w:sz="4" w:space="0" w:color="5B9BD4"/>
              <w:right w:val="nil" w:sz="6" w:space="0" w:color="auto"/>
            </w:tcBorders>
          </w:tcPr>
          <w:p>
            <w:pPr/>
          </w:p>
        </w:tc>
        <w:tc>
          <w:tcPr>
            <w:tcW w:w="721" w:type="dxa"/>
            <w:vMerge/>
            <w:tcBorders>
              <w:left w:val="nil" w:sz="6" w:space="0" w:color="auto"/>
              <w:bottom w:val="single" w:sz="4" w:space="0" w:color="5B9BD4"/>
              <w:right w:val="nil" w:sz="6" w:space="0" w:color="auto"/>
            </w:tcBorders>
            <w:shd w:val="clear" w:color="auto" w:fill="DEEAF6"/>
          </w:tcPr>
          <w:p>
            <w:pPr/>
          </w:p>
        </w:tc>
        <w:tc>
          <w:tcPr>
            <w:tcW w:w="770" w:type="dxa"/>
            <w:vMerge/>
            <w:tcBorders>
              <w:left w:val="nil" w:sz="6" w:space="0" w:color="auto"/>
              <w:bottom w:val="single" w:sz="4" w:space="0" w:color="5B9BD4"/>
              <w:right w:val="nil" w:sz="6" w:space="0" w:color="auto"/>
            </w:tcBorders>
          </w:tcPr>
          <w:p>
            <w:pPr/>
          </w:p>
        </w:tc>
        <w:tc>
          <w:tcPr>
            <w:tcW w:w="742" w:type="dxa"/>
            <w:vMerge/>
            <w:tcBorders>
              <w:left w:val="nil" w:sz="6" w:space="0" w:color="auto"/>
              <w:bottom w:val="single" w:sz="4" w:space="0" w:color="5B9BD4"/>
              <w:right w:val="nil" w:sz="6" w:space="0" w:color="auto"/>
            </w:tcBorders>
            <w:shd w:val="clear" w:color="auto" w:fill="DEEAF6"/>
          </w:tcPr>
          <w:p>
            <w:pPr/>
          </w:p>
        </w:tc>
        <w:tc>
          <w:tcPr>
            <w:tcW w:w="749" w:type="dxa"/>
            <w:vMerge/>
            <w:tcBorders>
              <w:left w:val="nil" w:sz="6" w:space="0" w:color="auto"/>
              <w:bottom w:val="single" w:sz="4" w:space="0" w:color="5B9BD4"/>
              <w:right w:val="nil" w:sz="6" w:space="0" w:color="auto"/>
            </w:tcBorders>
          </w:tcPr>
          <w:p>
            <w:pPr/>
          </w:p>
        </w:tc>
        <w:tc>
          <w:tcPr>
            <w:tcW w:w="763" w:type="dxa"/>
            <w:vMerge/>
            <w:tcBorders>
              <w:left w:val="nil" w:sz="6" w:space="0" w:color="auto"/>
              <w:bottom w:val="single" w:sz="4" w:space="0" w:color="5B9BD4"/>
              <w:right w:val="nil" w:sz="6" w:space="0" w:color="auto"/>
            </w:tcBorders>
            <w:shd w:val="clear" w:color="auto" w:fill="DEEAF6"/>
          </w:tcPr>
          <w:p>
            <w:pPr/>
          </w:p>
        </w:tc>
        <w:tc>
          <w:tcPr>
            <w:tcW w:w="721" w:type="dxa"/>
            <w:vMerge/>
            <w:tcBorders>
              <w:left w:val="nil" w:sz="6" w:space="0" w:color="auto"/>
              <w:bottom w:val="single" w:sz="4" w:space="0" w:color="5B9BD4"/>
              <w:right w:val="nil" w:sz="6" w:space="0" w:color="auto"/>
            </w:tcBorders>
          </w:tcPr>
          <w:p>
            <w:pPr/>
          </w:p>
        </w:tc>
        <w:tc>
          <w:tcPr>
            <w:tcW w:w="756" w:type="dxa"/>
            <w:tcBorders>
              <w:top w:val="nil" w:sz="6" w:space="0" w:color="auto"/>
              <w:left w:val="nil" w:sz="6" w:space="0" w:color="auto"/>
              <w:bottom w:val="single" w:sz="4" w:space="0" w:color="5B9BD4"/>
              <w:right w:val="nil" w:sz="6" w:space="0" w:color="auto"/>
            </w:tcBorders>
            <w:shd w:val="clear" w:color="auto" w:fill="DEEAF6"/>
          </w:tcPr>
          <w:p>
            <w:pPr/>
          </w:p>
        </w:tc>
        <w:tc>
          <w:tcPr>
            <w:tcW w:w="756" w:type="dxa"/>
            <w:vMerge/>
            <w:tcBorders>
              <w:left w:val="nil" w:sz="6" w:space="0" w:color="auto"/>
              <w:bottom w:val="single" w:sz="4" w:space="0" w:color="5B9BD4"/>
              <w:right w:val="nil" w:sz="6" w:space="0" w:color="auto"/>
            </w:tcBorders>
          </w:tcPr>
          <w:p>
            <w:pPr/>
          </w:p>
        </w:tc>
      </w:tr>
    </w:tbl>
    <w:p>
      <w:pPr>
        <w:spacing w:line="240" w:lineRule="auto" w:before="11"/>
        <w:rPr>
          <w:rFonts w:ascii="宋体" w:hAnsi="宋体" w:cs="宋体" w:eastAsia="宋体" w:hint="default"/>
          <w:sz w:val="6"/>
          <w:szCs w:val="6"/>
        </w:rPr>
      </w:pPr>
    </w:p>
    <w:p>
      <w:pPr>
        <w:pStyle w:val="Heading1"/>
        <w:spacing w:line="409" w:lineRule="exact"/>
        <w:ind w:left="534" w:right="912"/>
        <w:jc w:val="left"/>
        <w:rPr>
          <w:b w:val="0"/>
          <w:bCs w:val="0"/>
        </w:rPr>
      </w:pPr>
      <w:bookmarkStart w:name="4.7 主要控股参股公司分析" w:id="88"/>
      <w:bookmarkEnd w:id="88"/>
      <w:r>
        <w:rPr>
          <w:b w:val="0"/>
          <w:bCs w:val="0"/>
        </w:rPr>
      </w:r>
      <w:bookmarkStart w:name="_bookmark25" w:id="89"/>
      <w:bookmarkEnd w:id="89"/>
      <w:r>
        <w:rPr>
          <w:b w:val="0"/>
          <w:bCs w:val="0"/>
        </w:rPr>
      </w:r>
      <w:r>
        <w:rPr>
          <w:rFonts w:ascii="Trebuchet MS" w:hAnsi="Trebuchet MS" w:cs="Trebuchet MS" w:eastAsia="Trebuchet MS" w:hint="default"/>
        </w:rPr>
        <w:t>4.7</w:t>
      </w:r>
      <w:r>
        <w:rPr>
          <w:rFonts w:ascii="Trebuchet MS" w:hAnsi="Trebuchet MS" w:cs="Trebuchet MS" w:eastAsia="Trebuchet MS" w:hint="default"/>
          <w:spacing w:val="14"/>
        </w:rPr>
        <w:t> </w:t>
      </w:r>
      <w:r>
        <w:rPr/>
        <w:t>主要控股参股公司分析</w:t>
      </w:r>
      <w:r>
        <w:rPr>
          <w:b w:val="0"/>
          <w:bCs w:val="0"/>
        </w:rPr>
      </w:r>
    </w:p>
    <w:p>
      <w:pPr>
        <w:spacing w:line="240" w:lineRule="auto" w:before="13"/>
        <w:rPr>
          <w:rFonts w:ascii="Microsoft JhengHei" w:hAnsi="Microsoft JhengHei" w:cs="Microsoft JhengHei" w:eastAsia="Microsoft JhengHei" w:hint="default"/>
          <w:b/>
          <w:bCs/>
          <w:sz w:val="8"/>
          <w:szCs w:val="8"/>
        </w:rPr>
      </w:pPr>
    </w:p>
    <w:p>
      <w:pPr>
        <w:spacing w:after="0" w:line="240" w:lineRule="auto"/>
        <w:rPr>
          <w:rFonts w:ascii="Microsoft JhengHei" w:hAnsi="Microsoft JhengHei" w:cs="Microsoft JhengHei" w:eastAsia="Microsoft JhengHei" w:hint="default"/>
          <w:sz w:val="8"/>
          <w:szCs w:val="8"/>
        </w:rPr>
        <w:sectPr>
          <w:pgSz w:w="11910" w:h="16840"/>
          <w:pgMar w:header="877" w:footer="979" w:top="1100" w:bottom="1160" w:left="600" w:right="0"/>
        </w:sectPr>
      </w:pPr>
    </w:p>
    <w:p>
      <w:pPr>
        <w:spacing w:before="29"/>
        <w:ind w:left="534" w:right="-1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pStyle w:val="BodyText"/>
        <w:spacing w:line="240" w:lineRule="auto" w:before="92"/>
        <w:ind w:left="534" w:right="-19"/>
        <w:jc w:val="left"/>
      </w:pPr>
      <w:r>
        <w:rPr/>
        <w:t>主要子公司及对公司净利润影响达</w:t>
      </w:r>
      <w:r>
        <w:rPr>
          <w:spacing w:val="-77"/>
        </w:rPr>
        <w:t> </w:t>
      </w:r>
      <w:r>
        <w:rPr>
          <w:rFonts w:ascii="Arial" w:hAnsi="Arial" w:cs="Arial" w:eastAsia="Arial"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0"/>
          <w:szCs w:val="20"/>
        </w:rPr>
      </w:pPr>
    </w:p>
    <w:p>
      <w:pPr>
        <w:spacing w:before="0"/>
        <w:ind w:left="53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360" w:bottom="0" w:left="600" w:right="0"/>
          <w:cols w:num="2" w:equalWidth="0">
            <w:col w:w="6234" w:space="2685"/>
            <w:col w:w="2391"/>
          </w:cols>
        </w:sectPr>
      </w:pPr>
    </w:p>
    <w:p>
      <w:pPr>
        <w:spacing w:line="240" w:lineRule="auto" w:before="6"/>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026"/>
        <w:gridCol w:w="675"/>
        <w:gridCol w:w="830"/>
        <w:gridCol w:w="1006"/>
        <w:gridCol w:w="1404"/>
        <w:gridCol w:w="1431"/>
        <w:gridCol w:w="1539"/>
        <w:gridCol w:w="156"/>
        <w:gridCol w:w="1141"/>
        <w:gridCol w:w="1255"/>
      </w:tblGrid>
      <w:tr>
        <w:trPr>
          <w:trHeight w:val="161" w:hRule="exact"/>
        </w:trPr>
        <w:tc>
          <w:tcPr>
            <w:tcW w:w="1026" w:type="dxa"/>
            <w:tcBorders>
              <w:top w:val="single" w:sz="4" w:space="0" w:color="5B9BD4"/>
              <w:left w:val="nil" w:sz="6" w:space="0" w:color="auto"/>
              <w:bottom w:val="nil" w:sz="6" w:space="0" w:color="auto"/>
              <w:right w:val="nil" w:sz="6" w:space="0" w:color="auto"/>
            </w:tcBorders>
            <w:shd w:val="clear" w:color="auto" w:fill="DEEAF6"/>
          </w:tcPr>
          <w:p>
            <w:pPr/>
          </w:p>
        </w:tc>
        <w:tc>
          <w:tcPr>
            <w:tcW w:w="675"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6"/>
              <w:ind w:left="247" w:right="65" w:hanging="180"/>
              <w:jc w:val="left"/>
              <w:rPr>
                <w:rFonts w:ascii="宋体" w:hAnsi="宋体" w:cs="宋体" w:eastAsia="宋体" w:hint="default"/>
                <w:sz w:val="18"/>
                <w:szCs w:val="18"/>
              </w:rPr>
            </w:pPr>
            <w:r>
              <w:rPr>
                <w:rFonts w:ascii="宋体" w:hAnsi="宋体" w:cs="宋体" w:eastAsia="宋体" w:hint="default"/>
                <w:sz w:val="18"/>
                <w:szCs w:val="18"/>
              </w:rPr>
              <w:t>公司类 型</w:t>
            </w:r>
          </w:p>
        </w:tc>
        <w:tc>
          <w:tcPr>
            <w:tcW w:w="8762" w:type="dxa"/>
            <w:gridSpan w:val="8"/>
            <w:tcBorders>
              <w:top w:val="single" w:sz="4" w:space="0" w:color="5B9BD4"/>
              <w:left w:val="nil" w:sz="6" w:space="0" w:color="auto"/>
              <w:bottom w:val="nil" w:sz="6" w:space="0" w:color="auto"/>
              <w:right w:val="nil" w:sz="6" w:space="0" w:color="auto"/>
            </w:tcBorders>
            <w:shd w:val="clear" w:color="auto" w:fill="DEEAF6"/>
          </w:tcPr>
          <w:p>
            <w:pPr/>
          </w:p>
        </w:tc>
      </w:tr>
      <w:tr>
        <w:trPr>
          <w:trHeight w:val="392" w:hRule="exact"/>
        </w:trPr>
        <w:tc>
          <w:tcPr>
            <w:tcW w:w="1026"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15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675" w:type="dxa"/>
            <w:vMerge/>
            <w:tcBorders>
              <w:left w:val="nil" w:sz="6" w:space="0" w:color="auto"/>
              <w:right w:val="nil" w:sz="6" w:space="0" w:color="auto"/>
            </w:tcBorders>
            <w:shd w:val="clear" w:color="auto" w:fill="DEEAF6"/>
          </w:tcPr>
          <w:p>
            <w:pPr/>
          </w:p>
        </w:tc>
        <w:tc>
          <w:tcPr>
            <w:tcW w:w="830"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51"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06"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14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404"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431"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431"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44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695" w:type="dxa"/>
            <w:gridSpan w:val="2"/>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48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41"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255"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360"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56" w:hRule="exact"/>
        </w:trPr>
        <w:tc>
          <w:tcPr>
            <w:tcW w:w="1026" w:type="dxa"/>
            <w:tcBorders>
              <w:top w:val="nil" w:sz="6" w:space="0" w:color="auto"/>
              <w:left w:val="nil" w:sz="6" w:space="0" w:color="auto"/>
              <w:bottom w:val="single" w:sz="4" w:space="0" w:color="5B9BD4"/>
              <w:right w:val="nil" w:sz="6" w:space="0" w:color="auto"/>
            </w:tcBorders>
            <w:shd w:val="clear" w:color="auto" w:fill="DEEAF6"/>
          </w:tcPr>
          <w:p>
            <w:pPr/>
          </w:p>
        </w:tc>
        <w:tc>
          <w:tcPr>
            <w:tcW w:w="675" w:type="dxa"/>
            <w:vMerge/>
            <w:tcBorders>
              <w:left w:val="nil" w:sz="6" w:space="0" w:color="auto"/>
              <w:bottom w:val="single" w:sz="4" w:space="0" w:color="5B9BD4"/>
              <w:right w:val="nil" w:sz="6" w:space="0" w:color="auto"/>
            </w:tcBorders>
            <w:shd w:val="clear" w:color="auto" w:fill="DEEAF6"/>
          </w:tcPr>
          <w:p>
            <w:pPr/>
          </w:p>
        </w:tc>
        <w:tc>
          <w:tcPr>
            <w:tcW w:w="8762" w:type="dxa"/>
            <w:gridSpan w:val="8"/>
            <w:tcBorders>
              <w:top w:val="nil" w:sz="6" w:space="0" w:color="auto"/>
              <w:left w:val="nil" w:sz="6" w:space="0" w:color="auto"/>
              <w:bottom w:val="single" w:sz="4" w:space="0" w:color="5B9BD4"/>
              <w:right w:val="nil" w:sz="6" w:space="0" w:color="auto"/>
            </w:tcBorders>
            <w:shd w:val="clear" w:color="auto" w:fill="DEEAF6"/>
          </w:tcPr>
          <w:p>
            <w:pPr/>
          </w:p>
        </w:tc>
      </w:tr>
      <w:tr>
        <w:trPr>
          <w:trHeight w:val="166" w:hRule="exact"/>
        </w:trPr>
        <w:tc>
          <w:tcPr>
            <w:tcW w:w="1026"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51"/>
              <w:ind w:left="13" w:right="110"/>
              <w:jc w:val="both"/>
              <w:rPr>
                <w:rFonts w:ascii="宋体" w:hAnsi="宋体" w:cs="宋体" w:eastAsia="宋体" w:hint="default"/>
                <w:sz w:val="18"/>
                <w:szCs w:val="18"/>
              </w:rPr>
            </w:pPr>
            <w:r>
              <w:rPr>
                <w:rFonts w:ascii="宋体" w:hAnsi="宋体" w:cs="宋体" w:eastAsia="宋体" w:hint="default"/>
                <w:sz w:val="18"/>
                <w:szCs w:val="18"/>
              </w:rPr>
              <w:t>深圳市酷动 数码有限公 司</w:t>
            </w:r>
          </w:p>
        </w:tc>
        <w:tc>
          <w:tcPr>
            <w:tcW w:w="675" w:type="dxa"/>
            <w:vMerge w:val="restart"/>
            <w:tcBorders>
              <w:top w:val="single" w:sz="4" w:space="0" w:color="5B9BD4"/>
              <w:left w:val="single" w:sz="11" w:space="0" w:color="DEEAF6"/>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30" w:type="dxa"/>
            <w:tcBorders>
              <w:top w:val="single" w:sz="4" w:space="0" w:color="5B9BD4"/>
              <w:left w:val="nil" w:sz="6" w:space="0" w:color="auto"/>
              <w:bottom w:val="nil" w:sz="6" w:space="0" w:color="auto"/>
              <w:right w:val="nil" w:sz="6" w:space="0" w:color="auto"/>
            </w:tcBorders>
            <w:shd w:val="clear" w:color="auto" w:fill="DEEAF6"/>
          </w:tcPr>
          <w:p>
            <w:pPr/>
          </w:p>
        </w:tc>
        <w:tc>
          <w:tcPr>
            <w:tcW w:w="1006" w:type="dxa"/>
            <w:vMerge w:val="restart"/>
            <w:tcBorders>
              <w:top w:val="single" w:sz="4" w:space="0" w:color="5B9BD4"/>
              <w:left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5" w:right="196"/>
              <w:jc w:val="left"/>
              <w:rPr>
                <w:rFonts w:ascii="宋体" w:hAnsi="宋体" w:cs="宋体" w:eastAsia="宋体" w:hint="default"/>
                <w:sz w:val="18"/>
                <w:szCs w:val="18"/>
              </w:rPr>
            </w:pPr>
            <w:r>
              <w:rPr>
                <w:rFonts w:ascii="宋体" w:hAnsi="宋体" w:cs="宋体" w:eastAsia="宋体" w:hint="default"/>
                <w:sz w:val="18"/>
                <w:szCs w:val="18"/>
              </w:rPr>
              <w:t>人民币 </w:t>
            </w:r>
            <w:r>
              <w:rPr>
                <w:rFonts w:ascii="Arial" w:hAnsi="Arial" w:cs="Arial" w:eastAsia="Arial" w:hint="default"/>
                <w:sz w:val="18"/>
                <w:szCs w:val="18"/>
              </w:rPr>
              <w:t>16,000</w:t>
            </w:r>
            <w:r>
              <w:rPr>
                <w:rFonts w:ascii="Arial" w:hAnsi="Arial" w:cs="Arial" w:eastAsia="Arial" w:hint="default"/>
                <w:spacing w:val="-9"/>
                <w:sz w:val="18"/>
                <w:szCs w:val="18"/>
              </w:rPr>
              <w:t> </w:t>
            </w:r>
            <w:r>
              <w:rPr>
                <w:rFonts w:ascii="宋体" w:hAnsi="宋体" w:cs="宋体" w:eastAsia="宋体" w:hint="default"/>
                <w:sz w:val="18"/>
                <w:szCs w:val="18"/>
              </w:rPr>
              <w:t>万</w:t>
            </w:r>
          </w:p>
        </w:tc>
        <w:tc>
          <w:tcPr>
            <w:tcW w:w="1404" w:type="dxa"/>
            <w:vMerge w:val="restart"/>
            <w:tcBorders>
              <w:top w:val="single" w:sz="4" w:space="0" w:color="5B9BD4"/>
              <w:left w:val="nil" w:sz="6" w:space="0" w:color="auto"/>
              <w:right w:val="nil" w:sz="6" w:space="0" w:color="auto"/>
            </w:tcBorders>
            <w:shd w:val="clear" w:color="auto" w:fill="DEEAF6"/>
          </w:tcPr>
          <w:p>
            <w:pPr/>
          </w:p>
        </w:tc>
        <w:tc>
          <w:tcPr>
            <w:tcW w:w="1431"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8" w:right="0"/>
              <w:jc w:val="left"/>
              <w:rPr>
                <w:rFonts w:ascii="Arial" w:hAnsi="Arial" w:cs="Arial" w:eastAsia="Arial" w:hint="default"/>
                <w:sz w:val="18"/>
                <w:szCs w:val="18"/>
              </w:rPr>
            </w:pPr>
            <w:r>
              <w:rPr>
                <w:rFonts w:ascii="Arial"/>
                <w:sz w:val="18"/>
              </w:rPr>
              <w:t>127,500,235.90</w:t>
            </w:r>
          </w:p>
        </w:tc>
        <w:tc>
          <w:tcPr>
            <w:tcW w:w="1539" w:type="dxa"/>
            <w:vMerge w:val="restart"/>
            <w:tcBorders>
              <w:top w:val="single" w:sz="4" w:space="0" w:color="5B9BD4"/>
              <w:left w:val="nil" w:sz="6" w:space="0" w:color="auto"/>
              <w:right w:val="nil" w:sz="6" w:space="0" w:color="auto"/>
            </w:tcBorders>
            <w:shd w:val="clear" w:color="auto" w:fill="DEEAF6"/>
          </w:tcPr>
          <w:p>
            <w:pPr/>
          </w:p>
        </w:tc>
        <w:tc>
          <w:tcPr>
            <w:tcW w:w="1297" w:type="dxa"/>
            <w:gridSpan w:val="2"/>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4" w:right="0"/>
              <w:jc w:val="left"/>
              <w:rPr>
                <w:rFonts w:ascii="Arial" w:hAnsi="Arial" w:cs="Arial" w:eastAsia="Arial" w:hint="default"/>
                <w:sz w:val="18"/>
                <w:szCs w:val="18"/>
              </w:rPr>
            </w:pPr>
            <w:r>
              <w:rPr>
                <w:rFonts w:ascii="Arial"/>
                <w:sz w:val="18"/>
              </w:rPr>
              <w:t>12,877,755.71</w:t>
            </w:r>
          </w:p>
        </w:tc>
        <w:tc>
          <w:tcPr>
            <w:tcW w:w="1255" w:type="dxa"/>
            <w:vMerge w:val="restart"/>
            <w:tcBorders>
              <w:top w:val="single" w:sz="4" w:space="0" w:color="5B9BD4"/>
              <w:left w:val="nil" w:sz="6" w:space="0" w:color="auto"/>
              <w:right w:val="nil" w:sz="6" w:space="0" w:color="auto"/>
            </w:tcBorders>
            <w:shd w:val="clear" w:color="auto" w:fill="DEEAF6"/>
          </w:tcPr>
          <w:p>
            <w:pPr/>
          </w:p>
        </w:tc>
      </w:tr>
      <w:tr>
        <w:trPr>
          <w:trHeight w:val="156" w:hRule="exact"/>
        </w:trPr>
        <w:tc>
          <w:tcPr>
            <w:tcW w:w="1026" w:type="dxa"/>
            <w:vMerge/>
            <w:tcBorders>
              <w:left w:val="nil" w:sz="6" w:space="0" w:color="auto"/>
              <w:right w:val="nil" w:sz="6" w:space="0" w:color="auto"/>
            </w:tcBorders>
            <w:shd w:val="clear" w:color="auto" w:fill="DEEAF6"/>
          </w:tcPr>
          <w:p>
            <w:pPr/>
          </w:p>
        </w:tc>
        <w:tc>
          <w:tcPr>
            <w:tcW w:w="675" w:type="dxa"/>
            <w:vMerge/>
            <w:tcBorders>
              <w:left w:val="single" w:sz="11" w:space="0" w:color="DEEAF6"/>
              <w:right w:val="nil" w:sz="6" w:space="0" w:color="auto"/>
            </w:tcBorders>
          </w:tcPr>
          <w:p>
            <w:pPr/>
          </w:p>
        </w:tc>
        <w:tc>
          <w:tcPr>
            <w:tcW w:w="830"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14" w:right="93"/>
              <w:jc w:val="left"/>
              <w:rPr>
                <w:rFonts w:ascii="宋体" w:hAnsi="宋体" w:cs="宋体" w:eastAsia="宋体" w:hint="default"/>
                <w:sz w:val="18"/>
                <w:szCs w:val="18"/>
              </w:rPr>
            </w:pPr>
            <w:r>
              <w:rPr>
                <w:rFonts w:ascii="宋体" w:hAnsi="宋体" w:cs="宋体" w:eastAsia="宋体" w:hint="default"/>
                <w:sz w:val="18"/>
                <w:szCs w:val="18"/>
              </w:rPr>
              <w:t>数码电子 产品销售</w:t>
            </w:r>
          </w:p>
        </w:tc>
        <w:tc>
          <w:tcPr>
            <w:tcW w:w="1006" w:type="dxa"/>
            <w:vMerge/>
            <w:tcBorders>
              <w:left w:val="nil" w:sz="6" w:space="0" w:color="auto"/>
              <w:right w:val="nil" w:sz="6" w:space="0" w:color="auto"/>
            </w:tcBorders>
          </w:tcPr>
          <w:p>
            <w:pPr/>
          </w:p>
        </w:tc>
        <w:tc>
          <w:tcPr>
            <w:tcW w:w="1404" w:type="dxa"/>
            <w:vMerge/>
            <w:tcBorders>
              <w:left w:val="nil" w:sz="6" w:space="0" w:color="auto"/>
              <w:bottom w:val="nil" w:sz="6" w:space="0" w:color="auto"/>
              <w:right w:val="nil" w:sz="6" w:space="0" w:color="auto"/>
            </w:tcBorders>
            <w:shd w:val="clear" w:color="auto" w:fill="DEEAF6"/>
          </w:tcPr>
          <w:p>
            <w:pPr/>
          </w:p>
        </w:tc>
        <w:tc>
          <w:tcPr>
            <w:tcW w:w="1431" w:type="dxa"/>
            <w:vMerge/>
            <w:tcBorders>
              <w:left w:val="nil" w:sz="6" w:space="0" w:color="auto"/>
              <w:right w:val="nil" w:sz="6" w:space="0" w:color="auto"/>
            </w:tcBorders>
          </w:tcPr>
          <w:p>
            <w:pPr/>
          </w:p>
        </w:tc>
        <w:tc>
          <w:tcPr>
            <w:tcW w:w="1539" w:type="dxa"/>
            <w:vMerge/>
            <w:tcBorders>
              <w:left w:val="nil" w:sz="6" w:space="0" w:color="auto"/>
              <w:bottom w:val="nil" w:sz="6" w:space="0" w:color="auto"/>
              <w:right w:val="nil" w:sz="6" w:space="0" w:color="auto"/>
            </w:tcBorders>
            <w:shd w:val="clear" w:color="auto" w:fill="DEEAF6"/>
          </w:tcPr>
          <w:p>
            <w:pPr/>
          </w:p>
        </w:tc>
        <w:tc>
          <w:tcPr>
            <w:tcW w:w="1297" w:type="dxa"/>
            <w:gridSpan w:val="2"/>
            <w:vMerge/>
            <w:tcBorders>
              <w:left w:val="nil" w:sz="6" w:space="0" w:color="auto"/>
              <w:right w:val="nil" w:sz="6" w:space="0" w:color="auto"/>
            </w:tcBorders>
          </w:tcPr>
          <w:p>
            <w:pPr/>
          </w:p>
        </w:tc>
        <w:tc>
          <w:tcPr>
            <w:tcW w:w="1255" w:type="dxa"/>
            <w:vMerge/>
            <w:tcBorders>
              <w:left w:val="nil" w:sz="6" w:space="0" w:color="auto"/>
              <w:bottom w:val="nil" w:sz="6" w:space="0" w:color="auto"/>
              <w:right w:val="nil" w:sz="6" w:space="0" w:color="auto"/>
            </w:tcBorders>
            <w:shd w:val="clear" w:color="auto" w:fill="DEEAF6"/>
          </w:tcPr>
          <w:p>
            <w:pPr/>
          </w:p>
        </w:tc>
      </w:tr>
      <w:tr>
        <w:trPr>
          <w:trHeight w:val="392" w:hRule="exact"/>
        </w:trPr>
        <w:tc>
          <w:tcPr>
            <w:tcW w:w="1026" w:type="dxa"/>
            <w:vMerge/>
            <w:tcBorders>
              <w:left w:val="nil" w:sz="6" w:space="0" w:color="auto"/>
              <w:right w:val="nil" w:sz="6" w:space="0" w:color="auto"/>
            </w:tcBorders>
            <w:shd w:val="clear" w:color="auto" w:fill="DEEAF6"/>
          </w:tcPr>
          <w:p>
            <w:pPr/>
          </w:p>
        </w:tc>
        <w:tc>
          <w:tcPr>
            <w:tcW w:w="675" w:type="dxa"/>
            <w:vMerge/>
            <w:tcBorders>
              <w:left w:val="single" w:sz="11" w:space="0" w:color="DEEAF6"/>
              <w:right w:val="nil" w:sz="6" w:space="0" w:color="auto"/>
            </w:tcBorders>
          </w:tcPr>
          <w:p>
            <w:pPr/>
          </w:p>
        </w:tc>
        <w:tc>
          <w:tcPr>
            <w:tcW w:w="830" w:type="dxa"/>
            <w:vMerge/>
            <w:tcBorders>
              <w:left w:val="nil" w:sz="6" w:space="0" w:color="auto"/>
              <w:right w:val="nil" w:sz="6" w:space="0" w:color="auto"/>
            </w:tcBorders>
            <w:shd w:val="clear" w:color="auto" w:fill="DEEAF6"/>
          </w:tcPr>
          <w:p>
            <w:pPr/>
          </w:p>
        </w:tc>
        <w:tc>
          <w:tcPr>
            <w:tcW w:w="1006" w:type="dxa"/>
            <w:vMerge/>
            <w:tcBorders>
              <w:left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19"/>
              <w:jc w:val="right"/>
              <w:rPr>
                <w:rFonts w:ascii="Arial" w:hAnsi="Arial" w:cs="Arial" w:eastAsia="Arial" w:hint="default"/>
                <w:sz w:val="18"/>
                <w:szCs w:val="18"/>
              </w:rPr>
            </w:pPr>
            <w:r>
              <w:rPr>
                <w:rFonts w:ascii="Arial"/>
                <w:w w:val="95"/>
                <w:sz w:val="18"/>
              </w:rPr>
              <w:t>517,600,345.54</w:t>
            </w:r>
            <w:r>
              <w:rPr>
                <w:rFonts w:ascii="Arial"/>
                <w:sz w:val="18"/>
              </w:rPr>
            </w:r>
          </w:p>
        </w:tc>
        <w:tc>
          <w:tcPr>
            <w:tcW w:w="1431" w:type="dxa"/>
            <w:vMerge/>
            <w:tcBorders>
              <w:left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13"/>
              <w:jc w:val="right"/>
              <w:rPr>
                <w:rFonts w:ascii="Arial" w:hAnsi="Arial" w:cs="Arial" w:eastAsia="Arial" w:hint="default"/>
                <w:sz w:val="18"/>
                <w:szCs w:val="18"/>
              </w:rPr>
            </w:pPr>
            <w:r>
              <w:rPr>
                <w:rFonts w:ascii="Arial"/>
                <w:spacing w:val="-1"/>
                <w:sz w:val="18"/>
              </w:rPr>
              <w:t>2,010,978,050.78</w:t>
            </w:r>
          </w:p>
        </w:tc>
        <w:tc>
          <w:tcPr>
            <w:tcW w:w="1297" w:type="dxa"/>
            <w:gridSpan w:val="2"/>
            <w:vMerge/>
            <w:tcBorders>
              <w:left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11"/>
              <w:jc w:val="right"/>
              <w:rPr>
                <w:rFonts w:ascii="Arial" w:hAnsi="Arial" w:cs="Arial" w:eastAsia="Arial" w:hint="default"/>
                <w:sz w:val="18"/>
                <w:szCs w:val="18"/>
              </w:rPr>
            </w:pPr>
            <w:r>
              <w:rPr>
                <w:rFonts w:ascii="Arial"/>
                <w:w w:val="95"/>
                <w:sz w:val="18"/>
              </w:rPr>
              <w:t>10,895,548.92</w:t>
            </w:r>
            <w:r>
              <w:rPr>
                <w:rFonts w:ascii="Arial"/>
                <w:sz w:val="18"/>
              </w:rPr>
            </w:r>
          </w:p>
        </w:tc>
      </w:tr>
      <w:tr>
        <w:trPr>
          <w:trHeight w:val="156" w:hRule="exact"/>
        </w:trPr>
        <w:tc>
          <w:tcPr>
            <w:tcW w:w="1026" w:type="dxa"/>
            <w:vMerge/>
            <w:tcBorders>
              <w:left w:val="nil" w:sz="6" w:space="0" w:color="auto"/>
              <w:right w:val="nil" w:sz="6" w:space="0" w:color="auto"/>
            </w:tcBorders>
            <w:shd w:val="clear" w:color="auto" w:fill="DEEAF6"/>
          </w:tcPr>
          <w:p>
            <w:pPr/>
          </w:p>
        </w:tc>
        <w:tc>
          <w:tcPr>
            <w:tcW w:w="675" w:type="dxa"/>
            <w:vMerge/>
            <w:tcBorders>
              <w:left w:val="single" w:sz="11" w:space="0" w:color="DEEAF6"/>
              <w:right w:val="nil" w:sz="6" w:space="0" w:color="auto"/>
            </w:tcBorders>
          </w:tcPr>
          <w:p>
            <w:pPr/>
          </w:p>
        </w:tc>
        <w:tc>
          <w:tcPr>
            <w:tcW w:w="830" w:type="dxa"/>
            <w:vMerge/>
            <w:tcBorders>
              <w:left w:val="nil" w:sz="6" w:space="0" w:color="auto"/>
              <w:bottom w:val="nil" w:sz="6" w:space="0" w:color="auto"/>
              <w:right w:val="nil" w:sz="6" w:space="0" w:color="auto"/>
            </w:tcBorders>
            <w:shd w:val="clear" w:color="auto" w:fill="DEEAF6"/>
          </w:tcPr>
          <w:p>
            <w:pPr/>
          </w:p>
        </w:tc>
        <w:tc>
          <w:tcPr>
            <w:tcW w:w="1006" w:type="dxa"/>
            <w:vMerge/>
            <w:tcBorders>
              <w:left w:val="nil" w:sz="6" w:space="0" w:color="auto"/>
              <w:right w:val="nil" w:sz="6" w:space="0" w:color="auto"/>
            </w:tcBorders>
          </w:tcPr>
          <w:p>
            <w:pPr/>
          </w:p>
        </w:tc>
        <w:tc>
          <w:tcPr>
            <w:tcW w:w="1404" w:type="dxa"/>
            <w:vMerge w:val="restart"/>
            <w:tcBorders>
              <w:top w:val="nil" w:sz="6" w:space="0" w:color="auto"/>
              <w:left w:val="nil" w:sz="6" w:space="0" w:color="auto"/>
              <w:right w:val="nil" w:sz="6" w:space="0" w:color="auto"/>
            </w:tcBorders>
            <w:shd w:val="clear" w:color="auto" w:fill="DEEAF6"/>
          </w:tcPr>
          <w:p>
            <w:pPr/>
          </w:p>
        </w:tc>
        <w:tc>
          <w:tcPr>
            <w:tcW w:w="1431" w:type="dxa"/>
            <w:vMerge/>
            <w:tcBorders>
              <w:left w:val="nil" w:sz="6" w:space="0" w:color="auto"/>
              <w:right w:val="nil" w:sz="6" w:space="0" w:color="auto"/>
            </w:tcBorders>
          </w:tcPr>
          <w:p>
            <w:pPr/>
          </w:p>
        </w:tc>
        <w:tc>
          <w:tcPr>
            <w:tcW w:w="1539" w:type="dxa"/>
            <w:vMerge w:val="restart"/>
            <w:tcBorders>
              <w:top w:val="nil" w:sz="6" w:space="0" w:color="auto"/>
              <w:left w:val="nil" w:sz="6" w:space="0" w:color="auto"/>
              <w:right w:val="nil" w:sz="6" w:space="0" w:color="auto"/>
            </w:tcBorders>
            <w:shd w:val="clear" w:color="auto" w:fill="DEEAF6"/>
          </w:tcPr>
          <w:p>
            <w:pPr/>
          </w:p>
        </w:tc>
        <w:tc>
          <w:tcPr>
            <w:tcW w:w="1297" w:type="dxa"/>
            <w:gridSpan w:val="2"/>
            <w:vMerge/>
            <w:tcBorders>
              <w:left w:val="nil" w:sz="6" w:space="0" w:color="auto"/>
              <w:right w:val="nil" w:sz="6" w:space="0" w:color="auto"/>
            </w:tcBorders>
          </w:tcPr>
          <w:p>
            <w:pPr/>
          </w:p>
        </w:tc>
        <w:tc>
          <w:tcPr>
            <w:tcW w:w="1255" w:type="dxa"/>
            <w:vMerge w:val="restart"/>
            <w:tcBorders>
              <w:top w:val="nil" w:sz="6" w:space="0" w:color="auto"/>
              <w:left w:val="nil" w:sz="6" w:space="0" w:color="auto"/>
              <w:right w:val="nil" w:sz="6" w:space="0" w:color="auto"/>
            </w:tcBorders>
            <w:shd w:val="clear" w:color="auto" w:fill="DEEAF6"/>
          </w:tcPr>
          <w:p>
            <w:pPr/>
          </w:p>
        </w:tc>
      </w:tr>
      <w:tr>
        <w:trPr>
          <w:trHeight w:val="161" w:hRule="exact"/>
        </w:trPr>
        <w:tc>
          <w:tcPr>
            <w:tcW w:w="1026" w:type="dxa"/>
            <w:vMerge/>
            <w:tcBorders>
              <w:left w:val="nil" w:sz="6" w:space="0" w:color="auto"/>
              <w:bottom w:val="single" w:sz="4" w:space="0" w:color="5B9BD4"/>
              <w:right w:val="nil" w:sz="6" w:space="0" w:color="auto"/>
            </w:tcBorders>
            <w:shd w:val="clear" w:color="auto" w:fill="DEEAF6"/>
          </w:tcPr>
          <w:p>
            <w:pPr/>
          </w:p>
        </w:tc>
        <w:tc>
          <w:tcPr>
            <w:tcW w:w="675" w:type="dxa"/>
            <w:vMerge/>
            <w:tcBorders>
              <w:left w:val="single" w:sz="11" w:space="0" w:color="DEEAF6"/>
              <w:bottom w:val="single" w:sz="4" w:space="0" w:color="5B9BD4"/>
              <w:right w:val="nil" w:sz="6" w:space="0" w:color="auto"/>
            </w:tcBorders>
          </w:tcPr>
          <w:p>
            <w:pPr/>
          </w:p>
        </w:tc>
        <w:tc>
          <w:tcPr>
            <w:tcW w:w="830" w:type="dxa"/>
            <w:tcBorders>
              <w:top w:val="nil" w:sz="6" w:space="0" w:color="auto"/>
              <w:left w:val="nil" w:sz="6" w:space="0" w:color="auto"/>
              <w:bottom w:val="single" w:sz="4" w:space="0" w:color="5B9BD4"/>
              <w:right w:val="nil" w:sz="6" w:space="0" w:color="auto"/>
            </w:tcBorders>
            <w:shd w:val="clear" w:color="auto" w:fill="DEEAF6"/>
          </w:tcPr>
          <w:p>
            <w:pPr/>
          </w:p>
        </w:tc>
        <w:tc>
          <w:tcPr>
            <w:tcW w:w="1006" w:type="dxa"/>
            <w:vMerge/>
            <w:tcBorders>
              <w:left w:val="nil" w:sz="6" w:space="0" w:color="auto"/>
              <w:bottom w:val="single" w:sz="4" w:space="0" w:color="5B9BD4"/>
              <w:right w:val="nil" w:sz="6" w:space="0" w:color="auto"/>
            </w:tcBorders>
          </w:tcPr>
          <w:p>
            <w:pPr/>
          </w:p>
        </w:tc>
        <w:tc>
          <w:tcPr>
            <w:tcW w:w="1404" w:type="dxa"/>
            <w:vMerge/>
            <w:tcBorders>
              <w:left w:val="nil" w:sz="6" w:space="0" w:color="auto"/>
              <w:bottom w:val="single" w:sz="4" w:space="0" w:color="5B9BD4"/>
              <w:right w:val="nil" w:sz="6" w:space="0" w:color="auto"/>
            </w:tcBorders>
            <w:shd w:val="clear" w:color="auto" w:fill="DEEAF6"/>
          </w:tcPr>
          <w:p>
            <w:pPr/>
          </w:p>
        </w:tc>
        <w:tc>
          <w:tcPr>
            <w:tcW w:w="1431" w:type="dxa"/>
            <w:vMerge/>
            <w:tcBorders>
              <w:left w:val="nil" w:sz="6" w:space="0" w:color="auto"/>
              <w:bottom w:val="single" w:sz="4" w:space="0" w:color="5B9BD4"/>
              <w:right w:val="nil" w:sz="6" w:space="0" w:color="auto"/>
            </w:tcBorders>
          </w:tcPr>
          <w:p>
            <w:pPr/>
          </w:p>
        </w:tc>
        <w:tc>
          <w:tcPr>
            <w:tcW w:w="1539" w:type="dxa"/>
            <w:vMerge/>
            <w:tcBorders>
              <w:left w:val="nil" w:sz="6" w:space="0" w:color="auto"/>
              <w:bottom w:val="single" w:sz="4" w:space="0" w:color="5B9BD4"/>
              <w:right w:val="nil" w:sz="6" w:space="0" w:color="auto"/>
            </w:tcBorders>
            <w:shd w:val="clear" w:color="auto" w:fill="DEEAF6"/>
          </w:tcPr>
          <w:p>
            <w:pPr/>
          </w:p>
        </w:tc>
        <w:tc>
          <w:tcPr>
            <w:tcW w:w="1297" w:type="dxa"/>
            <w:gridSpan w:val="2"/>
            <w:vMerge/>
            <w:tcBorders>
              <w:left w:val="nil" w:sz="6" w:space="0" w:color="auto"/>
              <w:bottom w:val="single" w:sz="4" w:space="0" w:color="5B9BD4"/>
              <w:right w:val="nil" w:sz="6" w:space="0" w:color="auto"/>
            </w:tcBorders>
          </w:tcPr>
          <w:p>
            <w:pPr/>
          </w:p>
        </w:tc>
        <w:tc>
          <w:tcPr>
            <w:tcW w:w="1255" w:type="dxa"/>
            <w:vMerge/>
            <w:tcBorders>
              <w:left w:val="nil" w:sz="6" w:space="0" w:color="auto"/>
              <w:bottom w:val="single" w:sz="4" w:space="0" w:color="5B9BD4"/>
              <w:right w:val="nil" w:sz="6" w:space="0" w:color="auto"/>
            </w:tcBorders>
            <w:shd w:val="clear" w:color="auto" w:fill="DEEAF6"/>
          </w:tcPr>
          <w:p>
            <w:pPr/>
          </w:p>
        </w:tc>
      </w:tr>
      <w:tr>
        <w:trPr>
          <w:trHeight w:val="317" w:hRule="exact"/>
        </w:trPr>
        <w:tc>
          <w:tcPr>
            <w:tcW w:w="1026"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6"/>
              <w:ind w:left="13" w:right="110"/>
              <w:jc w:val="both"/>
              <w:rPr>
                <w:rFonts w:ascii="宋体" w:hAnsi="宋体" w:cs="宋体" w:eastAsia="宋体" w:hint="default"/>
                <w:sz w:val="18"/>
                <w:szCs w:val="18"/>
              </w:rPr>
            </w:pPr>
            <w:r>
              <w:rPr>
                <w:rFonts w:ascii="宋体" w:hAnsi="宋体" w:cs="宋体" w:eastAsia="宋体" w:hint="default"/>
                <w:sz w:val="18"/>
                <w:szCs w:val="18"/>
              </w:rPr>
              <w:t>深圳市爱施 德通讯科技 有限公司</w:t>
            </w:r>
          </w:p>
        </w:tc>
        <w:tc>
          <w:tcPr>
            <w:tcW w:w="675" w:type="dxa"/>
            <w:vMerge w:val="restart"/>
            <w:tcBorders>
              <w:top w:val="single" w:sz="4" w:space="0" w:color="5B9BD4"/>
              <w:left w:val="single" w:sz="11" w:space="0" w:color="DEEAF6"/>
              <w:right w:val="single" w:sz="12" w:space="0" w:color="DEEAF6"/>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8"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30"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6"/>
              <w:ind w:left="14" w:right="93"/>
              <w:jc w:val="left"/>
              <w:rPr>
                <w:rFonts w:ascii="宋体" w:hAnsi="宋体" w:cs="宋体" w:eastAsia="宋体" w:hint="default"/>
                <w:sz w:val="18"/>
                <w:szCs w:val="18"/>
              </w:rPr>
            </w:pPr>
            <w:r>
              <w:rPr>
                <w:rFonts w:ascii="宋体" w:hAnsi="宋体" w:cs="宋体" w:eastAsia="宋体" w:hint="default"/>
                <w:sz w:val="18"/>
                <w:szCs w:val="18"/>
              </w:rPr>
              <w:t>仓储服 务、通讯 产品销售</w:t>
            </w:r>
          </w:p>
        </w:tc>
        <w:tc>
          <w:tcPr>
            <w:tcW w:w="1006" w:type="dxa"/>
            <w:vMerge w:val="restart"/>
            <w:tcBorders>
              <w:top w:val="single" w:sz="4" w:space="0" w:color="5B9BD4"/>
              <w:left w:val="single" w:sz="12" w:space="0" w:color="DEEAF6"/>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0" w:right="295"/>
              <w:jc w:val="left"/>
              <w:rPr>
                <w:rFonts w:ascii="宋体" w:hAnsi="宋体" w:cs="宋体" w:eastAsia="宋体" w:hint="default"/>
                <w:sz w:val="18"/>
                <w:szCs w:val="18"/>
              </w:rPr>
            </w:pPr>
            <w:r>
              <w:rPr>
                <w:rFonts w:ascii="宋体" w:hAnsi="宋体" w:cs="宋体" w:eastAsia="宋体" w:hint="default"/>
                <w:sz w:val="18"/>
                <w:szCs w:val="18"/>
              </w:rPr>
              <w:t>人民币 </w:t>
            </w:r>
            <w:r>
              <w:rPr>
                <w:rFonts w:ascii="Arial" w:hAnsi="Arial" w:cs="Arial" w:eastAsia="Arial" w:hint="default"/>
                <w:sz w:val="18"/>
                <w:szCs w:val="18"/>
              </w:rPr>
              <w:t>1,000</w:t>
            </w:r>
            <w:r>
              <w:rPr>
                <w:rFonts w:ascii="Arial" w:hAnsi="Arial" w:cs="Arial" w:eastAsia="Arial" w:hint="default"/>
                <w:spacing w:val="-8"/>
                <w:sz w:val="18"/>
                <w:szCs w:val="18"/>
              </w:rPr>
              <w:t> </w:t>
            </w:r>
            <w:r>
              <w:rPr>
                <w:rFonts w:ascii="宋体" w:hAnsi="宋体" w:cs="宋体" w:eastAsia="宋体" w:hint="default"/>
                <w:sz w:val="18"/>
                <w:szCs w:val="18"/>
              </w:rPr>
              <w:t>万</w:t>
            </w:r>
          </w:p>
        </w:tc>
        <w:tc>
          <w:tcPr>
            <w:tcW w:w="1404" w:type="dxa"/>
            <w:tcBorders>
              <w:top w:val="single" w:sz="4" w:space="0" w:color="5B9BD4"/>
              <w:left w:val="nil" w:sz="6" w:space="0" w:color="auto"/>
              <w:bottom w:val="nil" w:sz="6" w:space="0" w:color="auto"/>
              <w:right w:val="nil" w:sz="6" w:space="0" w:color="auto"/>
            </w:tcBorders>
            <w:shd w:val="clear" w:color="auto" w:fill="DEEAF6"/>
          </w:tcPr>
          <w:p>
            <w:pPr/>
          </w:p>
        </w:tc>
        <w:tc>
          <w:tcPr>
            <w:tcW w:w="1431"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8" w:right="0"/>
              <w:jc w:val="left"/>
              <w:rPr>
                <w:rFonts w:ascii="Arial" w:hAnsi="Arial" w:cs="Arial" w:eastAsia="Arial" w:hint="default"/>
                <w:sz w:val="18"/>
                <w:szCs w:val="18"/>
              </w:rPr>
            </w:pPr>
            <w:r>
              <w:rPr>
                <w:rFonts w:ascii="Arial"/>
                <w:sz w:val="18"/>
              </w:rPr>
              <w:t>23,031,297.91</w:t>
            </w:r>
          </w:p>
        </w:tc>
        <w:tc>
          <w:tcPr>
            <w:tcW w:w="1539" w:type="dxa"/>
            <w:tcBorders>
              <w:top w:val="single" w:sz="4" w:space="0" w:color="5B9BD4"/>
              <w:left w:val="nil" w:sz="6" w:space="0" w:color="auto"/>
              <w:bottom w:val="nil" w:sz="6" w:space="0" w:color="auto"/>
              <w:right w:val="nil" w:sz="6" w:space="0" w:color="auto"/>
            </w:tcBorders>
            <w:shd w:val="clear" w:color="auto" w:fill="DEEAF6"/>
          </w:tcPr>
          <w:p>
            <w:pPr/>
          </w:p>
        </w:tc>
        <w:tc>
          <w:tcPr>
            <w:tcW w:w="1297" w:type="dxa"/>
            <w:gridSpan w:val="2"/>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5" w:right="0"/>
              <w:jc w:val="left"/>
              <w:rPr>
                <w:rFonts w:ascii="Arial" w:hAnsi="Arial" w:cs="Arial" w:eastAsia="Arial" w:hint="default"/>
                <w:sz w:val="18"/>
                <w:szCs w:val="18"/>
              </w:rPr>
            </w:pPr>
            <w:r>
              <w:rPr>
                <w:rFonts w:ascii="Arial"/>
                <w:sz w:val="18"/>
              </w:rPr>
              <w:t>6,220,349.07</w:t>
            </w:r>
          </w:p>
        </w:tc>
        <w:tc>
          <w:tcPr>
            <w:tcW w:w="1255" w:type="dxa"/>
            <w:tcBorders>
              <w:top w:val="single" w:sz="4" w:space="0" w:color="5B9BD4"/>
              <w:left w:val="nil" w:sz="6" w:space="0" w:color="auto"/>
              <w:bottom w:val="nil" w:sz="6" w:space="0" w:color="auto"/>
              <w:right w:val="nil" w:sz="6" w:space="0" w:color="auto"/>
            </w:tcBorders>
            <w:shd w:val="clear" w:color="auto" w:fill="DEEAF6"/>
          </w:tcPr>
          <w:p>
            <w:pPr/>
          </w:p>
        </w:tc>
      </w:tr>
      <w:tr>
        <w:trPr>
          <w:trHeight w:val="392" w:hRule="exact"/>
        </w:trPr>
        <w:tc>
          <w:tcPr>
            <w:tcW w:w="1026" w:type="dxa"/>
            <w:vMerge/>
            <w:tcBorders>
              <w:left w:val="nil" w:sz="6" w:space="0" w:color="auto"/>
              <w:right w:val="nil" w:sz="6" w:space="0" w:color="auto"/>
            </w:tcBorders>
            <w:shd w:val="clear" w:color="auto" w:fill="DEEAF6"/>
          </w:tcPr>
          <w:p>
            <w:pPr/>
          </w:p>
        </w:tc>
        <w:tc>
          <w:tcPr>
            <w:tcW w:w="675" w:type="dxa"/>
            <w:vMerge/>
            <w:tcBorders>
              <w:left w:val="single" w:sz="11" w:space="0" w:color="DEEAF6"/>
              <w:right w:val="single" w:sz="12" w:space="0" w:color="DEEAF6"/>
            </w:tcBorders>
          </w:tcPr>
          <w:p>
            <w:pPr/>
          </w:p>
        </w:tc>
        <w:tc>
          <w:tcPr>
            <w:tcW w:w="830" w:type="dxa"/>
            <w:vMerge/>
            <w:tcBorders>
              <w:left w:val="nil" w:sz="6" w:space="0" w:color="auto"/>
              <w:right w:val="nil" w:sz="6" w:space="0" w:color="auto"/>
            </w:tcBorders>
            <w:shd w:val="clear" w:color="auto" w:fill="DEEAF6"/>
          </w:tcPr>
          <w:p>
            <w:pPr/>
          </w:p>
        </w:tc>
        <w:tc>
          <w:tcPr>
            <w:tcW w:w="1006" w:type="dxa"/>
            <w:vMerge/>
            <w:tcBorders>
              <w:left w:val="single" w:sz="12" w:space="0" w:color="DEEAF6"/>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18"/>
              <w:jc w:val="right"/>
              <w:rPr>
                <w:rFonts w:ascii="Arial" w:hAnsi="Arial" w:cs="Arial" w:eastAsia="Arial" w:hint="default"/>
                <w:sz w:val="18"/>
                <w:szCs w:val="18"/>
              </w:rPr>
            </w:pPr>
            <w:r>
              <w:rPr>
                <w:rFonts w:ascii="Arial"/>
                <w:w w:val="95"/>
                <w:sz w:val="18"/>
              </w:rPr>
              <w:t>39,122,539.67</w:t>
            </w:r>
            <w:r>
              <w:rPr>
                <w:rFonts w:ascii="Arial"/>
                <w:sz w:val="18"/>
              </w:rPr>
            </w:r>
          </w:p>
        </w:tc>
        <w:tc>
          <w:tcPr>
            <w:tcW w:w="1431" w:type="dxa"/>
            <w:vMerge/>
            <w:tcBorders>
              <w:left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13"/>
              <w:jc w:val="right"/>
              <w:rPr>
                <w:rFonts w:ascii="Arial" w:hAnsi="Arial" w:cs="Arial" w:eastAsia="Arial" w:hint="default"/>
                <w:sz w:val="18"/>
                <w:szCs w:val="18"/>
              </w:rPr>
            </w:pPr>
            <w:r>
              <w:rPr>
                <w:rFonts w:ascii="Arial"/>
                <w:w w:val="95"/>
                <w:sz w:val="18"/>
              </w:rPr>
              <w:t>51,970,135.17</w:t>
            </w:r>
            <w:r>
              <w:rPr>
                <w:rFonts w:ascii="Arial"/>
                <w:sz w:val="18"/>
              </w:rPr>
            </w:r>
          </w:p>
        </w:tc>
        <w:tc>
          <w:tcPr>
            <w:tcW w:w="1297" w:type="dxa"/>
            <w:gridSpan w:val="2"/>
            <w:vMerge/>
            <w:tcBorders>
              <w:left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10"/>
              <w:jc w:val="right"/>
              <w:rPr>
                <w:rFonts w:ascii="Arial" w:hAnsi="Arial" w:cs="Arial" w:eastAsia="Arial" w:hint="default"/>
                <w:sz w:val="18"/>
                <w:szCs w:val="18"/>
              </w:rPr>
            </w:pPr>
            <w:r>
              <w:rPr>
                <w:rFonts w:ascii="Arial"/>
                <w:w w:val="95"/>
                <w:sz w:val="18"/>
              </w:rPr>
              <w:t>3,377,296.39</w:t>
            </w:r>
            <w:r>
              <w:rPr>
                <w:rFonts w:ascii="Arial"/>
                <w:sz w:val="18"/>
              </w:rPr>
            </w:r>
          </w:p>
        </w:tc>
      </w:tr>
      <w:tr>
        <w:trPr>
          <w:trHeight w:val="317" w:hRule="exact"/>
        </w:trPr>
        <w:tc>
          <w:tcPr>
            <w:tcW w:w="1026" w:type="dxa"/>
            <w:vMerge/>
            <w:tcBorders>
              <w:left w:val="nil" w:sz="6" w:space="0" w:color="auto"/>
              <w:bottom w:val="single" w:sz="4" w:space="0" w:color="5B9BD4"/>
              <w:right w:val="nil" w:sz="6" w:space="0" w:color="auto"/>
            </w:tcBorders>
            <w:shd w:val="clear" w:color="auto" w:fill="DEEAF6"/>
          </w:tcPr>
          <w:p>
            <w:pPr/>
          </w:p>
        </w:tc>
        <w:tc>
          <w:tcPr>
            <w:tcW w:w="675" w:type="dxa"/>
            <w:vMerge/>
            <w:tcBorders>
              <w:left w:val="single" w:sz="11" w:space="0" w:color="DEEAF6"/>
              <w:bottom w:val="single" w:sz="4" w:space="0" w:color="5B9BD4"/>
              <w:right w:val="single" w:sz="12" w:space="0" w:color="DEEAF6"/>
            </w:tcBorders>
          </w:tcPr>
          <w:p>
            <w:pPr/>
          </w:p>
        </w:tc>
        <w:tc>
          <w:tcPr>
            <w:tcW w:w="830" w:type="dxa"/>
            <w:vMerge/>
            <w:tcBorders>
              <w:left w:val="nil" w:sz="6" w:space="0" w:color="auto"/>
              <w:bottom w:val="single" w:sz="4" w:space="0" w:color="5B9BD4"/>
              <w:right w:val="nil" w:sz="6" w:space="0" w:color="auto"/>
            </w:tcBorders>
            <w:shd w:val="clear" w:color="auto" w:fill="DEEAF6"/>
          </w:tcPr>
          <w:p>
            <w:pPr/>
          </w:p>
        </w:tc>
        <w:tc>
          <w:tcPr>
            <w:tcW w:w="1006" w:type="dxa"/>
            <w:vMerge/>
            <w:tcBorders>
              <w:left w:val="single" w:sz="12" w:space="0" w:color="DEEAF6"/>
              <w:bottom w:val="single" w:sz="4" w:space="0" w:color="5B9BD4"/>
              <w:right w:val="nil" w:sz="6" w:space="0" w:color="auto"/>
            </w:tcBorders>
          </w:tcPr>
          <w:p>
            <w:pPr/>
          </w:p>
        </w:tc>
        <w:tc>
          <w:tcPr>
            <w:tcW w:w="1404" w:type="dxa"/>
            <w:tcBorders>
              <w:top w:val="nil" w:sz="6" w:space="0" w:color="auto"/>
              <w:left w:val="nil" w:sz="6" w:space="0" w:color="auto"/>
              <w:bottom w:val="single" w:sz="4" w:space="0" w:color="5B9BD4"/>
              <w:right w:val="nil" w:sz="6" w:space="0" w:color="auto"/>
            </w:tcBorders>
            <w:shd w:val="clear" w:color="auto" w:fill="DEEAF6"/>
          </w:tcPr>
          <w:p>
            <w:pPr/>
          </w:p>
        </w:tc>
        <w:tc>
          <w:tcPr>
            <w:tcW w:w="1431" w:type="dxa"/>
            <w:vMerge/>
            <w:tcBorders>
              <w:left w:val="nil" w:sz="6" w:space="0" w:color="auto"/>
              <w:bottom w:val="single" w:sz="4" w:space="0" w:color="5B9BD4"/>
              <w:right w:val="nil" w:sz="6" w:space="0" w:color="auto"/>
            </w:tcBorders>
          </w:tcPr>
          <w:p>
            <w:pPr/>
          </w:p>
        </w:tc>
        <w:tc>
          <w:tcPr>
            <w:tcW w:w="1539" w:type="dxa"/>
            <w:tcBorders>
              <w:top w:val="nil" w:sz="6" w:space="0" w:color="auto"/>
              <w:left w:val="nil" w:sz="6" w:space="0" w:color="auto"/>
              <w:bottom w:val="single" w:sz="4" w:space="0" w:color="5B9BD4"/>
              <w:right w:val="nil" w:sz="6" w:space="0" w:color="auto"/>
            </w:tcBorders>
            <w:shd w:val="clear" w:color="auto" w:fill="DEEAF6"/>
          </w:tcPr>
          <w:p>
            <w:pPr/>
          </w:p>
        </w:tc>
        <w:tc>
          <w:tcPr>
            <w:tcW w:w="1297" w:type="dxa"/>
            <w:gridSpan w:val="2"/>
            <w:vMerge/>
            <w:tcBorders>
              <w:left w:val="nil" w:sz="6" w:space="0" w:color="auto"/>
              <w:bottom w:val="single" w:sz="4" w:space="0" w:color="5B9BD4"/>
              <w:right w:val="nil" w:sz="6" w:space="0" w:color="auto"/>
            </w:tcBorders>
          </w:tcPr>
          <w:p>
            <w:pPr/>
          </w:p>
        </w:tc>
        <w:tc>
          <w:tcPr>
            <w:tcW w:w="1255" w:type="dxa"/>
            <w:tcBorders>
              <w:top w:val="nil" w:sz="6" w:space="0" w:color="auto"/>
              <w:left w:val="nil" w:sz="6" w:space="0" w:color="auto"/>
              <w:bottom w:val="single" w:sz="4" w:space="0" w:color="5B9BD4"/>
              <w:right w:val="nil" w:sz="6" w:space="0" w:color="auto"/>
            </w:tcBorders>
            <w:shd w:val="clear" w:color="auto" w:fill="DEEAF6"/>
          </w:tcPr>
          <w:p>
            <w:pPr/>
          </w:p>
        </w:tc>
      </w:tr>
    </w:tbl>
    <w:p>
      <w:pPr>
        <w:spacing w:after="0"/>
        <w:sectPr>
          <w:type w:val="continuous"/>
          <w:pgSz w:w="11910" w:h="16840"/>
          <w:pgMar w:top="1360" w:bottom="0" w:left="60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1054"/>
        <w:gridCol w:w="647"/>
        <w:gridCol w:w="852"/>
        <w:gridCol w:w="991"/>
        <w:gridCol w:w="1419"/>
        <w:gridCol w:w="1417"/>
        <w:gridCol w:w="1559"/>
        <w:gridCol w:w="1276"/>
        <w:gridCol w:w="1277"/>
      </w:tblGrid>
      <w:tr>
        <w:trPr>
          <w:trHeight w:val="1026" w:hRule="exact"/>
        </w:trPr>
        <w:tc>
          <w:tcPr>
            <w:tcW w:w="105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46"/>
              <w:ind w:left="27" w:right="124"/>
              <w:jc w:val="both"/>
              <w:rPr>
                <w:rFonts w:ascii="宋体" w:hAnsi="宋体" w:cs="宋体" w:eastAsia="宋体" w:hint="default"/>
                <w:sz w:val="18"/>
                <w:szCs w:val="18"/>
              </w:rPr>
            </w:pPr>
            <w:r>
              <w:rPr>
                <w:rFonts w:ascii="宋体" w:hAnsi="宋体" w:cs="宋体" w:eastAsia="宋体" w:hint="default"/>
                <w:sz w:val="18"/>
                <w:szCs w:val="18"/>
              </w:rPr>
              <w:t>北京酷人通 讯科技有限 公司</w:t>
            </w:r>
          </w:p>
        </w:tc>
        <w:tc>
          <w:tcPr>
            <w:tcW w:w="64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8"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8" w:right="101"/>
              <w:jc w:val="left"/>
              <w:rPr>
                <w:rFonts w:ascii="宋体" w:hAnsi="宋体" w:cs="宋体" w:eastAsia="宋体" w:hint="default"/>
                <w:sz w:val="18"/>
                <w:szCs w:val="18"/>
              </w:rPr>
            </w:pPr>
            <w:r>
              <w:rPr>
                <w:rFonts w:ascii="宋体" w:hAnsi="宋体" w:cs="宋体" w:eastAsia="宋体" w:hint="default"/>
                <w:sz w:val="18"/>
                <w:szCs w:val="18"/>
              </w:rPr>
              <w:t>通讯产品 销售</w:t>
            </w:r>
          </w:p>
        </w:tc>
        <w:tc>
          <w:tcPr>
            <w:tcW w:w="991"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7" w:right="288"/>
              <w:jc w:val="left"/>
              <w:rPr>
                <w:rFonts w:ascii="宋体" w:hAnsi="宋体" w:cs="宋体" w:eastAsia="宋体" w:hint="default"/>
                <w:sz w:val="18"/>
                <w:szCs w:val="18"/>
              </w:rPr>
            </w:pPr>
            <w:r>
              <w:rPr>
                <w:rFonts w:ascii="宋体" w:hAnsi="宋体" w:cs="宋体" w:eastAsia="宋体" w:hint="default"/>
                <w:sz w:val="18"/>
                <w:szCs w:val="18"/>
              </w:rPr>
              <w:t>人民币 </w:t>
            </w:r>
            <w:r>
              <w:rPr>
                <w:rFonts w:ascii="Arial" w:hAnsi="Arial" w:cs="Arial" w:eastAsia="Arial" w:hint="default"/>
                <w:sz w:val="18"/>
                <w:szCs w:val="18"/>
              </w:rPr>
              <w:t>1,000</w:t>
            </w:r>
            <w:r>
              <w:rPr>
                <w:rFonts w:ascii="Arial" w:hAnsi="Arial" w:cs="Arial" w:eastAsia="Arial" w:hint="default"/>
                <w:spacing w:val="-8"/>
                <w:sz w:val="18"/>
                <w:szCs w:val="18"/>
              </w:rPr>
              <w:t> </w:t>
            </w:r>
            <w:r>
              <w:rPr>
                <w:rFonts w:ascii="宋体" w:hAnsi="宋体" w:cs="宋体" w:eastAsia="宋体" w:hint="default"/>
                <w:sz w:val="18"/>
                <w:szCs w:val="18"/>
              </w:rPr>
              <w:t>万</w:t>
            </w:r>
          </w:p>
        </w:tc>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Arial" w:hAnsi="Arial" w:cs="Arial" w:eastAsia="Arial" w:hint="default"/>
                <w:sz w:val="18"/>
                <w:szCs w:val="18"/>
              </w:rPr>
            </w:pPr>
            <w:r>
              <w:rPr>
                <w:rFonts w:ascii="Arial"/>
                <w:w w:val="95"/>
                <w:sz w:val="18"/>
              </w:rPr>
              <w:t>525,332,215.97</w:t>
            </w:r>
            <w:r>
              <w:rPr>
                <w:rFonts w:ascii="Arial"/>
                <w:sz w:val="18"/>
              </w:rPr>
            </w:r>
          </w:p>
        </w:tc>
        <w:tc>
          <w:tcPr>
            <w:tcW w:w="141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6"/>
              <w:jc w:val="right"/>
              <w:rPr>
                <w:rFonts w:ascii="Arial" w:hAnsi="Arial" w:cs="Arial" w:eastAsia="Arial" w:hint="default"/>
                <w:sz w:val="18"/>
                <w:szCs w:val="18"/>
              </w:rPr>
            </w:pPr>
            <w:r>
              <w:rPr>
                <w:rFonts w:ascii="Arial"/>
                <w:w w:val="95"/>
                <w:sz w:val="18"/>
              </w:rPr>
              <w:t>32,553,294.35</w:t>
            </w:r>
            <w:r>
              <w:rPr>
                <w:rFonts w:ascii="Arial"/>
                <w:sz w:val="18"/>
              </w:rPr>
            </w:r>
          </w:p>
        </w:tc>
        <w:tc>
          <w:tcPr>
            <w:tcW w:w="155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7"/>
              <w:jc w:val="right"/>
              <w:rPr>
                <w:rFonts w:ascii="Arial" w:hAnsi="Arial" w:cs="Arial" w:eastAsia="Arial" w:hint="default"/>
                <w:sz w:val="18"/>
                <w:szCs w:val="18"/>
              </w:rPr>
            </w:pPr>
            <w:r>
              <w:rPr>
                <w:rFonts w:ascii="Arial"/>
                <w:spacing w:val="-1"/>
                <w:sz w:val="18"/>
              </w:rPr>
              <w:t>3,038,855,785.98</w:t>
            </w:r>
          </w:p>
        </w:tc>
        <w:tc>
          <w:tcPr>
            <w:tcW w:w="1276"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Arial" w:hAnsi="Arial" w:cs="Arial" w:eastAsia="Arial" w:hint="default"/>
                <w:sz w:val="18"/>
                <w:szCs w:val="18"/>
              </w:rPr>
            </w:pPr>
            <w:r>
              <w:rPr>
                <w:rFonts w:ascii="Arial"/>
                <w:w w:val="95"/>
                <w:sz w:val="18"/>
              </w:rPr>
              <w:t>2,639,106.12</w:t>
            </w:r>
            <w:r>
              <w:rPr>
                <w:rFonts w:ascii="Arial"/>
                <w:sz w:val="18"/>
              </w:rPr>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Arial" w:hAnsi="Arial" w:cs="Arial" w:eastAsia="Arial" w:hint="default"/>
                <w:sz w:val="18"/>
                <w:szCs w:val="18"/>
              </w:rPr>
            </w:pPr>
            <w:r>
              <w:rPr>
                <w:rFonts w:ascii="Arial"/>
                <w:w w:val="95"/>
                <w:sz w:val="18"/>
              </w:rPr>
              <w:t>4,587,695.01</w:t>
            </w:r>
            <w:r>
              <w:rPr>
                <w:rFonts w:ascii="Arial"/>
                <w:sz w:val="18"/>
              </w:rPr>
            </w:r>
          </w:p>
        </w:tc>
      </w:tr>
      <w:tr>
        <w:trPr>
          <w:trHeight w:val="1026" w:hRule="exact"/>
        </w:trPr>
        <w:tc>
          <w:tcPr>
            <w:tcW w:w="105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46"/>
              <w:ind w:left="27" w:right="124"/>
              <w:jc w:val="both"/>
              <w:rPr>
                <w:rFonts w:ascii="宋体" w:hAnsi="宋体" w:cs="宋体" w:eastAsia="宋体" w:hint="default"/>
                <w:sz w:val="18"/>
                <w:szCs w:val="18"/>
              </w:rPr>
            </w:pPr>
            <w:r>
              <w:rPr>
                <w:rFonts w:ascii="宋体" w:hAnsi="宋体" w:cs="宋体" w:eastAsia="宋体" w:hint="default"/>
                <w:sz w:val="18"/>
                <w:szCs w:val="18"/>
              </w:rPr>
              <w:t>深圳市乐享 无限通讯有 限公司</w:t>
            </w:r>
          </w:p>
        </w:tc>
        <w:tc>
          <w:tcPr>
            <w:tcW w:w="64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8"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8" w:right="101"/>
              <w:jc w:val="left"/>
              <w:rPr>
                <w:rFonts w:ascii="宋体" w:hAnsi="宋体" w:cs="宋体" w:eastAsia="宋体" w:hint="default"/>
                <w:sz w:val="18"/>
                <w:szCs w:val="18"/>
              </w:rPr>
            </w:pPr>
            <w:r>
              <w:rPr>
                <w:rFonts w:ascii="宋体" w:hAnsi="宋体" w:cs="宋体" w:eastAsia="宋体" w:hint="default"/>
                <w:sz w:val="18"/>
                <w:szCs w:val="18"/>
              </w:rPr>
              <w:t>数码电子 产品销售</w:t>
            </w:r>
          </w:p>
        </w:tc>
        <w:tc>
          <w:tcPr>
            <w:tcW w:w="991"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7" w:right="288"/>
              <w:jc w:val="left"/>
              <w:rPr>
                <w:rFonts w:ascii="宋体" w:hAnsi="宋体" w:cs="宋体" w:eastAsia="宋体" w:hint="default"/>
                <w:sz w:val="18"/>
                <w:szCs w:val="18"/>
              </w:rPr>
            </w:pPr>
            <w:r>
              <w:rPr>
                <w:rFonts w:ascii="宋体" w:hAnsi="宋体" w:cs="宋体" w:eastAsia="宋体" w:hint="default"/>
                <w:sz w:val="18"/>
                <w:szCs w:val="18"/>
              </w:rPr>
              <w:t>人民币 </w:t>
            </w:r>
            <w:r>
              <w:rPr>
                <w:rFonts w:ascii="Arial" w:hAnsi="Arial" w:cs="Arial" w:eastAsia="Arial" w:hint="default"/>
                <w:sz w:val="18"/>
                <w:szCs w:val="18"/>
              </w:rPr>
              <w:t>1,000</w:t>
            </w:r>
            <w:r>
              <w:rPr>
                <w:rFonts w:ascii="Arial" w:hAnsi="Arial" w:cs="Arial" w:eastAsia="Arial" w:hint="default"/>
                <w:spacing w:val="-8"/>
                <w:sz w:val="18"/>
                <w:szCs w:val="18"/>
              </w:rPr>
              <w:t> </w:t>
            </w:r>
            <w:r>
              <w:rPr>
                <w:rFonts w:ascii="宋体" w:hAnsi="宋体" w:cs="宋体" w:eastAsia="宋体" w:hint="default"/>
                <w:sz w:val="18"/>
                <w:szCs w:val="18"/>
              </w:rPr>
              <w:t>万</w:t>
            </w:r>
          </w:p>
        </w:tc>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Arial" w:hAnsi="Arial" w:cs="Arial" w:eastAsia="Arial" w:hint="default"/>
                <w:sz w:val="18"/>
                <w:szCs w:val="18"/>
              </w:rPr>
            </w:pPr>
            <w:r>
              <w:rPr>
                <w:rFonts w:ascii="Arial"/>
                <w:w w:val="95"/>
                <w:sz w:val="18"/>
              </w:rPr>
              <w:t>15,730,064.65</w:t>
            </w:r>
            <w:r>
              <w:rPr>
                <w:rFonts w:ascii="Arial"/>
                <w:sz w:val="18"/>
              </w:rPr>
            </w:r>
          </w:p>
        </w:tc>
        <w:tc>
          <w:tcPr>
            <w:tcW w:w="141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Arial" w:hAnsi="Arial" w:cs="Arial" w:eastAsia="Arial" w:hint="default"/>
                <w:sz w:val="18"/>
                <w:szCs w:val="18"/>
              </w:rPr>
            </w:pPr>
            <w:r>
              <w:rPr>
                <w:rFonts w:ascii="Arial"/>
                <w:w w:val="95"/>
                <w:sz w:val="18"/>
              </w:rPr>
              <w:t>8,246,796.70</w:t>
            </w:r>
            <w:r>
              <w:rPr>
                <w:rFonts w:ascii="Arial"/>
                <w:sz w:val="18"/>
              </w:rPr>
            </w:r>
          </w:p>
        </w:tc>
        <w:tc>
          <w:tcPr>
            <w:tcW w:w="155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7"/>
              <w:jc w:val="right"/>
              <w:rPr>
                <w:rFonts w:ascii="Arial" w:hAnsi="Arial" w:cs="Arial" w:eastAsia="Arial" w:hint="default"/>
                <w:sz w:val="18"/>
                <w:szCs w:val="18"/>
              </w:rPr>
            </w:pPr>
            <w:r>
              <w:rPr>
                <w:rFonts w:ascii="Arial"/>
                <w:w w:val="95"/>
                <w:sz w:val="18"/>
              </w:rPr>
              <w:t>38,691,948.78</w:t>
            </w:r>
            <w:r>
              <w:rPr>
                <w:rFonts w:ascii="Arial"/>
                <w:sz w:val="18"/>
              </w:rPr>
            </w:r>
          </w:p>
        </w:tc>
        <w:tc>
          <w:tcPr>
            <w:tcW w:w="1276"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Arial" w:hAnsi="Arial" w:cs="Arial" w:eastAsia="Arial" w:hint="default"/>
                <w:sz w:val="18"/>
                <w:szCs w:val="18"/>
              </w:rPr>
            </w:pPr>
            <w:r>
              <w:rPr>
                <w:rFonts w:ascii="Arial"/>
                <w:w w:val="95"/>
                <w:sz w:val="18"/>
              </w:rPr>
              <w:t>1,293,047.34</w:t>
            </w:r>
            <w:r>
              <w:rPr>
                <w:rFonts w:ascii="Arial"/>
                <w:sz w:val="18"/>
              </w:rPr>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Arial" w:hAnsi="Arial" w:cs="Arial" w:eastAsia="Arial" w:hint="default"/>
                <w:sz w:val="18"/>
                <w:szCs w:val="18"/>
              </w:rPr>
            </w:pPr>
            <w:r>
              <w:rPr>
                <w:rFonts w:ascii="Arial"/>
                <w:w w:val="95"/>
                <w:sz w:val="18"/>
              </w:rPr>
              <w:t>1,481,327.32</w:t>
            </w:r>
            <w:r>
              <w:rPr>
                <w:rFonts w:ascii="Arial"/>
                <w:sz w:val="18"/>
              </w:rPr>
            </w:r>
          </w:p>
        </w:tc>
      </w:tr>
      <w:tr>
        <w:trPr>
          <w:trHeight w:val="714" w:hRule="exact"/>
        </w:trPr>
        <w:tc>
          <w:tcPr>
            <w:tcW w:w="105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46"/>
              <w:ind w:left="27" w:right="124"/>
              <w:jc w:val="left"/>
              <w:rPr>
                <w:rFonts w:ascii="宋体" w:hAnsi="宋体" w:cs="宋体" w:eastAsia="宋体" w:hint="default"/>
                <w:sz w:val="18"/>
                <w:szCs w:val="18"/>
              </w:rPr>
            </w:pPr>
            <w:r>
              <w:rPr>
                <w:rFonts w:ascii="宋体" w:hAnsi="宋体" w:cs="宋体" w:eastAsia="宋体" w:hint="default"/>
                <w:sz w:val="18"/>
                <w:szCs w:val="18"/>
              </w:rPr>
              <w:t>西藏酷爱通 信有限公司</w:t>
            </w:r>
          </w:p>
        </w:tc>
        <w:tc>
          <w:tcPr>
            <w:tcW w:w="647"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46"/>
              <w:ind w:left="28" w:right="101"/>
              <w:jc w:val="left"/>
              <w:rPr>
                <w:rFonts w:ascii="宋体" w:hAnsi="宋体" w:cs="宋体" w:eastAsia="宋体" w:hint="default"/>
                <w:sz w:val="18"/>
                <w:szCs w:val="18"/>
              </w:rPr>
            </w:pPr>
            <w:r>
              <w:rPr>
                <w:rFonts w:ascii="宋体" w:hAnsi="宋体" w:cs="宋体" w:eastAsia="宋体" w:hint="default"/>
                <w:sz w:val="18"/>
                <w:szCs w:val="18"/>
              </w:rPr>
              <w:t>通讯产品 销售</w:t>
            </w:r>
          </w:p>
        </w:tc>
        <w:tc>
          <w:tcPr>
            <w:tcW w:w="991" w:type="dxa"/>
            <w:tcBorders>
              <w:top w:val="single" w:sz="4" w:space="0" w:color="5B9BD4"/>
              <w:left w:val="nil" w:sz="6" w:space="0" w:color="auto"/>
              <w:bottom w:val="single" w:sz="4" w:space="0" w:color="5B9BD4"/>
              <w:right w:val="nil" w:sz="6" w:space="0" w:color="auto"/>
            </w:tcBorders>
          </w:tcPr>
          <w:p>
            <w:pPr>
              <w:pStyle w:val="TableParagraph"/>
              <w:spacing w:line="319" w:lineRule="auto" w:before="46"/>
              <w:ind w:left="27" w:right="188"/>
              <w:jc w:val="left"/>
              <w:rPr>
                <w:rFonts w:ascii="宋体" w:hAnsi="宋体" w:cs="宋体" w:eastAsia="宋体" w:hint="default"/>
                <w:sz w:val="18"/>
                <w:szCs w:val="18"/>
              </w:rPr>
            </w:pPr>
            <w:r>
              <w:rPr>
                <w:rFonts w:ascii="宋体" w:hAnsi="宋体" w:cs="宋体" w:eastAsia="宋体" w:hint="default"/>
                <w:sz w:val="18"/>
                <w:szCs w:val="18"/>
              </w:rPr>
              <w:t>人民币 </w:t>
            </w:r>
            <w:r>
              <w:rPr>
                <w:rFonts w:ascii="Arial" w:hAnsi="Arial" w:cs="Arial" w:eastAsia="Arial" w:hint="default"/>
                <w:sz w:val="18"/>
                <w:szCs w:val="18"/>
              </w:rPr>
              <w:t>20,000</w:t>
            </w:r>
            <w:r>
              <w:rPr>
                <w:rFonts w:ascii="Arial" w:hAnsi="Arial" w:cs="Arial" w:eastAsia="Arial" w:hint="default"/>
                <w:spacing w:val="-9"/>
                <w:sz w:val="18"/>
                <w:szCs w:val="18"/>
              </w:rPr>
              <w:t> </w:t>
            </w:r>
            <w:r>
              <w:rPr>
                <w:rFonts w:ascii="宋体" w:hAnsi="宋体" w:cs="宋体" w:eastAsia="宋体" w:hint="default"/>
                <w:sz w:val="18"/>
                <w:szCs w:val="18"/>
              </w:rPr>
              <w:t>万</w:t>
            </w:r>
          </w:p>
        </w:tc>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Arial" w:hAnsi="Arial" w:cs="Arial" w:eastAsia="Arial" w:hint="default"/>
                <w:sz w:val="18"/>
                <w:szCs w:val="18"/>
              </w:rPr>
            </w:pPr>
            <w:r>
              <w:rPr>
                <w:rFonts w:ascii="Arial"/>
                <w:w w:val="95"/>
                <w:sz w:val="18"/>
              </w:rPr>
              <w:t>953,803,507.60</w:t>
            </w:r>
            <w:r>
              <w:rPr>
                <w:rFonts w:ascii="Arial"/>
                <w:sz w:val="18"/>
              </w:rPr>
            </w:r>
          </w:p>
        </w:tc>
        <w:tc>
          <w:tcPr>
            <w:tcW w:w="1417" w:type="dxa"/>
            <w:tcBorders>
              <w:top w:val="single" w:sz="4" w:space="0" w:color="5B9BD4"/>
              <w:left w:val="nil" w:sz="6" w:space="0" w:color="auto"/>
              <w:bottom w:val="single" w:sz="4" w:space="0" w:color="5B9BD4"/>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26"/>
              <w:jc w:val="right"/>
              <w:rPr>
                <w:rFonts w:ascii="Arial" w:hAnsi="Arial" w:cs="Arial" w:eastAsia="Arial" w:hint="default"/>
                <w:sz w:val="18"/>
                <w:szCs w:val="18"/>
              </w:rPr>
            </w:pPr>
            <w:r>
              <w:rPr>
                <w:rFonts w:ascii="Arial"/>
                <w:w w:val="95"/>
                <w:sz w:val="18"/>
              </w:rPr>
              <w:t>639,576,091.67</w:t>
            </w:r>
            <w:r>
              <w:rPr>
                <w:rFonts w:ascii="Arial"/>
                <w:sz w:val="18"/>
              </w:rPr>
            </w:r>
          </w:p>
        </w:tc>
        <w:tc>
          <w:tcPr>
            <w:tcW w:w="155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27"/>
              <w:jc w:val="right"/>
              <w:rPr>
                <w:rFonts w:ascii="Arial" w:hAnsi="Arial" w:cs="Arial" w:eastAsia="Arial" w:hint="default"/>
                <w:sz w:val="18"/>
                <w:szCs w:val="18"/>
              </w:rPr>
            </w:pPr>
            <w:r>
              <w:rPr>
                <w:rFonts w:ascii="Arial"/>
                <w:w w:val="95"/>
                <w:sz w:val="18"/>
              </w:rPr>
              <w:t>12,229,275,969.14</w:t>
            </w:r>
            <w:r>
              <w:rPr>
                <w:rFonts w:ascii="Arial"/>
                <w:sz w:val="18"/>
              </w:rPr>
            </w:r>
          </w:p>
        </w:tc>
        <w:tc>
          <w:tcPr>
            <w:tcW w:w="1276"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256,158,412.2</w:t>
            </w:r>
            <w:r>
              <w:rPr>
                <w:rFonts w:ascii="Arial"/>
                <w:sz w:val="18"/>
              </w:rPr>
            </w:r>
          </w:p>
          <w:p>
            <w:pPr>
              <w:pStyle w:val="TableParagraph"/>
              <w:spacing w:line="240" w:lineRule="auto" w:before="106"/>
              <w:ind w:right="25"/>
              <w:jc w:val="right"/>
              <w:rPr>
                <w:rFonts w:ascii="Arial" w:hAnsi="Arial" w:cs="Arial" w:eastAsia="Arial" w:hint="default"/>
                <w:sz w:val="18"/>
                <w:szCs w:val="18"/>
              </w:rPr>
            </w:pPr>
            <w:r>
              <w:rPr>
                <w:rFonts w:ascii="Arial"/>
                <w:w w:val="99"/>
                <w:sz w:val="18"/>
              </w:rPr>
              <w:t>7</w:t>
            </w:r>
            <w:r>
              <w:rPr>
                <w:rFonts w:ascii="Arial"/>
                <w:sz w:val="18"/>
              </w:rPr>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w w:val="95"/>
                <w:sz w:val="18"/>
              </w:rPr>
              <w:t>235,036,667.7</w:t>
            </w:r>
            <w:r>
              <w:rPr>
                <w:rFonts w:ascii="Arial"/>
                <w:sz w:val="18"/>
              </w:rPr>
            </w:r>
          </w:p>
          <w:p>
            <w:pPr>
              <w:pStyle w:val="TableParagraph"/>
              <w:spacing w:line="240" w:lineRule="auto" w:before="106"/>
              <w:ind w:right="25"/>
              <w:jc w:val="right"/>
              <w:rPr>
                <w:rFonts w:ascii="Arial" w:hAnsi="Arial" w:cs="Arial" w:eastAsia="Arial" w:hint="default"/>
                <w:sz w:val="18"/>
                <w:szCs w:val="18"/>
              </w:rPr>
            </w:pPr>
            <w:r>
              <w:rPr>
                <w:rFonts w:ascii="Arial"/>
                <w:w w:val="99"/>
                <w:sz w:val="18"/>
              </w:rPr>
              <w:t>7</w:t>
            </w:r>
            <w:r>
              <w:rPr>
                <w:rFonts w:ascii="Arial"/>
                <w:sz w:val="18"/>
              </w:rPr>
            </w:r>
          </w:p>
        </w:tc>
      </w:tr>
      <w:tr>
        <w:trPr>
          <w:trHeight w:val="1026" w:hRule="exact"/>
        </w:trPr>
        <w:tc>
          <w:tcPr>
            <w:tcW w:w="105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46"/>
              <w:ind w:left="27" w:right="124"/>
              <w:jc w:val="both"/>
              <w:rPr>
                <w:rFonts w:ascii="宋体" w:hAnsi="宋体" w:cs="宋体" w:eastAsia="宋体" w:hint="default"/>
                <w:sz w:val="18"/>
                <w:szCs w:val="18"/>
              </w:rPr>
            </w:pPr>
            <w:r>
              <w:rPr>
                <w:rFonts w:ascii="宋体" w:hAnsi="宋体" w:cs="宋体" w:eastAsia="宋体" w:hint="default"/>
                <w:sz w:val="18"/>
                <w:szCs w:val="18"/>
              </w:rPr>
              <w:t>北京酷沃通 讯器材有限 公司</w:t>
            </w:r>
          </w:p>
        </w:tc>
        <w:tc>
          <w:tcPr>
            <w:tcW w:w="64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8"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8" w:right="101"/>
              <w:jc w:val="left"/>
              <w:rPr>
                <w:rFonts w:ascii="宋体" w:hAnsi="宋体" w:cs="宋体" w:eastAsia="宋体" w:hint="default"/>
                <w:sz w:val="18"/>
                <w:szCs w:val="18"/>
              </w:rPr>
            </w:pPr>
            <w:r>
              <w:rPr>
                <w:rFonts w:ascii="宋体" w:hAnsi="宋体" w:cs="宋体" w:eastAsia="宋体" w:hint="default"/>
                <w:sz w:val="18"/>
                <w:szCs w:val="18"/>
              </w:rPr>
              <w:t>通讯产品 销售</w:t>
            </w:r>
          </w:p>
        </w:tc>
        <w:tc>
          <w:tcPr>
            <w:tcW w:w="991"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02" w:lineRule="auto"/>
              <w:ind w:left="27" w:right="78"/>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50"/>
                <w:sz w:val="18"/>
                <w:szCs w:val="18"/>
              </w:rPr>
              <w:t> </w:t>
            </w:r>
            <w:r>
              <w:rPr>
                <w:rFonts w:ascii="Arial" w:hAnsi="Arial" w:cs="Arial" w:eastAsia="Arial" w:hint="default"/>
                <w:sz w:val="18"/>
                <w:szCs w:val="18"/>
              </w:rPr>
              <w:t>100</w:t>
            </w:r>
            <w:r>
              <w:rPr>
                <w:rFonts w:ascii="Arial" w:hAnsi="Arial" w:cs="Arial" w:eastAsia="Arial" w:hint="default"/>
                <w:spacing w:val="-1"/>
                <w:w w:val="99"/>
                <w:sz w:val="18"/>
                <w:szCs w:val="18"/>
              </w:rPr>
              <w:t> </w:t>
            </w:r>
            <w:r>
              <w:rPr>
                <w:rFonts w:ascii="宋体" w:hAnsi="宋体" w:cs="宋体" w:eastAsia="宋体" w:hint="default"/>
                <w:sz w:val="18"/>
                <w:szCs w:val="18"/>
              </w:rPr>
              <w:t>万</w:t>
            </w:r>
          </w:p>
        </w:tc>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Arial" w:hAnsi="Arial" w:cs="Arial" w:eastAsia="Arial" w:hint="default"/>
                <w:sz w:val="18"/>
                <w:szCs w:val="18"/>
              </w:rPr>
            </w:pPr>
            <w:r>
              <w:rPr>
                <w:rFonts w:ascii="Arial"/>
                <w:w w:val="95"/>
                <w:sz w:val="18"/>
              </w:rPr>
              <w:t>2,628,693.88</w:t>
            </w:r>
            <w:r>
              <w:rPr>
                <w:rFonts w:ascii="Arial"/>
                <w:sz w:val="18"/>
              </w:rPr>
            </w:r>
          </w:p>
        </w:tc>
        <w:tc>
          <w:tcPr>
            <w:tcW w:w="141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Arial" w:hAnsi="Arial" w:cs="Arial" w:eastAsia="Arial" w:hint="default"/>
                <w:sz w:val="18"/>
                <w:szCs w:val="18"/>
              </w:rPr>
            </w:pPr>
            <w:r>
              <w:rPr>
                <w:rFonts w:ascii="Arial"/>
                <w:w w:val="95"/>
                <w:sz w:val="18"/>
              </w:rPr>
              <w:t>1,929,310.24</w:t>
            </w:r>
            <w:r>
              <w:rPr>
                <w:rFonts w:ascii="Arial"/>
                <w:sz w:val="18"/>
              </w:rPr>
            </w:r>
          </w:p>
        </w:tc>
        <w:tc>
          <w:tcPr>
            <w:tcW w:w="155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7"/>
              <w:jc w:val="right"/>
              <w:rPr>
                <w:rFonts w:ascii="Arial" w:hAnsi="Arial" w:cs="Arial" w:eastAsia="Arial" w:hint="default"/>
                <w:sz w:val="18"/>
                <w:szCs w:val="18"/>
              </w:rPr>
            </w:pPr>
            <w:r>
              <w:rPr>
                <w:rFonts w:ascii="Arial"/>
                <w:w w:val="95"/>
                <w:sz w:val="18"/>
              </w:rPr>
              <w:t>27,700,584.33</w:t>
            </w:r>
            <w:r>
              <w:rPr>
                <w:rFonts w:ascii="Arial"/>
                <w:sz w:val="18"/>
              </w:rPr>
            </w:r>
          </w:p>
        </w:tc>
        <w:tc>
          <w:tcPr>
            <w:tcW w:w="1276"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Arial" w:hAnsi="Arial" w:cs="Arial" w:eastAsia="Arial" w:hint="default"/>
                <w:sz w:val="18"/>
                <w:szCs w:val="18"/>
              </w:rPr>
            </w:pPr>
            <w:r>
              <w:rPr>
                <w:rFonts w:ascii="Arial"/>
                <w:w w:val="95"/>
                <w:sz w:val="18"/>
              </w:rPr>
              <w:t>-278,747.09</w:t>
            </w:r>
            <w:r>
              <w:rPr>
                <w:rFonts w:ascii="Arial"/>
                <w:sz w:val="18"/>
              </w:rPr>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Arial" w:hAnsi="Arial" w:cs="Arial" w:eastAsia="Arial" w:hint="default"/>
                <w:sz w:val="18"/>
                <w:szCs w:val="18"/>
              </w:rPr>
            </w:pPr>
            <w:r>
              <w:rPr>
                <w:rFonts w:ascii="Arial"/>
                <w:w w:val="95"/>
                <w:sz w:val="18"/>
              </w:rPr>
              <w:t>-217,602.61</w:t>
            </w:r>
            <w:r>
              <w:rPr>
                <w:rFonts w:ascii="Arial"/>
                <w:sz w:val="18"/>
              </w:rPr>
            </w:r>
          </w:p>
        </w:tc>
      </w:tr>
      <w:tr>
        <w:trPr>
          <w:trHeight w:val="1026" w:hRule="exact"/>
        </w:trPr>
        <w:tc>
          <w:tcPr>
            <w:tcW w:w="105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46"/>
              <w:ind w:left="27" w:right="124"/>
              <w:jc w:val="both"/>
              <w:rPr>
                <w:rFonts w:ascii="宋体" w:hAnsi="宋体" w:cs="宋体" w:eastAsia="宋体" w:hint="default"/>
                <w:sz w:val="18"/>
                <w:szCs w:val="18"/>
              </w:rPr>
            </w:pPr>
            <w:r>
              <w:rPr>
                <w:rFonts w:ascii="宋体" w:hAnsi="宋体" w:cs="宋体" w:eastAsia="宋体" w:hint="default"/>
                <w:sz w:val="18"/>
                <w:szCs w:val="18"/>
              </w:rPr>
              <w:t>北京瑞成汇 达科技有限 公司</w:t>
            </w:r>
          </w:p>
        </w:tc>
        <w:tc>
          <w:tcPr>
            <w:tcW w:w="64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8"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46"/>
              <w:ind w:left="28" w:right="101"/>
              <w:jc w:val="both"/>
              <w:rPr>
                <w:rFonts w:ascii="宋体" w:hAnsi="宋体" w:cs="宋体" w:eastAsia="宋体" w:hint="default"/>
                <w:sz w:val="18"/>
                <w:szCs w:val="18"/>
              </w:rPr>
            </w:pPr>
            <w:r>
              <w:rPr>
                <w:rFonts w:ascii="宋体" w:hAnsi="宋体" w:cs="宋体" w:eastAsia="宋体" w:hint="default"/>
                <w:sz w:val="18"/>
                <w:szCs w:val="18"/>
              </w:rPr>
              <w:t>技术推广 服务及投 资管理</w:t>
            </w:r>
          </w:p>
        </w:tc>
        <w:tc>
          <w:tcPr>
            <w:tcW w:w="991"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7" w:right="188"/>
              <w:jc w:val="left"/>
              <w:rPr>
                <w:rFonts w:ascii="宋体" w:hAnsi="宋体" w:cs="宋体" w:eastAsia="宋体" w:hint="default"/>
                <w:sz w:val="18"/>
                <w:szCs w:val="18"/>
              </w:rPr>
            </w:pPr>
            <w:r>
              <w:rPr>
                <w:rFonts w:ascii="宋体" w:hAnsi="宋体" w:cs="宋体" w:eastAsia="宋体" w:hint="default"/>
                <w:sz w:val="18"/>
                <w:szCs w:val="18"/>
              </w:rPr>
              <w:t>人民币 </w:t>
            </w:r>
            <w:r>
              <w:rPr>
                <w:rFonts w:ascii="Arial" w:hAnsi="Arial" w:cs="Arial" w:eastAsia="Arial" w:hint="default"/>
                <w:sz w:val="18"/>
                <w:szCs w:val="18"/>
              </w:rPr>
              <w:t>15,000</w:t>
            </w:r>
            <w:r>
              <w:rPr>
                <w:rFonts w:ascii="Arial" w:hAnsi="Arial" w:cs="Arial" w:eastAsia="Arial" w:hint="default"/>
                <w:spacing w:val="-9"/>
                <w:sz w:val="18"/>
                <w:szCs w:val="18"/>
              </w:rPr>
              <w:t> </w:t>
            </w:r>
            <w:r>
              <w:rPr>
                <w:rFonts w:ascii="宋体" w:hAnsi="宋体" w:cs="宋体" w:eastAsia="宋体" w:hint="default"/>
                <w:sz w:val="18"/>
                <w:szCs w:val="18"/>
              </w:rPr>
              <w:t>万</w:t>
            </w:r>
          </w:p>
        </w:tc>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Arial" w:hAnsi="Arial" w:cs="Arial" w:eastAsia="Arial" w:hint="default"/>
                <w:sz w:val="18"/>
                <w:szCs w:val="18"/>
              </w:rPr>
            </w:pPr>
            <w:r>
              <w:rPr>
                <w:rFonts w:ascii="Arial"/>
                <w:w w:val="95"/>
                <w:sz w:val="18"/>
              </w:rPr>
              <w:t>129,816,086.01</w:t>
            </w:r>
            <w:r>
              <w:rPr>
                <w:rFonts w:ascii="Arial"/>
                <w:sz w:val="18"/>
              </w:rPr>
            </w:r>
          </w:p>
        </w:tc>
        <w:tc>
          <w:tcPr>
            <w:tcW w:w="141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6"/>
              <w:jc w:val="right"/>
              <w:rPr>
                <w:rFonts w:ascii="Arial" w:hAnsi="Arial" w:cs="Arial" w:eastAsia="Arial" w:hint="default"/>
                <w:sz w:val="18"/>
                <w:szCs w:val="18"/>
              </w:rPr>
            </w:pPr>
            <w:r>
              <w:rPr>
                <w:rFonts w:ascii="Arial"/>
                <w:w w:val="95"/>
                <w:sz w:val="18"/>
              </w:rPr>
              <w:t>127,783,532.80</w:t>
            </w:r>
            <w:r>
              <w:rPr>
                <w:rFonts w:ascii="Arial"/>
                <w:sz w:val="18"/>
              </w:rPr>
            </w:r>
          </w:p>
        </w:tc>
        <w:tc>
          <w:tcPr>
            <w:tcW w:w="155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6"/>
              <w:jc w:val="right"/>
              <w:rPr>
                <w:rFonts w:ascii="Arial" w:hAnsi="Arial" w:cs="Arial" w:eastAsia="Arial" w:hint="default"/>
                <w:sz w:val="18"/>
                <w:szCs w:val="18"/>
              </w:rPr>
            </w:pPr>
            <w:r>
              <w:rPr>
                <w:rFonts w:ascii="Arial"/>
                <w:w w:val="95"/>
                <w:sz w:val="18"/>
              </w:rPr>
              <w:t>2,032,910.49</w:t>
            </w:r>
            <w:r>
              <w:rPr>
                <w:rFonts w:ascii="Arial"/>
                <w:sz w:val="18"/>
              </w:rPr>
            </w:r>
          </w:p>
        </w:tc>
        <w:tc>
          <w:tcPr>
            <w:tcW w:w="1276"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Arial" w:hAnsi="Arial" w:cs="Arial" w:eastAsia="Arial" w:hint="default"/>
                <w:sz w:val="18"/>
                <w:szCs w:val="18"/>
              </w:rPr>
            </w:pPr>
            <w:r>
              <w:rPr>
                <w:rFonts w:ascii="Arial"/>
                <w:w w:val="95"/>
                <w:sz w:val="18"/>
              </w:rPr>
              <w:t>-5,289,960.89</w:t>
            </w:r>
            <w:r>
              <w:rPr>
                <w:rFonts w:ascii="Arial"/>
                <w:sz w:val="18"/>
              </w:rPr>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Arial" w:hAnsi="Arial" w:cs="Arial" w:eastAsia="Arial" w:hint="default"/>
                <w:sz w:val="18"/>
                <w:szCs w:val="18"/>
              </w:rPr>
            </w:pPr>
            <w:r>
              <w:rPr>
                <w:rFonts w:ascii="Arial"/>
                <w:w w:val="95"/>
                <w:sz w:val="18"/>
              </w:rPr>
              <w:t>-6,756,436.17</w:t>
            </w:r>
            <w:r>
              <w:rPr>
                <w:rFonts w:ascii="Arial"/>
                <w:sz w:val="18"/>
              </w:rPr>
            </w:r>
          </w:p>
        </w:tc>
      </w:tr>
      <w:tr>
        <w:trPr>
          <w:trHeight w:val="1026" w:hRule="exact"/>
        </w:trPr>
        <w:tc>
          <w:tcPr>
            <w:tcW w:w="105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46"/>
              <w:ind w:left="27" w:right="124"/>
              <w:jc w:val="both"/>
              <w:rPr>
                <w:rFonts w:ascii="宋体" w:hAnsi="宋体" w:cs="宋体" w:eastAsia="宋体" w:hint="default"/>
                <w:sz w:val="18"/>
                <w:szCs w:val="18"/>
              </w:rPr>
            </w:pPr>
            <w:r>
              <w:rPr>
                <w:rFonts w:ascii="宋体" w:hAnsi="宋体" w:cs="宋体" w:eastAsia="宋体" w:hint="default"/>
                <w:sz w:val="18"/>
                <w:szCs w:val="18"/>
              </w:rPr>
              <w:t>天津爱施迪 通讯器材有 限公司</w:t>
            </w:r>
          </w:p>
        </w:tc>
        <w:tc>
          <w:tcPr>
            <w:tcW w:w="64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8"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8" w:right="101"/>
              <w:jc w:val="left"/>
              <w:rPr>
                <w:rFonts w:ascii="宋体" w:hAnsi="宋体" w:cs="宋体" w:eastAsia="宋体" w:hint="default"/>
                <w:sz w:val="18"/>
                <w:szCs w:val="18"/>
              </w:rPr>
            </w:pPr>
            <w:r>
              <w:rPr>
                <w:rFonts w:ascii="宋体" w:hAnsi="宋体" w:cs="宋体" w:eastAsia="宋体" w:hint="default"/>
                <w:sz w:val="18"/>
                <w:szCs w:val="18"/>
              </w:rPr>
              <w:t>通讯产品 销售</w:t>
            </w:r>
          </w:p>
        </w:tc>
        <w:tc>
          <w:tcPr>
            <w:tcW w:w="991"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02" w:lineRule="auto"/>
              <w:ind w:left="27" w:right="78"/>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50"/>
                <w:sz w:val="18"/>
                <w:szCs w:val="18"/>
              </w:rPr>
              <w:t> </w:t>
            </w:r>
            <w:r>
              <w:rPr>
                <w:rFonts w:ascii="Arial" w:hAnsi="Arial" w:cs="Arial" w:eastAsia="Arial" w:hint="default"/>
                <w:sz w:val="18"/>
                <w:szCs w:val="18"/>
              </w:rPr>
              <w:t>500</w:t>
            </w:r>
            <w:r>
              <w:rPr>
                <w:rFonts w:ascii="Arial" w:hAnsi="Arial" w:cs="Arial" w:eastAsia="Arial" w:hint="default"/>
                <w:spacing w:val="-1"/>
                <w:w w:val="99"/>
                <w:sz w:val="18"/>
                <w:szCs w:val="18"/>
              </w:rPr>
              <w:t> </w:t>
            </w:r>
            <w:r>
              <w:rPr>
                <w:rFonts w:ascii="宋体" w:hAnsi="宋体" w:cs="宋体" w:eastAsia="宋体" w:hint="default"/>
                <w:sz w:val="18"/>
                <w:szCs w:val="18"/>
              </w:rPr>
              <w:t>万</w:t>
            </w:r>
          </w:p>
        </w:tc>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Arial" w:hAnsi="Arial" w:cs="Arial" w:eastAsia="Arial" w:hint="default"/>
                <w:sz w:val="18"/>
                <w:szCs w:val="18"/>
              </w:rPr>
            </w:pPr>
            <w:r>
              <w:rPr>
                <w:rFonts w:ascii="Arial"/>
                <w:w w:val="95"/>
                <w:sz w:val="18"/>
              </w:rPr>
              <w:t>67,001,036.21</w:t>
            </w:r>
            <w:r>
              <w:rPr>
                <w:rFonts w:ascii="Arial"/>
                <w:sz w:val="18"/>
              </w:rPr>
            </w:r>
          </w:p>
        </w:tc>
        <w:tc>
          <w:tcPr>
            <w:tcW w:w="141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6"/>
              <w:jc w:val="right"/>
              <w:rPr>
                <w:rFonts w:ascii="Arial" w:hAnsi="Arial" w:cs="Arial" w:eastAsia="Arial" w:hint="default"/>
                <w:sz w:val="18"/>
                <w:szCs w:val="18"/>
              </w:rPr>
            </w:pPr>
            <w:r>
              <w:rPr>
                <w:rFonts w:ascii="Arial"/>
                <w:w w:val="95"/>
                <w:sz w:val="18"/>
              </w:rPr>
              <w:t>55,437,669.85</w:t>
            </w:r>
            <w:r>
              <w:rPr>
                <w:rFonts w:ascii="Arial"/>
                <w:sz w:val="18"/>
              </w:rPr>
            </w:r>
          </w:p>
        </w:tc>
        <w:tc>
          <w:tcPr>
            <w:tcW w:w="155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7"/>
              <w:jc w:val="right"/>
              <w:rPr>
                <w:rFonts w:ascii="Arial" w:hAnsi="Arial" w:cs="Arial" w:eastAsia="Arial" w:hint="default"/>
                <w:sz w:val="18"/>
                <w:szCs w:val="18"/>
              </w:rPr>
            </w:pPr>
            <w:r>
              <w:rPr>
                <w:rFonts w:ascii="Arial"/>
                <w:spacing w:val="-1"/>
                <w:sz w:val="18"/>
              </w:rPr>
              <w:t>2,739,699,456.73</w:t>
            </w:r>
          </w:p>
        </w:tc>
        <w:tc>
          <w:tcPr>
            <w:tcW w:w="1276"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Arial" w:hAnsi="Arial" w:cs="Arial" w:eastAsia="Arial" w:hint="default"/>
                <w:sz w:val="18"/>
                <w:szCs w:val="18"/>
              </w:rPr>
            </w:pPr>
            <w:r>
              <w:rPr>
                <w:rFonts w:ascii="Arial"/>
                <w:w w:val="95"/>
                <w:sz w:val="18"/>
              </w:rPr>
              <w:t>31,644,613.24</w:t>
            </w:r>
            <w:r>
              <w:rPr>
                <w:rFonts w:ascii="Arial"/>
                <w:sz w:val="18"/>
              </w:rPr>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Arial" w:hAnsi="Arial" w:cs="Arial" w:eastAsia="Arial" w:hint="default"/>
                <w:sz w:val="18"/>
                <w:szCs w:val="18"/>
              </w:rPr>
            </w:pPr>
            <w:r>
              <w:rPr>
                <w:rFonts w:ascii="Arial"/>
                <w:w w:val="95"/>
                <w:sz w:val="18"/>
              </w:rPr>
              <w:t>24,634,365.55</w:t>
            </w:r>
            <w:r>
              <w:rPr>
                <w:rFonts w:ascii="Arial"/>
                <w:sz w:val="18"/>
              </w:rPr>
            </w:r>
          </w:p>
        </w:tc>
      </w:tr>
      <w:tr>
        <w:trPr>
          <w:trHeight w:val="1026" w:hRule="exact"/>
        </w:trPr>
        <w:tc>
          <w:tcPr>
            <w:tcW w:w="105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46"/>
              <w:ind w:left="27" w:right="25"/>
              <w:jc w:val="both"/>
              <w:rPr>
                <w:rFonts w:ascii="宋体" w:hAnsi="宋体" w:cs="宋体" w:eastAsia="宋体" w:hint="default"/>
                <w:sz w:val="18"/>
                <w:szCs w:val="18"/>
              </w:rPr>
            </w:pPr>
            <w:r>
              <w:rPr>
                <w:rFonts w:ascii="宋体" w:hAnsi="宋体" w:cs="宋体" w:eastAsia="宋体" w:hint="default"/>
                <w:spacing w:val="-14"/>
                <w:sz w:val="18"/>
                <w:szCs w:val="18"/>
              </w:rPr>
              <w:t>优友科技（北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京）有限责任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64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8"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8" w:right="101"/>
              <w:jc w:val="left"/>
              <w:rPr>
                <w:rFonts w:ascii="宋体" w:hAnsi="宋体" w:cs="宋体" w:eastAsia="宋体" w:hint="default"/>
                <w:sz w:val="18"/>
                <w:szCs w:val="18"/>
              </w:rPr>
            </w:pPr>
            <w:r>
              <w:rPr>
                <w:rFonts w:ascii="宋体" w:hAnsi="宋体" w:cs="宋体" w:eastAsia="宋体" w:hint="default"/>
                <w:sz w:val="18"/>
                <w:szCs w:val="18"/>
              </w:rPr>
              <w:t>技术推广 服务</w:t>
            </w:r>
          </w:p>
        </w:tc>
        <w:tc>
          <w:tcPr>
            <w:tcW w:w="991"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7" w:right="288"/>
              <w:jc w:val="left"/>
              <w:rPr>
                <w:rFonts w:ascii="宋体" w:hAnsi="宋体" w:cs="宋体" w:eastAsia="宋体" w:hint="default"/>
                <w:sz w:val="18"/>
                <w:szCs w:val="18"/>
              </w:rPr>
            </w:pPr>
            <w:r>
              <w:rPr>
                <w:rFonts w:ascii="宋体" w:hAnsi="宋体" w:cs="宋体" w:eastAsia="宋体" w:hint="default"/>
                <w:sz w:val="18"/>
                <w:szCs w:val="18"/>
              </w:rPr>
              <w:t>人民币 </w:t>
            </w:r>
            <w:r>
              <w:rPr>
                <w:rFonts w:ascii="Arial" w:hAnsi="Arial" w:cs="Arial" w:eastAsia="Arial" w:hint="default"/>
                <w:sz w:val="18"/>
                <w:szCs w:val="18"/>
              </w:rPr>
              <w:t>2,000</w:t>
            </w:r>
            <w:r>
              <w:rPr>
                <w:rFonts w:ascii="Arial" w:hAnsi="Arial" w:cs="Arial" w:eastAsia="Arial" w:hint="default"/>
                <w:spacing w:val="-8"/>
                <w:sz w:val="18"/>
                <w:szCs w:val="18"/>
              </w:rPr>
              <w:t> </w:t>
            </w:r>
            <w:r>
              <w:rPr>
                <w:rFonts w:ascii="宋体" w:hAnsi="宋体" w:cs="宋体" w:eastAsia="宋体" w:hint="default"/>
                <w:sz w:val="18"/>
                <w:szCs w:val="18"/>
              </w:rPr>
              <w:t>万</w:t>
            </w:r>
          </w:p>
        </w:tc>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Arial" w:hAnsi="Arial" w:cs="Arial" w:eastAsia="Arial" w:hint="default"/>
                <w:sz w:val="18"/>
                <w:szCs w:val="18"/>
              </w:rPr>
            </w:pPr>
            <w:r>
              <w:rPr>
                <w:rFonts w:ascii="Arial"/>
                <w:w w:val="95"/>
                <w:sz w:val="18"/>
              </w:rPr>
              <w:t>19,142,978.22</w:t>
            </w:r>
            <w:r>
              <w:rPr>
                <w:rFonts w:ascii="Arial"/>
                <w:sz w:val="18"/>
              </w:rPr>
            </w:r>
          </w:p>
        </w:tc>
        <w:tc>
          <w:tcPr>
            <w:tcW w:w="141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6"/>
              <w:jc w:val="right"/>
              <w:rPr>
                <w:rFonts w:ascii="Arial" w:hAnsi="Arial" w:cs="Arial" w:eastAsia="Arial" w:hint="default"/>
                <w:sz w:val="18"/>
                <w:szCs w:val="18"/>
              </w:rPr>
            </w:pPr>
            <w:r>
              <w:rPr>
                <w:rFonts w:ascii="Arial"/>
                <w:w w:val="95"/>
                <w:sz w:val="18"/>
              </w:rPr>
              <w:t>19,142,978.22</w:t>
            </w:r>
            <w:r>
              <w:rPr>
                <w:rFonts w:ascii="Arial"/>
                <w:sz w:val="18"/>
              </w:rPr>
            </w:r>
          </w:p>
        </w:tc>
        <w:tc>
          <w:tcPr>
            <w:tcW w:w="1559" w:type="dxa"/>
            <w:tcBorders>
              <w:top w:val="single" w:sz="4" w:space="0" w:color="5B9BD4"/>
              <w:left w:val="nil" w:sz="6" w:space="0" w:color="auto"/>
              <w:bottom w:val="single" w:sz="4" w:space="0" w:color="5B9BD4"/>
              <w:right w:val="nil" w:sz="6" w:space="0" w:color="auto"/>
            </w:tcBorders>
            <w:shd w:val="clear" w:color="auto" w:fill="DEEAF6"/>
          </w:tcPr>
          <w:p>
            <w:pPr/>
          </w:p>
        </w:tc>
        <w:tc>
          <w:tcPr>
            <w:tcW w:w="1276"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Arial" w:hAnsi="Arial" w:cs="Arial" w:eastAsia="Arial" w:hint="default"/>
                <w:sz w:val="18"/>
                <w:szCs w:val="18"/>
              </w:rPr>
            </w:pPr>
            <w:r>
              <w:rPr>
                <w:rFonts w:ascii="Arial"/>
                <w:w w:val="95"/>
                <w:sz w:val="18"/>
              </w:rPr>
              <w:t>-283,198.79</w:t>
            </w:r>
            <w:r>
              <w:rPr>
                <w:rFonts w:ascii="Arial"/>
                <w:sz w:val="18"/>
              </w:rPr>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Arial" w:hAnsi="Arial" w:cs="Arial" w:eastAsia="Arial" w:hint="default"/>
                <w:sz w:val="18"/>
                <w:szCs w:val="18"/>
              </w:rPr>
            </w:pPr>
            <w:r>
              <w:rPr>
                <w:rFonts w:ascii="Arial"/>
                <w:w w:val="95"/>
                <w:sz w:val="18"/>
              </w:rPr>
              <w:t>-283,198.79</w:t>
            </w:r>
            <w:r>
              <w:rPr>
                <w:rFonts w:ascii="Arial"/>
                <w:sz w:val="18"/>
              </w:rPr>
            </w:r>
          </w:p>
        </w:tc>
      </w:tr>
      <w:tr>
        <w:trPr>
          <w:trHeight w:val="1026" w:hRule="exact"/>
        </w:trPr>
        <w:tc>
          <w:tcPr>
            <w:tcW w:w="105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47"/>
              <w:ind w:left="27" w:right="124"/>
              <w:jc w:val="both"/>
              <w:rPr>
                <w:rFonts w:ascii="宋体" w:hAnsi="宋体" w:cs="宋体" w:eastAsia="宋体" w:hint="default"/>
                <w:sz w:val="18"/>
                <w:szCs w:val="18"/>
              </w:rPr>
            </w:pPr>
            <w:r>
              <w:rPr>
                <w:rFonts w:ascii="宋体" w:hAnsi="宋体" w:cs="宋体" w:eastAsia="宋体" w:hint="default"/>
                <w:sz w:val="18"/>
                <w:szCs w:val="18"/>
              </w:rPr>
              <w:t>北京酷昊通 讯科技有限 公司</w:t>
            </w:r>
          </w:p>
        </w:tc>
        <w:tc>
          <w:tcPr>
            <w:tcW w:w="64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8"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8" w:right="101"/>
              <w:jc w:val="left"/>
              <w:rPr>
                <w:rFonts w:ascii="宋体" w:hAnsi="宋体" w:cs="宋体" w:eastAsia="宋体" w:hint="default"/>
                <w:sz w:val="18"/>
                <w:szCs w:val="18"/>
              </w:rPr>
            </w:pPr>
            <w:r>
              <w:rPr>
                <w:rFonts w:ascii="宋体" w:hAnsi="宋体" w:cs="宋体" w:eastAsia="宋体" w:hint="default"/>
                <w:sz w:val="18"/>
                <w:szCs w:val="18"/>
              </w:rPr>
              <w:t>通讯产品 销售</w:t>
            </w:r>
          </w:p>
        </w:tc>
        <w:tc>
          <w:tcPr>
            <w:tcW w:w="991"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02" w:lineRule="auto"/>
              <w:ind w:left="27" w:right="78"/>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50"/>
                <w:sz w:val="18"/>
                <w:szCs w:val="18"/>
              </w:rPr>
              <w:t> </w:t>
            </w:r>
            <w:r>
              <w:rPr>
                <w:rFonts w:ascii="Arial" w:hAnsi="Arial" w:cs="Arial" w:eastAsia="Arial" w:hint="default"/>
                <w:sz w:val="18"/>
                <w:szCs w:val="18"/>
              </w:rPr>
              <w:t>100</w:t>
            </w:r>
            <w:r>
              <w:rPr>
                <w:rFonts w:ascii="Arial" w:hAnsi="Arial" w:cs="Arial" w:eastAsia="Arial" w:hint="default"/>
                <w:spacing w:val="-1"/>
                <w:w w:val="99"/>
                <w:sz w:val="18"/>
                <w:szCs w:val="18"/>
              </w:rPr>
              <w:t> </w:t>
            </w:r>
            <w:r>
              <w:rPr>
                <w:rFonts w:ascii="宋体" w:hAnsi="宋体" w:cs="宋体" w:eastAsia="宋体" w:hint="default"/>
                <w:sz w:val="18"/>
                <w:szCs w:val="18"/>
              </w:rPr>
              <w:t>万</w:t>
            </w:r>
          </w:p>
        </w:tc>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6"/>
              <w:jc w:val="right"/>
              <w:rPr>
                <w:rFonts w:ascii="Arial" w:hAnsi="Arial" w:cs="Arial" w:eastAsia="Arial" w:hint="default"/>
                <w:sz w:val="18"/>
                <w:szCs w:val="18"/>
              </w:rPr>
            </w:pPr>
            <w:r>
              <w:rPr>
                <w:rFonts w:ascii="Arial"/>
                <w:w w:val="95"/>
                <w:sz w:val="18"/>
              </w:rPr>
              <w:t>853,951.89</w:t>
            </w:r>
            <w:r>
              <w:rPr>
                <w:rFonts w:ascii="Arial"/>
                <w:sz w:val="18"/>
              </w:rPr>
            </w:r>
          </w:p>
        </w:tc>
        <w:tc>
          <w:tcPr>
            <w:tcW w:w="141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6"/>
              <w:jc w:val="right"/>
              <w:rPr>
                <w:rFonts w:ascii="Arial" w:hAnsi="Arial" w:cs="Arial" w:eastAsia="Arial" w:hint="default"/>
                <w:sz w:val="18"/>
                <w:szCs w:val="18"/>
              </w:rPr>
            </w:pPr>
            <w:r>
              <w:rPr>
                <w:rFonts w:ascii="Arial"/>
                <w:w w:val="95"/>
                <w:sz w:val="18"/>
              </w:rPr>
              <w:t>849,671.29</w:t>
            </w:r>
            <w:r>
              <w:rPr>
                <w:rFonts w:ascii="Arial"/>
                <w:sz w:val="18"/>
              </w:rPr>
            </w:r>
          </w:p>
        </w:tc>
        <w:tc>
          <w:tcPr>
            <w:tcW w:w="1559" w:type="dxa"/>
            <w:tcBorders>
              <w:top w:val="single" w:sz="4" w:space="0" w:color="5B9BD4"/>
              <w:left w:val="nil" w:sz="6" w:space="0" w:color="auto"/>
              <w:bottom w:val="single" w:sz="4" w:space="0" w:color="5B9BD4"/>
              <w:right w:val="nil" w:sz="6" w:space="0" w:color="auto"/>
            </w:tcBorders>
            <w:shd w:val="clear" w:color="auto" w:fill="DEEAF6"/>
          </w:tcPr>
          <w:p>
            <w:pPr/>
          </w:p>
        </w:tc>
        <w:tc>
          <w:tcPr>
            <w:tcW w:w="1276"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Arial" w:hAnsi="Arial" w:cs="Arial" w:eastAsia="Arial" w:hint="default"/>
                <w:sz w:val="18"/>
                <w:szCs w:val="18"/>
              </w:rPr>
            </w:pPr>
            <w:r>
              <w:rPr>
                <w:rFonts w:ascii="Arial"/>
                <w:w w:val="95"/>
                <w:sz w:val="18"/>
              </w:rPr>
              <w:t>-110,977.53</w:t>
            </w:r>
            <w:r>
              <w:rPr>
                <w:rFonts w:ascii="Arial"/>
                <w:sz w:val="18"/>
              </w:rPr>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Arial" w:hAnsi="Arial" w:cs="Arial" w:eastAsia="Arial" w:hint="default"/>
                <w:sz w:val="18"/>
                <w:szCs w:val="18"/>
              </w:rPr>
            </w:pPr>
            <w:r>
              <w:rPr>
                <w:rFonts w:ascii="Arial"/>
                <w:w w:val="95"/>
                <w:sz w:val="18"/>
              </w:rPr>
              <w:t>-110,996.47</w:t>
            </w:r>
            <w:r>
              <w:rPr>
                <w:rFonts w:ascii="Arial"/>
                <w:sz w:val="18"/>
              </w:rPr>
            </w:r>
          </w:p>
        </w:tc>
      </w:tr>
      <w:tr>
        <w:trPr>
          <w:trHeight w:val="1026" w:hRule="exact"/>
        </w:trPr>
        <w:tc>
          <w:tcPr>
            <w:tcW w:w="105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46"/>
              <w:ind w:left="27" w:right="124"/>
              <w:jc w:val="both"/>
              <w:rPr>
                <w:rFonts w:ascii="宋体" w:hAnsi="宋体" w:cs="宋体" w:eastAsia="宋体" w:hint="default"/>
                <w:sz w:val="18"/>
                <w:szCs w:val="18"/>
              </w:rPr>
            </w:pPr>
            <w:r>
              <w:rPr>
                <w:rFonts w:ascii="宋体" w:hAnsi="宋体" w:cs="宋体" w:eastAsia="宋体" w:hint="default"/>
                <w:sz w:val="18"/>
                <w:szCs w:val="18"/>
              </w:rPr>
              <w:t>北京酷联通 讯科技有限 公司</w:t>
            </w:r>
          </w:p>
        </w:tc>
        <w:tc>
          <w:tcPr>
            <w:tcW w:w="64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8"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8" w:right="101"/>
              <w:jc w:val="left"/>
              <w:rPr>
                <w:rFonts w:ascii="宋体" w:hAnsi="宋体" w:cs="宋体" w:eastAsia="宋体" w:hint="default"/>
                <w:sz w:val="18"/>
                <w:szCs w:val="18"/>
              </w:rPr>
            </w:pPr>
            <w:r>
              <w:rPr>
                <w:rFonts w:ascii="宋体" w:hAnsi="宋体" w:cs="宋体" w:eastAsia="宋体" w:hint="default"/>
                <w:sz w:val="18"/>
                <w:szCs w:val="18"/>
              </w:rPr>
              <w:t>通讯产品 销售</w:t>
            </w:r>
          </w:p>
        </w:tc>
        <w:tc>
          <w:tcPr>
            <w:tcW w:w="991"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02" w:lineRule="auto"/>
              <w:ind w:left="27" w:right="78"/>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50"/>
                <w:sz w:val="18"/>
                <w:szCs w:val="18"/>
              </w:rPr>
              <w:t> </w:t>
            </w:r>
            <w:r>
              <w:rPr>
                <w:rFonts w:ascii="Arial" w:hAnsi="Arial" w:cs="Arial" w:eastAsia="Arial" w:hint="default"/>
                <w:sz w:val="18"/>
                <w:szCs w:val="18"/>
              </w:rPr>
              <w:t>500</w:t>
            </w:r>
            <w:r>
              <w:rPr>
                <w:rFonts w:ascii="Arial" w:hAnsi="Arial" w:cs="Arial" w:eastAsia="Arial" w:hint="default"/>
                <w:spacing w:val="-1"/>
                <w:w w:val="99"/>
                <w:sz w:val="18"/>
                <w:szCs w:val="18"/>
              </w:rPr>
              <w:t> </w:t>
            </w:r>
            <w:r>
              <w:rPr>
                <w:rFonts w:ascii="宋体" w:hAnsi="宋体" w:cs="宋体" w:eastAsia="宋体" w:hint="default"/>
                <w:sz w:val="18"/>
                <w:szCs w:val="18"/>
              </w:rPr>
              <w:t>万</w:t>
            </w:r>
          </w:p>
        </w:tc>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Arial" w:hAnsi="Arial" w:cs="Arial" w:eastAsia="Arial" w:hint="default"/>
                <w:sz w:val="18"/>
                <w:szCs w:val="18"/>
              </w:rPr>
            </w:pPr>
            <w:r>
              <w:rPr>
                <w:rFonts w:ascii="Arial"/>
                <w:w w:val="95"/>
                <w:sz w:val="18"/>
              </w:rPr>
              <w:t>75,625,093.98</w:t>
            </w:r>
            <w:r>
              <w:rPr>
                <w:rFonts w:ascii="Arial"/>
                <w:sz w:val="18"/>
              </w:rPr>
            </w:r>
          </w:p>
        </w:tc>
        <w:tc>
          <w:tcPr>
            <w:tcW w:w="141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Arial" w:hAnsi="Arial" w:cs="Arial" w:eastAsia="Arial" w:hint="default"/>
                <w:sz w:val="18"/>
                <w:szCs w:val="18"/>
              </w:rPr>
            </w:pPr>
            <w:r>
              <w:rPr>
                <w:rFonts w:ascii="Arial"/>
                <w:w w:val="95"/>
                <w:sz w:val="18"/>
              </w:rPr>
              <w:t>2,854,090.21</w:t>
            </w:r>
            <w:r>
              <w:rPr>
                <w:rFonts w:ascii="Arial"/>
                <w:sz w:val="18"/>
              </w:rPr>
            </w:r>
          </w:p>
        </w:tc>
        <w:tc>
          <w:tcPr>
            <w:tcW w:w="155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7"/>
              <w:jc w:val="right"/>
              <w:rPr>
                <w:rFonts w:ascii="Arial" w:hAnsi="Arial" w:cs="Arial" w:eastAsia="Arial" w:hint="default"/>
                <w:sz w:val="18"/>
                <w:szCs w:val="18"/>
              </w:rPr>
            </w:pPr>
            <w:r>
              <w:rPr>
                <w:rFonts w:ascii="Arial"/>
                <w:w w:val="95"/>
                <w:sz w:val="18"/>
              </w:rPr>
              <w:t>169,398,312.50</w:t>
            </w:r>
            <w:r>
              <w:rPr>
                <w:rFonts w:ascii="Arial"/>
                <w:sz w:val="18"/>
              </w:rPr>
            </w:r>
          </w:p>
        </w:tc>
        <w:tc>
          <w:tcPr>
            <w:tcW w:w="1276"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Arial" w:hAnsi="Arial" w:cs="Arial" w:eastAsia="Arial" w:hint="default"/>
                <w:sz w:val="18"/>
                <w:szCs w:val="18"/>
              </w:rPr>
            </w:pPr>
            <w:r>
              <w:rPr>
                <w:rFonts w:ascii="Arial"/>
                <w:w w:val="95"/>
                <w:sz w:val="18"/>
              </w:rPr>
              <w:t>-2,831,364.99</w:t>
            </w:r>
            <w:r>
              <w:rPr>
                <w:rFonts w:ascii="Arial"/>
                <w:sz w:val="18"/>
              </w:rPr>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Arial" w:hAnsi="Arial" w:cs="Arial" w:eastAsia="Arial" w:hint="default"/>
                <w:sz w:val="18"/>
                <w:szCs w:val="18"/>
              </w:rPr>
            </w:pPr>
            <w:r>
              <w:rPr>
                <w:rFonts w:ascii="Arial"/>
                <w:w w:val="95"/>
                <w:sz w:val="18"/>
              </w:rPr>
              <w:t>-2,122,875.86</w:t>
            </w:r>
            <w:r>
              <w:rPr>
                <w:rFonts w:ascii="Arial"/>
                <w:sz w:val="18"/>
              </w:rPr>
            </w:r>
          </w:p>
        </w:tc>
      </w:tr>
      <w:tr>
        <w:trPr>
          <w:trHeight w:val="1026" w:hRule="exact"/>
        </w:trPr>
        <w:tc>
          <w:tcPr>
            <w:tcW w:w="105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46"/>
              <w:ind w:left="27" w:right="124"/>
              <w:jc w:val="both"/>
              <w:rPr>
                <w:rFonts w:ascii="宋体" w:hAnsi="宋体" w:cs="宋体" w:eastAsia="宋体" w:hint="default"/>
                <w:sz w:val="18"/>
                <w:szCs w:val="18"/>
              </w:rPr>
            </w:pPr>
            <w:r>
              <w:rPr>
                <w:rFonts w:ascii="宋体" w:hAnsi="宋体" w:cs="宋体" w:eastAsia="宋体" w:hint="default"/>
                <w:sz w:val="18"/>
                <w:szCs w:val="18"/>
              </w:rPr>
              <w:t>深圳市享易 无限数码有 限公司</w:t>
            </w:r>
          </w:p>
        </w:tc>
        <w:tc>
          <w:tcPr>
            <w:tcW w:w="64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8"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8" w:right="101"/>
              <w:jc w:val="left"/>
              <w:rPr>
                <w:rFonts w:ascii="宋体" w:hAnsi="宋体" w:cs="宋体" w:eastAsia="宋体" w:hint="default"/>
                <w:sz w:val="18"/>
                <w:szCs w:val="18"/>
              </w:rPr>
            </w:pPr>
            <w:r>
              <w:rPr>
                <w:rFonts w:ascii="宋体" w:hAnsi="宋体" w:cs="宋体" w:eastAsia="宋体" w:hint="default"/>
                <w:sz w:val="18"/>
                <w:szCs w:val="18"/>
              </w:rPr>
              <w:t>通讯产品 销售</w:t>
            </w:r>
          </w:p>
        </w:tc>
        <w:tc>
          <w:tcPr>
            <w:tcW w:w="991"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7" w:right="288"/>
              <w:jc w:val="left"/>
              <w:rPr>
                <w:rFonts w:ascii="宋体" w:hAnsi="宋体" w:cs="宋体" w:eastAsia="宋体" w:hint="default"/>
                <w:sz w:val="18"/>
                <w:szCs w:val="18"/>
              </w:rPr>
            </w:pPr>
            <w:r>
              <w:rPr>
                <w:rFonts w:ascii="宋体" w:hAnsi="宋体" w:cs="宋体" w:eastAsia="宋体" w:hint="default"/>
                <w:sz w:val="18"/>
                <w:szCs w:val="18"/>
              </w:rPr>
              <w:t>人民币 </w:t>
            </w:r>
            <w:r>
              <w:rPr>
                <w:rFonts w:ascii="Arial" w:hAnsi="Arial" w:cs="Arial" w:eastAsia="Arial" w:hint="default"/>
                <w:sz w:val="18"/>
                <w:szCs w:val="18"/>
              </w:rPr>
              <w:t>1,000</w:t>
            </w:r>
            <w:r>
              <w:rPr>
                <w:rFonts w:ascii="Arial" w:hAnsi="Arial" w:cs="Arial" w:eastAsia="Arial" w:hint="default"/>
                <w:spacing w:val="-8"/>
                <w:sz w:val="18"/>
                <w:szCs w:val="18"/>
              </w:rPr>
              <w:t> </w:t>
            </w:r>
            <w:r>
              <w:rPr>
                <w:rFonts w:ascii="宋体" w:hAnsi="宋体" w:cs="宋体" w:eastAsia="宋体" w:hint="default"/>
                <w:sz w:val="18"/>
                <w:szCs w:val="18"/>
              </w:rPr>
              <w:t>万</w:t>
            </w:r>
          </w:p>
        </w:tc>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Arial" w:hAnsi="Arial" w:cs="Arial" w:eastAsia="Arial" w:hint="default"/>
                <w:sz w:val="18"/>
                <w:szCs w:val="18"/>
              </w:rPr>
            </w:pPr>
            <w:r>
              <w:rPr>
                <w:rFonts w:ascii="Arial"/>
                <w:w w:val="95"/>
                <w:sz w:val="18"/>
              </w:rPr>
              <w:t>25,625,117.75</w:t>
            </w:r>
            <w:r>
              <w:rPr>
                <w:rFonts w:ascii="Arial"/>
                <w:sz w:val="18"/>
              </w:rPr>
            </w:r>
          </w:p>
        </w:tc>
        <w:tc>
          <w:tcPr>
            <w:tcW w:w="141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Arial" w:hAnsi="Arial" w:cs="Arial" w:eastAsia="Arial" w:hint="default"/>
                <w:sz w:val="18"/>
                <w:szCs w:val="18"/>
              </w:rPr>
            </w:pPr>
            <w:r>
              <w:rPr>
                <w:rFonts w:ascii="Arial"/>
                <w:w w:val="95"/>
                <w:sz w:val="18"/>
              </w:rPr>
              <w:t>-28,549,263.84</w:t>
            </w:r>
            <w:r>
              <w:rPr>
                <w:rFonts w:ascii="Arial"/>
                <w:sz w:val="18"/>
              </w:rPr>
            </w:r>
          </w:p>
        </w:tc>
        <w:tc>
          <w:tcPr>
            <w:tcW w:w="155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7"/>
              <w:jc w:val="right"/>
              <w:rPr>
                <w:rFonts w:ascii="Arial" w:hAnsi="Arial" w:cs="Arial" w:eastAsia="Arial" w:hint="default"/>
                <w:sz w:val="18"/>
                <w:szCs w:val="18"/>
              </w:rPr>
            </w:pPr>
            <w:r>
              <w:rPr>
                <w:rFonts w:ascii="Arial"/>
                <w:w w:val="95"/>
                <w:sz w:val="18"/>
              </w:rPr>
              <w:t>65,821,665.95</w:t>
            </w:r>
            <w:r>
              <w:rPr>
                <w:rFonts w:ascii="Arial"/>
                <w:sz w:val="18"/>
              </w:rPr>
            </w:r>
          </w:p>
        </w:tc>
        <w:tc>
          <w:tcPr>
            <w:tcW w:w="1276"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Arial" w:hAnsi="Arial" w:cs="Arial" w:eastAsia="Arial" w:hint="default"/>
                <w:sz w:val="18"/>
                <w:szCs w:val="18"/>
              </w:rPr>
            </w:pPr>
            <w:r>
              <w:rPr>
                <w:rFonts w:ascii="Arial"/>
                <w:w w:val="95"/>
                <w:sz w:val="18"/>
              </w:rPr>
              <w:t>-2,901,791.22</w:t>
            </w:r>
            <w:r>
              <w:rPr>
                <w:rFonts w:ascii="Arial"/>
                <w:sz w:val="18"/>
              </w:rPr>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Arial" w:hAnsi="Arial" w:cs="Arial" w:eastAsia="Arial" w:hint="default"/>
                <w:sz w:val="18"/>
                <w:szCs w:val="18"/>
              </w:rPr>
            </w:pPr>
            <w:r>
              <w:rPr>
                <w:rFonts w:ascii="Arial"/>
                <w:w w:val="95"/>
                <w:sz w:val="18"/>
              </w:rPr>
              <w:t>-2,260,365.40</w:t>
            </w:r>
            <w:r>
              <w:rPr>
                <w:rFonts w:ascii="Arial"/>
                <w:sz w:val="18"/>
              </w:rPr>
            </w:r>
          </w:p>
        </w:tc>
      </w:tr>
      <w:tr>
        <w:trPr>
          <w:trHeight w:val="714" w:hRule="exact"/>
        </w:trPr>
        <w:tc>
          <w:tcPr>
            <w:tcW w:w="105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2" w:lineRule="auto" w:before="46"/>
              <w:ind w:left="27" w:right="58"/>
              <w:jc w:val="left"/>
              <w:rPr>
                <w:rFonts w:ascii="宋体" w:hAnsi="宋体" w:cs="宋体" w:eastAsia="宋体" w:hint="default"/>
                <w:sz w:val="18"/>
                <w:szCs w:val="18"/>
              </w:rPr>
            </w:pPr>
            <w:r>
              <w:rPr>
                <w:rFonts w:ascii="宋体" w:hAnsi="宋体" w:cs="宋体" w:eastAsia="宋体" w:hint="default"/>
                <w:sz w:val="18"/>
                <w:szCs w:val="18"/>
              </w:rPr>
              <w:t>爱施德</w:t>
            </w:r>
            <w:r>
              <w:rPr>
                <w:rFonts w:ascii="Arial" w:hAnsi="Arial" w:cs="Arial" w:eastAsia="Arial" w:hint="default"/>
                <w:sz w:val="18"/>
                <w:szCs w:val="18"/>
              </w:rPr>
              <w:t>(</w:t>
            </w:r>
            <w:r>
              <w:rPr>
                <w:rFonts w:ascii="宋体" w:hAnsi="宋体" w:cs="宋体" w:eastAsia="宋体" w:hint="default"/>
                <w:sz w:val="18"/>
                <w:szCs w:val="18"/>
              </w:rPr>
              <w:t>香</w:t>
            </w:r>
            <w:r>
              <w:rPr>
                <w:rFonts w:ascii="宋体" w:hAnsi="宋体" w:cs="宋体" w:eastAsia="宋体" w:hint="default"/>
                <w:spacing w:val="-85"/>
                <w:sz w:val="18"/>
                <w:szCs w:val="18"/>
              </w:rPr>
              <w:t> </w:t>
            </w:r>
            <w:r>
              <w:rPr>
                <w:rFonts w:ascii="宋体" w:hAnsi="宋体" w:cs="宋体" w:eastAsia="宋体" w:hint="default"/>
                <w:spacing w:val="-1"/>
                <w:sz w:val="18"/>
                <w:szCs w:val="18"/>
              </w:rPr>
              <w:t>港</w:t>
            </w:r>
            <w:r>
              <w:rPr>
                <w:rFonts w:ascii="Arial" w:hAnsi="Arial" w:cs="Arial" w:eastAsia="Arial" w:hint="default"/>
                <w:spacing w:val="-1"/>
                <w:sz w:val="18"/>
                <w:szCs w:val="18"/>
              </w:rPr>
              <w:t>)</w:t>
            </w:r>
            <w:r>
              <w:rPr>
                <w:rFonts w:ascii="宋体" w:hAnsi="宋体" w:cs="宋体" w:eastAsia="宋体" w:hint="default"/>
                <w:spacing w:val="-1"/>
                <w:sz w:val="18"/>
                <w:szCs w:val="18"/>
              </w:rPr>
              <w:t>有限公司</w:t>
            </w:r>
          </w:p>
        </w:tc>
        <w:tc>
          <w:tcPr>
            <w:tcW w:w="647"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46"/>
              <w:ind w:left="28" w:right="101"/>
              <w:jc w:val="left"/>
              <w:rPr>
                <w:rFonts w:ascii="宋体" w:hAnsi="宋体" w:cs="宋体" w:eastAsia="宋体" w:hint="default"/>
                <w:sz w:val="18"/>
                <w:szCs w:val="18"/>
              </w:rPr>
            </w:pPr>
            <w:r>
              <w:rPr>
                <w:rFonts w:ascii="宋体" w:hAnsi="宋体" w:cs="宋体" w:eastAsia="宋体" w:hint="default"/>
                <w:sz w:val="18"/>
                <w:szCs w:val="18"/>
              </w:rPr>
              <w:t>通讯产品 销售</w:t>
            </w:r>
          </w:p>
        </w:tc>
        <w:tc>
          <w:tcPr>
            <w:tcW w:w="991" w:type="dxa"/>
            <w:tcBorders>
              <w:top w:val="single" w:sz="4" w:space="0" w:color="5B9BD4"/>
              <w:left w:val="nil" w:sz="6" w:space="0" w:color="auto"/>
              <w:bottom w:val="single" w:sz="4" w:space="0" w:color="5B9BD4"/>
              <w:right w:val="nil" w:sz="6" w:space="0" w:color="auto"/>
            </w:tcBorders>
          </w:tcPr>
          <w:p>
            <w:pPr>
              <w:pStyle w:val="TableParagraph"/>
              <w:spacing w:line="240" w:lineRule="auto" w:before="46"/>
              <w:ind w:left="27" w:right="0"/>
              <w:jc w:val="left"/>
              <w:rPr>
                <w:rFonts w:ascii="Arial" w:hAnsi="Arial" w:cs="Arial" w:eastAsia="Arial" w:hint="default"/>
                <w:sz w:val="18"/>
                <w:szCs w:val="18"/>
              </w:rPr>
            </w:pPr>
            <w:r>
              <w:rPr>
                <w:rFonts w:ascii="宋体" w:hAnsi="宋体" w:cs="宋体" w:eastAsia="宋体" w:hint="default"/>
                <w:sz w:val="18"/>
                <w:szCs w:val="18"/>
              </w:rPr>
              <w:t>港币</w:t>
            </w:r>
            <w:r>
              <w:rPr>
                <w:rFonts w:ascii="宋体" w:hAnsi="宋体" w:cs="宋体" w:eastAsia="宋体" w:hint="default"/>
                <w:spacing w:val="-52"/>
                <w:sz w:val="18"/>
                <w:szCs w:val="18"/>
              </w:rPr>
              <w:t> </w:t>
            </w:r>
            <w:r>
              <w:rPr>
                <w:rFonts w:ascii="Arial" w:hAnsi="Arial" w:cs="Arial" w:eastAsia="Arial" w:hint="default"/>
                <w:sz w:val="18"/>
                <w:szCs w:val="18"/>
              </w:rPr>
              <w:t>1,000</w:t>
            </w:r>
          </w:p>
          <w:p>
            <w:pPr>
              <w:pStyle w:val="TableParagraph"/>
              <w:spacing w:line="240" w:lineRule="auto" w:before="65"/>
              <w:ind w:left="27" w:right="0"/>
              <w:jc w:val="left"/>
              <w:rPr>
                <w:rFonts w:ascii="宋体" w:hAnsi="宋体" w:cs="宋体" w:eastAsia="宋体" w:hint="default"/>
                <w:sz w:val="18"/>
                <w:szCs w:val="18"/>
              </w:rPr>
            </w:pPr>
            <w:r>
              <w:rPr>
                <w:rFonts w:ascii="宋体" w:hAnsi="宋体" w:cs="宋体" w:eastAsia="宋体" w:hint="default"/>
                <w:sz w:val="18"/>
                <w:szCs w:val="18"/>
              </w:rPr>
              <w:t>万</w:t>
            </w:r>
          </w:p>
        </w:tc>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Arial" w:hAnsi="Arial" w:cs="Arial" w:eastAsia="Arial" w:hint="default"/>
                <w:sz w:val="18"/>
                <w:szCs w:val="18"/>
              </w:rPr>
            </w:pPr>
            <w:r>
              <w:rPr>
                <w:rFonts w:ascii="Arial"/>
                <w:w w:val="95"/>
                <w:sz w:val="18"/>
              </w:rPr>
              <w:t>698,574,396.53</w:t>
            </w:r>
            <w:r>
              <w:rPr>
                <w:rFonts w:ascii="Arial"/>
                <w:sz w:val="18"/>
              </w:rPr>
            </w:r>
          </w:p>
        </w:tc>
        <w:tc>
          <w:tcPr>
            <w:tcW w:w="1417" w:type="dxa"/>
            <w:tcBorders>
              <w:top w:val="single" w:sz="4" w:space="0" w:color="5B9BD4"/>
              <w:left w:val="nil" w:sz="6" w:space="0" w:color="auto"/>
              <w:bottom w:val="single" w:sz="4" w:space="0" w:color="5B9BD4"/>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26"/>
              <w:jc w:val="right"/>
              <w:rPr>
                <w:rFonts w:ascii="Arial" w:hAnsi="Arial" w:cs="Arial" w:eastAsia="Arial" w:hint="default"/>
                <w:sz w:val="18"/>
                <w:szCs w:val="18"/>
              </w:rPr>
            </w:pPr>
            <w:r>
              <w:rPr>
                <w:rFonts w:ascii="Arial"/>
                <w:w w:val="95"/>
                <w:sz w:val="18"/>
              </w:rPr>
              <w:t>69,688,375.55</w:t>
            </w:r>
            <w:r>
              <w:rPr>
                <w:rFonts w:ascii="Arial"/>
                <w:sz w:val="18"/>
              </w:rPr>
            </w:r>
          </w:p>
        </w:tc>
        <w:tc>
          <w:tcPr>
            <w:tcW w:w="155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27"/>
              <w:jc w:val="right"/>
              <w:rPr>
                <w:rFonts w:ascii="Arial" w:hAnsi="Arial" w:cs="Arial" w:eastAsia="Arial" w:hint="default"/>
                <w:sz w:val="18"/>
                <w:szCs w:val="18"/>
              </w:rPr>
            </w:pPr>
            <w:r>
              <w:rPr>
                <w:rFonts w:ascii="Arial"/>
                <w:w w:val="95"/>
                <w:sz w:val="18"/>
              </w:rPr>
              <w:t>136,283,841.49</w:t>
            </w:r>
            <w:r>
              <w:rPr>
                <w:rFonts w:ascii="Arial"/>
                <w:sz w:val="18"/>
              </w:rPr>
            </w:r>
          </w:p>
        </w:tc>
        <w:tc>
          <w:tcPr>
            <w:tcW w:w="1276" w:type="dxa"/>
            <w:tcBorders>
              <w:top w:val="single" w:sz="4" w:space="0" w:color="5B9BD4"/>
              <w:left w:val="nil" w:sz="6" w:space="0" w:color="auto"/>
              <w:bottom w:val="single" w:sz="4" w:space="0" w:color="5B9BD4"/>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Arial" w:hAnsi="Arial" w:cs="Arial" w:eastAsia="Arial" w:hint="default"/>
                <w:sz w:val="18"/>
                <w:szCs w:val="18"/>
              </w:rPr>
            </w:pPr>
            <w:r>
              <w:rPr>
                <w:rFonts w:ascii="Arial"/>
                <w:w w:val="95"/>
                <w:sz w:val="18"/>
              </w:rPr>
              <w:t>6,849,298.18</w:t>
            </w:r>
            <w:r>
              <w:rPr>
                <w:rFonts w:ascii="Arial"/>
                <w:sz w:val="18"/>
              </w:rPr>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Arial" w:hAnsi="Arial" w:cs="Arial" w:eastAsia="Arial" w:hint="default"/>
                <w:sz w:val="18"/>
                <w:szCs w:val="18"/>
              </w:rPr>
            </w:pPr>
            <w:r>
              <w:rPr>
                <w:rFonts w:ascii="Arial"/>
                <w:w w:val="95"/>
                <w:sz w:val="18"/>
              </w:rPr>
              <w:t>4,757,416.88</w:t>
            </w:r>
            <w:r>
              <w:rPr>
                <w:rFonts w:ascii="Arial"/>
                <w:sz w:val="18"/>
              </w:rPr>
            </w:r>
          </w:p>
        </w:tc>
      </w:tr>
      <w:tr>
        <w:trPr>
          <w:trHeight w:val="1026" w:hRule="exact"/>
        </w:trPr>
        <w:tc>
          <w:tcPr>
            <w:tcW w:w="105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46"/>
              <w:ind w:left="27" w:right="26"/>
              <w:jc w:val="left"/>
              <w:rPr>
                <w:rFonts w:ascii="宋体" w:hAnsi="宋体" w:cs="宋体" w:eastAsia="宋体" w:hint="default"/>
                <w:sz w:val="18"/>
                <w:szCs w:val="18"/>
              </w:rPr>
            </w:pPr>
            <w:r>
              <w:rPr>
                <w:rFonts w:ascii="宋体" w:hAnsi="宋体" w:cs="宋体" w:eastAsia="宋体" w:hint="default"/>
                <w:sz w:val="18"/>
                <w:szCs w:val="18"/>
              </w:rPr>
              <w:t>优友电子商 </w:t>
            </w:r>
            <w:r>
              <w:rPr>
                <w:rFonts w:ascii="宋体" w:hAnsi="宋体" w:cs="宋体" w:eastAsia="宋体" w:hint="default"/>
                <w:spacing w:val="-14"/>
                <w:sz w:val="18"/>
                <w:szCs w:val="18"/>
              </w:rPr>
              <w:t>务（深圳）有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64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8"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8"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991"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02" w:lineRule="auto"/>
              <w:ind w:left="27" w:right="78"/>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50"/>
                <w:sz w:val="18"/>
                <w:szCs w:val="18"/>
              </w:rPr>
              <w:t> </w:t>
            </w:r>
            <w:r>
              <w:rPr>
                <w:rFonts w:ascii="Arial" w:hAnsi="Arial" w:cs="Arial" w:eastAsia="Arial" w:hint="default"/>
                <w:sz w:val="18"/>
                <w:szCs w:val="18"/>
              </w:rPr>
              <w:t>500</w:t>
            </w:r>
            <w:r>
              <w:rPr>
                <w:rFonts w:ascii="Arial" w:hAnsi="Arial" w:cs="Arial" w:eastAsia="Arial" w:hint="default"/>
                <w:spacing w:val="-1"/>
                <w:w w:val="99"/>
                <w:sz w:val="18"/>
                <w:szCs w:val="18"/>
              </w:rPr>
              <w:t> </w:t>
            </w:r>
            <w:r>
              <w:rPr>
                <w:rFonts w:ascii="宋体" w:hAnsi="宋体" w:cs="宋体" w:eastAsia="宋体" w:hint="default"/>
                <w:sz w:val="18"/>
                <w:szCs w:val="18"/>
              </w:rPr>
              <w:t>万</w:t>
            </w:r>
          </w:p>
        </w:tc>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Arial" w:hAnsi="Arial" w:cs="Arial" w:eastAsia="Arial" w:hint="default"/>
                <w:sz w:val="18"/>
                <w:szCs w:val="18"/>
              </w:rPr>
            </w:pPr>
            <w:r>
              <w:rPr>
                <w:rFonts w:ascii="Arial"/>
                <w:w w:val="95"/>
                <w:sz w:val="18"/>
              </w:rPr>
              <w:t>9,435,615.93</w:t>
            </w:r>
            <w:r>
              <w:rPr>
                <w:rFonts w:ascii="Arial"/>
                <w:sz w:val="18"/>
              </w:rPr>
            </w:r>
          </w:p>
        </w:tc>
        <w:tc>
          <w:tcPr>
            <w:tcW w:w="141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Arial" w:hAnsi="Arial" w:cs="Arial" w:eastAsia="Arial" w:hint="default"/>
                <w:sz w:val="18"/>
                <w:szCs w:val="18"/>
              </w:rPr>
            </w:pPr>
            <w:r>
              <w:rPr>
                <w:rFonts w:ascii="Arial"/>
                <w:w w:val="95"/>
                <w:sz w:val="18"/>
              </w:rPr>
              <w:t>2,813,225.45</w:t>
            </w:r>
            <w:r>
              <w:rPr>
                <w:rFonts w:ascii="Arial"/>
                <w:sz w:val="18"/>
              </w:rPr>
            </w:r>
          </w:p>
        </w:tc>
        <w:tc>
          <w:tcPr>
            <w:tcW w:w="155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7"/>
              <w:jc w:val="right"/>
              <w:rPr>
                <w:rFonts w:ascii="Arial" w:hAnsi="Arial" w:cs="Arial" w:eastAsia="Arial" w:hint="default"/>
                <w:sz w:val="18"/>
                <w:szCs w:val="18"/>
              </w:rPr>
            </w:pPr>
            <w:r>
              <w:rPr>
                <w:rFonts w:ascii="Arial"/>
                <w:w w:val="95"/>
                <w:sz w:val="18"/>
              </w:rPr>
              <w:t>32,322,680.16</w:t>
            </w:r>
            <w:r>
              <w:rPr>
                <w:rFonts w:ascii="Arial"/>
                <w:sz w:val="18"/>
              </w:rPr>
            </w:r>
          </w:p>
        </w:tc>
        <w:tc>
          <w:tcPr>
            <w:tcW w:w="1276"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Arial" w:hAnsi="Arial" w:cs="Arial" w:eastAsia="Arial" w:hint="default"/>
                <w:sz w:val="18"/>
                <w:szCs w:val="18"/>
              </w:rPr>
            </w:pPr>
            <w:r>
              <w:rPr>
                <w:rFonts w:ascii="Arial"/>
                <w:w w:val="95"/>
                <w:sz w:val="18"/>
              </w:rPr>
              <w:t>-2,889,192.88</w:t>
            </w:r>
            <w:r>
              <w:rPr>
                <w:rFonts w:ascii="Arial"/>
                <w:sz w:val="18"/>
              </w:rPr>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Arial" w:hAnsi="Arial" w:cs="Arial" w:eastAsia="Arial" w:hint="default"/>
                <w:sz w:val="18"/>
                <w:szCs w:val="18"/>
              </w:rPr>
            </w:pPr>
            <w:r>
              <w:rPr>
                <w:rFonts w:ascii="Arial"/>
                <w:w w:val="95"/>
                <w:sz w:val="18"/>
              </w:rPr>
              <w:t>-2,159,873.85</w:t>
            </w:r>
            <w:r>
              <w:rPr>
                <w:rFonts w:ascii="Arial"/>
                <w:sz w:val="18"/>
              </w:rPr>
            </w:r>
          </w:p>
        </w:tc>
      </w:tr>
      <w:tr>
        <w:trPr>
          <w:trHeight w:val="1026" w:hRule="exact"/>
        </w:trPr>
        <w:tc>
          <w:tcPr>
            <w:tcW w:w="105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46"/>
              <w:ind w:left="27" w:right="124"/>
              <w:jc w:val="both"/>
              <w:rPr>
                <w:rFonts w:ascii="宋体" w:hAnsi="宋体" w:cs="宋体" w:eastAsia="宋体" w:hint="default"/>
                <w:sz w:val="18"/>
                <w:szCs w:val="18"/>
              </w:rPr>
            </w:pPr>
            <w:r>
              <w:rPr>
                <w:rFonts w:ascii="宋体" w:hAnsi="宋体" w:cs="宋体" w:eastAsia="宋体" w:hint="default"/>
                <w:sz w:val="18"/>
                <w:szCs w:val="18"/>
              </w:rPr>
              <w:t>江西爱施德 通信科技有 限公司</w:t>
            </w:r>
          </w:p>
        </w:tc>
        <w:tc>
          <w:tcPr>
            <w:tcW w:w="64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8"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8" w:right="101"/>
              <w:jc w:val="left"/>
              <w:rPr>
                <w:rFonts w:ascii="宋体" w:hAnsi="宋体" w:cs="宋体" w:eastAsia="宋体" w:hint="default"/>
                <w:sz w:val="18"/>
                <w:szCs w:val="18"/>
              </w:rPr>
            </w:pPr>
            <w:r>
              <w:rPr>
                <w:rFonts w:ascii="宋体" w:hAnsi="宋体" w:cs="宋体" w:eastAsia="宋体" w:hint="default"/>
                <w:sz w:val="18"/>
                <w:szCs w:val="18"/>
              </w:rPr>
              <w:t>通讯产品 销售</w:t>
            </w:r>
          </w:p>
        </w:tc>
        <w:tc>
          <w:tcPr>
            <w:tcW w:w="991"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02" w:lineRule="auto"/>
              <w:ind w:left="27" w:right="78"/>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50"/>
                <w:sz w:val="18"/>
                <w:szCs w:val="18"/>
              </w:rPr>
              <w:t> </w:t>
            </w:r>
            <w:r>
              <w:rPr>
                <w:rFonts w:ascii="Arial" w:hAnsi="Arial" w:cs="Arial" w:eastAsia="Arial" w:hint="default"/>
                <w:sz w:val="18"/>
                <w:szCs w:val="18"/>
              </w:rPr>
              <w:t>200</w:t>
            </w:r>
            <w:r>
              <w:rPr>
                <w:rFonts w:ascii="Arial" w:hAnsi="Arial" w:cs="Arial" w:eastAsia="Arial" w:hint="default"/>
                <w:spacing w:val="-1"/>
                <w:w w:val="99"/>
                <w:sz w:val="18"/>
                <w:szCs w:val="18"/>
              </w:rPr>
              <w:t> </w:t>
            </w:r>
            <w:r>
              <w:rPr>
                <w:rFonts w:ascii="宋体" w:hAnsi="宋体" w:cs="宋体" w:eastAsia="宋体" w:hint="default"/>
                <w:sz w:val="18"/>
                <w:szCs w:val="18"/>
              </w:rPr>
              <w:t>万</w:t>
            </w:r>
          </w:p>
        </w:tc>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6"/>
              <w:jc w:val="right"/>
              <w:rPr>
                <w:rFonts w:ascii="Arial" w:hAnsi="Arial" w:cs="Arial" w:eastAsia="Arial" w:hint="default"/>
                <w:sz w:val="18"/>
                <w:szCs w:val="18"/>
              </w:rPr>
            </w:pPr>
            <w:r>
              <w:rPr>
                <w:rFonts w:ascii="Arial"/>
                <w:w w:val="95"/>
                <w:sz w:val="18"/>
              </w:rPr>
              <w:t>99,589.66</w:t>
            </w:r>
            <w:r>
              <w:rPr>
                <w:rFonts w:ascii="Arial"/>
                <w:sz w:val="18"/>
              </w:rPr>
            </w:r>
          </w:p>
        </w:tc>
        <w:tc>
          <w:tcPr>
            <w:tcW w:w="141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7"/>
              <w:jc w:val="right"/>
              <w:rPr>
                <w:rFonts w:ascii="Arial" w:hAnsi="Arial" w:cs="Arial" w:eastAsia="Arial" w:hint="default"/>
                <w:sz w:val="18"/>
                <w:szCs w:val="18"/>
              </w:rPr>
            </w:pPr>
            <w:r>
              <w:rPr>
                <w:rFonts w:ascii="Arial"/>
                <w:w w:val="95"/>
                <w:sz w:val="18"/>
              </w:rPr>
              <w:t>99,589.66</w:t>
            </w:r>
            <w:r>
              <w:rPr>
                <w:rFonts w:ascii="Arial"/>
                <w:sz w:val="18"/>
              </w:rPr>
            </w:r>
          </w:p>
        </w:tc>
        <w:tc>
          <w:tcPr>
            <w:tcW w:w="1559" w:type="dxa"/>
            <w:tcBorders>
              <w:top w:val="single" w:sz="4" w:space="0" w:color="5B9BD4"/>
              <w:left w:val="nil" w:sz="6" w:space="0" w:color="auto"/>
              <w:bottom w:val="single" w:sz="4" w:space="0" w:color="5B9BD4"/>
              <w:right w:val="nil" w:sz="6" w:space="0" w:color="auto"/>
            </w:tcBorders>
            <w:shd w:val="clear" w:color="auto" w:fill="DEEAF6"/>
          </w:tcPr>
          <w:p>
            <w:pPr/>
          </w:p>
        </w:tc>
        <w:tc>
          <w:tcPr>
            <w:tcW w:w="1276"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Arial" w:hAnsi="Arial" w:cs="Arial" w:eastAsia="Arial" w:hint="default"/>
                <w:sz w:val="18"/>
                <w:szCs w:val="18"/>
              </w:rPr>
            </w:pPr>
            <w:r>
              <w:rPr>
                <w:rFonts w:ascii="Arial"/>
                <w:w w:val="95"/>
                <w:sz w:val="18"/>
              </w:rPr>
              <w:t>-1,975.05</w:t>
            </w:r>
            <w:r>
              <w:rPr>
                <w:rFonts w:ascii="Arial"/>
                <w:sz w:val="18"/>
              </w:rPr>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Arial" w:hAnsi="Arial" w:cs="Arial" w:eastAsia="Arial" w:hint="default"/>
                <w:sz w:val="18"/>
                <w:szCs w:val="18"/>
              </w:rPr>
            </w:pPr>
            <w:r>
              <w:rPr>
                <w:rFonts w:ascii="Arial"/>
                <w:w w:val="95"/>
                <w:sz w:val="18"/>
              </w:rPr>
              <w:t>-1,975.05</w:t>
            </w:r>
            <w:r>
              <w:rPr>
                <w:rFonts w:ascii="Arial"/>
                <w:sz w:val="18"/>
              </w:rPr>
            </w:r>
          </w:p>
        </w:tc>
      </w:tr>
      <w:tr>
        <w:trPr>
          <w:trHeight w:val="1026" w:hRule="exact"/>
        </w:trPr>
        <w:tc>
          <w:tcPr>
            <w:tcW w:w="105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46"/>
              <w:ind w:left="27" w:right="124"/>
              <w:jc w:val="both"/>
              <w:rPr>
                <w:rFonts w:ascii="宋体" w:hAnsi="宋体" w:cs="宋体" w:eastAsia="宋体" w:hint="default"/>
                <w:sz w:val="18"/>
                <w:szCs w:val="18"/>
              </w:rPr>
            </w:pPr>
            <w:r>
              <w:rPr>
                <w:rFonts w:ascii="宋体" w:hAnsi="宋体" w:cs="宋体" w:eastAsia="宋体" w:hint="default"/>
                <w:sz w:val="18"/>
                <w:szCs w:val="18"/>
              </w:rPr>
              <w:t>深圳市彩梦 科技有限公 司</w:t>
            </w:r>
          </w:p>
        </w:tc>
        <w:tc>
          <w:tcPr>
            <w:tcW w:w="64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8"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8" w:right="101"/>
              <w:jc w:val="left"/>
              <w:rPr>
                <w:rFonts w:ascii="宋体" w:hAnsi="宋体" w:cs="宋体" w:eastAsia="宋体" w:hint="default"/>
                <w:sz w:val="18"/>
                <w:szCs w:val="18"/>
              </w:rPr>
            </w:pPr>
            <w:r>
              <w:rPr>
                <w:rFonts w:ascii="宋体" w:hAnsi="宋体" w:cs="宋体" w:eastAsia="宋体" w:hint="default"/>
                <w:sz w:val="18"/>
                <w:szCs w:val="18"/>
              </w:rPr>
              <w:t>移动增值 服务</w:t>
            </w:r>
          </w:p>
        </w:tc>
        <w:tc>
          <w:tcPr>
            <w:tcW w:w="991"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7" w:right="288"/>
              <w:jc w:val="left"/>
              <w:rPr>
                <w:rFonts w:ascii="宋体" w:hAnsi="宋体" w:cs="宋体" w:eastAsia="宋体" w:hint="default"/>
                <w:sz w:val="18"/>
                <w:szCs w:val="18"/>
              </w:rPr>
            </w:pPr>
            <w:r>
              <w:rPr>
                <w:rFonts w:ascii="宋体" w:hAnsi="宋体" w:cs="宋体" w:eastAsia="宋体" w:hint="default"/>
                <w:sz w:val="18"/>
                <w:szCs w:val="18"/>
              </w:rPr>
              <w:t>人民币 </w:t>
            </w:r>
            <w:r>
              <w:rPr>
                <w:rFonts w:ascii="Arial" w:hAnsi="Arial" w:cs="Arial" w:eastAsia="Arial" w:hint="default"/>
                <w:sz w:val="18"/>
                <w:szCs w:val="18"/>
              </w:rPr>
              <w:t>1,000</w:t>
            </w:r>
            <w:r>
              <w:rPr>
                <w:rFonts w:ascii="Arial" w:hAnsi="Arial" w:cs="Arial" w:eastAsia="Arial" w:hint="default"/>
                <w:spacing w:val="-8"/>
                <w:sz w:val="18"/>
                <w:szCs w:val="18"/>
              </w:rPr>
              <w:t> </w:t>
            </w:r>
            <w:r>
              <w:rPr>
                <w:rFonts w:ascii="宋体" w:hAnsi="宋体" w:cs="宋体" w:eastAsia="宋体" w:hint="default"/>
                <w:sz w:val="18"/>
                <w:szCs w:val="18"/>
              </w:rPr>
              <w:t>万</w:t>
            </w:r>
          </w:p>
        </w:tc>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Arial" w:hAnsi="Arial" w:cs="Arial" w:eastAsia="Arial" w:hint="default"/>
                <w:sz w:val="18"/>
                <w:szCs w:val="18"/>
              </w:rPr>
            </w:pPr>
            <w:r>
              <w:rPr>
                <w:rFonts w:ascii="Arial"/>
                <w:w w:val="95"/>
                <w:sz w:val="18"/>
              </w:rPr>
              <w:t>83,059,346.43</w:t>
            </w:r>
            <w:r>
              <w:rPr>
                <w:rFonts w:ascii="Arial"/>
                <w:sz w:val="18"/>
              </w:rPr>
            </w:r>
          </w:p>
        </w:tc>
        <w:tc>
          <w:tcPr>
            <w:tcW w:w="141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6"/>
              <w:jc w:val="right"/>
              <w:rPr>
                <w:rFonts w:ascii="Arial" w:hAnsi="Arial" w:cs="Arial" w:eastAsia="Arial" w:hint="default"/>
                <w:sz w:val="18"/>
                <w:szCs w:val="18"/>
              </w:rPr>
            </w:pPr>
            <w:r>
              <w:rPr>
                <w:rFonts w:ascii="Arial"/>
                <w:w w:val="95"/>
                <w:sz w:val="18"/>
              </w:rPr>
              <w:t>51,513,053.41</w:t>
            </w:r>
            <w:r>
              <w:rPr>
                <w:rFonts w:ascii="Arial"/>
                <w:sz w:val="18"/>
              </w:rPr>
            </w:r>
          </w:p>
        </w:tc>
        <w:tc>
          <w:tcPr>
            <w:tcW w:w="155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7"/>
              <w:jc w:val="right"/>
              <w:rPr>
                <w:rFonts w:ascii="Arial" w:hAnsi="Arial" w:cs="Arial" w:eastAsia="Arial" w:hint="default"/>
                <w:sz w:val="18"/>
                <w:szCs w:val="18"/>
              </w:rPr>
            </w:pPr>
            <w:r>
              <w:rPr>
                <w:rFonts w:ascii="Arial"/>
                <w:w w:val="95"/>
                <w:sz w:val="18"/>
              </w:rPr>
              <w:t>63,109,125.98</w:t>
            </w:r>
            <w:r>
              <w:rPr>
                <w:rFonts w:ascii="Arial"/>
                <w:sz w:val="18"/>
              </w:rPr>
            </w:r>
          </w:p>
        </w:tc>
        <w:tc>
          <w:tcPr>
            <w:tcW w:w="1276"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Arial" w:hAnsi="Arial" w:cs="Arial" w:eastAsia="Arial" w:hint="default"/>
                <w:sz w:val="18"/>
                <w:szCs w:val="18"/>
              </w:rPr>
            </w:pPr>
            <w:r>
              <w:rPr>
                <w:rFonts w:ascii="Arial"/>
                <w:w w:val="95"/>
                <w:sz w:val="18"/>
              </w:rPr>
              <w:t>681,787.51</w:t>
            </w:r>
            <w:r>
              <w:rPr>
                <w:rFonts w:ascii="Arial"/>
                <w:sz w:val="18"/>
              </w:rPr>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Arial" w:hAnsi="Arial" w:cs="Arial" w:eastAsia="Arial" w:hint="default"/>
                <w:sz w:val="18"/>
                <w:szCs w:val="18"/>
              </w:rPr>
            </w:pPr>
            <w:r>
              <w:rPr>
                <w:rFonts w:ascii="Arial"/>
                <w:w w:val="95"/>
                <w:sz w:val="18"/>
              </w:rPr>
              <w:t>2,412,684.06</w:t>
            </w:r>
            <w:r>
              <w:rPr>
                <w:rFonts w:ascii="Arial"/>
                <w:sz w:val="18"/>
              </w:rPr>
            </w:r>
          </w:p>
        </w:tc>
      </w:tr>
    </w:tbl>
    <w:p>
      <w:pPr>
        <w:spacing w:after="0" w:line="240" w:lineRule="auto"/>
        <w:jc w:val="right"/>
        <w:rPr>
          <w:rFonts w:ascii="Arial" w:hAnsi="Arial" w:cs="Arial" w:eastAsia="Arial" w:hint="default"/>
          <w:sz w:val="18"/>
          <w:szCs w:val="18"/>
        </w:rPr>
        <w:sectPr>
          <w:pgSz w:w="11910" w:h="16840"/>
          <w:pgMar w:header="877" w:footer="979" w:top="1100" w:bottom="1160" w:left="60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1054"/>
        <w:gridCol w:w="647"/>
        <w:gridCol w:w="852"/>
        <w:gridCol w:w="991"/>
        <w:gridCol w:w="1419"/>
        <w:gridCol w:w="1417"/>
        <w:gridCol w:w="1559"/>
        <w:gridCol w:w="1276"/>
        <w:gridCol w:w="1277"/>
      </w:tblGrid>
      <w:tr>
        <w:trPr>
          <w:trHeight w:val="1026" w:hRule="exact"/>
        </w:trPr>
        <w:tc>
          <w:tcPr>
            <w:tcW w:w="105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46"/>
              <w:ind w:left="27" w:right="26"/>
              <w:jc w:val="left"/>
              <w:rPr>
                <w:rFonts w:ascii="宋体" w:hAnsi="宋体" w:cs="宋体" w:eastAsia="宋体" w:hint="default"/>
                <w:sz w:val="18"/>
                <w:szCs w:val="18"/>
              </w:rPr>
            </w:pPr>
            <w:r>
              <w:rPr>
                <w:rFonts w:ascii="宋体" w:hAnsi="宋体" w:cs="宋体" w:eastAsia="宋体" w:hint="default"/>
                <w:sz w:val="18"/>
                <w:szCs w:val="18"/>
              </w:rPr>
              <w:t>迈奔灵动科 </w:t>
            </w:r>
            <w:r>
              <w:rPr>
                <w:rFonts w:ascii="宋体" w:hAnsi="宋体" w:cs="宋体" w:eastAsia="宋体" w:hint="default"/>
                <w:spacing w:val="-14"/>
                <w:sz w:val="18"/>
                <w:szCs w:val="18"/>
              </w:rPr>
              <w:t>技（北京）有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64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8"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8" w:right="101"/>
              <w:jc w:val="left"/>
              <w:rPr>
                <w:rFonts w:ascii="宋体" w:hAnsi="宋体" w:cs="宋体" w:eastAsia="宋体" w:hint="default"/>
                <w:sz w:val="18"/>
                <w:szCs w:val="18"/>
              </w:rPr>
            </w:pPr>
            <w:r>
              <w:rPr>
                <w:rFonts w:ascii="宋体" w:hAnsi="宋体" w:cs="宋体" w:eastAsia="宋体" w:hint="default"/>
                <w:sz w:val="18"/>
                <w:szCs w:val="18"/>
              </w:rPr>
              <w:t>移动应用 分发</w:t>
            </w:r>
          </w:p>
        </w:tc>
        <w:tc>
          <w:tcPr>
            <w:tcW w:w="991"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7" w:right="288"/>
              <w:jc w:val="left"/>
              <w:rPr>
                <w:rFonts w:ascii="宋体" w:hAnsi="宋体" w:cs="宋体" w:eastAsia="宋体" w:hint="default"/>
                <w:sz w:val="18"/>
                <w:szCs w:val="18"/>
              </w:rPr>
            </w:pPr>
            <w:r>
              <w:rPr>
                <w:rFonts w:ascii="宋体" w:hAnsi="宋体" w:cs="宋体" w:eastAsia="宋体" w:hint="default"/>
                <w:sz w:val="18"/>
                <w:szCs w:val="18"/>
              </w:rPr>
              <w:t>人民币 </w:t>
            </w:r>
            <w:r>
              <w:rPr>
                <w:rFonts w:ascii="Arial" w:hAnsi="Arial" w:cs="Arial" w:eastAsia="Arial" w:hint="default"/>
                <w:sz w:val="18"/>
                <w:szCs w:val="18"/>
              </w:rPr>
              <w:t>1,917</w:t>
            </w:r>
            <w:r>
              <w:rPr>
                <w:rFonts w:ascii="Arial" w:hAnsi="Arial" w:cs="Arial" w:eastAsia="Arial" w:hint="default"/>
                <w:spacing w:val="-8"/>
                <w:sz w:val="18"/>
                <w:szCs w:val="18"/>
              </w:rPr>
              <w:t> </w:t>
            </w:r>
            <w:r>
              <w:rPr>
                <w:rFonts w:ascii="宋体" w:hAnsi="宋体" w:cs="宋体" w:eastAsia="宋体" w:hint="default"/>
                <w:sz w:val="18"/>
                <w:szCs w:val="18"/>
              </w:rPr>
              <w:t>万</w:t>
            </w:r>
          </w:p>
        </w:tc>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Arial" w:hAnsi="Arial" w:cs="Arial" w:eastAsia="Arial" w:hint="default"/>
                <w:sz w:val="18"/>
                <w:szCs w:val="18"/>
              </w:rPr>
            </w:pPr>
            <w:r>
              <w:rPr>
                <w:rFonts w:ascii="Arial"/>
                <w:w w:val="95"/>
                <w:sz w:val="18"/>
              </w:rPr>
              <w:t>92,742,173.05</w:t>
            </w:r>
            <w:r>
              <w:rPr>
                <w:rFonts w:ascii="Arial"/>
                <w:sz w:val="18"/>
              </w:rPr>
            </w:r>
          </w:p>
        </w:tc>
        <w:tc>
          <w:tcPr>
            <w:tcW w:w="141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6"/>
              <w:jc w:val="right"/>
              <w:rPr>
                <w:rFonts w:ascii="Arial" w:hAnsi="Arial" w:cs="Arial" w:eastAsia="Arial" w:hint="default"/>
                <w:sz w:val="18"/>
                <w:szCs w:val="18"/>
              </w:rPr>
            </w:pPr>
            <w:r>
              <w:rPr>
                <w:rFonts w:ascii="Arial"/>
                <w:w w:val="95"/>
                <w:sz w:val="18"/>
              </w:rPr>
              <w:t>14,435,754.10</w:t>
            </w:r>
            <w:r>
              <w:rPr>
                <w:rFonts w:ascii="Arial"/>
                <w:sz w:val="18"/>
              </w:rPr>
            </w:r>
          </w:p>
        </w:tc>
        <w:tc>
          <w:tcPr>
            <w:tcW w:w="155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7"/>
              <w:jc w:val="right"/>
              <w:rPr>
                <w:rFonts w:ascii="Arial" w:hAnsi="Arial" w:cs="Arial" w:eastAsia="Arial" w:hint="default"/>
                <w:sz w:val="18"/>
                <w:szCs w:val="18"/>
              </w:rPr>
            </w:pPr>
            <w:r>
              <w:rPr>
                <w:rFonts w:ascii="Arial"/>
                <w:w w:val="95"/>
                <w:sz w:val="18"/>
              </w:rPr>
              <w:t>18,250,578.71</w:t>
            </w:r>
            <w:r>
              <w:rPr>
                <w:rFonts w:ascii="Arial"/>
                <w:sz w:val="18"/>
              </w:rPr>
            </w:r>
          </w:p>
        </w:tc>
        <w:tc>
          <w:tcPr>
            <w:tcW w:w="1276"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Arial" w:hAnsi="Arial" w:cs="Arial" w:eastAsia="Arial" w:hint="default"/>
                <w:sz w:val="18"/>
                <w:szCs w:val="18"/>
              </w:rPr>
            </w:pPr>
            <w:r>
              <w:rPr>
                <w:rFonts w:ascii="Arial"/>
                <w:w w:val="95"/>
                <w:sz w:val="18"/>
              </w:rPr>
              <w:t>-38,811,664.59</w:t>
            </w:r>
            <w:r>
              <w:rPr>
                <w:rFonts w:ascii="Arial"/>
                <w:sz w:val="18"/>
              </w:rPr>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Arial" w:hAnsi="Arial" w:cs="Arial" w:eastAsia="Arial" w:hint="default"/>
                <w:sz w:val="18"/>
                <w:szCs w:val="18"/>
              </w:rPr>
            </w:pPr>
            <w:r>
              <w:rPr>
                <w:rFonts w:ascii="Arial"/>
                <w:w w:val="95"/>
                <w:sz w:val="18"/>
              </w:rPr>
              <w:t>-38,523,385.17</w:t>
            </w:r>
            <w:r>
              <w:rPr>
                <w:rFonts w:ascii="Arial"/>
                <w:sz w:val="18"/>
              </w:rPr>
            </w:r>
          </w:p>
        </w:tc>
      </w:tr>
      <w:tr>
        <w:trPr>
          <w:trHeight w:val="1026" w:hRule="exact"/>
        </w:trPr>
        <w:tc>
          <w:tcPr>
            <w:tcW w:w="105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46"/>
              <w:ind w:left="27" w:right="124"/>
              <w:jc w:val="both"/>
              <w:rPr>
                <w:rFonts w:ascii="宋体" w:hAnsi="宋体" w:cs="宋体" w:eastAsia="宋体" w:hint="default"/>
                <w:sz w:val="18"/>
                <w:szCs w:val="18"/>
              </w:rPr>
            </w:pPr>
            <w:r>
              <w:rPr>
                <w:rFonts w:ascii="宋体" w:hAnsi="宋体" w:cs="宋体" w:eastAsia="宋体" w:hint="default"/>
                <w:sz w:val="18"/>
                <w:szCs w:val="18"/>
              </w:rPr>
              <w:t>深圳市优友 互联有限公 司</w:t>
            </w:r>
          </w:p>
        </w:tc>
        <w:tc>
          <w:tcPr>
            <w:tcW w:w="64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8"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8" w:right="101"/>
              <w:jc w:val="left"/>
              <w:rPr>
                <w:rFonts w:ascii="宋体" w:hAnsi="宋体" w:cs="宋体" w:eastAsia="宋体" w:hint="default"/>
                <w:sz w:val="18"/>
                <w:szCs w:val="18"/>
              </w:rPr>
            </w:pPr>
            <w:r>
              <w:rPr>
                <w:rFonts w:ascii="宋体" w:hAnsi="宋体" w:cs="宋体" w:eastAsia="宋体" w:hint="default"/>
                <w:sz w:val="18"/>
                <w:szCs w:val="18"/>
              </w:rPr>
              <w:t>移动通讯 转售</w:t>
            </w:r>
          </w:p>
        </w:tc>
        <w:tc>
          <w:tcPr>
            <w:tcW w:w="991"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7" w:right="288"/>
              <w:jc w:val="left"/>
              <w:rPr>
                <w:rFonts w:ascii="宋体" w:hAnsi="宋体" w:cs="宋体" w:eastAsia="宋体" w:hint="default"/>
                <w:sz w:val="18"/>
                <w:szCs w:val="18"/>
              </w:rPr>
            </w:pPr>
            <w:r>
              <w:rPr>
                <w:rFonts w:ascii="宋体" w:hAnsi="宋体" w:cs="宋体" w:eastAsia="宋体" w:hint="default"/>
                <w:sz w:val="18"/>
                <w:szCs w:val="18"/>
              </w:rPr>
              <w:t>人民币 </w:t>
            </w:r>
            <w:r>
              <w:rPr>
                <w:rFonts w:ascii="Arial" w:hAnsi="Arial" w:cs="Arial" w:eastAsia="Arial" w:hint="default"/>
                <w:sz w:val="18"/>
                <w:szCs w:val="18"/>
              </w:rPr>
              <w:t>1,000</w:t>
            </w:r>
            <w:r>
              <w:rPr>
                <w:rFonts w:ascii="Arial" w:hAnsi="Arial" w:cs="Arial" w:eastAsia="Arial" w:hint="default"/>
                <w:spacing w:val="-8"/>
                <w:sz w:val="18"/>
                <w:szCs w:val="18"/>
              </w:rPr>
              <w:t> </w:t>
            </w:r>
            <w:r>
              <w:rPr>
                <w:rFonts w:ascii="宋体" w:hAnsi="宋体" w:cs="宋体" w:eastAsia="宋体" w:hint="default"/>
                <w:sz w:val="18"/>
                <w:szCs w:val="18"/>
              </w:rPr>
              <w:t>万</w:t>
            </w:r>
          </w:p>
        </w:tc>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Arial" w:hAnsi="Arial" w:cs="Arial" w:eastAsia="Arial" w:hint="default"/>
                <w:sz w:val="18"/>
                <w:szCs w:val="18"/>
              </w:rPr>
            </w:pPr>
            <w:r>
              <w:rPr>
                <w:rFonts w:ascii="Arial"/>
                <w:w w:val="95"/>
                <w:sz w:val="18"/>
              </w:rPr>
              <w:t>9,980,838.69</w:t>
            </w:r>
            <w:r>
              <w:rPr>
                <w:rFonts w:ascii="Arial"/>
                <w:sz w:val="18"/>
              </w:rPr>
            </w:r>
          </w:p>
        </w:tc>
        <w:tc>
          <w:tcPr>
            <w:tcW w:w="141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Arial" w:hAnsi="Arial" w:cs="Arial" w:eastAsia="Arial" w:hint="default"/>
                <w:sz w:val="18"/>
                <w:szCs w:val="18"/>
              </w:rPr>
            </w:pPr>
            <w:r>
              <w:rPr>
                <w:rFonts w:ascii="Arial"/>
                <w:w w:val="95"/>
                <w:sz w:val="18"/>
              </w:rPr>
              <w:t>9,980,838.69</w:t>
            </w:r>
            <w:r>
              <w:rPr>
                <w:rFonts w:ascii="Arial"/>
                <w:sz w:val="18"/>
              </w:rPr>
            </w:r>
          </w:p>
        </w:tc>
        <w:tc>
          <w:tcPr>
            <w:tcW w:w="1559" w:type="dxa"/>
            <w:tcBorders>
              <w:top w:val="single" w:sz="4" w:space="0" w:color="5B9BD4"/>
              <w:left w:val="nil" w:sz="6" w:space="0" w:color="auto"/>
              <w:bottom w:val="single" w:sz="4" w:space="0" w:color="5B9BD4"/>
              <w:right w:val="nil" w:sz="6" w:space="0" w:color="auto"/>
            </w:tcBorders>
            <w:shd w:val="clear" w:color="auto" w:fill="DEEAF6"/>
          </w:tcPr>
          <w:p>
            <w:pPr/>
          </w:p>
        </w:tc>
        <w:tc>
          <w:tcPr>
            <w:tcW w:w="1276"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Arial" w:hAnsi="Arial" w:cs="Arial" w:eastAsia="Arial" w:hint="default"/>
                <w:sz w:val="18"/>
                <w:szCs w:val="18"/>
              </w:rPr>
            </w:pPr>
            <w:r>
              <w:rPr>
                <w:rFonts w:ascii="Arial"/>
                <w:w w:val="95"/>
                <w:sz w:val="18"/>
              </w:rPr>
              <w:t>-19,161.31</w:t>
            </w:r>
            <w:r>
              <w:rPr>
                <w:rFonts w:ascii="Arial"/>
                <w:sz w:val="18"/>
              </w:rPr>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Arial" w:hAnsi="Arial" w:cs="Arial" w:eastAsia="Arial" w:hint="default"/>
                <w:sz w:val="18"/>
                <w:szCs w:val="18"/>
              </w:rPr>
            </w:pPr>
            <w:r>
              <w:rPr>
                <w:rFonts w:ascii="Arial"/>
                <w:w w:val="95"/>
                <w:sz w:val="18"/>
              </w:rPr>
              <w:t>-19,161.31</w:t>
            </w:r>
            <w:r>
              <w:rPr>
                <w:rFonts w:ascii="Arial"/>
                <w:sz w:val="18"/>
              </w:rPr>
            </w:r>
          </w:p>
        </w:tc>
      </w:tr>
      <w:tr>
        <w:trPr>
          <w:trHeight w:val="1026" w:hRule="exact"/>
        </w:trPr>
        <w:tc>
          <w:tcPr>
            <w:tcW w:w="105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46"/>
              <w:ind w:left="27" w:right="124"/>
              <w:jc w:val="both"/>
              <w:rPr>
                <w:rFonts w:ascii="宋体" w:hAnsi="宋体" w:cs="宋体" w:eastAsia="宋体" w:hint="default"/>
                <w:sz w:val="18"/>
                <w:szCs w:val="18"/>
              </w:rPr>
            </w:pPr>
            <w:r>
              <w:rPr>
                <w:rFonts w:ascii="宋体" w:hAnsi="宋体" w:cs="宋体" w:eastAsia="宋体" w:hint="default"/>
                <w:sz w:val="18"/>
                <w:szCs w:val="18"/>
              </w:rPr>
              <w:t>长春市酷爱 通讯科技有 限公司</w:t>
            </w:r>
          </w:p>
        </w:tc>
        <w:tc>
          <w:tcPr>
            <w:tcW w:w="64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8"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8" w:right="101"/>
              <w:jc w:val="left"/>
              <w:rPr>
                <w:rFonts w:ascii="宋体" w:hAnsi="宋体" w:cs="宋体" w:eastAsia="宋体" w:hint="default"/>
                <w:sz w:val="18"/>
                <w:szCs w:val="18"/>
              </w:rPr>
            </w:pPr>
            <w:r>
              <w:rPr>
                <w:rFonts w:ascii="宋体" w:hAnsi="宋体" w:cs="宋体" w:eastAsia="宋体" w:hint="default"/>
                <w:sz w:val="18"/>
                <w:szCs w:val="18"/>
              </w:rPr>
              <w:t>通讯产品 销售</w:t>
            </w:r>
          </w:p>
        </w:tc>
        <w:tc>
          <w:tcPr>
            <w:tcW w:w="991"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02" w:lineRule="auto"/>
              <w:ind w:left="27" w:right="78"/>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50"/>
                <w:sz w:val="18"/>
                <w:szCs w:val="18"/>
              </w:rPr>
              <w:t> </w:t>
            </w:r>
            <w:r>
              <w:rPr>
                <w:rFonts w:ascii="Arial" w:hAnsi="Arial" w:cs="Arial" w:eastAsia="Arial" w:hint="default"/>
                <w:sz w:val="18"/>
                <w:szCs w:val="18"/>
              </w:rPr>
              <w:t>100</w:t>
            </w:r>
            <w:r>
              <w:rPr>
                <w:rFonts w:ascii="Arial" w:hAnsi="Arial" w:cs="Arial" w:eastAsia="Arial" w:hint="default"/>
                <w:spacing w:val="-1"/>
                <w:w w:val="99"/>
                <w:sz w:val="18"/>
                <w:szCs w:val="18"/>
              </w:rPr>
              <w:t> </w:t>
            </w:r>
            <w:r>
              <w:rPr>
                <w:rFonts w:ascii="宋体" w:hAnsi="宋体" w:cs="宋体" w:eastAsia="宋体" w:hint="default"/>
                <w:sz w:val="18"/>
                <w:szCs w:val="18"/>
              </w:rPr>
              <w:t>万</w:t>
            </w:r>
          </w:p>
        </w:tc>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Arial" w:hAnsi="Arial" w:cs="Arial" w:eastAsia="Arial" w:hint="default"/>
                <w:sz w:val="18"/>
                <w:szCs w:val="18"/>
              </w:rPr>
            </w:pPr>
            <w:r>
              <w:rPr>
                <w:rFonts w:ascii="Arial"/>
                <w:w w:val="95"/>
                <w:sz w:val="18"/>
              </w:rPr>
              <w:t>72,541,129.53</w:t>
            </w:r>
            <w:r>
              <w:rPr>
                <w:rFonts w:ascii="Arial"/>
                <w:sz w:val="18"/>
              </w:rPr>
            </w:r>
          </w:p>
        </w:tc>
        <w:tc>
          <w:tcPr>
            <w:tcW w:w="141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Arial" w:hAnsi="Arial" w:cs="Arial" w:eastAsia="Arial" w:hint="default"/>
                <w:sz w:val="18"/>
                <w:szCs w:val="18"/>
              </w:rPr>
            </w:pPr>
            <w:r>
              <w:rPr>
                <w:rFonts w:ascii="Arial"/>
                <w:w w:val="95"/>
                <w:sz w:val="18"/>
              </w:rPr>
              <w:t>1,298,082.55</w:t>
            </w:r>
            <w:r>
              <w:rPr>
                <w:rFonts w:ascii="Arial"/>
                <w:sz w:val="18"/>
              </w:rPr>
            </w:r>
          </w:p>
        </w:tc>
        <w:tc>
          <w:tcPr>
            <w:tcW w:w="155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7"/>
              <w:jc w:val="right"/>
              <w:rPr>
                <w:rFonts w:ascii="Arial" w:hAnsi="Arial" w:cs="Arial" w:eastAsia="Arial" w:hint="default"/>
                <w:sz w:val="18"/>
                <w:szCs w:val="18"/>
              </w:rPr>
            </w:pPr>
            <w:r>
              <w:rPr>
                <w:rFonts w:ascii="Arial"/>
                <w:w w:val="95"/>
                <w:sz w:val="18"/>
              </w:rPr>
              <w:t>104,613,696.94</w:t>
            </w:r>
            <w:r>
              <w:rPr>
                <w:rFonts w:ascii="Arial"/>
                <w:sz w:val="18"/>
              </w:rPr>
            </w:r>
          </w:p>
        </w:tc>
        <w:tc>
          <w:tcPr>
            <w:tcW w:w="1276"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Arial" w:hAnsi="Arial" w:cs="Arial" w:eastAsia="Arial" w:hint="default"/>
                <w:sz w:val="18"/>
                <w:szCs w:val="18"/>
              </w:rPr>
            </w:pPr>
            <w:r>
              <w:rPr>
                <w:rFonts w:ascii="Arial"/>
                <w:w w:val="95"/>
                <w:sz w:val="18"/>
              </w:rPr>
              <w:t>1,735,330.08</w:t>
            </w:r>
            <w:r>
              <w:rPr>
                <w:rFonts w:ascii="Arial"/>
                <w:sz w:val="18"/>
              </w:rPr>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Arial" w:hAnsi="Arial" w:cs="Arial" w:eastAsia="Arial" w:hint="default"/>
                <w:sz w:val="18"/>
                <w:szCs w:val="18"/>
              </w:rPr>
            </w:pPr>
            <w:r>
              <w:rPr>
                <w:rFonts w:ascii="Arial"/>
                <w:w w:val="95"/>
                <w:sz w:val="18"/>
              </w:rPr>
              <w:t>1,298,082.55</w:t>
            </w:r>
            <w:r>
              <w:rPr>
                <w:rFonts w:ascii="Arial"/>
                <w:sz w:val="18"/>
              </w:rPr>
            </w:r>
          </w:p>
        </w:tc>
      </w:tr>
      <w:tr>
        <w:trPr>
          <w:trHeight w:val="1338" w:hRule="exact"/>
        </w:trPr>
        <w:tc>
          <w:tcPr>
            <w:tcW w:w="105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46"/>
              <w:ind w:left="27" w:right="124"/>
              <w:jc w:val="both"/>
              <w:rPr>
                <w:rFonts w:ascii="宋体" w:hAnsi="宋体" w:cs="宋体" w:eastAsia="宋体" w:hint="default"/>
                <w:sz w:val="18"/>
                <w:szCs w:val="18"/>
              </w:rPr>
            </w:pPr>
            <w:r>
              <w:rPr>
                <w:rFonts w:ascii="宋体" w:hAnsi="宋体" w:cs="宋体" w:eastAsia="宋体" w:hint="default"/>
                <w:sz w:val="18"/>
                <w:szCs w:val="18"/>
              </w:rPr>
              <w:t>武汉市酷爱 星通讯科技 有限责任公 司</w:t>
            </w:r>
          </w:p>
        </w:tc>
        <w:tc>
          <w:tcPr>
            <w:tcW w:w="64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1"/>
              <w:ind w:left="28" w:right="101"/>
              <w:jc w:val="left"/>
              <w:rPr>
                <w:rFonts w:ascii="宋体" w:hAnsi="宋体" w:cs="宋体" w:eastAsia="宋体" w:hint="default"/>
                <w:sz w:val="18"/>
                <w:szCs w:val="18"/>
              </w:rPr>
            </w:pPr>
            <w:r>
              <w:rPr>
                <w:rFonts w:ascii="宋体" w:hAnsi="宋体" w:cs="宋体" w:eastAsia="宋体" w:hint="default"/>
                <w:sz w:val="18"/>
                <w:szCs w:val="18"/>
              </w:rPr>
              <w:t>通讯产品 销售</w:t>
            </w:r>
          </w:p>
        </w:tc>
        <w:tc>
          <w:tcPr>
            <w:tcW w:w="991"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51"/>
              <w:ind w:left="27" w:right="78"/>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50"/>
                <w:sz w:val="18"/>
                <w:szCs w:val="18"/>
              </w:rPr>
              <w:t> </w:t>
            </w:r>
            <w:r>
              <w:rPr>
                <w:rFonts w:ascii="Arial" w:hAnsi="Arial" w:cs="Arial" w:eastAsia="Arial" w:hint="default"/>
                <w:sz w:val="18"/>
                <w:szCs w:val="18"/>
              </w:rPr>
              <w:t>100</w:t>
            </w:r>
            <w:r>
              <w:rPr>
                <w:rFonts w:ascii="Arial" w:hAnsi="Arial" w:cs="Arial" w:eastAsia="Arial" w:hint="default"/>
                <w:spacing w:val="-1"/>
                <w:w w:val="99"/>
                <w:sz w:val="18"/>
                <w:szCs w:val="18"/>
              </w:rPr>
              <w:t> </w:t>
            </w:r>
            <w:r>
              <w:rPr>
                <w:rFonts w:ascii="宋体" w:hAnsi="宋体" w:cs="宋体" w:eastAsia="宋体" w:hint="default"/>
                <w:sz w:val="18"/>
                <w:szCs w:val="18"/>
              </w:rPr>
              <w:t>万</w:t>
            </w:r>
          </w:p>
        </w:tc>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25"/>
              <w:jc w:val="right"/>
              <w:rPr>
                <w:rFonts w:ascii="Arial" w:hAnsi="Arial" w:cs="Arial" w:eastAsia="Arial" w:hint="default"/>
                <w:sz w:val="18"/>
                <w:szCs w:val="18"/>
              </w:rPr>
            </w:pPr>
            <w:r>
              <w:rPr>
                <w:rFonts w:ascii="Arial"/>
                <w:w w:val="95"/>
                <w:sz w:val="18"/>
              </w:rPr>
              <w:t>57,646,075.52</w:t>
            </w:r>
            <w:r>
              <w:rPr>
                <w:rFonts w:ascii="Arial"/>
                <w:sz w:val="18"/>
              </w:rPr>
            </w:r>
          </w:p>
        </w:tc>
        <w:tc>
          <w:tcPr>
            <w:tcW w:w="141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26"/>
              <w:jc w:val="right"/>
              <w:rPr>
                <w:rFonts w:ascii="Arial" w:hAnsi="Arial" w:cs="Arial" w:eastAsia="Arial" w:hint="default"/>
                <w:sz w:val="18"/>
                <w:szCs w:val="18"/>
              </w:rPr>
            </w:pPr>
            <w:r>
              <w:rPr>
                <w:rFonts w:ascii="Arial"/>
                <w:w w:val="95"/>
                <w:sz w:val="18"/>
              </w:rPr>
              <w:t>740,085.44</w:t>
            </w:r>
            <w:r>
              <w:rPr>
                <w:rFonts w:ascii="Arial"/>
                <w:sz w:val="18"/>
              </w:rPr>
            </w:r>
          </w:p>
        </w:tc>
        <w:tc>
          <w:tcPr>
            <w:tcW w:w="155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27"/>
              <w:jc w:val="right"/>
              <w:rPr>
                <w:rFonts w:ascii="Arial" w:hAnsi="Arial" w:cs="Arial" w:eastAsia="Arial" w:hint="default"/>
                <w:sz w:val="18"/>
                <w:szCs w:val="18"/>
              </w:rPr>
            </w:pPr>
            <w:r>
              <w:rPr>
                <w:rFonts w:ascii="Arial"/>
                <w:w w:val="95"/>
                <w:sz w:val="18"/>
              </w:rPr>
              <w:t>152,505,557.88</w:t>
            </w:r>
            <w:r>
              <w:rPr>
                <w:rFonts w:ascii="Arial"/>
                <w:sz w:val="18"/>
              </w:rPr>
            </w:r>
          </w:p>
        </w:tc>
        <w:tc>
          <w:tcPr>
            <w:tcW w:w="1276"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25"/>
              <w:jc w:val="right"/>
              <w:rPr>
                <w:rFonts w:ascii="Arial" w:hAnsi="Arial" w:cs="Arial" w:eastAsia="Arial" w:hint="default"/>
                <w:sz w:val="18"/>
                <w:szCs w:val="18"/>
              </w:rPr>
            </w:pPr>
            <w:r>
              <w:rPr>
                <w:rFonts w:ascii="Arial"/>
                <w:w w:val="95"/>
                <w:sz w:val="18"/>
              </w:rPr>
              <w:t>990,754.09</w:t>
            </w:r>
            <w:r>
              <w:rPr>
                <w:rFonts w:ascii="Arial"/>
                <w:sz w:val="18"/>
              </w:rPr>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25"/>
              <w:jc w:val="right"/>
              <w:rPr>
                <w:rFonts w:ascii="Arial" w:hAnsi="Arial" w:cs="Arial" w:eastAsia="Arial" w:hint="default"/>
                <w:sz w:val="18"/>
                <w:szCs w:val="18"/>
              </w:rPr>
            </w:pPr>
            <w:r>
              <w:rPr>
                <w:rFonts w:ascii="Arial"/>
                <w:w w:val="95"/>
                <w:sz w:val="18"/>
              </w:rPr>
              <w:t>740,085.44</w:t>
            </w:r>
            <w:r>
              <w:rPr>
                <w:rFonts w:ascii="Arial"/>
                <w:sz w:val="18"/>
              </w:rPr>
            </w:r>
          </w:p>
        </w:tc>
      </w:tr>
      <w:tr>
        <w:trPr>
          <w:trHeight w:val="1338" w:hRule="exact"/>
        </w:trPr>
        <w:tc>
          <w:tcPr>
            <w:tcW w:w="105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46"/>
              <w:ind w:left="27" w:right="124"/>
              <w:jc w:val="both"/>
              <w:rPr>
                <w:rFonts w:ascii="宋体" w:hAnsi="宋体" w:cs="宋体" w:eastAsia="宋体" w:hint="default"/>
                <w:sz w:val="18"/>
                <w:szCs w:val="18"/>
              </w:rPr>
            </w:pPr>
            <w:r>
              <w:rPr>
                <w:rFonts w:ascii="宋体" w:hAnsi="宋体" w:cs="宋体" w:eastAsia="宋体" w:hint="default"/>
                <w:sz w:val="18"/>
                <w:szCs w:val="18"/>
              </w:rPr>
              <w:t>深圳市酷爱 星通讯科技 有限责任公 司</w:t>
            </w:r>
          </w:p>
        </w:tc>
        <w:tc>
          <w:tcPr>
            <w:tcW w:w="64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1"/>
              <w:ind w:left="28" w:right="101"/>
              <w:jc w:val="left"/>
              <w:rPr>
                <w:rFonts w:ascii="宋体" w:hAnsi="宋体" w:cs="宋体" w:eastAsia="宋体" w:hint="default"/>
                <w:sz w:val="18"/>
                <w:szCs w:val="18"/>
              </w:rPr>
            </w:pPr>
            <w:r>
              <w:rPr>
                <w:rFonts w:ascii="宋体" w:hAnsi="宋体" w:cs="宋体" w:eastAsia="宋体" w:hint="default"/>
                <w:sz w:val="18"/>
                <w:szCs w:val="18"/>
              </w:rPr>
              <w:t>通讯产品 销售</w:t>
            </w:r>
          </w:p>
        </w:tc>
        <w:tc>
          <w:tcPr>
            <w:tcW w:w="991"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1"/>
              <w:ind w:left="27" w:right="288"/>
              <w:jc w:val="left"/>
              <w:rPr>
                <w:rFonts w:ascii="宋体" w:hAnsi="宋体" w:cs="宋体" w:eastAsia="宋体" w:hint="default"/>
                <w:sz w:val="18"/>
                <w:szCs w:val="18"/>
              </w:rPr>
            </w:pPr>
            <w:r>
              <w:rPr>
                <w:rFonts w:ascii="宋体" w:hAnsi="宋体" w:cs="宋体" w:eastAsia="宋体" w:hint="default"/>
                <w:sz w:val="18"/>
                <w:szCs w:val="18"/>
              </w:rPr>
              <w:t>人民币 </w:t>
            </w:r>
            <w:r>
              <w:rPr>
                <w:rFonts w:ascii="Arial" w:hAnsi="Arial" w:cs="Arial" w:eastAsia="Arial" w:hint="default"/>
                <w:sz w:val="18"/>
                <w:szCs w:val="18"/>
              </w:rPr>
              <w:t>5,000</w:t>
            </w:r>
            <w:r>
              <w:rPr>
                <w:rFonts w:ascii="Arial" w:hAnsi="Arial" w:cs="Arial" w:eastAsia="Arial" w:hint="default"/>
                <w:spacing w:val="-8"/>
                <w:sz w:val="18"/>
                <w:szCs w:val="18"/>
              </w:rPr>
              <w:t> </w:t>
            </w:r>
            <w:r>
              <w:rPr>
                <w:rFonts w:ascii="宋体" w:hAnsi="宋体" w:cs="宋体" w:eastAsia="宋体" w:hint="default"/>
                <w:sz w:val="18"/>
                <w:szCs w:val="18"/>
              </w:rPr>
              <w:t>万</w:t>
            </w:r>
          </w:p>
        </w:tc>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25"/>
              <w:jc w:val="right"/>
              <w:rPr>
                <w:rFonts w:ascii="Arial" w:hAnsi="Arial" w:cs="Arial" w:eastAsia="Arial" w:hint="default"/>
                <w:sz w:val="18"/>
                <w:szCs w:val="18"/>
              </w:rPr>
            </w:pPr>
            <w:r>
              <w:rPr>
                <w:rFonts w:ascii="Arial"/>
                <w:w w:val="95"/>
                <w:sz w:val="18"/>
              </w:rPr>
              <w:t>92,907,628.88</w:t>
            </w:r>
            <w:r>
              <w:rPr>
                <w:rFonts w:ascii="Arial"/>
                <w:sz w:val="18"/>
              </w:rPr>
            </w:r>
          </w:p>
        </w:tc>
        <w:tc>
          <w:tcPr>
            <w:tcW w:w="141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25"/>
              <w:jc w:val="right"/>
              <w:rPr>
                <w:rFonts w:ascii="Arial" w:hAnsi="Arial" w:cs="Arial" w:eastAsia="Arial" w:hint="default"/>
                <w:sz w:val="18"/>
                <w:szCs w:val="18"/>
              </w:rPr>
            </w:pPr>
            <w:r>
              <w:rPr>
                <w:rFonts w:ascii="Arial"/>
                <w:w w:val="95"/>
                <w:sz w:val="18"/>
              </w:rPr>
              <w:t>-7,254,483.65</w:t>
            </w:r>
            <w:r>
              <w:rPr>
                <w:rFonts w:ascii="Arial"/>
                <w:sz w:val="18"/>
              </w:rPr>
            </w:r>
          </w:p>
        </w:tc>
        <w:tc>
          <w:tcPr>
            <w:tcW w:w="155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27"/>
              <w:jc w:val="right"/>
              <w:rPr>
                <w:rFonts w:ascii="Arial" w:hAnsi="Arial" w:cs="Arial" w:eastAsia="Arial" w:hint="default"/>
                <w:sz w:val="18"/>
                <w:szCs w:val="18"/>
              </w:rPr>
            </w:pPr>
            <w:r>
              <w:rPr>
                <w:rFonts w:ascii="Arial"/>
                <w:w w:val="95"/>
                <w:sz w:val="18"/>
              </w:rPr>
              <w:t>213,757,921.66</w:t>
            </w:r>
            <w:r>
              <w:rPr>
                <w:rFonts w:ascii="Arial"/>
                <w:sz w:val="18"/>
              </w:rPr>
            </w:r>
          </w:p>
        </w:tc>
        <w:tc>
          <w:tcPr>
            <w:tcW w:w="1276"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24"/>
              <w:jc w:val="right"/>
              <w:rPr>
                <w:rFonts w:ascii="Arial" w:hAnsi="Arial" w:cs="Arial" w:eastAsia="Arial" w:hint="default"/>
                <w:sz w:val="18"/>
                <w:szCs w:val="18"/>
              </w:rPr>
            </w:pPr>
            <w:r>
              <w:rPr>
                <w:rFonts w:ascii="Arial"/>
                <w:w w:val="95"/>
                <w:sz w:val="18"/>
              </w:rPr>
              <w:t>-9,663,417.40</w:t>
            </w:r>
            <w:r>
              <w:rPr>
                <w:rFonts w:ascii="Arial"/>
                <w:sz w:val="18"/>
              </w:rPr>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24"/>
              <w:jc w:val="right"/>
              <w:rPr>
                <w:rFonts w:ascii="Arial" w:hAnsi="Arial" w:cs="Arial" w:eastAsia="Arial" w:hint="default"/>
                <w:sz w:val="18"/>
                <w:szCs w:val="18"/>
              </w:rPr>
            </w:pPr>
            <w:r>
              <w:rPr>
                <w:rFonts w:ascii="Arial"/>
                <w:w w:val="95"/>
                <w:sz w:val="18"/>
              </w:rPr>
              <w:t>-7,254,483.65</w:t>
            </w:r>
            <w:r>
              <w:rPr>
                <w:rFonts w:ascii="Arial"/>
                <w:sz w:val="18"/>
              </w:rPr>
            </w:r>
          </w:p>
        </w:tc>
      </w:tr>
      <w:tr>
        <w:trPr>
          <w:trHeight w:val="1026" w:hRule="exact"/>
        </w:trPr>
        <w:tc>
          <w:tcPr>
            <w:tcW w:w="105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46"/>
              <w:ind w:left="27" w:right="124"/>
              <w:jc w:val="both"/>
              <w:rPr>
                <w:rFonts w:ascii="宋体" w:hAnsi="宋体" w:cs="宋体" w:eastAsia="宋体" w:hint="default"/>
                <w:sz w:val="18"/>
                <w:szCs w:val="18"/>
              </w:rPr>
            </w:pPr>
            <w:r>
              <w:rPr>
                <w:rFonts w:ascii="宋体" w:hAnsi="宋体" w:cs="宋体" w:eastAsia="宋体" w:hint="default"/>
                <w:sz w:val="18"/>
                <w:szCs w:val="18"/>
              </w:rPr>
              <w:t>西安市爱星 通通信器材 有限公司</w:t>
            </w:r>
          </w:p>
        </w:tc>
        <w:tc>
          <w:tcPr>
            <w:tcW w:w="64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8"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8" w:right="101"/>
              <w:jc w:val="left"/>
              <w:rPr>
                <w:rFonts w:ascii="宋体" w:hAnsi="宋体" w:cs="宋体" w:eastAsia="宋体" w:hint="default"/>
                <w:sz w:val="18"/>
                <w:szCs w:val="18"/>
              </w:rPr>
            </w:pPr>
            <w:r>
              <w:rPr>
                <w:rFonts w:ascii="宋体" w:hAnsi="宋体" w:cs="宋体" w:eastAsia="宋体" w:hint="default"/>
                <w:sz w:val="18"/>
                <w:szCs w:val="18"/>
              </w:rPr>
              <w:t>通讯产品 销售</w:t>
            </w:r>
          </w:p>
        </w:tc>
        <w:tc>
          <w:tcPr>
            <w:tcW w:w="991"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02" w:lineRule="auto"/>
              <w:ind w:left="27" w:right="78"/>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50"/>
                <w:sz w:val="18"/>
                <w:szCs w:val="18"/>
              </w:rPr>
              <w:t> </w:t>
            </w:r>
            <w:r>
              <w:rPr>
                <w:rFonts w:ascii="Arial" w:hAnsi="Arial" w:cs="Arial" w:eastAsia="Arial" w:hint="default"/>
                <w:sz w:val="18"/>
                <w:szCs w:val="18"/>
              </w:rPr>
              <w:t>100</w:t>
            </w:r>
            <w:r>
              <w:rPr>
                <w:rFonts w:ascii="Arial" w:hAnsi="Arial" w:cs="Arial" w:eastAsia="Arial" w:hint="default"/>
                <w:spacing w:val="-1"/>
                <w:w w:val="99"/>
                <w:sz w:val="18"/>
                <w:szCs w:val="18"/>
              </w:rPr>
              <w:t> </w:t>
            </w:r>
            <w:r>
              <w:rPr>
                <w:rFonts w:ascii="宋体" w:hAnsi="宋体" w:cs="宋体" w:eastAsia="宋体" w:hint="default"/>
                <w:sz w:val="18"/>
                <w:szCs w:val="18"/>
              </w:rPr>
              <w:t>万</w:t>
            </w:r>
          </w:p>
        </w:tc>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Arial" w:hAnsi="Arial" w:cs="Arial" w:eastAsia="Arial" w:hint="default"/>
                <w:sz w:val="18"/>
                <w:szCs w:val="18"/>
              </w:rPr>
            </w:pPr>
            <w:r>
              <w:rPr>
                <w:rFonts w:ascii="Arial"/>
                <w:w w:val="95"/>
                <w:sz w:val="18"/>
              </w:rPr>
              <w:t>332,885,935.53</w:t>
            </w:r>
            <w:r>
              <w:rPr>
                <w:rFonts w:ascii="Arial"/>
                <w:sz w:val="18"/>
              </w:rPr>
            </w:r>
          </w:p>
        </w:tc>
        <w:tc>
          <w:tcPr>
            <w:tcW w:w="141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Arial" w:hAnsi="Arial" w:cs="Arial" w:eastAsia="Arial" w:hint="default"/>
                <w:sz w:val="18"/>
                <w:szCs w:val="18"/>
              </w:rPr>
            </w:pPr>
            <w:r>
              <w:rPr>
                <w:rFonts w:ascii="Arial"/>
                <w:w w:val="95"/>
                <w:sz w:val="18"/>
              </w:rPr>
              <w:t>2,254,702.54</w:t>
            </w:r>
            <w:r>
              <w:rPr>
                <w:rFonts w:ascii="Arial"/>
                <w:sz w:val="18"/>
              </w:rPr>
            </w:r>
          </w:p>
        </w:tc>
        <w:tc>
          <w:tcPr>
            <w:tcW w:w="155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7"/>
              <w:jc w:val="right"/>
              <w:rPr>
                <w:rFonts w:ascii="Arial" w:hAnsi="Arial" w:cs="Arial" w:eastAsia="Arial" w:hint="default"/>
                <w:sz w:val="18"/>
                <w:szCs w:val="18"/>
              </w:rPr>
            </w:pPr>
            <w:r>
              <w:rPr>
                <w:rFonts w:ascii="Arial"/>
                <w:w w:val="95"/>
                <w:sz w:val="18"/>
              </w:rPr>
              <w:t>303,521,745.06</w:t>
            </w:r>
            <w:r>
              <w:rPr>
                <w:rFonts w:ascii="Arial"/>
                <w:sz w:val="18"/>
              </w:rPr>
            </w:r>
          </w:p>
        </w:tc>
        <w:tc>
          <w:tcPr>
            <w:tcW w:w="1276"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Arial" w:hAnsi="Arial" w:cs="Arial" w:eastAsia="Arial" w:hint="default"/>
                <w:sz w:val="18"/>
                <w:szCs w:val="18"/>
              </w:rPr>
            </w:pPr>
            <w:r>
              <w:rPr>
                <w:rFonts w:ascii="Arial"/>
                <w:w w:val="95"/>
                <w:sz w:val="18"/>
              </w:rPr>
              <w:t>3,015,268.45</w:t>
            </w:r>
            <w:r>
              <w:rPr>
                <w:rFonts w:ascii="Arial"/>
                <w:sz w:val="18"/>
              </w:rPr>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Arial" w:hAnsi="Arial" w:cs="Arial" w:eastAsia="Arial" w:hint="default"/>
                <w:sz w:val="18"/>
                <w:szCs w:val="18"/>
              </w:rPr>
            </w:pPr>
            <w:r>
              <w:rPr>
                <w:rFonts w:ascii="Arial"/>
                <w:w w:val="95"/>
                <w:sz w:val="18"/>
              </w:rPr>
              <w:t>2,254,702.54</w:t>
            </w:r>
            <w:r>
              <w:rPr>
                <w:rFonts w:ascii="Arial"/>
                <w:sz w:val="18"/>
              </w:rPr>
            </w:r>
          </w:p>
        </w:tc>
      </w:tr>
      <w:tr>
        <w:trPr>
          <w:trHeight w:val="714" w:hRule="exact"/>
        </w:trPr>
        <w:tc>
          <w:tcPr>
            <w:tcW w:w="105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47"/>
              <w:ind w:left="27" w:right="124"/>
              <w:jc w:val="left"/>
              <w:rPr>
                <w:rFonts w:ascii="宋体" w:hAnsi="宋体" w:cs="宋体" w:eastAsia="宋体" w:hint="default"/>
                <w:sz w:val="18"/>
                <w:szCs w:val="18"/>
              </w:rPr>
            </w:pPr>
            <w:r>
              <w:rPr>
                <w:rFonts w:ascii="宋体" w:hAnsi="宋体" w:cs="宋体" w:eastAsia="宋体" w:hint="default"/>
                <w:sz w:val="18"/>
                <w:szCs w:val="18"/>
              </w:rPr>
              <w:t>壹号电子商 务有限公司</w:t>
            </w:r>
          </w:p>
        </w:tc>
        <w:tc>
          <w:tcPr>
            <w:tcW w:w="647"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991" w:type="dxa"/>
            <w:tcBorders>
              <w:top w:val="single" w:sz="4" w:space="0" w:color="5B9BD4"/>
              <w:left w:val="nil" w:sz="6" w:space="0" w:color="auto"/>
              <w:bottom w:val="single" w:sz="4" w:space="0" w:color="5B9BD4"/>
              <w:right w:val="nil" w:sz="6" w:space="0" w:color="auto"/>
            </w:tcBorders>
          </w:tcPr>
          <w:p>
            <w:pPr>
              <w:pStyle w:val="TableParagraph"/>
              <w:spacing w:line="319" w:lineRule="auto" w:before="47"/>
              <w:ind w:left="27" w:right="288"/>
              <w:jc w:val="left"/>
              <w:rPr>
                <w:rFonts w:ascii="宋体" w:hAnsi="宋体" w:cs="宋体" w:eastAsia="宋体" w:hint="default"/>
                <w:sz w:val="18"/>
                <w:szCs w:val="18"/>
              </w:rPr>
            </w:pPr>
            <w:r>
              <w:rPr>
                <w:rFonts w:ascii="宋体" w:hAnsi="宋体" w:cs="宋体" w:eastAsia="宋体" w:hint="default"/>
                <w:sz w:val="18"/>
                <w:szCs w:val="18"/>
              </w:rPr>
              <w:t>人民币 </w:t>
            </w:r>
            <w:r>
              <w:rPr>
                <w:rFonts w:ascii="Arial" w:hAnsi="Arial" w:cs="Arial" w:eastAsia="Arial" w:hint="default"/>
                <w:sz w:val="18"/>
                <w:szCs w:val="18"/>
              </w:rPr>
              <w:t>5,000</w:t>
            </w:r>
            <w:r>
              <w:rPr>
                <w:rFonts w:ascii="Arial" w:hAnsi="Arial" w:cs="Arial" w:eastAsia="Arial" w:hint="default"/>
                <w:spacing w:val="-8"/>
                <w:sz w:val="18"/>
                <w:szCs w:val="18"/>
              </w:rPr>
              <w:t> </w:t>
            </w:r>
            <w:r>
              <w:rPr>
                <w:rFonts w:ascii="宋体" w:hAnsi="宋体" w:cs="宋体" w:eastAsia="宋体" w:hint="default"/>
                <w:sz w:val="18"/>
                <w:szCs w:val="18"/>
              </w:rPr>
              <w:t>万</w:t>
            </w:r>
          </w:p>
        </w:tc>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Arial" w:hAnsi="Arial" w:cs="Arial" w:eastAsia="Arial" w:hint="default"/>
                <w:sz w:val="18"/>
                <w:szCs w:val="18"/>
              </w:rPr>
            </w:pPr>
            <w:r>
              <w:rPr>
                <w:rFonts w:ascii="Arial"/>
                <w:w w:val="95"/>
                <w:sz w:val="18"/>
              </w:rPr>
              <w:t>10,713,254.47</w:t>
            </w:r>
            <w:r>
              <w:rPr>
                <w:rFonts w:ascii="Arial"/>
                <w:sz w:val="18"/>
              </w:rPr>
            </w:r>
          </w:p>
        </w:tc>
        <w:tc>
          <w:tcPr>
            <w:tcW w:w="1417" w:type="dxa"/>
            <w:tcBorders>
              <w:top w:val="single" w:sz="4" w:space="0" w:color="5B9BD4"/>
              <w:left w:val="nil" w:sz="6" w:space="0" w:color="auto"/>
              <w:bottom w:val="single" w:sz="4" w:space="0" w:color="5B9BD4"/>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Arial" w:hAnsi="Arial" w:cs="Arial" w:eastAsia="Arial" w:hint="default"/>
                <w:sz w:val="18"/>
                <w:szCs w:val="18"/>
              </w:rPr>
            </w:pPr>
            <w:r>
              <w:rPr>
                <w:rFonts w:ascii="Arial"/>
                <w:w w:val="95"/>
                <w:sz w:val="18"/>
              </w:rPr>
              <w:t>-13,143,962.35</w:t>
            </w:r>
            <w:r>
              <w:rPr>
                <w:rFonts w:ascii="Arial"/>
                <w:sz w:val="18"/>
              </w:rPr>
            </w:r>
          </w:p>
        </w:tc>
        <w:tc>
          <w:tcPr>
            <w:tcW w:w="155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6"/>
              <w:jc w:val="right"/>
              <w:rPr>
                <w:rFonts w:ascii="Arial" w:hAnsi="Arial" w:cs="Arial" w:eastAsia="Arial" w:hint="default"/>
                <w:sz w:val="18"/>
                <w:szCs w:val="18"/>
              </w:rPr>
            </w:pPr>
            <w:r>
              <w:rPr>
                <w:rFonts w:ascii="Arial"/>
                <w:w w:val="95"/>
                <w:sz w:val="18"/>
              </w:rPr>
              <w:t>1,734,340.64</w:t>
            </w:r>
            <w:r>
              <w:rPr>
                <w:rFonts w:ascii="Arial"/>
                <w:sz w:val="18"/>
              </w:rPr>
            </w:r>
          </w:p>
        </w:tc>
        <w:tc>
          <w:tcPr>
            <w:tcW w:w="1276" w:type="dxa"/>
            <w:tcBorders>
              <w:top w:val="single" w:sz="4" w:space="0" w:color="5B9BD4"/>
              <w:left w:val="nil" w:sz="6" w:space="0" w:color="auto"/>
              <w:bottom w:val="single" w:sz="4" w:space="0" w:color="5B9BD4"/>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Arial" w:hAnsi="Arial" w:cs="Arial" w:eastAsia="Arial" w:hint="default"/>
                <w:sz w:val="18"/>
                <w:szCs w:val="18"/>
              </w:rPr>
            </w:pPr>
            <w:r>
              <w:rPr>
                <w:rFonts w:ascii="Arial"/>
                <w:w w:val="95"/>
                <w:sz w:val="18"/>
              </w:rPr>
              <w:t>-17,143,963.11</w:t>
            </w:r>
            <w:r>
              <w:rPr>
                <w:rFonts w:ascii="Arial"/>
                <w:sz w:val="18"/>
              </w:rPr>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Arial" w:hAnsi="Arial" w:cs="Arial" w:eastAsia="Arial" w:hint="default"/>
                <w:sz w:val="18"/>
                <w:szCs w:val="18"/>
              </w:rPr>
            </w:pPr>
            <w:r>
              <w:rPr>
                <w:rFonts w:ascii="Arial"/>
                <w:w w:val="95"/>
                <w:sz w:val="18"/>
              </w:rPr>
              <w:t>-17,143,962.35</w:t>
            </w:r>
            <w:r>
              <w:rPr>
                <w:rFonts w:ascii="Arial"/>
                <w:sz w:val="18"/>
              </w:rPr>
            </w:r>
          </w:p>
        </w:tc>
      </w:tr>
      <w:tr>
        <w:trPr>
          <w:trHeight w:val="1026" w:hRule="exact"/>
        </w:trPr>
        <w:tc>
          <w:tcPr>
            <w:tcW w:w="105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46"/>
              <w:ind w:left="27" w:right="124"/>
              <w:jc w:val="both"/>
              <w:rPr>
                <w:rFonts w:ascii="宋体" w:hAnsi="宋体" w:cs="宋体" w:eastAsia="宋体" w:hint="default"/>
                <w:sz w:val="18"/>
                <w:szCs w:val="18"/>
              </w:rPr>
            </w:pPr>
            <w:r>
              <w:rPr>
                <w:rFonts w:ascii="宋体" w:hAnsi="宋体" w:cs="宋体" w:eastAsia="宋体" w:hint="default"/>
                <w:sz w:val="18"/>
                <w:szCs w:val="18"/>
              </w:rPr>
              <w:t>深圳市优友 金融服务有 限公司</w:t>
            </w:r>
          </w:p>
        </w:tc>
        <w:tc>
          <w:tcPr>
            <w:tcW w:w="64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8"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8" w:right="101"/>
              <w:jc w:val="left"/>
              <w:rPr>
                <w:rFonts w:ascii="宋体" w:hAnsi="宋体" w:cs="宋体" w:eastAsia="宋体" w:hint="default"/>
                <w:sz w:val="18"/>
                <w:szCs w:val="18"/>
              </w:rPr>
            </w:pPr>
            <w:r>
              <w:rPr>
                <w:rFonts w:ascii="宋体" w:hAnsi="宋体" w:cs="宋体" w:eastAsia="宋体" w:hint="default"/>
                <w:sz w:val="18"/>
                <w:szCs w:val="18"/>
              </w:rPr>
              <w:t>通讯产品 销售</w:t>
            </w:r>
          </w:p>
        </w:tc>
        <w:tc>
          <w:tcPr>
            <w:tcW w:w="991"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7" w:right="288"/>
              <w:jc w:val="left"/>
              <w:rPr>
                <w:rFonts w:ascii="宋体" w:hAnsi="宋体" w:cs="宋体" w:eastAsia="宋体" w:hint="default"/>
                <w:sz w:val="18"/>
                <w:szCs w:val="18"/>
              </w:rPr>
            </w:pPr>
            <w:r>
              <w:rPr>
                <w:rFonts w:ascii="宋体" w:hAnsi="宋体" w:cs="宋体" w:eastAsia="宋体" w:hint="default"/>
                <w:sz w:val="18"/>
                <w:szCs w:val="18"/>
              </w:rPr>
              <w:t>人民币 </w:t>
            </w:r>
            <w:r>
              <w:rPr>
                <w:rFonts w:ascii="Arial" w:hAnsi="Arial" w:cs="Arial" w:eastAsia="Arial" w:hint="default"/>
                <w:sz w:val="18"/>
                <w:szCs w:val="18"/>
              </w:rPr>
              <w:t>1,000</w:t>
            </w:r>
            <w:r>
              <w:rPr>
                <w:rFonts w:ascii="Arial" w:hAnsi="Arial" w:cs="Arial" w:eastAsia="Arial" w:hint="default"/>
                <w:spacing w:val="-8"/>
                <w:sz w:val="18"/>
                <w:szCs w:val="18"/>
              </w:rPr>
              <w:t> </w:t>
            </w:r>
            <w:r>
              <w:rPr>
                <w:rFonts w:ascii="宋体" w:hAnsi="宋体" w:cs="宋体" w:eastAsia="宋体" w:hint="default"/>
                <w:sz w:val="18"/>
                <w:szCs w:val="18"/>
              </w:rPr>
              <w:t>万</w:t>
            </w:r>
          </w:p>
        </w:tc>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Arial" w:hAnsi="Arial" w:cs="Arial" w:eastAsia="Arial" w:hint="default"/>
                <w:sz w:val="18"/>
                <w:szCs w:val="18"/>
              </w:rPr>
            </w:pPr>
            <w:r>
              <w:rPr>
                <w:rFonts w:ascii="Arial"/>
                <w:w w:val="95"/>
                <w:sz w:val="18"/>
              </w:rPr>
              <w:t>190,829,921.87</w:t>
            </w:r>
            <w:r>
              <w:rPr>
                <w:rFonts w:ascii="Arial"/>
                <w:sz w:val="18"/>
              </w:rPr>
            </w:r>
          </w:p>
        </w:tc>
        <w:tc>
          <w:tcPr>
            <w:tcW w:w="141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6"/>
              <w:jc w:val="right"/>
              <w:rPr>
                <w:rFonts w:ascii="Arial" w:hAnsi="Arial" w:cs="Arial" w:eastAsia="Arial" w:hint="default"/>
                <w:sz w:val="18"/>
                <w:szCs w:val="18"/>
              </w:rPr>
            </w:pPr>
            <w:r>
              <w:rPr>
                <w:rFonts w:ascii="Arial"/>
                <w:w w:val="95"/>
                <w:sz w:val="18"/>
              </w:rPr>
              <w:t>795,142.31</w:t>
            </w:r>
            <w:r>
              <w:rPr>
                <w:rFonts w:ascii="Arial"/>
                <w:sz w:val="18"/>
              </w:rPr>
            </w:r>
          </w:p>
        </w:tc>
        <w:tc>
          <w:tcPr>
            <w:tcW w:w="155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7"/>
              <w:jc w:val="right"/>
              <w:rPr>
                <w:rFonts w:ascii="Arial" w:hAnsi="Arial" w:cs="Arial" w:eastAsia="Arial" w:hint="default"/>
                <w:sz w:val="18"/>
                <w:szCs w:val="18"/>
              </w:rPr>
            </w:pPr>
            <w:r>
              <w:rPr>
                <w:rFonts w:ascii="Arial"/>
                <w:w w:val="95"/>
                <w:sz w:val="18"/>
              </w:rPr>
              <w:t>11,785,009.41</w:t>
            </w:r>
            <w:r>
              <w:rPr>
                <w:rFonts w:ascii="Arial"/>
                <w:sz w:val="18"/>
              </w:rPr>
            </w:r>
          </w:p>
        </w:tc>
        <w:tc>
          <w:tcPr>
            <w:tcW w:w="1276"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Arial" w:hAnsi="Arial" w:cs="Arial" w:eastAsia="Arial" w:hint="default"/>
                <w:sz w:val="18"/>
                <w:szCs w:val="18"/>
              </w:rPr>
            </w:pPr>
            <w:r>
              <w:rPr>
                <w:rFonts w:ascii="Arial"/>
                <w:w w:val="95"/>
                <w:sz w:val="18"/>
              </w:rPr>
              <w:t>-272,894.79</w:t>
            </w:r>
            <w:r>
              <w:rPr>
                <w:rFonts w:ascii="Arial"/>
                <w:sz w:val="18"/>
              </w:rPr>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Arial" w:hAnsi="Arial" w:cs="Arial" w:eastAsia="Arial" w:hint="default"/>
                <w:sz w:val="18"/>
                <w:szCs w:val="18"/>
              </w:rPr>
            </w:pPr>
            <w:r>
              <w:rPr>
                <w:rFonts w:ascii="Arial"/>
                <w:w w:val="95"/>
                <w:sz w:val="18"/>
              </w:rPr>
              <w:t>-204,857.69</w:t>
            </w:r>
            <w:r>
              <w:rPr>
                <w:rFonts w:ascii="Arial"/>
                <w:sz w:val="18"/>
              </w:rPr>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0"/>
          <w:szCs w:val="20"/>
        </w:rPr>
      </w:pPr>
    </w:p>
    <w:p>
      <w:pPr>
        <w:pStyle w:val="Heading1"/>
        <w:spacing w:line="409" w:lineRule="exact"/>
        <w:ind w:left="534" w:right="912"/>
        <w:jc w:val="left"/>
        <w:rPr>
          <w:b w:val="0"/>
          <w:bCs w:val="0"/>
        </w:rPr>
      </w:pPr>
      <w:bookmarkStart w:name="4.8 公司控制的结构化主体情况" w:id="90"/>
      <w:bookmarkEnd w:id="90"/>
      <w:r>
        <w:rPr>
          <w:b w:val="0"/>
          <w:bCs w:val="0"/>
        </w:rPr>
      </w:r>
      <w:bookmarkStart w:name="_bookmark26" w:id="91"/>
      <w:bookmarkEnd w:id="91"/>
      <w:r>
        <w:rPr>
          <w:b w:val="0"/>
          <w:bCs w:val="0"/>
        </w:rPr>
      </w:r>
      <w:r>
        <w:rPr>
          <w:rFonts w:ascii="Trebuchet MS" w:hAnsi="Trebuchet MS" w:cs="Trebuchet MS" w:eastAsia="Trebuchet MS" w:hint="default"/>
        </w:rPr>
        <w:t>4.8</w:t>
      </w:r>
      <w:r>
        <w:rPr>
          <w:rFonts w:ascii="Trebuchet MS" w:hAnsi="Trebuchet MS" w:cs="Trebuchet MS" w:eastAsia="Trebuchet MS" w:hint="default"/>
          <w:spacing w:val="14"/>
        </w:rPr>
        <w:t> </w:t>
      </w:r>
      <w:r>
        <w:rPr/>
        <w:t>公司控制的结构化主体情况</w:t>
      </w:r>
      <w:r>
        <w:rPr>
          <w:b w:val="0"/>
          <w:bCs w:val="0"/>
        </w:rPr>
      </w:r>
    </w:p>
    <w:p>
      <w:pPr>
        <w:spacing w:before="182"/>
        <w:ind w:left="534" w:right="91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pStyle w:val="Heading1"/>
        <w:spacing w:line="240" w:lineRule="auto" w:before="76"/>
        <w:ind w:left="534" w:right="912"/>
        <w:jc w:val="left"/>
        <w:rPr>
          <w:b w:val="0"/>
          <w:bCs w:val="0"/>
        </w:rPr>
      </w:pPr>
      <w:bookmarkStart w:name="4.9 公司未来发展的展望" w:id="92"/>
      <w:bookmarkEnd w:id="92"/>
      <w:r>
        <w:rPr>
          <w:b w:val="0"/>
          <w:bCs w:val="0"/>
        </w:rPr>
      </w:r>
      <w:bookmarkStart w:name="_bookmark27" w:id="93"/>
      <w:bookmarkEnd w:id="93"/>
      <w:r>
        <w:rPr>
          <w:b w:val="0"/>
          <w:bCs w:val="0"/>
        </w:rPr>
      </w:r>
      <w:r>
        <w:rPr>
          <w:rFonts w:ascii="Trebuchet MS" w:hAnsi="Trebuchet MS" w:cs="Trebuchet MS" w:eastAsia="Trebuchet MS" w:hint="default"/>
        </w:rPr>
        <w:t>4.9</w:t>
      </w:r>
      <w:r>
        <w:rPr>
          <w:rFonts w:ascii="Trebuchet MS" w:hAnsi="Trebuchet MS" w:cs="Trebuchet MS" w:eastAsia="Trebuchet MS" w:hint="default"/>
          <w:spacing w:val="14"/>
        </w:rPr>
        <w:t> </w:t>
      </w:r>
      <w:r>
        <w:rPr/>
        <w:t>公司未来发展的展望</w:t>
      </w:r>
      <w:r>
        <w:rPr>
          <w:b w:val="0"/>
          <w:bCs w:val="0"/>
        </w:rPr>
      </w:r>
    </w:p>
    <w:p>
      <w:pPr>
        <w:spacing w:line="240" w:lineRule="auto" w:before="1"/>
        <w:rPr>
          <w:rFonts w:ascii="Microsoft JhengHei" w:hAnsi="Microsoft JhengHei" w:cs="Microsoft JhengHei" w:eastAsia="Microsoft JhengHei" w:hint="default"/>
          <w:b/>
          <w:bCs/>
          <w:sz w:val="27"/>
          <w:szCs w:val="27"/>
        </w:rPr>
      </w:pPr>
    </w:p>
    <w:p>
      <w:pPr>
        <w:pStyle w:val="Heading2"/>
        <w:spacing w:line="240" w:lineRule="auto"/>
        <w:ind w:left="534" w:right="912"/>
        <w:jc w:val="left"/>
        <w:rPr>
          <w:b w:val="0"/>
          <w:bCs w:val="0"/>
        </w:rPr>
      </w:pPr>
      <w:bookmarkStart w:name="4.9.1 行业竞争格局及发展趋势" w:id="94"/>
      <w:bookmarkEnd w:id="94"/>
      <w:r>
        <w:rPr>
          <w:b w:val="0"/>
          <w:bCs w:val="0"/>
        </w:rPr>
      </w:r>
      <w:r>
        <w:rPr>
          <w:rFonts w:ascii="Trebuchet MS" w:hAnsi="Trebuchet MS" w:cs="Trebuchet MS" w:eastAsia="Trebuchet MS" w:hint="default"/>
        </w:rPr>
        <w:t>4.9.1</w:t>
      </w:r>
      <w:r>
        <w:rPr>
          <w:rFonts w:ascii="Trebuchet MS" w:hAnsi="Trebuchet MS" w:cs="Trebuchet MS" w:eastAsia="Trebuchet MS" w:hint="default"/>
          <w:spacing w:val="-18"/>
        </w:rPr>
        <w:t> </w:t>
      </w:r>
      <w:r>
        <w:rPr/>
        <w:t>行业竞争格局及发展趋势</w:t>
      </w:r>
      <w:r>
        <w:rPr>
          <w:b w:val="0"/>
          <w:bCs w:val="0"/>
        </w:rPr>
      </w:r>
    </w:p>
    <w:p>
      <w:pPr>
        <w:spacing w:line="240" w:lineRule="auto" w:before="8"/>
        <w:rPr>
          <w:rFonts w:ascii="Microsoft JhengHei" w:hAnsi="Microsoft JhengHei" w:cs="Microsoft JhengHei" w:eastAsia="Microsoft JhengHei" w:hint="default"/>
          <w:b/>
          <w:bCs/>
          <w:sz w:val="30"/>
          <w:szCs w:val="30"/>
        </w:rPr>
      </w:pPr>
    </w:p>
    <w:p>
      <w:pPr>
        <w:pStyle w:val="BodyText"/>
        <w:spacing w:line="388" w:lineRule="auto"/>
        <w:ind w:left="534" w:right="912" w:firstLine="420"/>
        <w:jc w:val="left"/>
      </w:pPr>
      <w:r>
        <w:rPr>
          <w:rFonts w:ascii="Arial" w:hAnsi="Arial" w:cs="Arial" w:eastAsia="Arial" w:hint="default"/>
          <w:spacing w:val="-2"/>
        </w:rPr>
        <w:t>2016</w:t>
      </w:r>
      <w:r>
        <w:rPr>
          <w:spacing w:val="-2"/>
        </w:rPr>
        <w:t>年国家宏观经济保持平稳增长，国家推进的产业升级和供给侧改革都为市场增添了新的发展动力。</w:t>
      </w:r>
      <w:r>
        <w:rPr/>
        <w:t> 互联网</w:t>
      </w:r>
      <w:r>
        <w:rPr>
          <w:rFonts w:ascii="Arial" w:hAnsi="Arial" w:cs="Arial" w:eastAsia="Arial" w:hint="default"/>
        </w:rPr>
        <w:t>+</w:t>
      </w:r>
      <w:r>
        <w:rPr/>
        <w:t>和物联网的快速发展，</w:t>
      </w:r>
      <w:r>
        <w:rPr>
          <w:rFonts w:ascii="Arial" w:hAnsi="Arial" w:cs="Arial" w:eastAsia="Arial" w:hint="default"/>
        </w:rPr>
        <w:t>4G</w:t>
      </w:r>
      <w:r>
        <w:rPr/>
        <w:t>网络的全面覆盖，智能终端快速迭代，金融服务更加完善，为供应链服 务产业和移动转售业务带来了新的发展机遇。</w:t>
      </w:r>
    </w:p>
    <w:p>
      <w:pPr>
        <w:pStyle w:val="Heading5"/>
        <w:spacing w:line="240" w:lineRule="auto" w:before="152"/>
        <w:ind w:left="954" w:right="912"/>
        <w:jc w:val="left"/>
        <w:rPr>
          <w:rFonts w:ascii="Microsoft JhengHei" w:hAnsi="Microsoft JhengHei" w:cs="Microsoft JhengHei" w:eastAsia="Microsoft JhengHei" w:hint="default"/>
          <w:b w:val="0"/>
          <w:bCs w:val="0"/>
        </w:rPr>
      </w:pPr>
      <w:r>
        <w:rPr>
          <w:rFonts w:ascii="Trebuchet MS" w:hAnsi="Trebuchet MS" w:cs="Trebuchet MS" w:eastAsia="Trebuchet MS" w:hint="default"/>
        </w:rPr>
        <w:t>1</w:t>
      </w:r>
      <w:r>
        <w:rPr>
          <w:rFonts w:ascii="Microsoft JhengHei" w:hAnsi="Microsoft JhengHei" w:cs="Microsoft JhengHei" w:eastAsia="Microsoft JhengHei" w:hint="default"/>
        </w:rPr>
        <w:t>、分销行业</w:t>
      </w:r>
      <w:r>
        <w:rPr>
          <w:rFonts w:ascii="Microsoft JhengHei" w:hAnsi="Microsoft JhengHei" w:cs="Microsoft JhengHei" w:eastAsia="Microsoft JhengHei" w:hint="default"/>
          <w:b w:val="0"/>
          <w:bCs w:val="0"/>
        </w:rPr>
      </w:r>
    </w:p>
    <w:p>
      <w:pPr>
        <w:spacing w:after="0" w:line="240" w:lineRule="auto"/>
        <w:jc w:val="left"/>
        <w:rPr>
          <w:rFonts w:ascii="Microsoft JhengHei" w:hAnsi="Microsoft JhengHei" w:cs="Microsoft JhengHei" w:eastAsia="Microsoft JhengHei" w:hint="default"/>
        </w:rPr>
        <w:sectPr>
          <w:pgSz w:w="11910" w:h="16840"/>
          <w:pgMar w:header="877" w:footer="979" w:top="1100" w:bottom="1160" w:left="600" w:right="0"/>
        </w:sectPr>
      </w:pPr>
    </w:p>
    <w:p>
      <w:pPr>
        <w:spacing w:line="240" w:lineRule="auto" w:before="13"/>
        <w:rPr>
          <w:rFonts w:ascii="Microsoft JhengHei" w:hAnsi="Microsoft JhengHei" w:cs="Microsoft JhengHei" w:eastAsia="Microsoft JhengHei" w:hint="default"/>
          <w:b/>
          <w:bCs/>
          <w:sz w:val="20"/>
          <w:szCs w:val="20"/>
        </w:rPr>
      </w:pPr>
    </w:p>
    <w:p>
      <w:pPr>
        <w:pStyle w:val="BodyText"/>
        <w:spacing w:line="398" w:lineRule="auto" w:before="18"/>
        <w:ind w:right="1129" w:firstLine="420"/>
        <w:jc w:val="both"/>
      </w:pPr>
      <w:r>
        <w:rPr>
          <w:rFonts w:ascii="Arial" w:hAnsi="Arial" w:cs="Arial" w:eastAsia="Arial" w:hint="default"/>
        </w:rPr>
        <w:t>2016</w:t>
      </w:r>
      <w:r>
        <w:rPr/>
        <w:t>年智能终端进入产品体验与品牌价值全面提升阶段，市场规模保持平稳增长，全网通</w:t>
      </w:r>
      <w:r>
        <w:rPr>
          <w:rFonts w:ascii="Arial" w:hAnsi="Arial" w:cs="Arial" w:eastAsia="Arial" w:hint="default"/>
        </w:rPr>
        <w:t>4G</w:t>
      </w:r>
      <w:r>
        <w:rPr/>
        <w:t>产品成</w:t>
      </w:r>
      <w:r>
        <w:rPr>
          <w:spacing w:val="2"/>
        </w:rPr>
        <w:t> </w:t>
      </w:r>
      <w:r>
        <w:rPr>
          <w:spacing w:val="-1"/>
        </w:rPr>
        <w:t>为智能终端销量增长的主力，开放渠道份额将继续上升，线下渠道销量出现增长态势。智能硬件随着技术</w:t>
      </w:r>
      <w:r>
        <w:rPr>
          <w:spacing w:val="-83"/>
        </w:rPr>
        <w:t> </w:t>
      </w:r>
      <w:r>
        <w:rPr>
          <w:spacing w:val="-83"/>
        </w:rPr>
      </w:r>
      <w:r>
        <w:rPr/>
        <w:t>和应用的逐步成熟，产品与服务共同提升将是热点与增长点。</w:t>
      </w:r>
    </w:p>
    <w:p>
      <w:pPr>
        <w:spacing w:line="240" w:lineRule="auto" w:before="2"/>
        <w:rPr>
          <w:rFonts w:ascii="宋体" w:hAnsi="宋体" w:cs="宋体" w:eastAsia="宋体" w:hint="default"/>
          <w:sz w:val="16"/>
          <w:szCs w:val="16"/>
        </w:rPr>
      </w:pPr>
    </w:p>
    <w:p>
      <w:pPr>
        <w:pStyle w:val="BodyText"/>
        <w:spacing w:line="516" w:lineRule="auto"/>
        <w:ind w:left="573" w:right="0"/>
        <w:jc w:val="left"/>
      </w:pPr>
      <w:r>
        <w:rPr/>
        <w:t>（</w:t>
      </w:r>
      <w:r>
        <w:rPr>
          <w:rFonts w:ascii="Arial" w:hAnsi="Arial" w:cs="Arial" w:eastAsia="Arial" w:hint="default"/>
        </w:rPr>
        <w:t>1</w:t>
      </w:r>
      <w:r>
        <w:rPr/>
        <w:t>）线下市场增速预计超线上，带来新机遇 </w:t>
      </w:r>
      <w:r>
        <w:rPr>
          <w:spacing w:val="-1"/>
        </w:rPr>
        <w:t>互联网化品牌溢价销售模式和传统渠道销售模式不断成熟，线下市场与线上市场的价格差距逐步缩小，</w:t>
      </w:r>
    </w:p>
    <w:p>
      <w:pPr>
        <w:pStyle w:val="BodyText"/>
        <w:spacing w:line="227" w:lineRule="exact"/>
        <w:ind w:right="0"/>
        <w:jc w:val="both"/>
      </w:pPr>
      <w:r>
        <w:rPr/>
        <w:t>价格或出现趋同的态势，线下市场份额逐步走高，同时伴随着线下市场产品体验服务能力不断提升，国内</w:t>
      </w:r>
    </w:p>
    <w:p>
      <w:pPr>
        <w:spacing w:line="240" w:lineRule="auto" w:before="10"/>
        <w:rPr>
          <w:rFonts w:ascii="宋体" w:hAnsi="宋体" w:cs="宋体" w:eastAsia="宋体" w:hint="default"/>
          <w:sz w:val="14"/>
          <w:szCs w:val="14"/>
        </w:rPr>
      </w:pPr>
    </w:p>
    <w:p>
      <w:pPr>
        <w:pStyle w:val="BodyText"/>
        <w:spacing w:line="388" w:lineRule="auto"/>
        <w:ind w:right="0"/>
        <w:jc w:val="left"/>
      </w:pPr>
      <w:r>
        <w:rPr/>
        <w:t>品牌对线下市场推动力度加大，线下市场将迸发出新活力，预计</w:t>
      </w:r>
      <w:r>
        <w:rPr>
          <w:rFonts w:ascii="Arial" w:hAnsi="Arial" w:cs="Arial" w:eastAsia="Arial" w:hint="default"/>
        </w:rPr>
        <w:t>2016</w:t>
      </w:r>
      <w:r>
        <w:rPr/>
        <w:t>年线下市场的发展增速将超越线上，</w:t>
      </w:r>
      <w:r>
        <w:rPr>
          <w:spacing w:val="-71"/>
        </w:rPr>
        <w:t> </w:t>
      </w:r>
      <w:r>
        <w:rPr>
          <w:spacing w:val="-71"/>
        </w:rPr>
      </w:r>
      <w:r>
        <w:rPr/>
        <w:t>对于已处于国内领先的爱施德手机分销业务运营带来新的发展机遇。</w:t>
      </w:r>
    </w:p>
    <w:p>
      <w:pPr>
        <w:spacing w:line="240" w:lineRule="auto" w:before="10"/>
        <w:rPr>
          <w:rFonts w:ascii="宋体" w:hAnsi="宋体" w:cs="宋体" w:eastAsia="宋体" w:hint="default"/>
          <w:sz w:val="16"/>
          <w:szCs w:val="16"/>
        </w:rPr>
      </w:pPr>
    </w:p>
    <w:p>
      <w:pPr>
        <w:pStyle w:val="BodyText"/>
        <w:spacing w:line="240" w:lineRule="auto"/>
        <w:ind w:left="573" w:right="0"/>
        <w:jc w:val="left"/>
      </w:pPr>
      <w:r>
        <w:rPr/>
        <w:t>（</w:t>
      </w:r>
      <w:r>
        <w:rPr>
          <w:rFonts w:ascii="Arial" w:hAnsi="Arial" w:cs="Arial" w:eastAsia="Arial" w:hint="default"/>
        </w:rPr>
        <w:t>2</w:t>
      </w:r>
      <w:r>
        <w:rPr/>
        <w:t>）全网通手机将呈现爆发性增长趋势，带来新市场</w:t>
      </w:r>
    </w:p>
    <w:p>
      <w:pPr>
        <w:spacing w:line="240" w:lineRule="auto" w:before="7"/>
        <w:rPr>
          <w:rFonts w:ascii="宋体" w:hAnsi="宋体" w:cs="宋体" w:eastAsia="宋体" w:hint="default"/>
          <w:sz w:val="25"/>
          <w:szCs w:val="25"/>
        </w:rPr>
      </w:pPr>
    </w:p>
    <w:p>
      <w:pPr>
        <w:pStyle w:val="BodyText"/>
        <w:spacing w:line="388" w:lineRule="auto"/>
        <w:ind w:right="1130" w:firstLine="420"/>
        <w:jc w:val="both"/>
      </w:pPr>
      <w:r>
        <w:rPr>
          <w:rFonts w:ascii="Arial" w:hAnsi="Arial" w:cs="Arial" w:eastAsia="Arial" w:hint="default"/>
          <w:spacing w:val="-2"/>
        </w:rPr>
        <w:t>2016</w:t>
      </w:r>
      <w:r>
        <w:rPr>
          <w:spacing w:val="-2"/>
        </w:rPr>
        <w:t>年预计</w:t>
      </w:r>
      <w:r>
        <w:rPr>
          <w:rFonts w:ascii="Arial" w:hAnsi="Arial" w:cs="Arial" w:eastAsia="Arial" w:hint="default"/>
          <w:spacing w:val="-2"/>
        </w:rPr>
        <w:t>4G</w:t>
      </w:r>
      <w:r>
        <w:rPr>
          <w:spacing w:val="-2"/>
        </w:rPr>
        <w:t>手机销量占比将扩大至</w:t>
      </w:r>
      <w:r>
        <w:rPr>
          <w:rFonts w:ascii="Arial" w:hAnsi="Arial" w:cs="Arial" w:eastAsia="Arial" w:hint="default"/>
          <w:spacing w:val="-2"/>
        </w:rPr>
        <w:t>90%</w:t>
      </w:r>
      <w:r>
        <w:rPr>
          <w:spacing w:val="-2"/>
        </w:rPr>
        <w:t>以上，尤其双</w:t>
      </w:r>
      <w:r>
        <w:rPr>
          <w:rFonts w:ascii="Arial" w:hAnsi="Arial" w:cs="Arial" w:eastAsia="Arial" w:hint="default"/>
          <w:spacing w:val="-2"/>
        </w:rPr>
        <w:t>4G</w:t>
      </w:r>
      <w:r>
        <w:rPr>
          <w:spacing w:val="-2"/>
        </w:rPr>
        <w:t>及全网通产品为公开市场所主推</w:t>
      </w:r>
      <w:r>
        <w:rPr>
          <w:rFonts w:ascii="Arial" w:hAnsi="Arial" w:cs="Arial" w:eastAsia="Arial" w:hint="default"/>
          <w:spacing w:val="-2"/>
        </w:rPr>
        <w:t>,</w:t>
      </w:r>
      <w:r>
        <w:rPr>
          <w:spacing w:val="-2"/>
        </w:rPr>
        <w:t>预测全网</w:t>
      </w:r>
      <w:r>
        <w:rPr/>
        <w:t> 通产品份额将到达</w:t>
      </w:r>
      <w:r>
        <w:rPr>
          <w:rFonts w:ascii="Arial" w:hAnsi="Arial" w:cs="Arial" w:eastAsia="Arial" w:hint="default"/>
        </w:rPr>
        <w:t>60%</w:t>
      </w:r>
      <w:r>
        <w:rPr/>
        <w:t>以上，开放市场的渠道优势进一步显现，销量向明星机型汇聚，带来新的市场。</w:t>
      </w:r>
    </w:p>
    <w:p>
      <w:pPr>
        <w:spacing w:line="240" w:lineRule="auto" w:before="6"/>
        <w:rPr>
          <w:rFonts w:ascii="宋体" w:hAnsi="宋体" w:cs="宋体" w:eastAsia="宋体" w:hint="default"/>
          <w:sz w:val="14"/>
          <w:szCs w:val="14"/>
        </w:rPr>
      </w:pPr>
    </w:p>
    <w:p>
      <w:pPr>
        <w:pStyle w:val="BodyText"/>
        <w:spacing w:line="516" w:lineRule="auto"/>
        <w:ind w:left="573" w:right="0"/>
        <w:jc w:val="left"/>
      </w:pPr>
      <w:r>
        <w:rPr/>
        <w:t>（</w:t>
      </w:r>
      <w:r>
        <w:rPr>
          <w:rFonts w:ascii="Arial" w:hAnsi="Arial" w:cs="Arial" w:eastAsia="Arial" w:hint="default"/>
        </w:rPr>
        <w:t>3</w:t>
      </w:r>
      <w:r>
        <w:rPr/>
        <w:t>）渠道模式将进一步多样化，创造新合作 </w:t>
      </w:r>
      <w:r>
        <w:rPr>
          <w:spacing w:val="-1"/>
        </w:rPr>
        <w:t>产业链各方为应对激烈的行业竞争，不断提高运营效率，大力推动自有电商平台建设，强化与其它电</w:t>
      </w:r>
    </w:p>
    <w:p>
      <w:pPr>
        <w:pStyle w:val="BodyText"/>
        <w:spacing w:line="227" w:lineRule="exact"/>
        <w:ind w:right="0"/>
        <w:jc w:val="both"/>
      </w:pPr>
      <w:r>
        <w:rPr/>
        <w:t>商平台的合作，电商份额的增长打破了原有的市场格局。分销渠道继续深化线上、线下结合的运营模式，</w:t>
      </w:r>
    </w:p>
    <w:p>
      <w:pPr>
        <w:spacing w:line="240" w:lineRule="auto" w:before="10"/>
        <w:rPr>
          <w:rFonts w:ascii="宋体" w:hAnsi="宋体" w:cs="宋体" w:eastAsia="宋体" w:hint="default"/>
          <w:sz w:val="14"/>
          <w:szCs w:val="14"/>
        </w:rPr>
      </w:pPr>
    </w:p>
    <w:p>
      <w:pPr>
        <w:pStyle w:val="BodyText"/>
        <w:spacing w:line="408" w:lineRule="auto"/>
        <w:ind w:right="1131"/>
        <w:jc w:val="both"/>
      </w:pPr>
      <w:r>
        <w:rPr>
          <w:spacing w:val="-1"/>
        </w:rPr>
        <w:t>服务于零售商及线上消费者，为零售商带去更多终端建设及市场推广专业化支持，为线上消费者提供更好</w:t>
      </w:r>
      <w:r>
        <w:rPr>
          <w:spacing w:val="-81"/>
        </w:rPr>
        <w:t> </w:t>
      </w:r>
      <w:r>
        <w:rPr>
          <w:spacing w:val="-81"/>
        </w:rPr>
      </w:r>
      <w:r>
        <w:rPr>
          <w:spacing w:val="-1"/>
        </w:rPr>
        <w:t>的服务体验。分销内容从单纯的手机终端分销逐步发展为包括各种智能硬件、通信产品、内容产品在内的</w:t>
      </w:r>
      <w:r>
        <w:rPr>
          <w:spacing w:val="-83"/>
        </w:rPr>
        <w:t> </w:t>
      </w:r>
      <w:r>
        <w:rPr>
          <w:spacing w:val="-83"/>
        </w:rPr>
      </w:r>
      <w:r>
        <w:rPr/>
        <w:t>综合分销，盈利模式也随之发生变化。线上、线下的一体化推进是未来趋势，将会推动创新合作模式。</w:t>
      </w:r>
    </w:p>
    <w:p>
      <w:pPr>
        <w:spacing w:line="240" w:lineRule="auto" w:before="6"/>
        <w:rPr>
          <w:rFonts w:ascii="宋体" w:hAnsi="宋体" w:cs="宋体" w:eastAsia="宋体" w:hint="default"/>
          <w:sz w:val="15"/>
          <w:szCs w:val="15"/>
        </w:rPr>
      </w:pPr>
    </w:p>
    <w:p>
      <w:pPr>
        <w:pStyle w:val="BodyText"/>
        <w:spacing w:line="516" w:lineRule="auto"/>
        <w:ind w:left="573" w:right="0"/>
        <w:jc w:val="left"/>
      </w:pPr>
      <w:r>
        <w:rPr/>
        <w:t>（</w:t>
      </w:r>
      <w:r>
        <w:rPr>
          <w:rFonts w:ascii="Arial" w:hAnsi="Arial" w:cs="Arial" w:eastAsia="Arial" w:hint="default"/>
        </w:rPr>
        <w:t>4</w:t>
      </w:r>
      <w:r>
        <w:rPr/>
        <w:t>）产品迭代速度进一步加快，构建新能力 </w:t>
      </w:r>
      <w:r>
        <w:rPr>
          <w:spacing w:val="-6"/>
        </w:rPr>
        <w:t>国内手机品牌风云变化，各领风骚，新兴品牌或有所崛起，但一线品牌将继续保持份额和利润的优势，</w:t>
      </w:r>
    </w:p>
    <w:p>
      <w:pPr>
        <w:pStyle w:val="BodyText"/>
        <w:spacing w:line="227" w:lineRule="exact"/>
        <w:ind w:right="0"/>
        <w:jc w:val="both"/>
      </w:pPr>
      <w:r>
        <w:rPr/>
        <w:t>保持市场主导地位，在竞争变化中产业链各方都会抢抓机遇，构建符合新趋势的新能力。</w:t>
      </w:r>
    </w:p>
    <w:p>
      <w:pPr>
        <w:spacing w:line="240" w:lineRule="auto" w:before="8"/>
        <w:rPr>
          <w:rFonts w:ascii="宋体" w:hAnsi="宋体" w:cs="宋体" w:eastAsia="宋体" w:hint="default"/>
          <w:sz w:val="21"/>
          <w:szCs w:val="21"/>
        </w:rPr>
      </w:pPr>
    </w:p>
    <w:p>
      <w:pPr>
        <w:pStyle w:val="BodyText"/>
        <w:spacing w:line="453" w:lineRule="auto"/>
        <w:ind w:left="573" w:right="1118"/>
        <w:jc w:val="left"/>
        <w:rPr>
          <w:rFonts w:ascii="Arial" w:hAnsi="Arial" w:cs="Arial" w:eastAsia="Arial" w:hint="default"/>
        </w:rPr>
      </w:pPr>
      <w:r>
        <w:rPr>
          <w:rFonts w:ascii="Trebuchet MS" w:hAnsi="Trebuchet MS" w:cs="Trebuchet MS" w:eastAsia="Trebuchet MS" w:hint="default"/>
          <w:b/>
          <w:bCs/>
        </w:rPr>
        <w:t>2</w:t>
      </w:r>
      <w:r>
        <w:rPr>
          <w:rFonts w:ascii="Microsoft JhengHei" w:hAnsi="Microsoft JhengHei" w:cs="Microsoft JhengHei" w:eastAsia="Microsoft JhengHei" w:hint="default"/>
          <w:b/>
          <w:bCs/>
        </w:rPr>
        <w:t>、零售行业 </w:t>
      </w:r>
      <w:r>
        <w:rPr>
          <w:spacing w:val="-6"/>
        </w:rPr>
        <w:t>中国零售行业稳步增长，网络零售持续增长，线上、线下融合趋势明显。据国家统计局公布数据，</w:t>
      </w:r>
      <w:r>
        <w:rPr>
          <w:rFonts w:ascii="Arial" w:hAnsi="Arial" w:cs="Arial" w:eastAsia="Arial" w:hint="default"/>
          <w:spacing w:val="-6"/>
        </w:rPr>
        <w:t>2015</w:t>
      </w:r>
    </w:p>
    <w:p>
      <w:pPr>
        <w:pStyle w:val="BodyText"/>
        <w:spacing w:line="259" w:lineRule="exact"/>
        <w:ind w:left="154" w:right="0"/>
        <w:jc w:val="both"/>
      </w:pPr>
      <w:r>
        <w:rPr/>
        <w:t>年全国社会消费品零售总额</w:t>
      </w:r>
      <w:r>
        <w:rPr>
          <w:rFonts w:ascii="Arial" w:hAnsi="Arial" w:cs="Arial" w:eastAsia="Arial" w:hint="default"/>
        </w:rPr>
        <w:t>30</w:t>
      </w:r>
      <w:r>
        <w:rPr/>
        <w:t>万亿元，同比增长</w:t>
      </w:r>
      <w:r>
        <w:rPr>
          <w:rFonts w:ascii="Arial" w:hAnsi="Arial" w:cs="Arial" w:eastAsia="Arial" w:hint="default"/>
        </w:rPr>
        <w:t>10.7%</w:t>
      </w:r>
      <w:r>
        <w:rPr/>
        <w:t>，预计中国零售行业未来将持续稳步增长，随着中</w:t>
      </w:r>
    </w:p>
    <w:p>
      <w:pPr>
        <w:pStyle w:val="BodyText"/>
        <w:spacing w:line="398" w:lineRule="auto" w:before="178"/>
        <w:ind w:left="154" w:right="1131"/>
        <w:jc w:val="both"/>
      </w:pPr>
      <w:r>
        <w:rPr>
          <w:spacing w:val="-2"/>
        </w:rPr>
        <w:t>国互联网的进一步发展，预计</w:t>
      </w:r>
      <w:r>
        <w:rPr>
          <w:rFonts w:ascii="Arial" w:hAnsi="Arial" w:cs="Arial" w:eastAsia="Arial" w:hint="default"/>
          <w:spacing w:val="-2"/>
        </w:rPr>
        <w:t>2016</w:t>
      </w:r>
      <w:r>
        <w:rPr>
          <w:spacing w:val="-2"/>
        </w:rPr>
        <w:t>年网络零售市场交易规模仍将保持高速增长。随着移动互联网通信技术</w:t>
      </w:r>
      <w:r>
        <w:rPr>
          <w:spacing w:val="-79"/>
        </w:rPr>
        <w:t> </w:t>
      </w:r>
      <w:r>
        <w:rPr>
          <w:spacing w:val="-79"/>
        </w:rPr>
      </w:r>
      <w:r>
        <w:rPr>
          <w:spacing w:val="-1"/>
        </w:rPr>
        <w:t>的发展，传统零售企业依托线下渠道积极发展线上零售，线上零售企业通过收购、入股、兼并等方式进行</w:t>
      </w:r>
      <w:r>
        <w:rPr>
          <w:spacing w:val="-86"/>
        </w:rPr>
        <w:t> </w:t>
      </w:r>
      <w:r>
        <w:rPr>
          <w:spacing w:val="-86"/>
        </w:rPr>
      </w:r>
      <w:r>
        <w:rPr/>
        <w:t>线上、线下行业整合拓展，线上、线下零售融合升级换代趋势明显。</w:t>
      </w:r>
    </w:p>
    <w:p>
      <w:pPr>
        <w:spacing w:after="0" w:line="398" w:lineRule="auto"/>
        <w:jc w:val="both"/>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Heading5"/>
        <w:spacing w:line="317" w:lineRule="exact" w:before="0"/>
        <w:ind w:left="573" w:right="0"/>
        <w:jc w:val="left"/>
        <w:rPr>
          <w:rFonts w:ascii="Microsoft JhengHei" w:hAnsi="Microsoft JhengHei" w:cs="Microsoft JhengHei" w:eastAsia="Microsoft JhengHei" w:hint="default"/>
          <w:b w:val="0"/>
          <w:bCs w:val="0"/>
        </w:rPr>
      </w:pPr>
      <w:r>
        <w:rPr>
          <w:rFonts w:ascii="Trebuchet MS" w:hAnsi="Trebuchet MS" w:cs="Trebuchet MS" w:eastAsia="Trebuchet MS" w:hint="default"/>
        </w:rPr>
        <w:t>3</w:t>
      </w:r>
      <w:r>
        <w:rPr>
          <w:rFonts w:ascii="Microsoft JhengHei" w:hAnsi="Microsoft JhengHei" w:cs="Microsoft JhengHei" w:eastAsia="Microsoft JhengHei" w:hint="default"/>
        </w:rPr>
        <w:t>、移动转售业务</w:t>
      </w:r>
      <w:r>
        <w:rPr>
          <w:rFonts w:ascii="Microsoft JhengHei" w:hAnsi="Microsoft JhengHei" w:cs="Microsoft JhengHei" w:eastAsia="Microsoft JhengHei" w:hint="default"/>
          <w:b w:val="0"/>
          <w:bCs w:val="0"/>
        </w:rPr>
      </w:r>
    </w:p>
    <w:p>
      <w:pPr>
        <w:spacing w:line="240" w:lineRule="auto" w:before="12"/>
        <w:rPr>
          <w:rFonts w:ascii="Microsoft JhengHei" w:hAnsi="Microsoft JhengHei" w:cs="Microsoft JhengHei" w:eastAsia="Microsoft JhengHei" w:hint="default"/>
          <w:b/>
          <w:bCs/>
          <w:sz w:val="18"/>
          <w:szCs w:val="18"/>
        </w:rPr>
      </w:pPr>
    </w:p>
    <w:p>
      <w:pPr>
        <w:pStyle w:val="BodyText"/>
        <w:spacing w:line="388" w:lineRule="auto"/>
        <w:ind w:right="0" w:firstLine="420"/>
        <w:jc w:val="left"/>
      </w:pPr>
      <w:r>
        <w:rPr>
          <w:spacing w:val="-2"/>
        </w:rPr>
        <w:t>随着试点期的结束，</w:t>
      </w:r>
      <w:r>
        <w:rPr>
          <w:rFonts w:ascii="Arial" w:hAnsi="Arial" w:cs="Arial" w:eastAsia="Arial" w:hint="default"/>
          <w:spacing w:val="-2"/>
        </w:rPr>
        <w:t>2016</w:t>
      </w:r>
      <w:r>
        <w:rPr>
          <w:spacing w:val="-2"/>
        </w:rPr>
        <w:t>年正式牌照发放后，移动转售市场可能进一步开放，虚拟运营商用户规模将</w:t>
      </w:r>
      <w:r>
        <w:rPr/>
        <w:t> 加速增长，移动转售用户将继续保持较快增长态势，行业市场份额将进一步提升。</w:t>
      </w:r>
    </w:p>
    <w:p>
      <w:pPr>
        <w:spacing w:line="240" w:lineRule="auto" w:before="10"/>
        <w:rPr>
          <w:rFonts w:ascii="宋体" w:hAnsi="宋体" w:cs="宋体" w:eastAsia="宋体" w:hint="default"/>
          <w:sz w:val="16"/>
          <w:szCs w:val="16"/>
        </w:rPr>
      </w:pPr>
    </w:p>
    <w:p>
      <w:pPr>
        <w:pStyle w:val="BodyText"/>
        <w:spacing w:line="388" w:lineRule="auto"/>
        <w:ind w:right="0" w:firstLine="420"/>
        <w:jc w:val="left"/>
      </w:pPr>
      <w:r>
        <w:rPr>
          <w:rFonts w:ascii="Arial" w:hAnsi="Arial" w:cs="Arial" w:eastAsia="Arial" w:hint="default"/>
          <w:spacing w:val="-2"/>
        </w:rPr>
        <w:t>2016</w:t>
      </w:r>
      <w:r>
        <w:rPr>
          <w:spacing w:val="-2"/>
        </w:rPr>
        <w:t>年也是转售业务生存的关键年，站在第一梯队的转售企业将或可能出现四季度的当月盈利，获得</w:t>
      </w:r>
      <w:r>
        <w:rPr/>
        <w:t> 生存能力和发展动力。转售企业之间的产品与业务模式的差异化将加速形成。</w:t>
      </w:r>
    </w:p>
    <w:p>
      <w:pPr>
        <w:pStyle w:val="Heading5"/>
        <w:spacing w:line="240" w:lineRule="auto" w:before="152"/>
        <w:ind w:left="573" w:right="0"/>
        <w:jc w:val="left"/>
        <w:rPr>
          <w:rFonts w:ascii="Microsoft JhengHei" w:hAnsi="Microsoft JhengHei" w:cs="Microsoft JhengHei" w:eastAsia="Microsoft JhengHei" w:hint="default"/>
          <w:b w:val="0"/>
          <w:bCs w:val="0"/>
        </w:rPr>
      </w:pPr>
      <w:r>
        <w:rPr>
          <w:rFonts w:ascii="Trebuchet MS" w:hAnsi="Trebuchet MS" w:cs="Trebuchet MS" w:eastAsia="Trebuchet MS" w:hint="default"/>
        </w:rPr>
        <w:t>4</w:t>
      </w:r>
      <w:r>
        <w:rPr>
          <w:rFonts w:ascii="Microsoft JhengHei" w:hAnsi="Microsoft JhengHei" w:cs="Microsoft JhengHei" w:eastAsia="Microsoft JhengHei" w:hint="default"/>
        </w:rPr>
        <w:t>、平台业务</w:t>
      </w:r>
      <w:r>
        <w:rPr>
          <w:rFonts w:ascii="Microsoft JhengHei" w:hAnsi="Microsoft JhengHei" w:cs="Microsoft JhengHei" w:eastAsia="Microsoft JhengHei" w:hint="default"/>
          <w:b w:val="0"/>
          <w:bCs w:val="0"/>
        </w:rPr>
      </w:r>
    </w:p>
    <w:p>
      <w:pPr>
        <w:spacing w:line="240" w:lineRule="auto" w:before="12"/>
        <w:rPr>
          <w:rFonts w:ascii="Microsoft JhengHei" w:hAnsi="Microsoft JhengHei" w:cs="Microsoft JhengHei" w:eastAsia="Microsoft JhengHei" w:hint="default"/>
          <w:b/>
          <w:bCs/>
          <w:sz w:val="18"/>
          <w:szCs w:val="18"/>
        </w:rPr>
      </w:pPr>
    </w:p>
    <w:p>
      <w:pPr>
        <w:pStyle w:val="BodyText"/>
        <w:spacing w:line="388" w:lineRule="auto"/>
        <w:ind w:left="154" w:right="1132" w:firstLine="420"/>
        <w:jc w:val="both"/>
      </w:pPr>
      <w:r>
        <w:rPr>
          <w:spacing w:val="-2"/>
          <w:w w:val="95"/>
        </w:rPr>
        <w:t>随着国家供给侧改革、税收营改增、农村电商发展等政策利好的实施，</w:t>
      </w:r>
      <w:r>
        <w:rPr>
          <w:rFonts w:ascii="Arial" w:hAnsi="Arial" w:cs="Arial" w:eastAsia="Arial" w:hint="default"/>
          <w:spacing w:val="-2"/>
          <w:w w:val="95"/>
        </w:rPr>
        <w:t>2016</w:t>
      </w:r>
      <w:r>
        <w:rPr>
          <w:spacing w:val="-2"/>
          <w:w w:val="95"/>
        </w:rPr>
        <w:t>年将是</w:t>
      </w:r>
      <w:r>
        <w:rPr>
          <w:rFonts w:ascii="Arial" w:hAnsi="Arial" w:cs="Arial" w:eastAsia="Arial" w:hint="default"/>
          <w:spacing w:val="-2"/>
          <w:w w:val="95"/>
        </w:rPr>
        <w:t>T4-T6</w:t>
      </w:r>
      <w:r>
        <w:rPr>
          <w:spacing w:val="-2"/>
          <w:w w:val="95"/>
        </w:rPr>
        <w:t>市场</w:t>
      </w:r>
      <w:r>
        <w:rPr>
          <w:rFonts w:ascii="Arial" w:hAnsi="Arial" w:cs="Arial" w:eastAsia="Arial" w:hint="default"/>
          <w:spacing w:val="-2"/>
          <w:w w:val="95"/>
        </w:rPr>
        <w:t>B2b</w:t>
      </w:r>
      <w:r>
        <w:rPr>
          <w:spacing w:val="-2"/>
          <w:w w:val="95"/>
        </w:rPr>
        <w:t>电商</w:t>
      </w:r>
      <w:r>
        <w:rPr/>
        <w:t> 平台发展的春天，手机及智能硬件垂直领域的</w:t>
      </w:r>
      <w:r>
        <w:rPr>
          <w:rFonts w:ascii="Arial" w:hAnsi="Arial" w:cs="Arial" w:eastAsia="Arial" w:hint="default"/>
        </w:rPr>
        <w:t>B2b</w:t>
      </w:r>
      <w:r>
        <w:rPr/>
        <w:t>电商行业，更是充满了发展机会。电商巨头们也都拟订</w:t>
      </w:r>
      <w:r>
        <w:rPr>
          <w:spacing w:val="-84"/>
        </w:rPr>
        <w:t> </w:t>
      </w:r>
      <w:r>
        <w:rPr>
          <w:spacing w:val="-84"/>
        </w:rPr>
      </w:r>
      <w:r>
        <w:rPr/>
        <w:t>了大力发展</w:t>
      </w:r>
      <w:r>
        <w:rPr>
          <w:rFonts w:ascii="Arial" w:hAnsi="Arial" w:cs="Arial" w:eastAsia="Arial" w:hint="default"/>
        </w:rPr>
        <w:t>B2b</w:t>
      </w:r>
      <w:r>
        <w:rPr/>
        <w:t>垂直电商行业的计划，市场竞争格局更加复杂。</w:t>
      </w:r>
    </w:p>
    <w:p>
      <w:pPr>
        <w:spacing w:line="240" w:lineRule="auto" w:before="8"/>
        <w:rPr>
          <w:rFonts w:ascii="宋体" w:hAnsi="宋体" w:cs="宋体" w:eastAsia="宋体" w:hint="default"/>
          <w:sz w:val="23"/>
          <w:szCs w:val="23"/>
        </w:rPr>
      </w:pPr>
    </w:p>
    <w:p>
      <w:pPr>
        <w:pStyle w:val="Heading2"/>
        <w:tabs>
          <w:tab w:pos="928" w:val="left" w:leader="none"/>
        </w:tabs>
        <w:spacing w:line="240" w:lineRule="auto"/>
        <w:ind w:right="0"/>
        <w:jc w:val="left"/>
        <w:rPr>
          <w:b w:val="0"/>
          <w:bCs w:val="0"/>
        </w:rPr>
      </w:pPr>
      <w:bookmarkStart w:name="4.9.2  公司的发展战略" w:id="95"/>
      <w:bookmarkEnd w:id="95"/>
      <w:r>
        <w:rPr>
          <w:b w:val="0"/>
          <w:bCs w:val="0"/>
        </w:rPr>
      </w:r>
      <w:r>
        <w:rPr>
          <w:rFonts w:ascii="Trebuchet MS" w:hAnsi="Trebuchet MS" w:cs="Trebuchet MS" w:eastAsia="Trebuchet MS" w:hint="default"/>
          <w:w w:val="85"/>
        </w:rPr>
        <w:t>4.9.2</w:t>
        <w:tab/>
      </w:r>
      <w:r>
        <w:rPr/>
        <w:t>公司的发展战略</w:t>
      </w:r>
      <w:r>
        <w:rPr>
          <w:b w:val="0"/>
          <w:bCs w:val="0"/>
        </w:rPr>
      </w:r>
    </w:p>
    <w:p>
      <w:pPr>
        <w:spacing w:line="240" w:lineRule="auto" w:before="8"/>
        <w:rPr>
          <w:rFonts w:ascii="Microsoft JhengHei" w:hAnsi="Microsoft JhengHei" w:cs="Microsoft JhengHei" w:eastAsia="Microsoft JhengHei" w:hint="default"/>
          <w:b/>
          <w:bCs/>
          <w:sz w:val="30"/>
          <w:szCs w:val="30"/>
        </w:rPr>
      </w:pPr>
    </w:p>
    <w:p>
      <w:pPr>
        <w:pStyle w:val="BodyText"/>
        <w:spacing w:line="388" w:lineRule="auto"/>
        <w:ind w:right="0" w:firstLine="420"/>
        <w:jc w:val="left"/>
      </w:pPr>
      <w:r>
        <w:rPr>
          <w:rFonts w:ascii="Arial" w:hAnsi="Arial" w:cs="Arial" w:eastAsia="Arial" w:hint="default"/>
        </w:rPr>
        <w:t>2016</w:t>
      </w:r>
      <w:r>
        <w:rPr/>
        <w:t>年，公司把握行业发展趋势，最大限度的利用爱施德分销业务行业领先的优势，以“合作共赢、 高效服务”为宗旨，实施“产</w:t>
      </w:r>
      <w:r>
        <w:rPr>
          <w:rFonts w:ascii="Arial" w:hAnsi="Arial" w:cs="Arial" w:eastAsia="Arial" w:hint="default"/>
        </w:rPr>
        <w:t>+</w:t>
      </w:r>
      <w:r>
        <w:rPr/>
        <w:t>融”结合的双轮驱动战略，以智能终端销售服务为基础，拓展供应链金融</w:t>
      </w:r>
      <w:r>
        <w:rPr>
          <w:spacing w:val="-47"/>
        </w:rPr>
        <w:t> </w:t>
      </w:r>
      <w:r>
        <w:rPr>
          <w:spacing w:val="-47"/>
        </w:rPr>
      </w:r>
      <w:r>
        <w:rPr>
          <w:spacing w:val="-3"/>
        </w:rPr>
        <w:t>服务，打造最具价值的“产</w:t>
      </w:r>
      <w:r>
        <w:rPr>
          <w:rFonts w:ascii="Arial" w:hAnsi="Arial" w:cs="Arial" w:eastAsia="Arial" w:hint="default"/>
          <w:spacing w:val="-3"/>
        </w:rPr>
        <w:t>+</w:t>
      </w:r>
      <w:r>
        <w:rPr>
          <w:spacing w:val="-3"/>
        </w:rPr>
        <w:t>融”结合的</w:t>
      </w:r>
      <w:r>
        <w:rPr>
          <w:rFonts w:ascii="Arial" w:hAnsi="Arial" w:cs="Arial" w:eastAsia="Arial" w:hint="default"/>
          <w:spacing w:val="-3"/>
        </w:rPr>
        <w:t>B2b</w:t>
      </w:r>
      <w:r>
        <w:rPr>
          <w:spacing w:val="-3"/>
        </w:rPr>
        <w:t>销售服务平台。公司坚持以“构建能力、提升效率”为核心，</w:t>
      </w:r>
      <w:r>
        <w:rPr>
          <w:spacing w:val="-62"/>
        </w:rPr>
        <w:t> </w:t>
      </w:r>
      <w:r>
        <w:rPr>
          <w:spacing w:val="-62"/>
        </w:rPr>
      </w:r>
      <w:r>
        <w:rPr/>
        <w:t>强化运营效率的持续提升，确保公司的分销业务、零售业务、移动转售业务、一号机</w:t>
      </w:r>
      <w:r>
        <w:rPr>
          <w:rFonts w:ascii="Arial" w:hAnsi="Arial" w:cs="Arial" w:eastAsia="Arial" w:hint="default"/>
        </w:rPr>
        <w:t>B2b</w:t>
      </w:r>
      <w:r>
        <w:rPr/>
        <w:t>平台业务、供应</w:t>
      </w:r>
      <w:r>
        <w:rPr>
          <w:spacing w:val="-83"/>
        </w:rPr>
        <w:t> </w:t>
      </w:r>
      <w:r>
        <w:rPr>
          <w:spacing w:val="-83"/>
        </w:rPr>
      </w:r>
      <w:r>
        <w:rPr/>
        <w:t>链金融服务等业务，实现规模持续扩大和运营效率行业领先。</w:t>
      </w:r>
    </w:p>
    <w:p>
      <w:pPr>
        <w:spacing w:line="240" w:lineRule="auto" w:before="12"/>
        <w:rPr>
          <w:rFonts w:ascii="宋体" w:hAnsi="宋体" w:cs="宋体" w:eastAsia="宋体" w:hint="default"/>
          <w:sz w:val="25"/>
          <w:szCs w:val="25"/>
        </w:rPr>
      </w:pPr>
    </w:p>
    <w:p>
      <w:pPr>
        <w:pStyle w:val="Heading2"/>
        <w:tabs>
          <w:tab w:pos="926" w:val="left" w:leader="none"/>
        </w:tabs>
        <w:spacing w:line="240" w:lineRule="auto"/>
        <w:ind w:right="0"/>
        <w:jc w:val="left"/>
        <w:rPr>
          <w:b w:val="0"/>
          <w:bCs w:val="0"/>
        </w:rPr>
      </w:pPr>
      <w:bookmarkStart w:name="4.9.3  2016年经营计划" w:id="96"/>
      <w:bookmarkEnd w:id="96"/>
      <w:r>
        <w:rPr>
          <w:b w:val="0"/>
          <w:bCs w:val="0"/>
        </w:rPr>
      </w:r>
      <w:r>
        <w:rPr>
          <w:rFonts w:ascii="Trebuchet MS" w:hAnsi="Trebuchet MS" w:cs="Trebuchet MS" w:eastAsia="Trebuchet MS" w:hint="default"/>
          <w:w w:val="85"/>
        </w:rPr>
        <w:t>4.9.3</w:t>
        <w:tab/>
      </w:r>
      <w:r>
        <w:rPr>
          <w:rFonts w:ascii="Trebuchet MS" w:hAnsi="Trebuchet MS" w:cs="Trebuchet MS" w:eastAsia="Trebuchet MS" w:hint="default"/>
        </w:rPr>
        <w:t>2016</w:t>
      </w:r>
      <w:r>
        <w:rPr>
          <w:rFonts w:ascii="Trebuchet MS" w:hAnsi="Trebuchet MS" w:cs="Trebuchet MS" w:eastAsia="Trebuchet MS" w:hint="default"/>
          <w:spacing w:val="-42"/>
        </w:rPr>
        <w:t> </w:t>
      </w:r>
      <w:r>
        <w:rPr/>
        <w:t>年经营计划</w:t>
      </w:r>
      <w:r>
        <w:rPr>
          <w:b w:val="0"/>
          <w:bCs w:val="0"/>
        </w:rPr>
      </w:r>
    </w:p>
    <w:p>
      <w:pPr>
        <w:spacing w:line="240" w:lineRule="auto" w:before="8"/>
        <w:rPr>
          <w:rFonts w:ascii="Microsoft JhengHei" w:hAnsi="Microsoft JhengHei" w:cs="Microsoft JhengHei" w:eastAsia="Microsoft JhengHei" w:hint="default"/>
          <w:b/>
          <w:bCs/>
          <w:sz w:val="30"/>
          <w:szCs w:val="30"/>
        </w:rPr>
      </w:pPr>
    </w:p>
    <w:p>
      <w:pPr>
        <w:pStyle w:val="BodyText"/>
        <w:spacing w:line="388" w:lineRule="auto"/>
        <w:ind w:right="0" w:firstLine="420"/>
        <w:jc w:val="left"/>
      </w:pPr>
      <w:r>
        <w:rPr>
          <w:rFonts w:ascii="Arial" w:hAnsi="Arial" w:cs="Arial" w:eastAsia="Arial" w:hint="default"/>
          <w:spacing w:val="-2"/>
        </w:rPr>
        <w:t>2016</w:t>
      </w:r>
      <w:r>
        <w:rPr>
          <w:spacing w:val="-2"/>
        </w:rPr>
        <w:t>年国家宏观经济保持平稳增长，国家推进的产业升级和供给侧改革都为市场增添了新的发展动力。</w:t>
      </w:r>
      <w:r>
        <w:rPr/>
        <w:t> 互联网</w:t>
      </w:r>
      <w:r>
        <w:rPr>
          <w:rFonts w:ascii="Arial" w:hAnsi="Arial" w:cs="Arial" w:eastAsia="Arial" w:hint="default"/>
        </w:rPr>
        <w:t>+</w:t>
      </w:r>
      <w:r>
        <w:rPr/>
        <w:t>和物联网的快速发展，</w:t>
      </w:r>
      <w:r>
        <w:rPr>
          <w:rFonts w:ascii="Arial" w:hAnsi="Arial" w:cs="Arial" w:eastAsia="Arial" w:hint="default"/>
        </w:rPr>
        <w:t>4G</w:t>
      </w:r>
      <w:r>
        <w:rPr/>
        <w:t>网络的全面覆盖，智能终端快速迭代，金融服务的逐步完善，为供应链 服务产业和移动转售业务带来了新的发展机遇。具体经营计划如下：</w:t>
      </w:r>
    </w:p>
    <w:p>
      <w:pPr>
        <w:pStyle w:val="Heading5"/>
        <w:spacing w:line="240" w:lineRule="auto" w:before="152"/>
        <w:ind w:left="573" w:right="0"/>
        <w:jc w:val="left"/>
        <w:rPr>
          <w:rFonts w:ascii="Microsoft JhengHei" w:hAnsi="Microsoft JhengHei" w:cs="Microsoft JhengHei" w:eastAsia="Microsoft JhengHei" w:hint="default"/>
          <w:b w:val="0"/>
          <w:bCs w:val="0"/>
        </w:rPr>
      </w:pPr>
      <w:r>
        <w:rPr>
          <w:rFonts w:ascii="Trebuchet MS" w:hAnsi="Trebuchet MS" w:cs="Trebuchet MS" w:eastAsia="Trebuchet MS" w:hint="default"/>
        </w:rPr>
        <w:t>1</w:t>
      </w:r>
      <w:r>
        <w:rPr>
          <w:rFonts w:ascii="Microsoft JhengHei" w:hAnsi="Microsoft JhengHei" w:cs="Microsoft JhengHei" w:eastAsia="Microsoft JhengHei" w:hint="default"/>
        </w:rPr>
        <w:t>、分销业务</w:t>
      </w:r>
      <w:r>
        <w:rPr>
          <w:rFonts w:ascii="Microsoft JhengHei" w:hAnsi="Microsoft JhengHei" w:cs="Microsoft JhengHei" w:eastAsia="Microsoft JhengHei" w:hint="default"/>
          <w:b w:val="0"/>
          <w:bCs w:val="0"/>
        </w:rPr>
      </w:r>
    </w:p>
    <w:p>
      <w:pPr>
        <w:spacing w:line="240" w:lineRule="auto" w:before="12"/>
        <w:rPr>
          <w:rFonts w:ascii="Microsoft JhengHei" w:hAnsi="Microsoft JhengHei" w:cs="Microsoft JhengHei" w:eastAsia="Microsoft JhengHei" w:hint="default"/>
          <w:b/>
          <w:bCs/>
          <w:sz w:val="18"/>
          <w:szCs w:val="18"/>
        </w:rPr>
      </w:pPr>
    </w:p>
    <w:p>
      <w:pPr>
        <w:pStyle w:val="BodyText"/>
        <w:spacing w:line="398" w:lineRule="auto"/>
        <w:ind w:right="1133" w:firstLine="420"/>
        <w:jc w:val="both"/>
      </w:pPr>
      <w:r>
        <w:rPr/>
        <w:t>（</w:t>
      </w:r>
      <w:r>
        <w:rPr>
          <w:rFonts w:ascii="Arial" w:hAnsi="Arial" w:cs="Arial" w:eastAsia="Arial" w:hint="default"/>
        </w:rPr>
        <w:t>1</w:t>
      </w:r>
      <w:r>
        <w:rPr/>
        <w:t>）坚持“行业地位、运营效率、品牌合作、服务价值”四领先的发展目标，持续提升效率、强化 </w:t>
      </w:r>
      <w:r>
        <w:rPr>
          <w:spacing w:val="-1"/>
        </w:rPr>
        <w:t>风险管控、提升服务能力，不断打造爱施德手机分销的核心服务价值，保持分销业务低成本运营，高增值</w:t>
      </w:r>
      <w:r>
        <w:rPr>
          <w:spacing w:val="-86"/>
        </w:rPr>
        <w:t> </w:t>
      </w:r>
      <w:r>
        <w:rPr>
          <w:spacing w:val="-86"/>
        </w:rPr>
      </w:r>
      <w:r>
        <w:rPr/>
        <w:t>服务的领先优势。</w:t>
      </w:r>
    </w:p>
    <w:p>
      <w:pPr>
        <w:spacing w:line="240" w:lineRule="auto" w:before="1"/>
        <w:rPr>
          <w:rFonts w:ascii="宋体" w:hAnsi="宋体" w:cs="宋体" w:eastAsia="宋体" w:hint="default"/>
          <w:sz w:val="16"/>
          <w:szCs w:val="16"/>
        </w:rPr>
      </w:pPr>
    </w:p>
    <w:p>
      <w:pPr>
        <w:pStyle w:val="BodyText"/>
        <w:spacing w:line="240" w:lineRule="auto"/>
        <w:ind w:left="573" w:right="0"/>
        <w:jc w:val="left"/>
      </w:pPr>
      <w:r>
        <w:rPr/>
        <w:t>（</w:t>
      </w:r>
      <w:r>
        <w:rPr>
          <w:rFonts w:ascii="Arial" w:hAnsi="Arial" w:cs="Arial" w:eastAsia="Arial" w:hint="default"/>
        </w:rPr>
        <w:t>2</w:t>
      </w:r>
      <w:r>
        <w:rPr/>
        <w:t>）强化品牌合作，提供优质服务，稳定并发展与现有合作手机品牌合作关系，积极拓展与互联网</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408" w:lineRule="auto" w:before="18"/>
        <w:ind w:right="1118"/>
        <w:jc w:val="left"/>
      </w:pPr>
      <w:r>
        <w:rPr>
          <w:spacing w:val="-5"/>
        </w:rPr>
        <w:t>手机品牌、生态型手机品牌合作，不断提升优质资源的获取能力，通过线上、线下渠道一体化的创新运营，</w:t>
      </w:r>
      <w:r>
        <w:rPr>
          <w:spacing w:val="-102"/>
        </w:rPr>
        <w:t> </w:t>
      </w:r>
      <w:r>
        <w:rPr>
          <w:spacing w:val="-102"/>
        </w:rPr>
      </w:r>
      <w:r>
        <w:rPr/>
        <w:t>满足上下游客户不断发展的业务需求。</w:t>
      </w:r>
    </w:p>
    <w:p>
      <w:pPr>
        <w:pStyle w:val="Heading5"/>
        <w:spacing w:line="240" w:lineRule="auto" w:before="135"/>
        <w:ind w:left="573" w:right="0"/>
        <w:jc w:val="left"/>
        <w:rPr>
          <w:rFonts w:ascii="Microsoft JhengHei" w:hAnsi="Microsoft JhengHei" w:cs="Microsoft JhengHei" w:eastAsia="Microsoft JhengHei" w:hint="default"/>
          <w:b w:val="0"/>
          <w:bCs w:val="0"/>
        </w:rPr>
      </w:pPr>
      <w:r>
        <w:rPr>
          <w:rFonts w:ascii="Trebuchet MS" w:hAnsi="Trebuchet MS" w:cs="Trebuchet MS" w:eastAsia="Trebuchet MS" w:hint="default"/>
        </w:rPr>
        <w:t>2</w:t>
      </w:r>
      <w:r>
        <w:rPr>
          <w:rFonts w:ascii="Microsoft JhengHei" w:hAnsi="Microsoft JhengHei" w:cs="Microsoft JhengHei" w:eastAsia="Microsoft JhengHei" w:hint="default"/>
        </w:rPr>
        <w:t>、零售业务</w:t>
      </w:r>
      <w:r>
        <w:rPr>
          <w:rFonts w:ascii="Microsoft JhengHei" w:hAnsi="Microsoft JhengHei" w:cs="Microsoft JhengHei" w:eastAsia="Microsoft JhengHei" w:hint="default"/>
          <w:b w:val="0"/>
          <w:bCs w:val="0"/>
        </w:rPr>
      </w:r>
    </w:p>
    <w:p>
      <w:pPr>
        <w:spacing w:line="240" w:lineRule="auto" w:before="12"/>
        <w:rPr>
          <w:rFonts w:ascii="Microsoft JhengHei" w:hAnsi="Microsoft JhengHei" w:cs="Microsoft JhengHei" w:eastAsia="Microsoft JhengHei" w:hint="default"/>
          <w:b/>
          <w:bCs/>
          <w:sz w:val="18"/>
          <w:szCs w:val="18"/>
        </w:rPr>
      </w:pPr>
    </w:p>
    <w:p>
      <w:pPr>
        <w:pStyle w:val="BodyText"/>
        <w:spacing w:line="388" w:lineRule="auto"/>
        <w:ind w:right="1131" w:firstLine="420"/>
        <w:jc w:val="both"/>
      </w:pPr>
      <w:r>
        <w:rPr>
          <w:spacing w:val="-4"/>
        </w:rPr>
        <w:t>（</w:t>
      </w:r>
      <w:r>
        <w:rPr>
          <w:rFonts w:ascii="Arial" w:hAnsi="Arial" w:cs="Arial" w:eastAsia="Arial" w:hint="default"/>
          <w:spacing w:val="-4"/>
        </w:rPr>
        <w:t>1</w:t>
      </w:r>
      <w:r>
        <w:rPr>
          <w:spacing w:val="-4"/>
        </w:rPr>
        <w:t>）坚持聚焦顾客深度服务体验，通过苹果产品组合营销、顾客增值服务等方式增强顾客消费粘性，</w:t>
      </w:r>
      <w:r>
        <w:rPr/>
        <w:t> 扩大单店产能，提升苹果专卖零售业务的获利水平。</w:t>
      </w:r>
    </w:p>
    <w:p>
      <w:pPr>
        <w:spacing w:line="240" w:lineRule="auto" w:before="10"/>
        <w:rPr>
          <w:rFonts w:ascii="宋体" w:hAnsi="宋体" w:cs="宋体" w:eastAsia="宋体" w:hint="default"/>
          <w:sz w:val="16"/>
          <w:szCs w:val="16"/>
        </w:rPr>
      </w:pPr>
    </w:p>
    <w:p>
      <w:pPr>
        <w:pStyle w:val="BodyText"/>
        <w:spacing w:line="388" w:lineRule="auto"/>
        <w:ind w:right="1141" w:firstLine="420"/>
        <w:jc w:val="both"/>
      </w:pPr>
      <w:r>
        <w:rPr/>
        <w:t>（</w:t>
      </w:r>
      <w:r>
        <w:rPr>
          <w:rFonts w:ascii="Arial" w:hAnsi="Arial" w:cs="Arial" w:eastAsia="Arial" w:hint="default"/>
        </w:rPr>
        <w:t>2</w:t>
      </w:r>
      <w:r>
        <w:rPr/>
        <w:t>）持续提高线上、线下一体化的销售服务能力，通过企业大数据平台展开会员营销及增值服务， 实施精准营销，通过会员服务体系</w:t>
      </w:r>
      <w:r>
        <w:rPr>
          <w:rFonts w:ascii="Arial" w:hAnsi="Arial" w:cs="Arial" w:eastAsia="Arial" w:hint="default"/>
        </w:rPr>
        <w:t>PC</w:t>
      </w:r>
      <w:r>
        <w:rPr/>
        <w:t>端、移动端的建设和运营，促进会员购买转化率的提升。</w:t>
      </w:r>
    </w:p>
    <w:p>
      <w:pPr>
        <w:spacing w:line="240" w:lineRule="auto" w:before="6"/>
        <w:rPr>
          <w:rFonts w:ascii="宋体" w:hAnsi="宋体" w:cs="宋体" w:eastAsia="宋体" w:hint="default"/>
          <w:sz w:val="14"/>
          <w:szCs w:val="14"/>
        </w:rPr>
      </w:pPr>
    </w:p>
    <w:p>
      <w:pPr>
        <w:pStyle w:val="BodyText"/>
        <w:spacing w:line="388" w:lineRule="auto"/>
        <w:ind w:right="1132" w:firstLine="420"/>
        <w:jc w:val="both"/>
      </w:pPr>
      <w:r>
        <w:rPr>
          <w:spacing w:val="-4"/>
        </w:rPr>
        <w:t>（</w:t>
      </w:r>
      <w:r>
        <w:rPr>
          <w:rFonts w:ascii="Arial" w:hAnsi="Arial" w:cs="Arial" w:eastAsia="Arial" w:hint="default"/>
          <w:spacing w:val="-4"/>
        </w:rPr>
        <w:t>3</w:t>
      </w:r>
      <w:r>
        <w:rPr>
          <w:spacing w:val="-4"/>
        </w:rPr>
        <w:t>）组织优化，加大目标绩效管理，实行激励创新，激发团队活力，降低运营成本，提高经营效率，</w:t>
      </w:r>
      <w:r>
        <w:rPr/>
        <w:t> 提升业绩水平。</w:t>
      </w:r>
    </w:p>
    <w:p>
      <w:pPr>
        <w:pStyle w:val="Heading5"/>
        <w:spacing w:line="240" w:lineRule="auto" w:before="152"/>
        <w:ind w:left="573" w:right="0"/>
        <w:jc w:val="left"/>
        <w:rPr>
          <w:rFonts w:ascii="Microsoft JhengHei" w:hAnsi="Microsoft JhengHei" w:cs="Microsoft JhengHei" w:eastAsia="Microsoft JhengHei" w:hint="default"/>
          <w:b w:val="0"/>
          <w:bCs w:val="0"/>
        </w:rPr>
      </w:pPr>
      <w:r>
        <w:rPr>
          <w:rFonts w:ascii="Trebuchet MS" w:hAnsi="Trebuchet MS" w:cs="Trebuchet MS" w:eastAsia="Trebuchet MS" w:hint="default"/>
        </w:rPr>
        <w:t>3</w:t>
      </w:r>
      <w:r>
        <w:rPr>
          <w:rFonts w:ascii="Microsoft JhengHei" w:hAnsi="Microsoft JhengHei" w:cs="Microsoft JhengHei" w:eastAsia="Microsoft JhengHei" w:hint="default"/>
        </w:rPr>
        <w:t>、移动转售业务</w:t>
      </w:r>
      <w:r>
        <w:rPr>
          <w:rFonts w:ascii="Microsoft JhengHei" w:hAnsi="Microsoft JhengHei" w:cs="Microsoft JhengHei" w:eastAsia="Microsoft JhengHei" w:hint="default"/>
          <w:b w:val="0"/>
          <w:bCs w:val="0"/>
        </w:rPr>
      </w:r>
    </w:p>
    <w:p>
      <w:pPr>
        <w:spacing w:line="240" w:lineRule="auto" w:before="12"/>
        <w:rPr>
          <w:rFonts w:ascii="Microsoft JhengHei" w:hAnsi="Microsoft JhengHei" w:cs="Microsoft JhengHei" w:eastAsia="Microsoft JhengHei" w:hint="default"/>
          <w:b/>
          <w:bCs/>
          <w:sz w:val="18"/>
          <w:szCs w:val="18"/>
        </w:rPr>
      </w:pPr>
    </w:p>
    <w:p>
      <w:pPr>
        <w:pStyle w:val="BodyText"/>
        <w:spacing w:line="388" w:lineRule="auto"/>
        <w:ind w:right="1131" w:firstLine="420"/>
        <w:jc w:val="both"/>
      </w:pPr>
      <w:r>
        <w:rPr>
          <w:rFonts w:ascii="Arial" w:hAnsi="Arial" w:cs="Arial" w:eastAsia="Arial" w:hint="default"/>
          <w:spacing w:val="-2"/>
        </w:rPr>
        <w:t>2016</w:t>
      </w:r>
      <w:r>
        <w:rPr>
          <w:spacing w:val="-2"/>
        </w:rPr>
        <w:t>年，公司继续坚持盈利为核心目标，坚持产品差异化创新，继续完善线上、线下一体化销售服务</w:t>
      </w:r>
      <w:r>
        <w:rPr/>
        <w:t> 平台，聚焦重点区域，整合应用能力，加强技术与产品创新，加强产业链合作，在跨境通信业务、</w:t>
      </w:r>
      <w:r>
        <w:rPr>
          <w:rFonts w:ascii="Arial" w:hAnsi="Arial" w:cs="Arial" w:eastAsia="Arial" w:hint="default"/>
        </w:rPr>
        <w:t>M2M</w:t>
      </w:r>
      <w:r>
        <w:rPr>
          <w:rFonts w:ascii="Arial" w:hAnsi="Arial" w:cs="Arial" w:eastAsia="Arial" w:hint="default"/>
          <w:spacing w:val="6"/>
        </w:rPr>
        <w:t> </w:t>
      </w:r>
      <w:r>
        <w:rPr>
          <w:rFonts w:ascii="Arial" w:hAnsi="Arial" w:cs="Arial" w:eastAsia="Arial" w:hint="default"/>
          <w:spacing w:val="6"/>
        </w:rPr>
      </w:r>
      <w:r>
        <w:rPr/>
        <w:t>与行业互联网信息应用、通信接入与通信能力提供等方面实现新突破，业务规模和盈利能力持续提升。</w:t>
      </w:r>
    </w:p>
    <w:p>
      <w:pPr>
        <w:pStyle w:val="Heading5"/>
        <w:spacing w:line="240" w:lineRule="auto" w:before="152"/>
        <w:ind w:left="573" w:right="0"/>
        <w:jc w:val="left"/>
        <w:rPr>
          <w:rFonts w:ascii="Microsoft JhengHei" w:hAnsi="Microsoft JhengHei" w:cs="Microsoft JhengHei" w:eastAsia="Microsoft JhengHei" w:hint="default"/>
          <w:b w:val="0"/>
          <w:bCs w:val="0"/>
        </w:rPr>
      </w:pPr>
      <w:r>
        <w:rPr>
          <w:rFonts w:ascii="Trebuchet MS" w:hAnsi="Trebuchet MS" w:cs="Trebuchet MS" w:eastAsia="Trebuchet MS" w:hint="default"/>
        </w:rPr>
        <w:t>4</w:t>
      </w:r>
      <w:r>
        <w:rPr>
          <w:rFonts w:ascii="Microsoft JhengHei" w:hAnsi="Microsoft JhengHei" w:cs="Microsoft JhengHei" w:eastAsia="Microsoft JhengHei" w:hint="default"/>
        </w:rPr>
        <w:t>、</w:t>
      </w:r>
      <w:r>
        <w:rPr>
          <w:rFonts w:ascii="Trebuchet MS" w:hAnsi="Trebuchet MS" w:cs="Trebuchet MS" w:eastAsia="Trebuchet MS" w:hint="default"/>
        </w:rPr>
        <w:t>1</w:t>
      </w:r>
      <w:r>
        <w:rPr>
          <w:rFonts w:ascii="Microsoft JhengHei" w:hAnsi="Microsoft JhengHei" w:cs="Microsoft JhengHei" w:eastAsia="Microsoft JhengHei" w:hint="default"/>
        </w:rPr>
        <w:t>号机</w:t>
      </w:r>
      <w:r>
        <w:rPr>
          <w:rFonts w:ascii="Trebuchet MS" w:hAnsi="Trebuchet MS" w:cs="Trebuchet MS" w:eastAsia="Trebuchet MS" w:hint="default"/>
        </w:rPr>
        <w:t>B2b</w:t>
      </w:r>
      <w:r>
        <w:rPr>
          <w:rFonts w:ascii="Microsoft JhengHei" w:hAnsi="Microsoft JhengHei" w:cs="Microsoft JhengHei" w:eastAsia="Microsoft JhengHei" w:hint="default"/>
        </w:rPr>
        <w:t>平台业务</w:t>
      </w:r>
      <w:r>
        <w:rPr>
          <w:rFonts w:ascii="Microsoft JhengHei" w:hAnsi="Microsoft JhengHei" w:cs="Microsoft JhengHei" w:eastAsia="Microsoft JhengHei" w:hint="default"/>
          <w:b w:val="0"/>
          <w:bCs w:val="0"/>
        </w:rPr>
      </w:r>
    </w:p>
    <w:p>
      <w:pPr>
        <w:spacing w:line="240" w:lineRule="auto" w:before="12"/>
        <w:rPr>
          <w:rFonts w:ascii="Microsoft JhengHei" w:hAnsi="Microsoft JhengHei" w:cs="Microsoft JhengHei" w:eastAsia="Microsoft JhengHei" w:hint="default"/>
          <w:b/>
          <w:bCs/>
          <w:sz w:val="18"/>
          <w:szCs w:val="18"/>
        </w:rPr>
      </w:pPr>
    </w:p>
    <w:p>
      <w:pPr>
        <w:pStyle w:val="BodyText"/>
        <w:spacing w:line="398" w:lineRule="auto"/>
        <w:ind w:right="1130" w:firstLine="420"/>
        <w:jc w:val="both"/>
      </w:pPr>
      <w:r>
        <w:rPr>
          <w:rFonts w:ascii="Arial" w:hAnsi="Arial" w:cs="Arial" w:eastAsia="Arial" w:hint="default"/>
        </w:rPr>
        <w:t>2016</w:t>
      </w:r>
      <w:r>
        <w:rPr/>
        <w:t>年，</w:t>
      </w:r>
      <w:r>
        <w:rPr>
          <w:rFonts w:ascii="Arial" w:hAnsi="Arial" w:cs="Arial" w:eastAsia="Arial" w:hint="default"/>
        </w:rPr>
        <w:t>1</w:t>
      </w:r>
      <w:r>
        <w:rPr/>
        <w:t>号机</w:t>
      </w:r>
      <w:r>
        <w:rPr>
          <w:rFonts w:ascii="Arial" w:hAnsi="Arial" w:cs="Arial" w:eastAsia="Arial" w:hint="default"/>
        </w:rPr>
        <w:t>B2b</w:t>
      </w:r>
      <w:r>
        <w:rPr/>
        <w:t>平台业务继续推进“区域服务商”合作模式，坚持业务聚焦和区域聚焦策略，不 </w:t>
      </w:r>
      <w:r>
        <w:rPr>
          <w:spacing w:val="-1"/>
        </w:rPr>
        <w:t>断优化运营管理体系，优化平台系统功能，完善相关产品体验，提高市场推广能力，不断提升客户交易质</w:t>
      </w:r>
      <w:r>
        <w:rPr>
          <w:spacing w:val="-86"/>
        </w:rPr>
        <w:t> </w:t>
      </w:r>
      <w:r>
        <w:rPr>
          <w:spacing w:val="-86"/>
        </w:rPr>
      </w:r>
      <w:r>
        <w:rPr>
          <w:spacing w:val="-5"/>
        </w:rPr>
        <w:t>量；创新“区域服务商”的合作机制，完善用户服务系统建设，进一步增强平台客户粘性；以平台为土壤，</w:t>
      </w:r>
      <w:r>
        <w:rPr/>
        <w:t> </w:t>
      </w:r>
      <w:r>
        <w:rPr>
          <w:spacing w:val="-2"/>
          <w:w w:val="95"/>
        </w:rPr>
        <w:t>快速拓展硬件供应链、应用分发、金融服务等业务，扩大平台业务规模，提升平台价值。打造立足于</w:t>
      </w:r>
      <w:r>
        <w:rPr>
          <w:rFonts w:ascii="Arial" w:hAnsi="Arial" w:cs="Arial" w:eastAsia="Arial" w:hint="default"/>
          <w:spacing w:val="-2"/>
          <w:w w:val="95"/>
        </w:rPr>
        <w:t>T4-T6</w:t>
      </w:r>
      <w:r>
        <w:rPr>
          <w:rFonts w:ascii="Arial" w:hAnsi="Arial" w:cs="Arial" w:eastAsia="Arial" w:hint="default"/>
          <w:spacing w:val="46"/>
          <w:w w:val="95"/>
        </w:rPr>
        <w:t> </w:t>
      </w:r>
      <w:r>
        <w:rPr>
          <w:rFonts w:ascii="Arial" w:hAnsi="Arial" w:cs="Arial" w:eastAsia="Arial" w:hint="default"/>
          <w:spacing w:val="46"/>
          <w:w w:val="95"/>
        </w:rPr>
      </w:r>
      <w:r>
        <w:rPr/>
        <w:t>市场的手机、智能硬件和金融服务垂直领域领先的</w:t>
      </w:r>
      <w:r>
        <w:rPr>
          <w:rFonts w:ascii="Arial" w:hAnsi="Arial" w:cs="Arial" w:eastAsia="Arial" w:hint="default"/>
        </w:rPr>
        <w:t>B2b</w:t>
      </w:r>
      <w:r>
        <w:rPr/>
        <w:t>电商平台。</w:t>
      </w:r>
    </w:p>
    <w:p>
      <w:pPr>
        <w:pStyle w:val="Heading5"/>
        <w:spacing w:line="240" w:lineRule="auto" w:before="112"/>
        <w:ind w:left="573" w:right="0"/>
        <w:jc w:val="left"/>
        <w:rPr>
          <w:rFonts w:ascii="Microsoft JhengHei" w:hAnsi="Microsoft JhengHei" w:cs="Microsoft JhengHei" w:eastAsia="Microsoft JhengHei" w:hint="default"/>
          <w:b w:val="0"/>
          <w:bCs w:val="0"/>
        </w:rPr>
      </w:pPr>
      <w:r>
        <w:rPr>
          <w:rFonts w:ascii="Trebuchet MS" w:hAnsi="Trebuchet MS" w:cs="Trebuchet MS" w:eastAsia="Trebuchet MS" w:hint="default"/>
        </w:rPr>
        <w:t>5</w:t>
      </w:r>
      <w:r>
        <w:rPr>
          <w:rFonts w:ascii="Microsoft JhengHei" w:hAnsi="Microsoft JhengHei" w:cs="Microsoft JhengHei" w:eastAsia="Microsoft JhengHei" w:hint="default"/>
        </w:rPr>
        <w:t>、供应链金融服务</w:t>
      </w:r>
      <w:r>
        <w:rPr>
          <w:rFonts w:ascii="Microsoft JhengHei" w:hAnsi="Microsoft JhengHei" w:cs="Microsoft JhengHei" w:eastAsia="Microsoft JhengHei" w:hint="default"/>
          <w:b w:val="0"/>
          <w:bCs w:val="0"/>
        </w:rPr>
      </w:r>
    </w:p>
    <w:p>
      <w:pPr>
        <w:spacing w:line="240" w:lineRule="auto" w:before="12"/>
        <w:rPr>
          <w:rFonts w:ascii="Microsoft JhengHei" w:hAnsi="Microsoft JhengHei" w:cs="Microsoft JhengHei" w:eastAsia="Microsoft JhengHei" w:hint="default"/>
          <w:b/>
          <w:bCs/>
          <w:sz w:val="18"/>
          <w:szCs w:val="18"/>
        </w:rPr>
      </w:pPr>
    </w:p>
    <w:p>
      <w:pPr>
        <w:pStyle w:val="BodyText"/>
        <w:spacing w:line="398" w:lineRule="auto"/>
        <w:ind w:left="154" w:right="1133" w:firstLine="420"/>
        <w:jc w:val="both"/>
      </w:pPr>
      <w:r>
        <w:rPr>
          <w:rFonts w:ascii="Arial" w:hAnsi="Arial" w:cs="Arial" w:eastAsia="Arial" w:hint="default"/>
        </w:rPr>
        <w:t>2016</w:t>
      </w:r>
      <w:r>
        <w:rPr/>
        <w:t>年公司推进“产</w:t>
      </w:r>
      <w:r>
        <w:rPr>
          <w:rFonts w:ascii="Arial" w:hAnsi="Arial" w:cs="Arial" w:eastAsia="Arial" w:hint="default"/>
        </w:rPr>
        <w:t>+</w:t>
      </w:r>
      <w:r>
        <w:rPr/>
        <w:t>融”双轮驱动战略，公司将专注终端销售服务垂直领域供应链金融的发展，建 </w:t>
      </w:r>
      <w:r>
        <w:rPr>
          <w:spacing w:val="-1"/>
        </w:rPr>
        <w:t>成大数据征信系统，并持续完善风险控制机制，提升风险识别能力，为上下游客户提供全方位、多层次的</w:t>
      </w:r>
      <w:r>
        <w:rPr>
          <w:spacing w:val="-86"/>
        </w:rPr>
        <w:t> </w:t>
      </w:r>
      <w:r>
        <w:rPr>
          <w:spacing w:val="-86"/>
        </w:rPr>
      </w:r>
      <w:r>
        <w:rPr/>
        <w:t>金融服务；为相关产业单元提供上下游的类金融服务，提升全集团的整体竞争力。</w:t>
      </w:r>
    </w:p>
    <w:p>
      <w:pPr>
        <w:pStyle w:val="BodyText"/>
        <w:spacing w:line="350" w:lineRule="auto" w:before="144"/>
        <w:ind w:left="680" w:right="1125" w:hanging="106"/>
        <w:jc w:val="left"/>
      </w:pPr>
      <w:r>
        <w:rPr>
          <w:rFonts w:ascii="Trebuchet MS" w:hAnsi="Trebuchet MS" w:cs="Trebuchet MS" w:eastAsia="Trebuchet MS" w:hint="default"/>
          <w:b/>
          <w:bCs/>
        </w:rPr>
        <w:t>6</w:t>
      </w:r>
      <w:r>
        <w:rPr>
          <w:rFonts w:ascii="Microsoft JhengHei" w:hAnsi="Microsoft JhengHei" w:cs="Microsoft JhengHei" w:eastAsia="Microsoft JhengHei" w:hint="default"/>
          <w:b/>
          <w:bCs/>
        </w:rPr>
        <w:t>、</w:t>
      </w:r>
      <w:r>
        <w:rPr>
          <w:rFonts w:ascii="Microsoft JhengHei" w:hAnsi="Microsoft JhengHei" w:cs="Microsoft JhengHei" w:eastAsia="Microsoft JhengHei" w:hint="default"/>
          <w:b/>
          <w:bCs/>
          <w:spacing w:val="52"/>
        </w:rPr>
        <w:t> </w:t>
      </w:r>
      <w:r>
        <w:rPr>
          <w:rFonts w:ascii="Microsoft JhengHei" w:hAnsi="Microsoft JhengHei" w:cs="Microsoft JhengHei" w:eastAsia="Microsoft JhengHei" w:hint="default"/>
          <w:b/>
          <w:bCs/>
        </w:rPr>
        <w:t>彩梦科技 </w:t>
      </w:r>
      <w:r>
        <w:rPr/>
        <w:t>坚持以手机数字内容产品提供、运营、服务一体化为业务发展策略，充分发挥运营商计费通道价值</w:t>
      </w:r>
    </w:p>
    <w:p>
      <w:pPr>
        <w:pStyle w:val="BodyText"/>
        <w:spacing w:line="240" w:lineRule="auto" w:before="96"/>
        <w:ind w:left="154" w:right="0"/>
        <w:jc w:val="left"/>
      </w:pPr>
      <w:r>
        <w:rPr>
          <w:spacing w:val="-5"/>
        </w:rPr>
        <w:t>的经营策略，整合优质内容和渠道资源，持续提升适应移动互联网新趋势的业务盈利能力，以小、优、活、</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487" w:lineRule="auto" w:before="18"/>
        <w:ind w:left="633" w:right="1513" w:hanging="420"/>
        <w:jc w:val="left"/>
        <w:rPr>
          <w:rFonts w:ascii="Microsoft JhengHei" w:hAnsi="Microsoft JhengHei" w:cs="Microsoft JhengHei" w:eastAsia="Microsoft JhengHei" w:hint="default"/>
        </w:rPr>
      </w:pPr>
      <w:r>
        <w:rPr/>
        <w:t>新的运营方式，推进业务模式的创新发展，实现低成本的快速扩张。创新服务价值，创造市场价值。 </w:t>
      </w:r>
      <w:r>
        <w:rPr>
          <w:rFonts w:ascii="Trebuchet MS" w:hAnsi="Trebuchet MS" w:cs="Trebuchet MS" w:eastAsia="Trebuchet MS" w:hint="default"/>
          <w:b/>
          <w:bCs/>
        </w:rPr>
        <w:t>7</w:t>
      </w:r>
      <w:r>
        <w:rPr>
          <w:rFonts w:ascii="Microsoft JhengHei" w:hAnsi="Microsoft JhengHei" w:cs="Microsoft JhengHei" w:eastAsia="Microsoft JhengHei" w:hint="default"/>
          <w:b/>
          <w:bCs/>
        </w:rPr>
        <w:t>、公司管理方面</w:t>
      </w:r>
      <w:r>
        <w:rPr>
          <w:rFonts w:ascii="Microsoft JhengHei" w:hAnsi="Microsoft JhengHei" w:cs="Microsoft JhengHei" w:eastAsia="Microsoft JhengHei" w:hint="default"/>
        </w:rPr>
      </w:r>
    </w:p>
    <w:p>
      <w:pPr>
        <w:pStyle w:val="BodyText"/>
        <w:spacing w:line="400" w:lineRule="auto" w:before="38"/>
        <w:ind w:left="213" w:right="419" w:firstLine="420"/>
        <w:jc w:val="left"/>
      </w:pPr>
      <w:r>
        <w:rPr>
          <w:rFonts w:ascii="Arial" w:hAnsi="Arial" w:cs="Arial" w:eastAsia="Arial" w:hint="default"/>
        </w:rPr>
        <w:t>2016</w:t>
      </w:r>
      <w:r>
        <w:rPr/>
        <w:t>年公司持续“构建能力、提升效率”，坚持以战略目标、经营目标、效率目标三大目标为核心， 进一步强化组织效率提升、盈利能力提升、运营成本下降。针对集团及各产业业务特性和发展阶段设立细 化及动态指标，通过运营指标管理系统、绩效考核系统、运营分析体系进行有效监控和闭环管理。强化风 险控制的闭环管理和责任落实，构建</w:t>
      </w:r>
      <w:r>
        <w:rPr>
          <w:rFonts w:ascii="Arial" w:hAnsi="Arial" w:cs="Arial" w:eastAsia="Arial" w:hint="default"/>
        </w:rPr>
        <w:t>IT</w:t>
      </w:r>
      <w:r>
        <w:rPr/>
        <w:t>化风险管控的闭环管理和过程管理系统。</w:t>
      </w:r>
    </w:p>
    <w:p>
      <w:pPr>
        <w:pStyle w:val="BodyText"/>
        <w:spacing w:line="408" w:lineRule="auto" w:before="177"/>
        <w:ind w:left="214" w:right="1131" w:firstLine="420"/>
        <w:jc w:val="both"/>
      </w:pPr>
      <w:r>
        <w:rPr>
          <w:spacing w:val="-1"/>
        </w:rPr>
        <w:t>公司将全面推进合伙人机制，持续营造敢于担当和积极创新的氛围，构建团队善于思考、甘于奉献和</w:t>
      </w:r>
      <w:r>
        <w:rPr/>
        <w:t> </w:t>
      </w:r>
      <w:r>
        <w:rPr>
          <w:spacing w:val="-1"/>
        </w:rPr>
        <w:t>团结协作的能力，弘扬以身作则的正能量文化，推进责任机制落实、创新机制建设，助力公司转型升级和</w:t>
      </w:r>
      <w:r>
        <w:rPr>
          <w:spacing w:val="-86"/>
        </w:rPr>
        <w:t> </w:t>
      </w:r>
      <w:r>
        <w:rPr>
          <w:spacing w:val="-86"/>
        </w:rPr>
      </w:r>
      <w:r>
        <w:rPr/>
        <w:t>二次创业的成功。</w:t>
      </w:r>
    </w:p>
    <w:p>
      <w:pPr>
        <w:pStyle w:val="Heading1"/>
        <w:spacing w:line="487" w:lineRule="exact"/>
        <w:ind w:left="214" w:right="1513"/>
        <w:jc w:val="left"/>
        <w:rPr>
          <w:b w:val="0"/>
          <w:bCs w:val="0"/>
        </w:rPr>
      </w:pPr>
      <w:bookmarkStart w:name="4.10 接待调研、沟通、采访等活动" w:id="97"/>
      <w:bookmarkEnd w:id="97"/>
      <w:r>
        <w:rPr>
          <w:b w:val="0"/>
          <w:bCs w:val="0"/>
        </w:rPr>
      </w:r>
      <w:bookmarkStart w:name="_bookmark28" w:id="98"/>
      <w:bookmarkEnd w:id="98"/>
      <w:r>
        <w:rPr>
          <w:b w:val="0"/>
          <w:bCs w:val="0"/>
        </w:rPr>
      </w:r>
      <w:r>
        <w:rPr>
          <w:rFonts w:ascii="Trebuchet MS" w:hAnsi="Trebuchet MS" w:cs="Trebuchet MS" w:eastAsia="Trebuchet MS" w:hint="default"/>
        </w:rPr>
        <w:t>4.10</w:t>
      </w:r>
      <w:r>
        <w:rPr>
          <w:rFonts w:ascii="Trebuchet MS" w:hAnsi="Trebuchet MS" w:cs="Trebuchet MS" w:eastAsia="Trebuchet MS" w:hint="default"/>
          <w:spacing w:val="4"/>
        </w:rPr>
        <w:t> </w:t>
      </w:r>
      <w:r>
        <w:rPr/>
        <w:t>接待调研、沟通、采访等活动</w:t>
      </w:r>
      <w:r>
        <w:rPr>
          <w:b w:val="0"/>
          <w:bCs w:val="0"/>
        </w:rPr>
      </w:r>
    </w:p>
    <w:p>
      <w:pPr>
        <w:spacing w:line="240" w:lineRule="auto" w:before="17"/>
        <w:rPr>
          <w:rFonts w:ascii="Microsoft JhengHei" w:hAnsi="Microsoft JhengHei" w:cs="Microsoft JhengHei" w:eastAsia="Microsoft JhengHei" w:hint="default"/>
          <w:b/>
          <w:bCs/>
          <w:sz w:val="26"/>
          <w:szCs w:val="26"/>
        </w:rPr>
      </w:pPr>
    </w:p>
    <w:p>
      <w:pPr>
        <w:pStyle w:val="Heading2"/>
        <w:spacing w:line="240" w:lineRule="auto"/>
        <w:ind w:left="214" w:right="1513"/>
        <w:jc w:val="left"/>
        <w:rPr>
          <w:b w:val="0"/>
          <w:bCs w:val="0"/>
        </w:rPr>
      </w:pPr>
      <w:bookmarkStart w:name="4.10.1 报告期内接待调研、沟通、采访等活动登记表" w:id="99"/>
      <w:bookmarkEnd w:id="99"/>
      <w:r>
        <w:rPr>
          <w:b w:val="0"/>
          <w:bCs w:val="0"/>
        </w:rPr>
      </w:r>
      <w:r>
        <w:rPr>
          <w:rFonts w:ascii="Trebuchet MS" w:hAnsi="Trebuchet MS" w:cs="Trebuchet MS" w:eastAsia="Trebuchet MS" w:hint="default"/>
        </w:rPr>
        <w:t>4.10.1</w:t>
      </w:r>
      <w:r>
        <w:rPr>
          <w:rFonts w:ascii="Trebuchet MS" w:hAnsi="Trebuchet MS" w:cs="Trebuchet MS" w:eastAsia="Trebuchet MS" w:hint="default"/>
          <w:spacing w:val="-26"/>
        </w:rPr>
        <w:t> </w:t>
      </w:r>
      <w:r>
        <w:rPr/>
        <w:t>报告期内接待调研、沟通、采访等活动登记表</w:t>
      </w:r>
      <w:r>
        <w:rPr>
          <w:b w:val="0"/>
          <w:bCs w:val="0"/>
        </w:rPr>
      </w:r>
    </w:p>
    <w:p>
      <w:pPr>
        <w:spacing w:line="240" w:lineRule="auto" w:before="9"/>
        <w:rPr>
          <w:rFonts w:ascii="Microsoft JhengHei" w:hAnsi="Microsoft JhengHei" w:cs="Microsoft JhengHei" w:eastAsia="Microsoft JhengHei" w:hint="default"/>
          <w:b/>
          <w:bCs/>
          <w:sz w:val="27"/>
          <w:szCs w:val="27"/>
        </w:rPr>
      </w:pPr>
    </w:p>
    <w:p>
      <w:pPr>
        <w:spacing w:before="0"/>
        <w:ind w:left="214" w:right="151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844"/>
        <w:gridCol w:w="992"/>
        <w:gridCol w:w="1418"/>
        <w:gridCol w:w="5694"/>
      </w:tblGrid>
      <w:tr>
        <w:trPr>
          <w:trHeight w:val="402" w:hRule="exact"/>
        </w:trPr>
        <w:tc>
          <w:tcPr>
            <w:tcW w:w="184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9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1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68"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56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184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right="62"/>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03</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92" w:type="dxa"/>
            <w:tcBorders>
              <w:top w:val="single" w:sz="4" w:space="0" w:color="5B9BD4"/>
              <w:left w:val="nil" w:sz="6" w:space="0" w:color="auto"/>
              <w:bottom w:val="single" w:sz="4" w:space="0" w:color="5B9BD4"/>
              <w:right w:val="nil" w:sz="6" w:space="0" w:color="auto"/>
            </w:tcBorders>
          </w:tcPr>
          <w:p>
            <w:pPr>
              <w:pStyle w:val="TableParagraph"/>
              <w:spacing w:line="240" w:lineRule="auto" w:before="46"/>
              <w:ind w:left="107"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0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694" w:type="dxa"/>
            <w:tcBorders>
              <w:top w:val="single" w:sz="4" w:space="0" w:color="5B9BD4"/>
              <w:left w:val="nil" w:sz="6" w:space="0" w:color="auto"/>
              <w:bottom w:val="single" w:sz="4" w:space="0" w:color="5B9BD4"/>
              <w:right w:val="nil" w:sz="6" w:space="0" w:color="auto"/>
            </w:tcBorders>
          </w:tcPr>
          <w:p>
            <w:pPr>
              <w:pStyle w:val="TableParagraph"/>
              <w:spacing w:line="302" w:lineRule="auto" w:before="46"/>
              <w:ind w:left="107" w:right="56"/>
              <w:jc w:val="left"/>
              <w:rPr>
                <w:rFonts w:ascii="宋体" w:hAnsi="宋体" w:cs="宋体" w:eastAsia="宋体" w:hint="default"/>
                <w:sz w:val="18"/>
                <w:szCs w:val="18"/>
              </w:rPr>
            </w:pPr>
            <w:r>
              <w:rPr>
                <w:rFonts w:ascii="宋体" w:hAnsi="宋体" w:cs="宋体" w:eastAsia="宋体" w:hint="default"/>
                <w:sz w:val="18"/>
                <w:szCs w:val="18"/>
              </w:rPr>
              <w:t>介绍</w:t>
            </w:r>
            <w:r>
              <w:rPr>
                <w:rFonts w:ascii="宋体" w:hAnsi="宋体" w:cs="宋体" w:eastAsia="宋体" w:hint="default"/>
                <w:spacing w:val="-48"/>
                <w:sz w:val="18"/>
                <w:szCs w:val="18"/>
              </w:rPr>
              <w:t> </w:t>
            </w: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年公司传统业务、移动转售业务、一号机平台的发展情况， 股权激励计划的进展情况，公司未提供资料。</w:t>
            </w:r>
          </w:p>
        </w:tc>
      </w:tr>
      <w:tr>
        <w:trPr>
          <w:trHeight w:val="402" w:hRule="exact"/>
        </w:trPr>
        <w:tc>
          <w:tcPr>
            <w:tcW w:w="184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right="62"/>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09</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92" w:type="dxa"/>
            <w:tcBorders>
              <w:top w:val="single" w:sz="4" w:space="0" w:color="5B9BD4"/>
              <w:left w:val="nil" w:sz="6" w:space="0" w:color="auto"/>
              <w:bottom w:val="single" w:sz="4" w:space="0" w:color="5B9BD4"/>
              <w:right w:val="nil" w:sz="6" w:space="0" w:color="auto"/>
            </w:tcBorders>
          </w:tcPr>
          <w:p>
            <w:pPr>
              <w:pStyle w:val="TableParagraph"/>
              <w:spacing w:line="240" w:lineRule="auto" w:before="46"/>
              <w:ind w:left="107"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0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694" w:type="dxa"/>
            <w:tcBorders>
              <w:top w:val="single" w:sz="4" w:space="0" w:color="5B9BD4"/>
              <w:left w:val="nil" w:sz="6" w:space="0" w:color="auto"/>
              <w:bottom w:val="single" w:sz="4" w:space="0" w:color="5B9BD4"/>
              <w:right w:val="nil" w:sz="6" w:space="0" w:color="auto"/>
            </w:tcBorders>
          </w:tcPr>
          <w:p>
            <w:pPr>
              <w:pStyle w:val="TableParagraph"/>
              <w:spacing w:line="240" w:lineRule="auto" w:before="46"/>
              <w:ind w:left="107" w:right="0"/>
              <w:jc w:val="left"/>
              <w:rPr>
                <w:rFonts w:ascii="宋体" w:hAnsi="宋体" w:cs="宋体" w:eastAsia="宋体" w:hint="default"/>
                <w:sz w:val="18"/>
                <w:szCs w:val="18"/>
              </w:rPr>
            </w:pPr>
            <w:r>
              <w:rPr>
                <w:rFonts w:ascii="宋体" w:hAnsi="宋体" w:cs="宋体" w:eastAsia="宋体" w:hint="default"/>
                <w:sz w:val="18"/>
                <w:szCs w:val="18"/>
              </w:rPr>
              <w:t>谈论行业、公司业务等相关信息，公司未提供资料。</w:t>
            </w:r>
          </w:p>
        </w:tc>
      </w:tr>
      <w:tr>
        <w:trPr>
          <w:trHeight w:val="714" w:hRule="exact"/>
        </w:trPr>
        <w:tc>
          <w:tcPr>
            <w:tcW w:w="184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right="62"/>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11</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23</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92" w:type="dxa"/>
            <w:tcBorders>
              <w:top w:val="single" w:sz="4" w:space="0" w:color="5B9BD4"/>
              <w:left w:val="nil" w:sz="6" w:space="0" w:color="auto"/>
              <w:bottom w:val="single" w:sz="4" w:space="0" w:color="5B9BD4"/>
              <w:right w:val="nil" w:sz="6" w:space="0" w:color="auto"/>
            </w:tcBorders>
          </w:tcPr>
          <w:p>
            <w:pPr>
              <w:pStyle w:val="TableParagraph"/>
              <w:spacing w:line="240" w:lineRule="auto" w:before="46"/>
              <w:ind w:left="107"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0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694" w:type="dxa"/>
            <w:tcBorders>
              <w:top w:val="single" w:sz="4" w:space="0" w:color="5B9BD4"/>
              <w:left w:val="nil" w:sz="6" w:space="0" w:color="auto"/>
              <w:bottom w:val="single" w:sz="4" w:space="0" w:color="5B9BD4"/>
              <w:right w:val="nil" w:sz="6" w:space="0" w:color="auto"/>
            </w:tcBorders>
          </w:tcPr>
          <w:p>
            <w:pPr>
              <w:pStyle w:val="TableParagraph"/>
              <w:spacing w:line="302" w:lineRule="auto" w:before="46"/>
              <w:ind w:left="107" w:right="39"/>
              <w:jc w:val="left"/>
              <w:rPr>
                <w:rFonts w:ascii="宋体" w:hAnsi="宋体" w:cs="宋体" w:eastAsia="宋体" w:hint="default"/>
                <w:sz w:val="18"/>
                <w:szCs w:val="18"/>
              </w:rPr>
            </w:pPr>
            <w:r>
              <w:rPr>
                <w:rFonts w:ascii="宋体" w:hAnsi="宋体" w:cs="宋体" w:eastAsia="宋体" w:hint="default"/>
                <w:sz w:val="18"/>
                <w:szCs w:val="18"/>
              </w:rPr>
              <w:t>介绍公司业绩增长原因，</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号机，虚拟运营商和金融业务的发展情况。 公司未提供资料。</w:t>
            </w:r>
          </w:p>
        </w:tc>
      </w:tr>
    </w:tbl>
    <w:p>
      <w:pPr>
        <w:spacing w:after="0" w:line="302" w:lineRule="auto"/>
        <w:jc w:val="left"/>
        <w:rPr>
          <w:rFonts w:ascii="宋体" w:hAnsi="宋体" w:cs="宋体" w:eastAsia="宋体" w:hint="default"/>
          <w:sz w:val="18"/>
          <w:szCs w:val="18"/>
        </w:rPr>
        <w:sectPr>
          <w:pgSz w:w="11910" w:h="16840"/>
          <w:pgMar w:header="877" w:footer="979" w:top="1100" w:bottom="1160" w:left="92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1"/>
        <w:spacing w:line="409" w:lineRule="exact"/>
        <w:ind w:left="3829" w:right="4807"/>
        <w:jc w:val="center"/>
        <w:rPr>
          <w:b w:val="0"/>
          <w:bCs w:val="0"/>
        </w:rPr>
      </w:pPr>
      <w:bookmarkStart w:name="第五节 重要事项" w:id="100"/>
      <w:bookmarkEnd w:id="100"/>
      <w:r>
        <w:rPr>
          <w:b w:val="0"/>
          <w:bCs w:val="0"/>
        </w:rPr>
      </w:r>
      <w:bookmarkStart w:name="_bookmark29" w:id="101"/>
      <w:bookmarkEnd w:id="101"/>
      <w:r>
        <w:rPr>
          <w:b w:val="0"/>
          <w:bCs w:val="0"/>
        </w:rPr>
      </w:r>
      <w:r>
        <w:rPr>
          <w:color w:val="2D74B5"/>
        </w:rPr>
        <w:t>第五节  重要事项</w:t>
      </w:r>
      <w:r>
        <w:rPr>
          <w:b w:val="0"/>
          <w:bCs w:val="0"/>
        </w:rPr>
      </w:r>
    </w:p>
    <w:p>
      <w:pPr>
        <w:spacing w:line="240" w:lineRule="auto" w:before="8"/>
        <w:rPr>
          <w:rFonts w:ascii="Microsoft JhengHei" w:hAnsi="Microsoft JhengHei" w:cs="Microsoft JhengHei" w:eastAsia="Microsoft JhengHei" w:hint="default"/>
          <w:b/>
          <w:bCs/>
          <w:sz w:val="28"/>
          <w:szCs w:val="28"/>
        </w:rPr>
      </w:pPr>
    </w:p>
    <w:p>
      <w:pPr>
        <w:pStyle w:val="Heading1"/>
        <w:spacing w:line="240" w:lineRule="auto"/>
        <w:ind w:right="0"/>
        <w:jc w:val="both"/>
        <w:rPr>
          <w:b w:val="0"/>
          <w:bCs w:val="0"/>
        </w:rPr>
      </w:pPr>
      <w:bookmarkStart w:name="5.1 公司普通股利润分配及资本公积金转增股本情况" w:id="102"/>
      <w:bookmarkEnd w:id="102"/>
      <w:r>
        <w:rPr>
          <w:b w:val="0"/>
          <w:bCs w:val="0"/>
        </w:rPr>
      </w:r>
      <w:bookmarkStart w:name="_bookmark30" w:id="103"/>
      <w:bookmarkEnd w:id="103"/>
      <w:r>
        <w:rPr>
          <w:b w:val="0"/>
          <w:bCs w:val="0"/>
        </w:rPr>
      </w:r>
      <w:r>
        <w:rPr>
          <w:rFonts w:ascii="Trebuchet MS" w:hAnsi="Trebuchet MS" w:cs="Trebuchet MS" w:eastAsia="Trebuchet MS" w:hint="default"/>
        </w:rPr>
        <w:t>5.1</w:t>
      </w:r>
      <w:r>
        <w:rPr>
          <w:rFonts w:ascii="Trebuchet MS" w:hAnsi="Trebuchet MS" w:cs="Trebuchet MS" w:eastAsia="Trebuchet MS" w:hint="default"/>
          <w:spacing w:val="14"/>
        </w:rPr>
        <w:t> </w:t>
      </w:r>
      <w:r>
        <w:rPr/>
        <w:t>公司普通股利润分配及资本公积金转增股本情况</w:t>
      </w:r>
      <w:r>
        <w:rPr>
          <w:b w:val="0"/>
          <w:bCs w:val="0"/>
        </w:rPr>
      </w:r>
    </w:p>
    <w:p>
      <w:pPr>
        <w:pStyle w:val="Heading2"/>
        <w:spacing w:line="240" w:lineRule="auto" w:before="211"/>
        <w:ind w:right="0"/>
        <w:jc w:val="both"/>
        <w:rPr>
          <w:b w:val="0"/>
          <w:bCs w:val="0"/>
        </w:rPr>
      </w:pPr>
      <w:r>
        <w:rPr>
          <w:rFonts w:ascii="Trebuchet MS" w:hAnsi="Trebuchet MS" w:cs="Trebuchet MS" w:eastAsia="Trebuchet MS" w:hint="default"/>
          <w:w w:val="95"/>
        </w:rPr>
        <w:t>5.1.1     </w:t>
      </w:r>
      <w:r>
        <w:rPr>
          <w:rFonts w:ascii="Trebuchet MS" w:hAnsi="Trebuchet MS" w:cs="Trebuchet MS" w:eastAsia="Trebuchet MS" w:hint="default"/>
          <w:spacing w:val="19"/>
          <w:w w:val="95"/>
        </w:rPr>
        <w:t> </w:t>
      </w:r>
      <w:r>
        <w:rPr>
          <w:w w:val="95"/>
        </w:rPr>
        <w:t>报告期内普通股利润分配政策，特别是现金分红政策的制定、执行或调整情况</w:t>
      </w:r>
      <w:r>
        <w:rPr>
          <w:b w:val="0"/>
          <w:bCs w:val="0"/>
          <w:w w:val="95"/>
        </w:rPr>
      </w:r>
    </w:p>
    <w:p>
      <w:pPr>
        <w:spacing w:line="240" w:lineRule="auto" w:before="9"/>
        <w:rPr>
          <w:rFonts w:ascii="Microsoft JhengHei" w:hAnsi="Microsoft JhengHei" w:cs="Microsoft JhengHei" w:eastAsia="Microsoft JhengHei" w:hint="default"/>
          <w:b/>
          <w:bCs/>
          <w:sz w:val="12"/>
          <w:szCs w:val="12"/>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√适用 □ 不适用</w:t>
      </w:r>
    </w:p>
    <w:p>
      <w:pPr>
        <w:spacing w:line="240" w:lineRule="auto" w:before="9"/>
        <w:rPr>
          <w:rFonts w:ascii="宋体" w:hAnsi="宋体" w:cs="宋体" w:eastAsia="宋体" w:hint="default"/>
          <w:sz w:val="21"/>
          <w:szCs w:val="21"/>
        </w:rPr>
      </w:pPr>
    </w:p>
    <w:p>
      <w:pPr>
        <w:pStyle w:val="BodyText"/>
        <w:spacing w:line="408" w:lineRule="auto"/>
        <w:ind w:right="1115" w:firstLine="420"/>
        <w:jc w:val="left"/>
      </w:pPr>
      <w:r>
        <w:rPr>
          <w:spacing w:val="-1"/>
        </w:rPr>
        <w:t>根据《公司章程》中关于现金分红的规定：公司连续三年内以现金方式累计分配的利润应不少于三年</w:t>
      </w:r>
      <w:r>
        <w:rPr/>
        <w:t> 内实现的年均可分配利润的百分之三十。</w:t>
      </w:r>
      <w:r>
        <w:rPr>
          <w:rFonts w:ascii="Arial" w:hAnsi="Arial" w:cs="Arial" w:eastAsia="Arial" w:hint="default"/>
        </w:rPr>
        <w:t>2012</w:t>
      </w:r>
      <w:r>
        <w:rPr/>
        <w:t>年</w:t>
      </w:r>
      <w:r>
        <w:rPr>
          <w:rFonts w:ascii="Arial" w:hAnsi="Arial" w:cs="Arial" w:eastAsia="Arial" w:hint="default"/>
        </w:rPr>
        <w:t>8</w:t>
      </w:r>
      <w:r>
        <w:rPr/>
        <w:t>月</w:t>
      </w:r>
      <w:r>
        <w:rPr>
          <w:rFonts w:ascii="Arial" w:hAnsi="Arial" w:cs="Arial" w:eastAsia="Arial" w:hint="default"/>
        </w:rPr>
        <w:t>10</w:t>
      </w:r>
      <w:r>
        <w:rPr/>
        <w:t>日，公司第二届董事会第二十六次会议审议通过了</w:t>
      </w:r>
    </w:p>
    <w:p>
      <w:pPr>
        <w:pStyle w:val="BodyText"/>
        <w:spacing w:line="393" w:lineRule="auto" w:before="14"/>
        <w:ind w:right="1131"/>
        <w:jc w:val="both"/>
      </w:pPr>
      <w:r>
        <w:rPr/>
        <w:t>《未来三年（</w:t>
      </w:r>
      <w:r>
        <w:rPr>
          <w:rFonts w:ascii="Arial" w:hAnsi="Arial" w:cs="Arial" w:eastAsia="Arial" w:hint="default"/>
        </w:rPr>
        <w:t>2012-2014</w:t>
      </w:r>
      <w:r>
        <w:rPr/>
        <w:t>年）股东回报规划》，</w:t>
      </w:r>
      <w:r>
        <w:rPr>
          <w:rFonts w:ascii="Arial" w:hAnsi="Arial" w:cs="Arial" w:eastAsia="Arial" w:hint="default"/>
        </w:rPr>
        <w:t>2015</w:t>
      </w:r>
      <w:r>
        <w:rPr/>
        <w:t>年</w:t>
      </w:r>
      <w:r>
        <w:rPr>
          <w:rFonts w:ascii="Arial" w:hAnsi="Arial" w:cs="Arial" w:eastAsia="Arial" w:hint="default"/>
        </w:rPr>
        <w:t>7</w:t>
      </w:r>
      <w:r>
        <w:rPr/>
        <w:t>月</w:t>
      </w:r>
      <w:r>
        <w:rPr>
          <w:rFonts w:ascii="Arial" w:hAnsi="Arial" w:cs="Arial" w:eastAsia="Arial" w:hint="default"/>
        </w:rPr>
        <w:t>27</w:t>
      </w:r>
      <w:r>
        <w:rPr/>
        <w:t>日，公司第三届董事会第二十七次会议审议</w:t>
      </w:r>
      <w:r>
        <w:rPr>
          <w:spacing w:val="-68"/>
        </w:rPr>
        <w:t> </w:t>
      </w:r>
      <w:r>
        <w:rPr>
          <w:spacing w:val="-68"/>
        </w:rPr>
      </w:r>
      <w:r>
        <w:rPr/>
        <w:t>通过了《未来三年（</w:t>
      </w:r>
      <w:r>
        <w:rPr>
          <w:rFonts w:ascii="Arial" w:hAnsi="Arial" w:cs="Arial" w:eastAsia="Arial" w:hint="default"/>
        </w:rPr>
        <w:t>2015-2017</w:t>
      </w:r>
      <w:r>
        <w:rPr/>
        <w:t>年）股东回报规划》。两次规划综合考虑投资者的合理投资回报和公司的</w:t>
      </w:r>
      <w:r>
        <w:rPr>
          <w:spacing w:val="-86"/>
        </w:rPr>
        <w:t> </w:t>
      </w:r>
      <w:r>
        <w:rPr>
          <w:spacing w:val="-86"/>
        </w:rPr>
      </w:r>
      <w:r>
        <w:rPr>
          <w:spacing w:val="-1"/>
        </w:rPr>
        <w:t>可持续发展，在保证公司正常经营发展的前提下，实事求是对未来股东回报情况进行了规划和论证。公司</w:t>
      </w:r>
      <w:r>
        <w:rPr>
          <w:spacing w:val="-83"/>
        </w:rPr>
        <w:t> </w:t>
      </w:r>
      <w:r>
        <w:rPr>
          <w:spacing w:val="-83"/>
        </w:rPr>
      </w:r>
      <w:r>
        <w:rPr>
          <w:spacing w:val="-1"/>
        </w:rPr>
        <w:t>独立董事对该规划发表了独立意见。</w:t>
      </w:r>
      <w:r>
        <w:rPr>
          <w:rFonts w:ascii="Arial" w:hAnsi="Arial" w:cs="Arial" w:eastAsia="Arial" w:hint="default"/>
          <w:spacing w:val="-1"/>
        </w:rPr>
        <w:t>2012</w:t>
      </w:r>
      <w:r>
        <w:rPr>
          <w:spacing w:val="-1"/>
        </w:rPr>
        <w:t>年</w:t>
      </w:r>
      <w:r>
        <w:rPr>
          <w:rFonts w:ascii="Arial" w:hAnsi="Arial" w:cs="Arial" w:eastAsia="Arial" w:hint="default"/>
          <w:spacing w:val="-1"/>
        </w:rPr>
        <w:t>8</w:t>
      </w:r>
      <w:r>
        <w:rPr>
          <w:spacing w:val="-1"/>
        </w:rPr>
        <w:t>月</w:t>
      </w:r>
      <w:r>
        <w:rPr>
          <w:rFonts w:ascii="Arial" w:hAnsi="Arial" w:cs="Arial" w:eastAsia="Arial" w:hint="default"/>
          <w:spacing w:val="-1"/>
        </w:rPr>
        <w:t>29</w:t>
      </w:r>
      <w:r>
        <w:rPr>
          <w:spacing w:val="-1"/>
        </w:rPr>
        <w:t>日，公司召开</w:t>
      </w:r>
      <w:r>
        <w:rPr>
          <w:rFonts w:ascii="Arial" w:hAnsi="Arial" w:cs="Arial" w:eastAsia="Arial" w:hint="default"/>
          <w:spacing w:val="-1"/>
        </w:rPr>
        <w:t>2012</w:t>
      </w:r>
      <w:r>
        <w:rPr>
          <w:spacing w:val="-1"/>
        </w:rPr>
        <w:t>年第二次临时股东大会，审议通过了</w:t>
      </w:r>
    </w:p>
    <w:p>
      <w:pPr>
        <w:pStyle w:val="BodyText"/>
        <w:spacing w:line="388" w:lineRule="auto" w:before="28"/>
        <w:ind w:right="1128"/>
        <w:jc w:val="both"/>
      </w:pPr>
      <w:r>
        <w:rPr>
          <w:spacing w:val="-2"/>
        </w:rPr>
        <w:t>《未来三年（</w:t>
      </w:r>
      <w:r>
        <w:rPr>
          <w:rFonts w:ascii="Arial" w:hAnsi="Arial" w:cs="Arial" w:eastAsia="Arial" w:hint="default"/>
          <w:spacing w:val="-2"/>
        </w:rPr>
        <w:t>2012-2014</w:t>
      </w:r>
      <w:r>
        <w:rPr>
          <w:spacing w:val="-2"/>
        </w:rPr>
        <w:t>年）股东回报规划》，</w:t>
      </w:r>
      <w:r>
        <w:rPr>
          <w:rFonts w:ascii="Arial" w:hAnsi="Arial" w:cs="Arial" w:eastAsia="Arial" w:hint="default"/>
          <w:spacing w:val="-2"/>
        </w:rPr>
        <w:t>2015</w:t>
      </w:r>
      <w:r>
        <w:rPr>
          <w:spacing w:val="-2"/>
        </w:rPr>
        <w:t>年</w:t>
      </w:r>
      <w:r>
        <w:rPr>
          <w:rFonts w:ascii="Arial" w:hAnsi="Arial" w:cs="Arial" w:eastAsia="Arial" w:hint="default"/>
          <w:spacing w:val="-2"/>
        </w:rPr>
        <w:t>10</w:t>
      </w:r>
      <w:r>
        <w:rPr>
          <w:spacing w:val="-2"/>
        </w:rPr>
        <w:t>月</w:t>
      </w:r>
      <w:r>
        <w:rPr>
          <w:rFonts w:ascii="Arial" w:hAnsi="Arial" w:cs="Arial" w:eastAsia="Arial" w:hint="default"/>
          <w:spacing w:val="-2"/>
        </w:rPr>
        <w:t>13</w:t>
      </w:r>
      <w:r>
        <w:rPr>
          <w:spacing w:val="-2"/>
        </w:rPr>
        <w:t>日，公司召开</w:t>
      </w:r>
      <w:r>
        <w:rPr>
          <w:rFonts w:ascii="Arial" w:hAnsi="Arial" w:cs="Arial" w:eastAsia="Arial" w:hint="default"/>
          <w:spacing w:val="-2"/>
        </w:rPr>
        <w:t>2015</w:t>
      </w:r>
      <w:r>
        <w:rPr>
          <w:spacing w:val="-2"/>
        </w:rPr>
        <w:t>年第三次临时股东大会，</w:t>
      </w:r>
      <w:r>
        <w:rPr/>
        <w:t> 审议通过了《未来三年（</w:t>
      </w:r>
      <w:r>
        <w:rPr>
          <w:rFonts w:ascii="Arial" w:hAnsi="Arial" w:cs="Arial" w:eastAsia="Arial" w:hint="default"/>
        </w:rPr>
        <w:t>2015-2017</w:t>
      </w:r>
      <w:r>
        <w:rPr/>
        <w:t>年）股东回报规划》；以母公司为依据</w:t>
      </w:r>
      <w:r>
        <w:rPr>
          <w:rFonts w:ascii="Arial" w:hAnsi="Arial" w:cs="Arial" w:eastAsia="Arial" w:hint="default"/>
        </w:rPr>
        <w:t>2013</w:t>
      </w:r>
      <w:r>
        <w:rPr/>
        <w:t>年度、</w:t>
      </w:r>
      <w:r>
        <w:rPr>
          <w:rFonts w:ascii="Arial" w:hAnsi="Arial" w:cs="Arial" w:eastAsia="Arial" w:hint="default"/>
        </w:rPr>
        <w:t>2014</w:t>
      </w:r>
      <w:r>
        <w:rPr/>
        <w:t>年度、</w:t>
      </w:r>
      <w:r>
        <w:rPr>
          <w:rFonts w:ascii="Arial" w:hAnsi="Arial" w:cs="Arial" w:eastAsia="Arial" w:hint="default"/>
        </w:rPr>
        <w:t>2015</w:t>
      </w:r>
      <w:r>
        <w:rPr>
          <w:rFonts w:ascii="Arial" w:hAnsi="Arial" w:cs="Arial" w:eastAsia="Arial" w:hint="default"/>
          <w:spacing w:val="22"/>
        </w:rPr>
        <w:t> </w:t>
      </w:r>
      <w:r>
        <w:rPr>
          <w:rFonts w:ascii="Arial" w:hAnsi="Arial" w:cs="Arial" w:eastAsia="Arial" w:hint="default"/>
          <w:spacing w:val="22"/>
        </w:rPr>
      </w:r>
      <w:r>
        <w:rPr/>
        <w:t>年度分别实现净利润为</w:t>
      </w:r>
      <w:r>
        <w:rPr>
          <w:rFonts w:ascii="Arial" w:hAnsi="Arial" w:cs="Arial" w:eastAsia="Arial" w:hint="default"/>
        </w:rPr>
        <w:t>524,187,038.46</w:t>
      </w:r>
      <w:r>
        <w:rPr/>
        <w:t>、</w:t>
      </w:r>
      <w:r>
        <w:rPr>
          <w:rFonts w:ascii="Arial" w:hAnsi="Arial" w:cs="Arial" w:eastAsia="Arial" w:hint="default"/>
        </w:rPr>
        <w:t>357,784,743.83</w:t>
      </w:r>
      <w:r>
        <w:rPr/>
        <w:t>、</w:t>
      </w:r>
      <w:r>
        <w:rPr>
          <w:rFonts w:ascii="Arial" w:hAnsi="Arial" w:cs="Arial" w:eastAsia="Arial" w:hint="default"/>
        </w:rPr>
        <w:t>42,382,500.43</w:t>
      </w:r>
      <w:r>
        <w:rPr/>
        <w:t>元，</w:t>
      </w:r>
      <w:r>
        <w:rPr>
          <w:rFonts w:ascii="Arial" w:hAnsi="Arial" w:cs="Arial" w:eastAsia="Arial" w:hint="default"/>
        </w:rPr>
        <w:t>2013</w:t>
      </w:r>
      <w:r>
        <w:rPr/>
        <w:t>年度公司已现金分红</w:t>
      </w:r>
      <w:r>
        <w:rPr>
          <w:spacing w:val="-40"/>
        </w:rPr>
        <w:t> </w:t>
      </w:r>
      <w:r>
        <w:rPr>
          <w:rFonts w:ascii="Arial" w:hAnsi="Arial" w:cs="Arial" w:eastAsia="Arial" w:hint="default"/>
        </w:rPr>
        <w:t>147,990,000.00</w:t>
      </w:r>
      <w:r>
        <w:rPr/>
        <w:t>元，占三年内实现的年均可分配利润的</w:t>
      </w:r>
      <w:r>
        <w:rPr>
          <w:rFonts w:ascii="Arial" w:hAnsi="Arial" w:cs="Arial" w:eastAsia="Arial" w:hint="default"/>
        </w:rPr>
        <w:t>48.03%</w:t>
      </w:r>
      <w:r>
        <w:rPr/>
        <w:t>；以合并报表为依据，</w:t>
      </w:r>
      <w:r>
        <w:rPr>
          <w:rFonts w:ascii="Arial" w:hAnsi="Arial" w:cs="Arial" w:eastAsia="Arial" w:hint="default"/>
        </w:rPr>
        <w:t>2013</w:t>
      </w:r>
      <w:r>
        <w:rPr/>
        <w:t>年度、</w:t>
      </w:r>
      <w:r>
        <w:rPr>
          <w:rFonts w:ascii="Arial" w:hAnsi="Arial" w:cs="Arial" w:eastAsia="Arial" w:hint="default"/>
        </w:rPr>
        <w:t>2014</w:t>
      </w:r>
      <w:r>
        <w:rPr/>
        <w:t>年</w:t>
      </w:r>
    </w:p>
    <w:p>
      <w:pPr>
        <w:pStyle w:val="BodyText"/>
        <w:spacing w:line="388" w:lineRule="auto" w:before="32"/>
        <w:ind w:right="1097"/>
        <w:jc w:val="both"/>
      </w:pPr>
      <w:r>
        <w:rPr/>
        <w:pict>
          <v:shape style="position:absolute;margin-left:57.150002pt;margin-top:68.883682pt;width:477.8pt;height:172.4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59"/>
                    <w:gridCol w:w="4782"/>
                  </w:tblGrid>
                  <w:tr>
                    <w:trPr>
                      <w:trHeight w:val="397" w:hRule="exact"/>
                    </w:trPr>
                    <w:tc>
                      <w:tcPr>
                        <w:tcW w:w="9541"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59" w:type="dxa"/>
                        <w:tcBorders>
                          <w:top w:val="single" w:sz="4" w:space="0" w:color="5B9BD4"/>
                          <w:left w:val="nil" w:sz="6" w:space="0" w:color="auto"/>
                          <w:bottom w:val="single" w:sz="4" w:space="0" w:color="5B9BD4"/>
                          <w:right w:val="single" w:sz="4" w:space="0" w:color="5B9BD4"/>
                        </w:tcBorders>
                        <w:shd w:val="clear" w:color="auto" w:fill="DEEAF6"/>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2" w:type="dxa"/>
                        <w:tcBorders>
                          <w:top w:val="single" w:sz="4" w:space="0" w:color="5B9BD4"/>
                          <w:left w:val="single" w:sz="13" w:space="0" w:color="DEEAF6"/>
                          <w:bottom w:val="single" w:sz="4" w:space="0" w:color="5B9BD4"/>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59" w:type="dxa"/>
                        <w:tcBorders>
                          <w:top w:val="single" w:sz="4" w:space="0" w:color="5B9BD4"/>
                          <w:left w:val="nil" w:sz="6" w:space="0" w:color="auto"/>
                          <w:bottom w:val="single" w:sz="4" w:space="0" w:color="5B9BD4"/>
                          <w:right w:val="single" w:sz="4" w:space="0" w:color="5B9BD4"/>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2" w:type="dxa"/>
                        <w:tcBorders>
                          <w:top w:val="single" w:sz="4" w:space="0" w:color="5B9BD4"/>
                          <w:left w:val="single" w:sz="13" w:space="0" w:color="DEEAF6"/>
                          <w:bottom w:val="single" w:sz="4" w:space="0" w:color="5B9BD4"/>
                          <w:right w:val="nil" w:sz="6" w:space="0" w:color="auto"/>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59" w:type="dxa"/>
                        <w:tcBorders>
                          <w:top w:val="single" w:sz="4" w:space="0" w:color="5B9BD4"/>
                          <w:left w:val="nil" w:sz="6" w:space="0" w:color="auto"/>
                          <w:bottom w:val="single" w:sz="4" w:space="0" w:color="5B9BD4"/>
                          <w:right w:val="single" w:sz="4" w:space="0" w:color="5B9BD4"/>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2" w:type="dxa"/>
                        <w:tcBorders>
                          <w:top w:val="single" w:sz="4" w:space="0" w:color="5B9BD4"/>
                          <w:left w:val="single" w:sz="13" w:space="0" w:color="DEEAF6"/>
                          <w:bottom w:val="single" w:sz="4" w:space="0" w:color="5B9BD4"/>
                          <w:right w:val="nil" w:sz="6" w:space="0" w:color="auto"/>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59" w:type="dxa"/>
                        <w:tcBorders>
                          <w:top w:val="single" w:sz="4" w:space="0" w:color="5B9BD4"/>
                          <w:left w:val="nil" w:sz="6" w:space="0" w:color="auto"/>
                          <w:bottom w:val="single" w:sz="4" w:space="0" w:color="5B9BD4"/>
                          <w:right w:val="single" w:sz="4" w:space="0" w:color="5B9BD4"/>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2" w:type="dxa"/>
                        <w:tcBorders>
                          <w:top w:val="single" w:sz="4" w:space="0" w:color="5B9BD4"/>
                          <w:left w:val="single" w:sz="13" w:space="0" w:color="DEEAF6"/>
                          <w:bottom w:val="single" w:sz="4" w:space="0" w:color="5B9BD4"/>
                          <w:right w:val="nil" w:sz="6" w:space="0" w:color="auto"/>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59" w:type="dxa"/>
                        <w:tcBorders>
                          <w:top w:val="single" w:sz="4" w:space="0" w:color="5B9BD4"/>
                          <w:left w:val="nil" w:sz="6" w:space="0" w:color="auto"/>
                          <w:bottom w:val="single" w:sz="4" w:space="0" w:color="5B9BD4"/>
                          <w:right w:val="single" w:sz="4" w:space="0" w:color="5B9BD4"/>
                        </w:tcBorders>
                        <w:shd w:val="clear" w:color="auto" w:fill="DEEAF6"/>
                      </w:tcPr>
                      <w:p>
                        <w:pPr>
                          <w:pStyle w:val="TableParagraph"/>
                          <w:spacing w:line="316" w:lineRule="auto" w:before="46"/>
                          <w:ind w:left="13"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2" w:type="dxa"/>
                        <w:tcBorders>
                          <w:top w:val="single" w:sz="4" w:space="0" w:color="5B9BD4"/>
                          <w:left w:val="single" w:sz="13" w:space="0" w:color="DEEAF6"/>
                          <w:bottom w:val="single" w:sz="4" w:space="0" w:color="5B9BD4"/>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59" w:type="dxa"/>
                        <w:tcBorders>
                          <w:top w:val="single" w:sz="4" w:space="0" w:color="5B9BD4"/>
                          <w:left w:val="nil" w:sz="6" w:space="0" w:color="auto"/>
                          <w:bottom w:val="single" w:sz="4" w:space="0" w:color="5B9BD4"/>
                          <w:right w:val="single" w:sz="4" w:space="0" w:color="5B9BD4"/>
                        </w:tcBorders>
                        <w:shd w:val="clear" w:color="auto" w:fill="DEEAF6"/>
                      </w:tcPr>
                      <w:p>
                        <w:pPr>
                          <w:pStyle w:val="TableParagraph"/>
                          <w:spacing w:line="316" w:lineRule="auto" w:before="46"/>
                          <w:ind w:left="13"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2" w:type="dxa"/>
                        <w:tcBorders>
                          <w:top w:val="single" w:sz="4" w:space="0" w:color="5B9BD4"/>
                          <w:left w:val="single" w:sz="13" w:space="0" w:color="DEEAF6"/>
                          <w:bottom w:val="single" w:sz="4" w:space="0" w:color="5B9BD4"/>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spacing w:val="16"/>
        </w:rPr>
        <w:t>度、</w:t>
      </w:r>
      <w:r>
        <w:rPr>
          <w:spacing w:val="-74"/>
        </w:rPr>
        <w:t> </w:t>
      </w:r>
      <w:r>
        <w:rPr>
          <w:rFonts w:ascii="Arial" w:hAnsi="Arial" w:cs="Arial" w:eastAsia="Arial" w:hint="default"/>
        </w:rPr>
        <w:t>2015</w:t>
      </w:r>
      <w:r>
        <w:rPr>
          <w:rFonts w:ascii="Arial" w:hAnsi="Arial" w:cs="Arial" w:eastAsia="Arial" w:hint="default"/>
          <w:spacing w:val="-27"/>
        </w:rPr>
        <w:t> </w:t>
      </w:r>
      <w:r>
        <w:rPr/>
        <w:t>年</w:t>
      </w:r>
      <w:r>
        <w:rPr>
          <w:spacing w:val="-73"/>
        </w:rPr>
        <w:t> </w:t>
      </w:r>
      <w:r>
        <w:rPr/>
        <w:t>度</w:t>
      </w:r>
      <w:r>
        <w:rPr>
          <w:spacing w:val="-74"/>
        </w:rPr>
        <w:t> </w:t>
      </w:r>
      <w:r>
        <w:rPr/>
        <w:t>分</w:t>
      </w:r>
      <w:r>
        <w:rPr>
          <w:spacing w:val="-74"/>
        </w:rPr>
        <w:t> </w:t>
      </w:r>
      <w:r>
        <w:rPr/>
        <w:t>别</w:t>
      </w:r>
      <w:r>
        <w:rPr>
          <w:spacing w:val="-73"/>
        </w:rPr>
        <w:t> </w:t>
      </w:r>
      <w:r>
        <w:rPr/>
        <w:t>实</w:t>
      </w:r>
      <w:r>
        <w:rPr>
          <w:spacing w:val="-74"/>
        </w:rPr>
        <w:t> </w:t>
      </w:r>
      <w:r>
        <w:rPr/>
        <w:t>现</w:t>
      </w:r>
      <w:r>
        <w:rPr>
          <w:spacing w:val="-73"/>
        </w:rPr>
        <w:t> </w:t>
      </w:r>
      <w:r>
        <w:rPr/>
        <w:t>归</w:t>
      </w:r>
      <w:r>
        <w:rPr>
          <w:spacing w:val="-74"/>
        </w:rPr>
        <w:t> </w:t>
      </w:r>
      <w:r>
        <w:rPr/>
        <w:t>属</w:t>
      </w:r>
      <w:r>
        <w:rPr>
          <w:spacing w:val="-74"/>
        </w:rPr>
        <w:t> </w:t>
      </w:r>
      <w:r>
        <w:rPr/>
        <w:t>于</w:t>
      </w:r>
      <w:r>
        <w:rPr>
          <w:spacing w:val="-73"/>
        </w:rPr>
        <w:t> </w:t>
      </w:r>
      <w:r>
        <w:rPr/>
        <w:t>上</w:t>
      </w:r>
      <w:r>
        <w:rPr>
          <w:spacing w:val="-74"/>
        </w:rPr>
        <w:t> </w:t>
      </w:r>
      <w:r>
        <w:rPr/>
        <w:t>市</w:t>
      </w:r>
      <w:r>
        <w:rPr>
          <w:spacing w:val="-73"/>
        </w:rPr>
        <w:t> </w:t>
      </w:r>
      <w:r>
        <w:rPr/>
        <w:t>公</w:t>
      </w:r>
      <w:r>
        <w:rPr>
          <w:spacing w:val="-74"/>
        </w:rPr>
        <w:t> </w:t>
      </w:r>
      <w:r>
        <w:rPr/>
        <w:t>司</w:t>
      </w:r>
      <w:r>
        <w:rPr>
          <w:spacing w:val="-74"/>
        </w:rPr>
        <w:t> </w:t>
      </w:r>
      <w:r>
        <w:rPr/>
        <w:t>股</w:t>
      </w:r>
      <w:r>
        <w:rPr>
          <w:spacing w:val="-73"/>
        </w:rPr>
        <w:t> </w:t>
      </w:r>
      <w:r>
        <w:rPr/>
        <w:t>东</w:t>
      </w:r>
      <w:r>
        <w:rPr>
          <w:spacing w:val="-74"/>
        </w:rPr>
        <w:t> </w:t>
      </w:r>
      <w:r>
        <w:rPr/>
        <w:t>的</w:t>
      </w:r>
      <w:r>
        <w:rPr>
          <w:spacing w:val="-73"/>
        </w:rPr>
        <w:t> </w:t>
      </w:r>
      <w:r>
        <w:rPr/>
        <w:t>净</w:t>
      </w:r>
      <w:r>
        <w:rPr>
          <w:spacing w:val="-74"/>
        </w:rPr>
        <w:t> </w:t>
      </w:r>
      <w:r>
        <w:rPr/>
        <w:t>利</w:t>
      </w:r>
      <w:r>
        <w:rPr>
          <w:spacing w:val="-74"/>
        </w:rPr>
        <w:t> </w:t>
      </w:r>
      <w:r>
        <w:rPr/>
        <w:t>润</w:t>
      </w:r>
      <w:r>
        <w:rPr>
          <w:spacing w:val="-73"/>
        </w:rPr>
        <w:t> </w:t>
      </w:r>
      <w:r>
        <w:rPr/>
        <w:t>为</w:t>
      </w:r>
      <w:r>
        <w:rPr>
          <w:spacing w:val="-69"/>
        </w:rPr>
        <w:t> </w:t>
      </w:r>
      <w:r>
        <w:rPr>
          <w:rFonts w:ascii="Arial" w:hAnsi="Arial" w:cs="Arial" w:eastAsia="Arial" w:hint="default"/>
        </w:rPr>
        <w:t>784,444,254.03</w:t>
      </w:r>
      <w:r>
        <w:rPr>
          <w:rFonts w:ascii="Arial" w:hAnsi="Arial" w:cs="Arial" w:eastAsia="Arial" w:hint="default"/>
          <w:spacing w:val="-27"/>
        </w:rPr>
        <w:t> </w:t>
      </w:r>
      <w:r>
        <w:rPr>
          <w:spacing w:val="16"/>
        </w:rPr>
        <w:t>元、</w:t>
      </w:r>
      <w:r>
        <w:rPr>
          <w:spacing w:val="-74"/>
        </w:rPr>
        <w:t> </w:t>
      </w:r>
      <w:r>
        <w:rPr>
          <w:rFonts w:ascii="Arial" w:hAnsi="Arial" w:cs="Arial" w:eastAsia="Arial" w:hint="default"/>
        </w:rPr>
        <w:t>29,143,960.41</w:t>
      </w:r>
      <w:r>
        <w:rPr>
          <w:rFonts w:ascii="Arial" w:hAnsi="Arial" w:cs="Arial" w:eastAsia="Arial" w:hint="default"/>
          <w:spacing w:val="-27"/>
        </w:rPr>
        <w:t> </w:t>
      </w:r>
      <w:r>
        <w:rPr>
          <w:spacing w:val="17"/>
        </w:rPr>
        <w:t>元、</w:t>
      </w:r>
      <w:r>
        <w:rPr>
          <w:spacing w:val="-71"/>
        </w:rPr>
        <w:t> </w:t>
      </w:r>
      <w:r>
        <w:rPr>
          <w:rFonts w:ascii="Arial" w:hAnsi="Arial" w:cs="Arial" w:eastAsia="Arial" w:hint="default"/>
          <w:spacing w:val="-1"/>
        </w:rPr>
        <w:t>140,631,298.55</w:t>
      </w:r>
      <w:r>
        <w:rPr>
          <w:spacing w:val="-1"/>
        </w:rPr>
        <w:t>元，</w:t>
      </w:r>
      <w:r>
        <w:rPr>
          <w:rFonts w:ascii="Arial" w:hAnsi="Arial" w:cs="Arial" w:eastAsia="Arial" w:hint="default"/>
          <w:spacing w:val="-1"/>
        </w:rPr>
        <w:t>2013</w:t>
      </w:r>
      <w:r>
        <w:rPr>
          <w:spacing w:val="-1"/>
        </w:rPr>
        <w:t>年度公司已现金分红</w:t>
      </w:r>
      <w:r>
        <w:rPr>
          <w:rFonts w:ascii="Arial" w:hAnsi="Arial" w:cs="Arial" w:eastAsia="Arial" w:hint="default"/>
          <w:spacing w:val="-1"/>
        </w:rPr>
        <w:t>147,990,000.00</w:t>
      </w:r>
      <w:r>
        <w:rPr>
          <w:spacing w:val="-1"/>
        </w:rPr>
        <w:t>元，占合并报表三年内实现的年均可分配利</w:t>
      </w:r>
      <w:r>
        <w:rPr>
          <w:spacing w:val="-94"/>
        </w:rPr>
        <w:t> </w:t>
      </w:r>
      <w:r>
        <w:rPr>
          <w:spacing w:val="-94"/>
        </w:rPr>
      </w:r>
      <w:r>
        <w:rPr/>
        <w:t>润的</w:t>
      </w:r>
      <w:r>
        <w:rPr>
          <w:rFonts w:ascii="Arial" w:hAnsi="Arial" w:cs="Arial" w:eastAsia="Arial" w:hint="default"/>
        </w:rPr>
        <w:t>46.53%</w:t>
      </w:r>
      <w:r>
        <w:rPr/>
        <w:t>；公司已执行上述分红政策。</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5"/>
        <w:spacing w:line="317" w:lineRule="exact" w:before="0"/>
        <w:ind w:left="154" w:right="0"/>
        <w:jc w:val="left"/>
        <w:rPr>
          <w:rFonts w:ascii="Microsoft JhengHei" w:hAnsi="Microsoft JhengHei" w:cs="Microsoft JhengHei" w:eastAsia="Microsoft JhengHei" w:hint="default"/>
          <w:b w:val="0"/>
          <w:bCs w:val="0"/>
        </w:rPr>
      </w:pPr>
      <w:r>
        <w:rPr>
          <w:rFonts w:ascii="Trebuchet MS" w:hAnsi="Trebuchet MS" w:cs="Trebuchet MS" w:eastAsia="Trebuchet MS" w:hint="default"/>
          <w:w w:val="94"/>
        </w:rPr>
        <w:t>1</w:t>
      </w:r>
      <w:r>
        <w:rPr>
          <w:rFonts w:ascii="Microsoft JhengHei" w:hAnsi="Microsoft JhengHei" w:cs="Microsoft JhengHei" w:eastAsia="Microsoft JhengHei" w:hint="default"/>
          <w:spacing w:val="-8"/>
        </w:rPr>
        <w:t>、</w:t>
      </w:r>
      <w:r>
        <w:rPr>
          <w:rFonts w:ascii="Microsoft JhengHei" w:hAnsi="Microsoft JhengHei" w:cs="Microsoft JhengHei" w:eastAsia="Microsoft JhengHei" w:hint="default"/>
        </w:rPr>
        <w:t>公司近 </w:t>
      </w:r>
      <w:r>
        <w:rPr>
          <w:rFonts w:ascii="Trebuchet MS" w:hAnsi="Trebuchet MS" w:cs="Trebuchet MS" w:eastAsia="Trebuchet MS" w:hint="default"/>
          <w:w w:val="94"/>
        </w:rPr>
        <w:t>3</w:t>
      </w:r>
      <w:r>
        <w:rPr>
          <w:rFonts w:ascii="Trebuchet MS" w:hAnsi="Trebuchet MS" w:cs="Trebuchet MS" w:eastAsia="Trebuchet MS" w:hint="default"/>
          <w:spacing w:val="-11"/>
        </w:rPr>
        <w:t> </w:t>
      </w:r>
      <w:r>
        <w:rPr>
          <w:rFonts w:ascii="Microsoft JhengHei" w:hAnsi="Microsoft JhengHei" w:cs="Microsoft JhengHei" w:eastAsia="Microsoft JhengHei" w:hint="default"/>
          <w:spacing w:val="-8"/>
        </w:rPr>
        <w:t>年</w:t>
      </w:r>
      <w:r>
        <w:rPr>
          <w:rFonts w:ascii="Microsoft JhengHei" w:hAnsi="Microsoft JhengHei" w:cs="Microsoft JhengHei" w:eastAsia="Microsoft JhengHei" w:hint="default"/>
        </w:rPr>
        <w:t>（包括本报</w:t>
      </w:r>
      <w:r>
        <w:rPr>
          <w:rFonts w:ascii="Microsoft JhengHei" w:hAnsi="Microsoft JhengHei" w:cs="Microsoft JhengHei" w:eastAsia="Microsoft JhengHei" w:hint="default"/>
          <w:spacing w:val="1"/>
        </w:rPr>
        <w:t>告</w:t>
      </w:r>
      <w:r>
        <w:rPr>
          <w:rFonts w:ascii="Microsoft JhengHei" w:hAnsi="Microsoft JhengHei" w:cs="Microsoft JhengHei" w:eastAsia="Microsoft JhengHei" w:hint="default"/>
        </w:rPr>
        <w:t>期</w:t>
      </w:r>
      <w:r>
        <w:rPr>
          <w:rFonts w:ascii="Microsoft JhengHei" w:hAnsi="Microsoft JhengHei" w:cs="Microsoft JhengHei" w:eastAsia="Microsoft JhengHei" w:hint="default"/>
          <w:spacing w:val="-8"/>
        </w:rPr>
        <w:t>）</w:t>
      </w:r>
      <w:r>
        <w:rPr>
          <w:rFonts w:ascii="Microsoft JhengHei" w:hAnsi="Microsoft JhengHei" w:cs="Microsoft JhengHei" w:eastAsia="Microsoft JhengHei" w:hint="default"/>
          <w:spacing w:val="-2"/>
        </w:rPr>
        <w:t>的</w:t>
      </w:r>
      <w:r>
        <w:rPr>
          <w:rFonts w:ascii="Microsoft JhengHei" w:hAnsi="Microsoft JhengHei" w:cs="Microsoft JhengHei" w:eastAsia="Microsoft JhengHei" w:hint="default"/>
        </w:rPr>
        <w:t>普</w:t>
      </w:r>
      <w:r>
        <w:rPr>
          <w:rFonts w:ascii="Microsoft JhengHei" w:hAnsi="Microsoft JhengHei" w:cs="Microsoft JhengHei" w:eastAsia="Microsoft JhengHei" w:hint="default"/>
          <w:spacing w:val="1"/>
        </w:rPr>
        <w:t>通</w:t>
      </w:r>
      <w:r>
        <w:rPr>
          <w:rFonts w:ascii="Microsoft JhengHei" w:hAnsi="Microsoft JhengHei" w:cs="Microsoft JhengHei" w:eastAsia="Microsoft JhengHei" w:hint="default"/>
        </w:rPr>
        <w:t>股股利分</w:t>
      </w:r>
      <w:r>
        <w:rPr>
          <w:rFonts w:ascii="Microsoft JhengHei" w:hAnsi="Microsoft JhengHei" w:cs="Microsoft JhengHei" w:eastAsia="Microsoft JhengHei" w:hint="default"/>
          <w:spacing w:val="1"/>
        </w:rPr>
        <w:t>配</w:t>
      </w:r>
      <w:r>
        <w:rPr>
          <w:rFonts w:ascii="Microsoft JhengHei" w:hAnsi="Microsoft JhengHei" w:cs="Microsoft JhengHei" w:eastAsia="Microsoft JhengHei" w:hint="default"/>
        </w:rPr>
        <w:t>方</w:t>
      </w:r>
      <w:r>
        <w:rPr>
          <w:rFonts w:ascii="Microsoft JhengHei" w:hAnsi="Microsoft JhengHei" w:cs="Microsoft JhengHei" w:eastAsia="Microsoft JhengHei" w:hint="default"/>
          <w:spacing w:val="-8"/>
        </w:rPr>
        <w:t>案</w:t>
      </w:r>
      <w:r>
        <w:rPr>
          <w:rFonts w:ascii="Microsoft JhengHei" w:hAnsi="Microsoft JhengHei" w:cs="Microsoft JhengHei" w:eastAsia="Microsoft JhengHei" w:hint="default"/>
          <w:spacing w:val="-2"/>
        </w:rPr>
        <w:t>（</w:t>
      </w:r>
      <w:r>
        <w:rPr>
          <w:rFonts w:ascii="Microsoft JhengHei" w:hAnsi="Microsoft JhengHei" w:cs="Microsoft JhengHei" w:eastAsia="Microsoft JhengHei" w:hint="default"/>
        </w:rPr>
        <w:t>预</w:t>
      </w:r>
      <w:r>
        <w:rPr>
          <w:rFonts w:ascii="Microsoft JhengHei" w:hAnsi="Microsoft JhengHei" w:cs="Microsoft JhengHei" w:eastAsia="Microsoft JhengHei" w:hint="default"/>
          <w:spacing w:val="1"/>
        </w:rPr>
        <w:t>案</w:t>
      </w:r>
      <w:r>
        <w:rPr>
          <w:rFonts w:ascii="Microsoft JhengHei" w:hAnsi="Microsoft JhengHei" w:cs="Microsoft JhengHei" w:eastAsia="Microsoft JhengHei" w:hint="default"/>
          <w:spacing w:val="-106"/>
        </w:rPr>
        <w:t>）</w:t>
      </w:r>
      <w:r>
        <w:rPr>
          <w:rFonts w:ascii="Microsoft JhengHei" w:hAnsi="Microsoft JhengHei" w:cs="Microsoft JhengHei" w:eastAsia="Microsoft JhengHei" w:hint="default"/>
          <w:spacing w:val="-8"/>
        </w:rPr>
        <w:t>、</w:t>
      </w:r>
      <w:r>
        <w:rPr>
          <w:rFonts w:ascii="Microsoft JhengHei" w:hAnsi="Microsoft JhengHei" w:cs="Microsoft JhengHei" w:eastAsia="Microsoft JhengHei" w:hint="default"/>
        </w:rPr>
        <w:t>资本公</w:t>
      </w:r>
      <w:r>
        <w:rPr>
          <w:rFonts w:ascii="Microsoft JhengHei" w:hAnsi="Microsoft JhengHei" w:cs="Microsoft JhengHei" w:eastAsia="Microsoft JhengHei" w:hint="default"/>
          <w:spacing w:val="1"/>
        </w:rPr>
        <w:t>积</w:t>
      </w:r>
      <w:r>
        <w:rPr>
          <w:rFonts w:ascii="Microsoft JhengHei" w:hAnsi="Microsoft JhengHei" w:cs="Microsoft JhengHei" w:eastAsia="Microsoft JhengHei" w:hint="default"/>
        </w:rPr>
        <w:t>金转增股</w:t>
      </w:r>
      <w:r>
        <w:rPr>
          <w:rFonts w:ascii="Microsoft JhengHei" w:hAnsi="Microsoft JhengHei" w:cs="Microsoft JhengHei" w:eastAsia="Microsoft JhengHei" w:hint="default"/>
          <w:spacing w:val="1"/>
        </w:rPr>
        <w:t>本</w:t>
      </w:r>
      <w:r>
        <w:rPr>
          <w:rFonts w:ascii="Microsoft JhengHei" w:hAnsi="Microsoft JhengHei" w:cs="Microsoft JhengHei" w:eastAsia="Microsoft JhengHei" w:hint="default"/>
        </w:rPr>
        <w:t>方</w:t>
      </w:r>
      <w:r>
        <w:rPr>
          <w:rFonts w:ascii="Microsoft JhengHei" w:hAnsi="Microsoft JhengHei" w:cs="Microsoft JhengHei" w:eastAsia="Microsoft JhengHei" w:hint="default"/>
          <w:spacing w:val="-8"/>
        </w:rPr>
        <w:t>案</w:t>
      </w:r>
      <w:r>
        <w:rPr>
          <w:rFonts w:ascii="Microsoft JhengHei" w:hAnsi="Microsoft JhengHei" w:cs="Microsoft JhengHei" w:eastAsia="Microsoft JhengHei" w:hint="default"/>
          <w:spacing w:val="-2"/>
        </w:rPr>
        <w:t>（</w:t>
      </w:r>
      <w:r>
        <w:rPr>
          <w:rFonts w:ascii="Microsoft JhengHei" w:hAnsi="Microsoft JhengHei" w:cs="Microsoft JhengHei" w:eastAsia="Microsoft JhengHei" w:hint="default"/>
        </w:rPr>
        <w:t>预案</w:t>
      </w:r>
      <w:r>
        <w:rPr>
          <w:rFonts w:ascii="Microsoft JhengHei" w:hAnsi="Microsoft JhengHei" w:cs="Microsoft JhengHei" w:eastAsia="Microsoft JhengHei" w:hint="default"/>
          <w:spacing w:val="-8"/>
        </w:rPr>
        <w:t>）</w:t>
      </w:r>
      <w:r>
        <w:rPr>
          <w:rFonts w:ascii="Microsoft JhengHei" w:hAnsi="Microsoft JhengHei" w:cs="Microsoft JhengHei" w:eastAsia="Microsoft JhengHei" w:hint="default"/>
          <w:spacing w:val="1"/>
        </w:rPr>
        <w:t>情</w:t>
      </w:r>
      <w:r>
        <w:rPr>
          <w:rFonts w:ascii="Microsoft JhengHei" w:hAnsi="Microsoft JhengHei" w:cs="Microsoft JhengHei" w:eastAsia="Microsoft JhengHei" w:hint="default"/>
        </w:rPr>
        <w:t>况</w:t>
      </w:r>
      <w:r>
        <w:rPr>
          <w:rFonts w:ascii="Microsoft JhengHei" w:hAnsi="Microsoft JhengHei" w:cs="Microsoft JhengHei" w:eastAsia="Microsoft JhengHei" w:hint="default"/>
          <w:b w:val="0"/>
          <w:bCs w:val="0"/>
        </w:rPr>
      </w:r>
    </w:p>
    <w:p>
      <w:pPr>
        <w:spacing w:line="240" w:lineRule="auto" w:before="6"/>
        <w:rPr>
          <w:rFonts w:ascii="Microsoft JhengHei" w:hAnsi="Microsoft JhengHei" w:cs="Microsoft JhengHei" w:eastAsia="Microsoft JhengHei" w:hint="default"/>
          <w:b/>
          <w:bCs/>
          <w:sz w:val="10"/>
          <w:szCs w:val="10"/>
        </w:rPr>
      </w:pPr>
    </w:p>
    <w:p>
      <w:pPr>
        <w:spacing w:line="453" w:lineRule="auto" w:before="0"/>
        <w:ind w:left="573"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rebuchet MS" w:hAnsi="Trebuchet MS" w:cs="Trebuchet MS" w:eastAsia="Trebuchet MS" w:hint="default"/>
          <w:b/>
          <w:bCs/>
          <w:sz w:val="21"/>
          <w:szCs w:val="21"/>
        </w:rPr>
        <w:t>1</w:t>
      </w:r>
      <w:r>
        <w:rPr>
          <w:rFonts w:ascii="Microsoft JhengHei" w:hAnsi="Microsoft JhengHei" w:cs="Microsoft JhengHei" w:eastAsia="Microsoft JhengHei" w:hint="default"/>
          <w:b/>
          <w:bCs/>
          <w:sz w:val="21"/>
          <w:szCs w:val="21"/>
        </w:rPr>
        <w:t>）</w:t>
      </w:r>
      <w:r>
        <w:rPr>
          <w:rFonts w:ascii="Trebuchet MS" w:hAnsi="Trebuchet MS" w:cs="Trebuchet MS" w:eastAsia="Trebuchet MS" w:hint="default"/>
          <w:b/>
          <w:bCs/>
          <w:sz w:val="21"/>
          <w:szCs w:val="21"/>
        </w:rPr>
        <w:t>2013</w:t>
      </w:r>
      <w:r>
        <w:rPr>
          <w:rFonts w:ascii="Microsoft JhengHei" w:hAnsi="Microsoft JhengHei" w:cs="Microsoft JhengHei" w:eastAsia="Microsoft JhengHei" w:hint="default"/>
          <w:b/>
          <w:bCs/>
          <w:sz w:val="21"/>
          <w:szCs w:val="21"/>
        </w:rPr>
        <w:t>年度利润分配预案 </w:t>
      </w:r>
      <w:r>
        <w:rPr>
          <w:rFonts w:ascii="Arial" w:hAnsi="Arial" w:cs="Arial" w:eastAsia="Arial" w:hint="default"/>
          <w:sz w:val="21"/>
          <w:szCs w:val="21"/>
        </w:rPr>
        <w:t>2014</w:t>
      </w:r>
      <w:r>
        <w:rPr>
          <w:rFonts w:ascii="宋体" w:hAnsi="宋体" w:cs="宋体" w:eastAsia="宋体" w:hint="default"/>
          <w:sz w:val="21"/>
          <w:szCs w:val="21"/>
        </w:rPr>
        <w:t>年</w:t>
      </w:r>
      <w:r>
        <w:rPr>
          <w:rFonts w:ascii="Arial" w:hAnsi="Arial" w:cs="Arial" w:eastAsia="Arial" w:hint="default"/>
          <w:sz w:val="21"/>
          <w:szCs w:val="21"/>
        </w:rPr>
        <w:t>6</w:t>
      </w:r>
      <w:r>
        <w:rPr>
          <w:rFonts w:ascii="宋体" w:hAnsi="宋体" w:cs="宋体" w:eastAsia="宋体" w:hint="default"/>
          <w:sz w:val="21"/>
          <w:szCs w:val="21"/>
        </w:rPr>
        <w:t>月</w:t>
      </w:r>
      <w:r>
        <w:rPr>
          <w:rFonts w:ascii="Arial" w:hAnsi="Arial" w:cs="Arial" w:eastAsia="Arial" w:hint="default"/>
          <w:sz w:val="21"/>
          <w:szCs w:val="21"/>
        </w:rPr>
        <w:t>6</w:t>
      </w:r>
      <w:r>
        <w:rPr>
          <w:rFonts w:ascii="宋体" w:hAnsi="宋体" w:cs="宋体" w:eastAsia="宋体" w:hint="default"/>
          <w:sz w:val="21"/>
          <w:szCs w:val="21"/>
        </w:rPr>
        <w:t>日，公司</w:t>
      </w:r>
      <w:r>
        <w:rPr>
          <w:rFonts w:ascii="Arial" w:hAnsi="Arial" w:cs="Arial" w:eastAsia="Arial" w:hint="default"/>
          <w:sz w:val="21"/>
          <w:szCs w:val="21"/>
        </w:rPr>
        <w:t>2013</w:t>
      </w:r>
      <w:r>
        <w:rPr>
          <w:rFonts w:ascii="宋体" w:hAnsi="宋体" w:cs="宋体" w:eastAsia="宋体" w:hint="default"/>
          <w:sz w:val="21"/>
          <w:szCs w:val="21"/>
        </w:rPr>
        <w:t>年年度股东大会审议通过了《</w:t>
      </w:r>
      <w:r>
        <w:rPr>
          <w:rFonts w:ascii="Arial" w:hAnsi="Arial" w:cs="Arial" w:eastAsia="Arial" w:hint="default"/>
          <w:sz w:val="21"/>
          <w:szCs w:val="21"/>
        </w:rPr>
        <w:t>2013</w:t>
      </w:r>
      <w:r>
        <w:rPr>
          <w:rFonts w:ascii="宋体" w:hAnsi="宋体" w:cs="宋体" w:eastAsia="宋体" w:hint="default"/>
          <w:sz w:val="21"/>
          <w:szCs w:val="21"/>
        </w:rPr>
        <w:t>年度利润分配预案》，决定以公司现有</w:t>
      </w:r>
    </w:p>
    <w:p>
      <w:pPr>
        <w:spacing w:after="0" w:line="453" w:lineRule="auto"/>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388" w:lineRule="auto" w:before="18"/>
        <w:ind w:right="0"/>
        <w:jc w:val="left"/>
      </w:pPr>
      <w:r>
        <w:rPr/>
        <w:t>总股本</w:t>
      </w:r>
      <w:r>
        <w:rPr>
          <w:rFonts w:ascii="Arial" w:hAnsi="Arial" w:cs="Arial" w:eastAsia="Arial" w:hint="default"/>
        </w:rPr>
        <w:t>999,100,000</w:t>
      </w:r>
      <w:r>
        <w:rPr/>
        <w:t>股为基数，向全体股东每</w:t>
      </w:r>
      <w:r>
        <w:rPr>
          <w:rFonts w:ascii="Arial" w:hAnsi="Arial" w:cs="Arial" w:eastAsia="Arial" w:hint="default"/>
        </w:rPr>
        <w:t>10</w:t>
      </w:r>
      <w:r>
        <w:rPr/>
        <w:t>股派</w:t>
      </w:r>
      <w:r>
        <w:rPr>
          <w:rFonts w:ascii="Arial" w:hAnsi="Arial" w:cs="Arial" w:eastAsia="Arial" w:hint="default"/>
        </w:rPr>
        <w:t>1.50</w:t>
      </w:r>
      <w:r>
        <w:rPr/>
        <w:t>元人民币现金（含税）。上述方案已于</w:t>
      </w:r>
      <w:r>
        <w:rPr>
          <w:rFonts w:ascii="Arial" w:hAnsi="Arial" w:cs="Arial" w:eastAsia="Arial" w:hint="default"/>
        </w:rPr>
        <w:t>2014</w:t>
      </w:r>
      <w:r>
        <w:rPr/>
        <w:t>年</w:t>
      </w:r>
      <w:r>
        <w:rPr>
          <w:rFonts w:ascii="Arial" w:hAnsi="Arial" w:cs="Arial" w:eastAsia="Arial" w:hint="default"/>
        </w:rPr>
        <w:t>7</w:t>
      </w:r>
      <w:r>
        <w:rPr>
          <w:rFonts w:ascii="Arial" w:hAnsi="Arial" w:cs="Arial" w:eastAsia="Arial" w:hint="default"/>
          <w:spacing w:val="31"/>
        </w:rPr>
        <w:t> </w:t>
      </w:r>
      <w:r>
        <w:rPr/>
        <w:t>月</w:t>
      </w:r>
      <w:r>
        <w:rPr>
          <w:rFonts w:ascii="Arial" w:hAnsi="Arial" w:cs="Arial" w:eastAsia="Arial" w:hint="default"/>
        </w:rPr>
        <w:t>15</w:t>
      </w:r>
      <w:r>
        <w:rPr/>
        <w:t>日实施完毕。</w:t>
      </w:r>
    </w:p>
    <w:p>
      <w:pPr>
        <w:spacing w:line="453" w:lineRule="auto" w:before="122"/>
        <w:ind w:left="573"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rebuchet MS" w:hAnsi="Trebuchet MS" w:cs="Trebuchet MS" w:eastAsia="Trebuchet MS" w:hint="default"/>
          <w:b/>
          <w:bCs/>
          <w:sz w:val="21"/>
          <w:szCs w:val="21"/>
        </w:rPr>
        <w:t>2</w:t>
      </w:r>
      <w:r>
        <w:rPr>
          <w:rFonts w:ascii="Microsoft JhengHei" w:hAnsi="Microsoft JhengHei" w:cs="Microsoft JhengHei" w:eastAsia="Microsoft JhengHei" w:hint="default"/>
          <w:b/>
          <w:bCs/>
          <w:sz w:val="21"/>
          <w:szCs w:val="21"/>
        </w:rPr>
        <w:t>）</w:t>
      </w:r>
      <w:r>
        <w:rPr>
          <w:rFonts w:ascii="Trebuchet MS" w:hAnsi="Trebuchet MS" w:cs="Trebuchet MS" w:eastAsia="Trebuchet MS" w:hint="default"/>
          <w:b/>
          <w:bCs/>
          <w:sz w:val="21"/>
          <w:szCs w:val="21"/>
        </w:rPr>
        <w:t>2014</w:t>
      </w:r>
      <w:r>
        <w:rPr>
          <w:rFonts w:ascii="Microsoft JhengHei" w:hAnsi="Microsoft JhengHei" w:cs="Microsoft JhengHei" w:eastAsia="Microsoft JhengHei" w:hint="default"/>
          <w:b/>
          <w:bCs/>
          <w:sz w:val="21"/>
          <w:szCs w:val="21"/>
        </w:rPr>
        <w:t>年度利润分配预案 </w:t>
      </w:r>
      <w:r>
        <w:rPr>
          <w:rFonts w:ascii="Arial" w:hAnsi="Arial" w:cs="Arial" w:eastAsia="Arial" w:hint="default"/>
          <w:sz w:val="21"/>
          <w:szCs w:val="21"/>
        </w:rPr>
        <w:t>2015</w:t>
      </w:r>
      <w:r>
        <w:rPr>
          <w:rFonts w:ascii="宋体" w:hAnsi="宋体" w:cs="宋体" w:eastAsia="宋体" w:hint="default"/>
          <w:sz w:val="21"/>
          <w:szCs w:val="21"/>
        </w:rPr>
        <w:t>年</w:t>
      </w:r>
      <w:r>
        <w:rPr>
          <w:rFonts w:ascii="Arial" w:hAnsi="Arial" w:cs="Arial" w:eastAsia="Arial" w:hint="default"/>
          <w:sz w:val="21"/>
          <w:szCs w:val="21"/>
        </w:rPr>
        <w:t>5</w:t>
      </w:r>
      <w:r>
        <w:rPr>
          <w:rFonts w:ascii="宋体" w:hAnsi="宋体" w:cs="宋体" w:eastAsia="宋体" w:hint="default"/>
          <w:sz w:val="21"/>
          <w:szCs w:val="21"/>
        </w:rPr>
        <w:t>月</w:t>
      </w:r>
      <w:r>
        <w:rPr>
          <w:rFonts w:ascii="Arial" w:hAnsi="Arial" w:cs="Arial" w:eastAsia="Arial" w:hint="default"/>
          <w:sz w:val="21"/>
          <w:szCs w:val="21"/>
        </w:rPr>
        <w:t>19</w:t>
      </w:r>
      <w:r>
        <w:rPr>
          <w:rFonts w:ascii="宋体" w:hAnsi="宋体" w:cs="宋体" w:eastAsia="宋体" w:hint="default"/>
          <w:sz w:val="21"/>
          <w:szCs w:val="21"/>
        </w:rPr>
        <w:t>日，公司</w:t>
      </w:r>
      <w:r>
        <w:rPr>
          <w:rFonts w:ascii="Arial" w:hAnsi="Arial" w:cs="Arial" w:eastAsia="Arial" w:hint="default"/>
          <w:sz w:val="21"/>
          <w:szCs w:val="21"/>
        </w:rPr>
        <w:t>2014</w:t>
      </w:r>
      <w:r>
        <w:rPr>
          <w:rFonts w:ascii="宋体" w:hAnsi="宋体" w:cs="宋体" w:eastAsia="宋体" w:hint="default"/>
          <w:sz w:val="21"/>
          <w:szCs w:val="21"/>
        </w:rPr>
        <w:t>年年度股东大会审议通过了《</w:t>
      </w:r>
      <w:r>
        <w:rPr>
          <w:rFonts w:ascii="Arial" w:hAnsi="Arial" w:cs="Arial" w:eastAsia="Arial" w:hint="default"/>
          <w:sz w:val="21"/>
          <w:szCs w:val="21"/>
        </w:rPr>
        <w:t>2014</w:t>
      </w:r>
      <w:r>
        <w:rPr>
          <w:rFonts w:ascii="宋体" w:hAnsi="宋体" w:cs="宋体" w:eastAsia="宋体" w:hint="default"/>
          <w:sz w:val="21"/>
          <w:szCs w:val="21"/>
        </w:rPr>
        <w:t>年度利润分配预案》，决定</w:t>
      </w:r>
      <w:r>
        <w:rPr>
          <w:rFonts w:ascii="Arial" w:hAnsi="Arial" w:cs="Arial" w:eastAsia="Arial" w:hint="default"/>
          <w:sz w:val="21"/>
          <w:szCs w:val="21"/>
        </w:rPr>
        <w:t>2014</w:t>
      </w:r>
      <w:r>
        <w:rPr>
          <w:rFonts w:ascii="宋体" w:hAnsi="宋体" w:cs="宋体" w:eastAsia="宋体" w:hint="default"/>
          <w:sz w:val="21"/>
          <w:szCs w:val="21"/>
        </w:rPr>
        <w:t>年度</w:t>
      </w:r>
    </w:p>
    <w:p>
      <w:pPr>
        <w:pStyle w:val="BodyText"/>
        <w:spacing w:line="244" w:lineRule="exact"/>
        <w:ind w:right="0"/>
        <w:jc w:val="left"/>
      </w:pPr>
      <w:r>
        <w:rPr/>
        <w:t>不派发现金红利，不送红股，不以资本公积金转增股本。</w:t>
      </w:r>
    </w:p>
    <w:p>
      <w:pPr>
        <w:spacing w:line="240" w:lineRule="auto" w:before="8"/>
        <w:rPr>
          <w:rFonts w:ascii="宋体" w:hAnsi="宋体" w:cs="宋体" w:eastAsia="宋体" w:hint="default"/>
          <w:sz w:val="21"/>
          <w:szCs w:val="21"/>
        </w:rPr>
      </w:pPr>
    </w:p>
    <w:p>
      <w:pPr>
        <w:pStyle w:val="Heading5"/>
        <w:spacing w:line="240" w:lineRule="auto" w:before="0"/>
        <w:ind w:left="573" w:right="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w:t>
      </w:r>
      <w:r>
        <w:rPr>
          <w:rFonts w:ascii="Trebuchet MS" w:hAnsi="Trebuchet MS" w:cs="Trebuchet MS" w:eastAsia="Trebuchet MS" w:hint="default"/>
        </w:rPr>
        <w:t>3</w:t>
      </w:r>
      <w:r>
        <w:rPr>
          <w:rFonts w:ascii="Microsoft JhengHei" w:hAnsi="Microsoft JhengHei" w:cs="Microsoft JhengHei" w:eastAsia="Microsoft JhengHei" w:hint="default"/>
        </w:rPr>
        <w:t>）</w:t>
      </w:r>
      <w:r>
        <w:rPr>
          <w:rFonts w:ascii="Trebuchet MS" w:hAnsi="Trebuchet MS" w:cs="Trebuchet MS" w:eastAsia="Trebuchet MS" w:hint="default"/>
        </w:rPr>
        <w:t>2015</w:t>
      </w:r>
      <w:r>
        <w:rPr>
          <w:rFonts w:ascii="Microsoft JhengHei" w:hAnsi="Microsoft JhengHei" w:cs="Microsoft JhengHei" w:eastAsia="Microsoft JhengHei" w:hint="default"/>
        </w:rPr>
        <w:t>年度利润分配预案</w:t>
      </w:r>
      <w:r>
        <w:rPr>
          <w:rFonts w:ascii="Microsoft JhengHei" w:hAnsi="Microsoft JhengHei" w:cs="Microsoft JhengHei" w:eastAsia="Microsoft JhengHei" w:hint="default"/>
          <w:b w:val="0"/>
          <w:bCs w:val="0"/>
        </w:rPr>
      </w:r>
    </w:p>
    <w:p>
      <w:pPr>
        <w:spacing w:line="240" w:lineRule="auto" w:before="3"/>
        <w:rPr>
          <w:rFonts w:ascii="Microsoft JhengHei" w:hAnsi="Microsoft JhengHei" w:cs="Microsoft JhengHei" w:eastAsia="Microsoft JhengHei" w:hint="default"/>
          <w:b/>
          <w:bCs/>
          <w:sz w:val="18"/>
          <w:szCs w:val="18"/>
        </w:rPr>
      </w:pPr>
    </w:p>
    <w:p>
      <w:pPr>
        <w:spacing w:line="369" w:lineRule="auto" w:before="0"/>
        <w:ind w:left="153" w:right="1131" w:firstLine="440"/>
        <w:jc w:val="both"/>
        <w:rPr>
          <w:rFonts w:ascii="宋体" w:hAnsi="宋体" w:cs="宋体" w:eastAsia="宋体" w:hint="default"/>
          <w:sz w:val="22"/>
          <w:szCs w:val="22"/>
        </w:rPr>
      </w:pPr>
      <w:r>
        <w:rPr>
          <w:rFonts w:ascii="宋体" w:hAnsi="宋体" w:cs="宋体" w:eastAsia="宋体" w:hint="default"/>
          <w:spacing w:val="-5"/>
          <w:sz w:val="22"/>
          <w:szCs w:val="22"/>
        </w:rPr>
        <w:t>根据瑞华会计师事务所（特殊普通合伙）审计报告，公司</w:t>
      </w:r>
      <w:r>
        <w:rPr>
          <w:rFonts w:ascii="Arial" w:hAnsi="Arial" w:cs="Arial" w:eastAsia="Arial" w:hint="default"/>
          <w:spacing w:val="-5"/>
          <w:sz w:val="22"/>
          <w:szCs w:val="22"/>
        </w:rPr>
        <w:t>2015</w:t>
      </w:r>
      <w:r>
        <w:rPr>
          <w:rFonts w:ascii="宋体" w:hAnsi="宋体" w:cs="宋体" w:eastAsia="宋体" w:hint="default"/>
          <w:spacing w:val="-5"/>
          <w:sz w:val="22"/>
          <w:szCs w:val="22"/>
        </w:rPr>
        <w:t>年度实现净利润</w:t>
      </w:r>
      <w:r>
        <w:rPr>
          <w:rFonts w:ascii="Arial" w:hAnsi="Arial" w:cs="Arial" w:eastAsia="Arial" w:hint="default"/>
          <w:spacing w:val="-5"/>
          <w:sz w:val="21"/>
          <w:szCs w:val="21"/>
        </w:rPr>
        <w:t>140,631,298.55</w:t>
      </w:r>
      <w:r>
        <w:rPr>
          <w:rFonts w:ascii="宋体" w:hAnsi="宋体" w:cs="宋体" w:eastAsia="宋体" w:hint="default"/>
          <w:spacing w:val="-5"/>
          <w:sz w:val="22"/>
          <w:szCs w:val="22"/>
        </w:rPr>
        <w:t>元，</w:t>
      </w:r>
      <w:r>
        <w:rPr>
          <w:rFonts w:ascii="宋体" w:hAnsi="宋体" w:cs="宋体" w:eastAsia="宋体" w:hint="default"/>
          <w:w w:val="99"/>
          <w:sz w:val="22"/>
          <w:szCs w:val="22"/>
        </w:rPr>
        <w:t> </w:t>
      </w:r>
      <w:r>
        <w:rPr>
          <w:rFonts w:ascii="宋体" w:hAnsi="宋体" w:cs="宋体" w:eastAsia="宋体" w:hint="default"/>
          <w:spacing w:val="-12"/>
          <w:w w:val="99"/>
          <w:sz w:val="22"/>
          <w:szCs w:val="22"/>
        </w:rPr>
        <w:t>根据《公司法》和《公司章程》的有关规定，取法定盈余公积金后，加上年初未分配利润</w:t>
      </w:r>
      <w:r>
        <w:rPr>
          <w:rFonts w:ascii="Arial" w:hAnsi="Arial" w:cs="Arial" w:eastAsia="Arial" w:hint="default"/>
          <w:spacing w:val="-12"/>
          <w:w w:val="99"/>
          <w:sz w:val="22"/>
          <w:szCs w:val="22"/>
        </w:rPr>
        <w:t>1,583,472,544.55</w:t>
      </w:r>
      <w:r>
        <w:rPr>
          <w:rFonts w:ascii="Arial" w:hAnsi="Arial" w:cs="Arial" w:eastAsia="Arial" w:hint="default"/>
          <w:spacing w:val="-42"/>
          <w:w w:val="99"/>
          <w:sz w:val="22"/>
          <w:szCs w:val="22"/>
        </w:rPr>
        <w:t> </w:t>
      </w:r>
      <w:r>
        <w:rPr>
          <w:rFonts w:ascii="Arial" w:hAnsi="Arial" w:cs="Arial" w:eastAsia="Arial" w:hint="default"/>
          <w:spacing w:val="-42"/>
          <w:w w:val="99"/>
          <w:sz w:val="22"/>
          <w:szCs w:val="22"/>
        </w:rPr>
      </w:r>
      <w:r>
        <w:rPr>
          <w:rFonts w:ascii="宋体" w:hAnsi="宋体" w:cs="宋体" w:eastAsia="宋体" w:hint="default"/>
          <w:sz w:val="22"/>
          <w:szCs w:val="22"/>
        </w:rPr>
        <w:t>元，截至</w:t>
      </w:r>
      <w:r>
        <w:rPr>
          <w:rFonts w:ascii="Arial" w:hAnsi="Arial" w:cs="Arial" w:eastAsia="Arial" w:hint="default"/>
          <w:sz w:val="22"/>
          <w:szCs w:val="22"/>
        </w:rPr>
        <w:t>2015</w:t>
      </w:r>
      <w:r>
        <w:rPr>
          <w:rFonts w:ascii="宋体" w:hAnsi="宋体" w:cs="宋体" w:eastAsia="宋体" w:hint="default"/>
          <w:sz w:val="22"/>
          <w:szCs w:val="22"/>
        </w:rPr>
        <w:t>年</w:t>
      </w:r>
      <w:r>
        <w:rPr>
          <w:rFonts w:ascii="Arial" w:hAnsi="Arial" w:cs="Arial" w:eastAsia="Arial" w:hint="default"/>
          <w:sz w:val="22"/>
          <w:szCs w:val="22"/>
        </w:rPr>
        <w:t>12</w:t>
      </w:r>
      <w:r>
        <w:rPr>
          <w:rFonts w:ascii="宋体" w:hAnsi="宋体" w:cs="宋体" w:eastAsia="宋体" w:hint="default"/>
          <w:sz w:val="22"/>
          <w:szCs w:val="22"/>
        </w:rPr>
        <w:t>月</w:t>
      </w:r>
      <w:r>
        <w:rPr>
          <w:rFonts w:ascii="Arial" w:hAnsi="Arial" w:cs="Arial" w:eastAsia="Arial" w:hint="default"/>
          <w:sz w:val="22"/>
          <w:szCs w:val="22"/>
        </w:rPr>
        <w:t>31</w:t>
      </w:r>
      <w:r>
        <w:rPr>
          <w:rFonts w:ascii="宋体" w:hAnsi="宋体" w:cs="宋体" w:eastAsia="宋体" w:hint="default"/>
          <w:sz w:val="22"/>
          <w:szCs w:val="22"/>
        </w:rPr>
        <w:t>日，</w:t>
      </w:r>
      <w:r>
        <w:rPr>
          <w:rFonts w:ascii="宋体" w:hAnsi="宋体" w:cs="宋体" w:eastAsia="宋体" w:hint="default"/>
          <w:spacing w:val="-41"/>
          <w:sz w:val="22"/>
          <w:szCs w:val="22"/>
        </w:rPr>
        <w:t> </w:t>
      </w:r>
      <w:r>
        <w:rPr>
          <w:rFonts w:ascii="宋体" w:hAnsi="宋体" w:cs="宋体" w:eastAsia="宋体" w:hint="default"/>
          <w:sz w:val="22"/>
          <w:szCs w:val="22"/>
        </w:rPr>
        <w:t>公司可供股东分配的利润为</w:t>
      </w:r>
      <w:r>
        <w:rPr>
          <w:rFonts w:ascii="Arial" w:hAnsi="Arial" w:cs="Arial" w:eastAsia="Arial" w:hint="default"/>
          <w:sz w:val="22"/>
          <w:szCs w:val="22"/>
        </w:rPr>
        <w:t>1,719,865,593.06</w:t>
      </w:r>
      <w:r>
        <w:rPr>
          <w:rFonts w:ascii="宋体" w:hAnsi="宋体" w:cs="宋体" w:eastAsia="宋体" w:hint="default"/>
          <w:sz w:val="22"/>
          <w:szCs w:val="22"/>
        </w:rPr>
        <w:t>元，</w:t>
      </w:r>
      <w:r>
        <w:rPr>
          <w:rFonts w:ascii="Arial" w:hAnsi="Arial" w:cs="Arial" w:eastAsia="Arial" w:hint="default"/>
          <w:sz w:val="22"/>
          <w:szCs w:val="22"/>
        </w:rPr>
        <w:t>2015</w:t>
      </w:r>
      <w:r>
        <w:rPr>
          <w:rFonts w:ascii="宋体" w:hAnsi="宋体" w:cs="宋体" w:eastAsia="宋体" w:hint="default"/>
          <w:sz w:val="22"/>
          <w:szCs w:val="22"/>
        </w:rPr>
        <w:t>年末资本公积金</w:t>
      </w:r>
      <w:r>
        <w:rPr>
          <w:rFonts w:ascii="宋体" w:hAnsi="宋体" w:cs="宋体" w:eastAsia="宋体" w:hint="default"/>
          <w:w w:val="99"/>
          <w:sz w:val="22"/>
          <w:szCs w:val="22"/>
        </w:rPr>
        <w:t> </w:t>
      </w:r>
      <w:r>
        <w:rPr>
          <w:rFonts w:ascii="宋体" w:hAnsi="宋体" w:cs="宋体" w:eastAsia="宋体" w:hint="default"/>
          <w:sz w:val="22"/>
          <w:szCs w:val="22"/>
        </w:rPr>
        <w:t>余额</w:t>
      </w:r>
      <w:r>
        <w:rPr>
          <w:rFonts w:ascii="Arial" w:hAnsi="Arial" w:cs="Arial" w:eastAsia="Arial" w:hint="default"/>
          <w:sz w:val="22"/>
          <w:szCs w:val="22"/>
        </w:rPr>
        <w:t>1,476,835,794.70</w:t>
      </w:r>
      <w:r>
        <w:rPr>
          <w:rFonts w:ascii="宋体" w:hAnsi="宋体" w:cs="宋体" w:eastAsia="宋体" w:hint="default"/>
          <w:sz w:val="22"/>
          <w:szCs w:val="22"/>
        </w:rPr>
        <w:t>元。</w:t>
      </w:r>
    </w:p>
    <w:p>
      <w:pPr>
        <w:spacing w:line="408" w:lineRule="auto" w:before="187"/>
        <w:ind w:left="154" w:right="1132" w:firstLine="440"/>
        <w:jc w:val="both"/>
        <w:rPr>
          <w:rFonts w:ascii="宋体" w:hAnsi="宋体" w:cs="宋体" w:eastAsia="宋体" w:hint="default"/>
          <w:sz w:val="22"/>
          <w:szCs w:val="22"/>
        </w:rPr>
      </w:pPr>
      <w:r>
        <w:rPr>
          <w:rFonts w:ascii="宋体" w:hAnsi="宋体" w:cs="宋体" w:eastAsia="宋体" w:hint="default"/>
          <w:spacing w:val="-2"/>
          <w:sz w:val="22"/>
          <w:szCs w:val="22"/>
        </w:rPr>
        <w:t>根据公司章程规定，在不损害公司持续经营能力的前提下，公司在任一连续三年中以现金方式累</w:t>
      </w:r>
      <w:r>
        <w:rPr>
          <w:rFonts w:ascii="宋体" w:hAnsi="宋体" w:cs="宋体" w:eastAsia="宋体" w:hint="default"/>
          <w:w w:val="99"/>
          <w:sz w:val="22"/>
          <w:szCs w:val="22"/>
        </w:rPr>
        <w:t> </w:t>
      </w:r>
      <w:r>
        <w:rPr>
          <w:rFonts w:ascii="宋体" w:hAnsi="宋体" w:cs="宋体" w:eastAsia="宋体" w:hint="default"/>
          <w:w w:val="95"/>
          <w:sz w:val="22"/>
          <w:szCs w:val="22"/>
        </w:rPr>
        <w:t>计分配的利润不得少于该三年实现的年均可分配利润的</w:t>
      </w:r>
      <w:r>
        <w:rPr>
          <w:rFonts w:ascii="Arial" w:hAnsi="Arial" w:cs="Arial" w:eastAsia="Arial" w:hint="default"/>
          <w:w w:val="95"/>
          <w:sz w:val="22"/>
          <w:szCs w:val="22"/>
        </w:rPr>
        <w:t>30%</w:t>
      </w:r>
      <w:r>
        <w:rPr>
          <w:rFonts w:ascii="宋体" w:hAnsi="宋体" w:cs="宋体" w:eastAsia="宋体" w:hint="default"/>
          <w:w w:val="95"/>
          <w:sz w:val="22"/>
          <w:szCs w:val="22"/>
        </w:rPr>
        <w:t>。而公司最近三年累计现金分红金额占公</w:t>
      </w:r>
      <w:r>
        <w:rPr>
          <w:rFonts w:ascii="宋体" w:hAnsi="宋体" w:cs="宋体" w:eastAsia="宋体" w:hint="default"/>
          <w:spacing w:val="9"/>
          <w:w w:val="95"/>
          <w:sz w:val="22"/>
          <w:szCs w:val="22"/>
        </w:rPr>
        <w:t> </w:t>
      </w:r>
      <w:r>
        <w:rPr>
          <w:rFonts w:ascii="宋体" w:hAnsi="宋体" w:cs="宋体" w:eastAsia="宋体" w:hint="default"/>
          <w:spacing w:val="9"/>
          <w:w w:val="95"/>
          <w:sz w:val="22"/>
          <w:szCs w:val="22"/>
        </w:rPr>
      </w:r>
      <w:r>
        <w:rPr>
          <w:rFonts w:ascii="宋体" w:hAnsi="宋体" w:cs="宋体" w:eastAsia="宋体" w:hint="default"/>
          <w:spacing w:val="-2"/>
          <w:w w:val="95"/>
          <w:sz w:val="22"/>
          <w:szCs w:val="22"/>
        </w:rPr>
        <w:t>司合并最近三年平均净利润的比例为</w:t>
      </w:r>
      <w:r>
        <w:rPr>
          <w:rFonts w:ascii="Arial" w:hAnsi="Arial" w:cs="Arial" w:eastAsia="Arial" w:hint="default"/>
          <w:spacing w:val="-2"/>
          <w:w w:val="95"/>
          <w:sz w:val="22"/>
          <w:szCs w:val="22"/>
        </w:rPr>
        <w:t>46.53%</w:t>
      </w:r>
      <w:r>
        <w:rPr>
          <w:rFonts w:ascii="宋体" w:hAnsi="宋体" w:cs="宋体" w:eastAsia="宋体" w:hint="default"/>
          <w:spacing w:val="-2"/>
          <w:w w:val="95"/>
          <w:sz w:val="22"/>
          <w:szCs w:val="22"/>
        </w:rPr>
        <w:t>。考虑到</w:t>
      </w:r>
      <w:r>
        <w:rPr>
          <w:rFonts w:ascii="宋体" w:hAnsi="宋体" w:cs="宋体" w:eastAsia="宋体" w:hint="default"/>
          <w:spacing w:val="-2"/>
          <w:w w:val="95"/>
          <w:sz w:val="24"/>
          <w:szCs w:val="24"/>
        </w:rPr>
        <w:t>经营发展的需要</w:t>
      </w:r>
      <w:r>
        <w:rPr>
          <w:rFonts w:ascii="宋体" w:hAnsi="宋体" w:cs="宋体" w:eastAsia="宋体" w:hint="default"/>
          <w:spacing w:val="-2"/>
          <w:w w:val="95"/>
          <w:sz w:val="22"/>
          <w:szCs w:val="22"/>
        </w:rPr>
        <w:t>，公司董事会决定</w:t>
      </w:r>
      <w:r>
        <w:rPr>
          <w:rFonts w:ascii="Arial" w:hAnsi="Arial" w:cs="Arial" w:eastAsia="Arial" w:hint="default"/>
          <w:spacing w:val="-2"/>
          <w:w w:val="95"/>
          <w:sz w:val="22"/>
          <w:szCs w:val="22"/>
        </w:rPr>
        <w:t>2015</w:t>
      </w:r>
      <w:r>
        <w:rPr>
          <w:rFonts w:ascii="宋体" w:hAnsi="宋体" w:cs="宋体" w:eastAsia="宋体" w:hint="default"/>
          <w:spacing w:val="-2"/>
          <w:w w:val="95"/>
          <w:sz w:val="22"/>
          <w:szCs w:val="22"/>
        </w:rPr>
        <w:t>年度不</w:t>
      </w:r>
      <w:r>
        <w:rPr>
          <w:rFonts w:ascii="宋体" w:hAnsi="宋体" w:cs="宋体" w:eastAsia="宋体" w:hint="default"/>
          <w:spacing w:val="56"/>
          <w:w w:val="95"/>
          <w:sz w:val="22"/>
          <w:szCs w:val="22"/>
        </w:rPr>
        <w:t> </w:t>
      </w:r>
      <w:r>
        <w:rPr>
          <w:rFonts w:ascii="宋体" w:hAnsi="宋体" w:cs="宋体" w:eastAsia="宋体" w:hint="default"/>
          <w:sz w:val="22"/>
          <w:szCs w:val="22"/>
        </w:rPr>
        <w:t>派发现金红利，不送红股，不以资本公积金转增股本。</w:t>
      </w:r>
    </w:p>
    <w:p>
      <w:pPr>
        <w:pStyle w:val="BodyText"/>
        <w:spacing w:line="240" w:lineRule="auto" w:before="191"/>
        <w:ind w:left="575" w:right="0"/>
        <w:jc w:val="left"/>
      </w:pPr>
      <w:r>
        <w:rPr>
          <w:rFonts w:ascii="Arial" w:hAnsi="Arial" w:cs="Arial" w:eastAsia="Arial" w:hint="default"/>
        </w:rPr>
        <w:t>2015</w:t>
      </w:r>
      <w:r>
        <w:rPr/>
        <w:t>年度利润分配预案尚需经公司</w:t>
      </w:r>
      <w:r>
        <w:rPr>
          <w:rFonts w:ascii="Arial" w:hAnsi="Arial" w:cs="Arial" w:eastAsia="Arial" w:hint="default"/>
        </w:rPr>
        <w:t>2015</w:t>
      </w:r>
      <w:r>
        <w:rPr/>
        <w:t>年年度股东大会审议批准。</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877" w:footer="979" w:top="1100" w:bottom="1160" w:left="980" w:right="0"/>
        </w:sectPr>
      </w:pPr>
    </w:p>
    <w:p>
      <w:pPr>
        <w:pStyle w:val="Heading5"/>
        <w:spacing w:line="317" w:lineRule="exact" w:before="0"/>
        <w:ind w:left="153" w:right="0"/>
        <w:jc w:val="left"/>
        <w:rPr>
          <w:rFonts w:ascii="Microsoft JhengHei" w:hAnsi="Microsoft JhengHei" w:cs="Microsoft JhengHei" w:eastAsia="Microsoft JhengHei" w:hint="default"/>
          <w:b w:val="0"/>
          <w:bCs w:val="0"/>
        </w:rPr>
      </w:pPr>
      <w:r>
        <w:rPr>
          <w:rFonts w:ascii="Trebuchet MS" w:hAnsi="Trebuchet MS" w:cs="Trebuchet MS" w:eastAsia="Trebuchet MS" w:hint="default"/>
          <w:w w:val="95"/>
        </w:rPr>
        <w:t>2</w:t>
      </w:r>
      <w:r>
        <w:rPr>
          <w:rFonts w:ascii="Microsoft JhengHei" w:hAnsi="Microsoft JhengHei" w:cs="Microsoft JhengHei" w:eastAsia="Microsoft JhengHei" w:hint="default"/>
          <w:w w:val="95"/>
        </w:rPr>
        <w:t>、公司近三年（包括本报告期）普通股现金分红情况表</w:t>
      </w:r>
      <w:r>
        <w:rPr>
          <w:rFonts w:ascii="Microsoft JhengHei" w:hAnsi="Microsoft JhengHei" w:cs="Microsoft JhengHei" w:eastAsia="Microsoft JhengHei" w:hint="default"/>
          <w:b w:val="0"/>
          <w:bCs w:val="0"/>
          <w:w w:val="95"/>
        </w:rPr>
      </w:r>
    </w:p>
    <w:p>
      <w:pPr>
        <w:spacing w:line="240" w:lineRule="auto" w:before="13"/>
        <w:rPr>
          <w:rFonts w:ascii="Microsoft JhengHei" w:hAnsi="Microsoft JhengHei" w:cs="Microsoft JhengHei" w:eastAsia="Microsoft JhengHei" w:hint="default"/>
          <w:b/>
          <w:bCs/>
          <w:sz w:val="22"/>
          <w:szCs w:val="22"/>
        </w:rPr>
      </w:pPr>
      <w:r>
        <w:rPr/>
        <w:br w:type="column"/>
      </w:r>
      <w:r>
        <w:rPr>
          <w:rFonts w:ascii="Microsoft JhengHei"/>
          <w:b/>
          <w:sz w:val="22"/>
        </w:rPr>
      </w: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360" w:bottom="0" w:left="980" w:right="0"/>
          <w:cols w:num="2" w:equalWidth="0">
            <w:col w:w="5316" w:space="3603"/>
            <w:col w:w="2011"/>
          </w:cols>
        </w:sectPr>
      </w:pP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583"/>
        <w:gridCol w:w="1608"/>
        <w:gridCol w:w="1580"/>
        <w:gridCol w:w="1594"/>
        <w:gridCol w:w="1587"/>
        <w:gridCol w:w="1587"/>
      </w:tblGrid>
      <w:tr>
        <w:trPr>
          <w:trHeight w:val="317" w:hRule="exact"/>
        </w:trPr>
        <w:tc>
          <w:tcPr>
            <w:tcW w:w="1583" w:type="dxa"/>
            <w:vMerge w:val="restart"/>
            <w:tcBorders>
              <w:top w:val="single" w:sz="4" w:space="0" w:color="5B9BD4"/>
              <w:left w:val="nil" w:sz="6" w:space="0" w:color="auto"/>
              <w:right w:val="nil" w:sz="6" w:space="0" w:color="auto"/>
            </w:tcBorders>
            <w:shd w:val="clear" w:color="auto" w:fill="DEEAF6"/>
          </w:tcPr>
          <w:p>
            <w:pPr/>
          </w:p>
        </w:tc>
        <w:tc>
          <w:tcPr>
            <w:tcW w:w="1608" w:type="dxa"/>
            <w:tcBorders>
              <w:top w:val="single" w:sz="4" w:space="0" w:color="5B9BD4"/>
              <w:left w:val="nil" w:sz="6" w:space="0" w:color="auto"/>
              <w:bottom w:val="nil" w:sz="6" w:space="0" w:color="auto"/>
              <w:right w:val="nil" w:sz="6" w:space="0" w:color="auto"/>
            </w:tcBorders>
            <w:shd w:val="clear" w:color="auto" w:fill="DEEAF6"/>
          </w:tcPr>
          <w:p>
            <w:pPr/>
          </w:p>
        </w:tc>
        <w:tc>
          <w:tcPr>
            <w:tcW w:w="1580" w:type="dxa"/>
            <w:vMerge w:val="restart"/>
            <w:tcBorders>
              <w:top w:val="single" w:sz="4" w:space="0" w:color="5B9BD4"/>
              <w:left w:val="nil" w:sz="6" w:space="0" w:color="auto"/>
              <w:right w:val="nil" w:sz="6" w:space="0" w:color="auto"/>
            </w:tcBorders>
            <w:shd w:val="clear" w:color="auto" w:fill="DEEAF6"/>
          </w:tcPr>
          <w:p>
            <w:pPr>
              <w:pStyle w:val="TableParagraph"/>
              <w:spacing w:line="319" w:lineRule="auto" w:before="46"/>
              <w:ind w:left="63" w:right="74"/>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5B9BD4"/>
              <w:left w:val="nil" w:sz="6" w:space="0" w:color="auto"/>
              <w:right w:val="nil" w:sz="6" w:space="0" w:color="auto"/>
            </w:tcBorders>
            <w:shd w:val="clear" w:color="auto" w:fill="DEEAF6"/>
          </w:tcPr>
          <w:p>
            <w:pPr>
              <w:pStyle w:val="TableParagraph"/>
              <w:spacing w:line="319" w:lineRule="auto" w:before="46"/>
              <w:ind w:left="77" w:right="74"/>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3174" w:type="dxa"/>
            <w:gridSpan w:val="2"/>
            <w:tcBorders>
              <w:top w:val="single" w:sz="4" w:space="0" w:color="5B9BD4"/>
              <w:left w:val="nil" w:sz="6" w:space="0" w:color="auto"/>
              <w:bottom w:val="nil" w:sz="6" w:space="0" w:color="auto"/>
              <w:right w:val="nil" w:sz="6" w:space="0" w:color="auto"/>
            </w:tcBorders>
            <w:shd w:val="clear" w:color="auto" w:fill="DEEAF6"/>
          </w:tcPr>
          <w:p>
            <w:pPr/>
          </w:p>
        </w:tc>
      </w:tr>
      <w:tr>
        <w:trPr>
          <w:trHeight w:val="156" w:hRule="exact"/>
        </w:trPr>
        <w:tc>
          <w:tcPr>
            <w:tcW w:w="1583" w:type="dxa"/>
            <w:vMerge/>
            <w:tcBorders>
              <w:left w:val="nil" w:sz="6" w:space="0" w:color="auto"/>
              <w:bottom w:val="nil" w:sz="6" w:space="0" w:color="auto"/>
              <w:right w:val="nil" w:sz="6" w:space="0" w:color="auto"/>
            </w:tcBorders>
            <w:shd w:val="clear" w:color="auto" w:fill="DEEAF6"/>
          </w:tcPr>
          <w:p>
            <w:pPr/>
          </w:p>
        </w:tc>
        <w:tc>
          <w:tcPr>
            <w:tcW w:w="1608" w:type="dxa"/>
            <w:vMerge w:val="restart"/>
            <w:tcBorders>
              <w:top w:val="nil" w:sz="6" w:space="0" w:color="auto"/>
              <w:left w:val="nil" w:sz="6" w:space="0" w:color="auto"/>
              <w:right w:val="nil" w:sz="6" w:space="0" w:color="auto"/>
            </w:tcBorders>
            <w:shd w:val="clear" w:color="auto" w:fill="DEEAF6"/>
          </w:tcPr>
          <w:p>
            <w:pPr>
              <w:pStyle w:val="TableParagraph"/>
              <w:spacing w:line="319" w:lineRule="auto" w:before="46"/>
              <w:ind w:left="616" w:right="89"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80" w:type="dxa"/>
            <w:vMerge/>
            <w:tcBorders>
              <w:left w:val="nil" w:sz="6" w:space="0" w:color="auto"/>
              <w:right w:val="nil" w:sz="6" w:space="0" w:color="auto"/>
            </w:tcBorders>
            <w:shd w:val="clear" w:color="auto" w:fill="DEEAF6"/>
          </w:tcPr>
          <w:p>
            <w:pPr/>
          </w:p>
        </w:tc>
        <w:tc>
          <w:tcPr>
            <w:tcW w:w="1594" w:type="dxa"/>
            <w:vMerge/>
            <w:tcBorders>
              <w:left w:val="nil" w:sz="6" w:space="0" w:color="auto"/>
              <w:right w:val="nil" w:sz="6" w:space="0" w:color="auto"/>
            </w:tcBorders>
            <w:shd w:val="clear" w:color="auto" w:fill="DEEAF6"/>
          </w:tcPr>
          <w:p>
            <w:pPr/>
          </w:p>
        </w:tc>
        <w:tc>
          <w:tcPr>
            <w:tcW w:w="1587" w:type="dxa"/>
            <w:vMerge w:val="restart"/>
            <w:tcBorders>
              <w:top w:val="nil" w:sz="6" w:space="0" w:color="auto"/>
              <w:left w:val="nil" w:sz="6" w:space="0" w:color="auto"/>
              <w:right w:val="nil" w:sz="6" w:space="0" w:color="auto"/>
            </w:tcBorders>
            <w:shd w:val="clear" w:color="auto" w:fill="DEEAF6"/>
          </w:tcPr>
          <w:p>
            <w:pPr>
              <w:pStyle w:val="TableParagraph"/>
              <w:spacing w:line="319" w:lineRule="auto" w:before="46"/>
              <w:ind w:left="436" w:right="68"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87" w:type="dxa"/>
            <w:vMerge w:val="restart"/>
            <w:tcBorders>
              <w:top w:val="nil" w:sz="6" w:space="0" w:color="auto"/>
              <w:left w:val="nil" w:sz="6" w:space="0" w:color="auto"/>
              <w:right w:val="nil" w:sz="6" w:space="0" w:color="auto"/>
            </w:tcBorders>
            <w:shd w:val="clear" w:color="auto" w:fill="DEEAF6"/>
          </w:tcPr>
          <w:p>
            <w:pPr>
              <w:pStyle w:val="TableParagraph"/>
              <w:spacing w:line="319" w:lineRule="auto" w:before="46"/>
              <w:ind w:left="444" w:right="6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83"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42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608" w:type="dxa"/>
            <w:vMerge/>
            <w:tcBorders>
              <w:left w:val="nil" w:sz="6" w:space="0" w:color="auto"/>
              <w:right w:val="nil" w:sz="6" w:space="0" w:color="auto"/>
            </w:tcBorders>
            <w:shd w:val="clear" w:color="auto" w:fill="DEEAF6"/>
          </w:tcPr>
          <w:p>
            <w:pPr/>
          </w:p>
        </w:tc>
        <w:tc>
          <w:tcPr>
            <w:tcW w:w="1580" w:type="dxa"/>
            <w:vMerge/>
            <w:tcBorders>
              <w:left w:val="nil" w:sz="6" w:space="0" w:color="auto"/>
              <w:right w:val="nil" w:sz="6" w:space="0" w:color="auto"/>
            </w:tcBorders>
            <w:shd w:val="clear" w:color="auto" w:fill="DEEAF6"/>
          </w:tcPr>
          <w:p>
            <w:pPr/>
          </w:p>
        </w:tc>
        <w:tc>
          <w:tcPr>
            <w:tcW w:w="1594" w:type="dxa"/>
            <w:vMerge/>
            <w:tcBorders>
              <w:left w:val="nil" w:sz="6" w:space="0" w:color="auto"/>
              <w:right w:val="nil" w:sz="6" w:space="0" w:color="auto"/>
            </w:tcBorders>
            <w:shd w:val="clear" w:color="auto" w:fill="DEEAF6"/>
          </w:tcPr>
          <w:p>
            <w:pPr/>
          </w:p>
        </w:tc>
        <w:tc>
          <w:tcPr>
            <w:tcW w:w="1587" w:type="dxa"/>
            <w:vMerge/>
            <w:tcBorders>
              <w:left w:val="nil" w:sz="6" w:space="0" w:color="auto"/>
              <w:right w:val="nil" w:sz="6" w:space="0" w:color="auto"/>
            </w:tcBorders>
            <w:shd w:val="clear" w:color="auto" w:fill="DEEAF6"/>
          </w:tcPr>
          <w:p>
            <w:pPr/>
          </w:p>
        </w:tc>
        <w:tc>
          <w:tcPr>
            <w:tcW w:w="1587" w:type="dxa"/>
            <w:vMerge/>
            <w:tcBorders>
              <w:left w:val="nil" w:sz="6" w:space="0" w:color="auto"/>
              <w:right w:val="nil" w:sz="6" w:space="0" w:color="auto"/>
            </w:tcBorders>
            <w:shd w:val="clear" w:color="auto" w:fill="DEEAF6"/>
          </w:tcPr>
          <w:p>
            <w:pPr/>
          </w:p>
        </w:tc>
      </w:tr>
      <w:tr>
        <w:trPr>
          <w:trHeight w:val="156" w:hRule="exact"/>
        </w:trPr>
        <w:tc>
          <w:tcPr>
            <w:tcW w:w="1583" w:type="dxa"/>
            <w:vMerge w:val="restart"/>
            <w:tcBorders>
              <w:top w:val="nil" w:sz="6" w:space="0" w:color="auto"/>
              <w:left w:val="nil" w:sz="6" w:space="0" w:color="auto"/>
              <w:right w:val="nil" w:sz="6" w:space="0" w:color="auto"/>
            </w:tcBorders>
            <w:shd w:val="clear" w:color="auto" w:fill="DEEAF6"/>
          </w:tcPr>
          <w:p>
            <w:pPr/>
          </w:p>
        </w:tc>
        <w:tc>
          <w:tcPr>
            <w:tcW w:w="1608" w:type="dxa"/>
            <w:vMerge/>
            <w:tcBorders>
              <w:left w:val="nil" w:sz="6" w:space="0" w:color="auto"/>
              <w:bottom w:val="nil" w:sz="6" w:space="0" w:color="auto"/>
              <w:right w:val="nil" w:sz="6" w:space="0" w:color="auto"/>
            </w:tcBorders>
            <w:shd w:val="clear" w:color="auto" w:fill="DEEAF6"/>
          </w:tcPr>
          <w:p>
            <w:pPr/>
          </w:p>
        </w:tc>
        <w:tc>
          <w:tcPr>
            <w:tcW w:w="1580" w:type="dxa"/>
            <w:vMerge/>
            <w:tcBorders>
              <w:left w:val="nil" w:sz="6" w:space="0" w:color="auto"/>
              <w:right w:val="nil" w:sz="6" w:space="0" w:color="auto"/>
            </w:tcBorders>
            <w:shd w:val="clear" w:color="auto" w:fill="DEEAF6"/>
          </w:tcPr>
          <w:p>
            <w:pPr/>
          </w:p>
        </w:tc>
        <w:tc>
          <w:tcPr>
            <w:tcW w:w="1594" w:type="dxa"/>
            <w:vMerge/>
            <w:tcBorders>
              <w:left w:val="nil" w:sz="6" w:space="0" w:color="auto"/>
              <w:right w:val="nil" w:sz="6" w:space="0" w:color="auto"/>
            </w:tcBorders>
            <w:shd w:val="clear" w:color="auto" w:fill="DEEAF6"/>
          </w:tcPr>
          <w:p>
            <w:pPr/>
          </w:p>
        </w:tc>
        <w:tc>
          <w:tcPr>
            <w:tcW w:w="1587" w:type="dxa"/>
            <w:vMerge/>
            <w:tcBorders>
              <w:left w:val="nil" w:sz="6" w:space="0" w:color="auto"/>
              <w:bottom w:val="nil" w:sz="6" w:space="0" w:color="auto"/>
              <w:right w:val="nil" w:sz="6" w:space="0" w:color="auto"/>
            </w:tcBorders>
            <w:shd w:val="clear" w:color="auto" w:fill="DEEAF6"/>
          </w:tcPr>
          <w:p>
            <w:pPr/>
          </w:p>
        </w:tc>
        <w:tc>
          <w:tcPr>
            <w:tcW w:w="1587" w:type="dxa"/>
            <w:vMerge/>
            <w:tcBorders>
              <w:left w:val="nil" w:sz="6" w:space="0" w:color="auto"/>
              <w:bottom w:val="nil" w:sz="6" w:space="0" w:color="auto"/>
              <w:right w:val="nil" w:sz="6" w:space="0" w:color="auto"/>
            </w:tcBorders>
            <w:shd w:val="clear" w:color="auto" w:fill="DEEAF6"/>
          </w:tcPr>
          <w:p>
            <w:pPr/>
          </w:p>
        </w:tc>
      </w:tr>
      <w:tr>
        <w:trPr>
          <w:trHeight w:val="317" w:hRule="exact"/>
        </w:trPr>
        <w:tc>
          <w:tcPr>
            <w:tcW w:w="1583" w:type="dxa"/>
            <w:vMerge/>
            <w:tcBorders>
              <w:left w:val="nil" w:sz="6" w:space="0" w:color="auto"/>
              <w:bottom w:val="single" w:sz="4" w:space="0" w:color="5B9BD4"/>
              <w:right w:val="nil" w:sz="6" w:space="0" w:color="auto"/>
            </w:tcBorders>
            <w:shd w:val="clear" w:color="auto" w:fill="DEEAF6"/>
          </w:tcPr>
          <w:p>
            <w:pPr/>
          </w:p>
        </w:tc>
        <w:tc>
          <w:tcPr>
            <w:tcW w:w="1608" w:type="dxa"/>
            <w:tcBorders>
              <w:top w:val="nil" w:sz="6" w:space="0" w:color="auto"/>
              <w:left w:val="nil" w:sz="6" w:space="0" w:color="auto"/>
              <w:bottom w:val="single" w:sz="4" w:space="0" w:color="5B9BD4"/>
              <w:right w:val="nil" w:sz="6" w:space="0" w:color="auto"/>
            </w:tcBorders>
            <w:shd w:val="clear" w:color="auto" w:fill="DEEAF6"/>
          </w:tcPr>
          <w:p>
            <w:pPr/>
          </w:p>
        </w:tc>
        <w:tc>
          <w:tcPr>
            <w:tcW w:w="1580" w:type="dxa"/>
            <w:vMerge/>
            <w:tcBorders>
              <w:left w:val="nil" w:sz="6" w:space="0" w:color="auto"/>
              <w:bottom w:val="single" w:sz="4" w:space="0" w:color="5B9BD4"/>
              <w:right w:val="nil" w:sz="6" w:space="0" w:color="auto"/>
            </w:tcBorders>
            <w:shd w:val="clear" w:color="auto" w:fill="DEEAF6"/>
          </w:tcPr>
          <w:p>
            <w:pPr/>
          </w:p>
        </w:tc>
        <w:tc>
          <w:tcPr>
            <w:tcW w:w="1594" w:type="dxa"/>
            <w:vMerge/>
            <w:tcBorders>
              <w:left w:val="nil" w:sz="6" w:space="0" w:color="auto"/>
              <w:bottom w:val="single" w:sz="4" w:space="0" w:color="5B9BD4"/>
              <w:right w:val="nil" w:sz="6" w:space="0" w:color="auto"/>
            </w:tcBorders>
            <w:shd w:val="clear" w:color="auto" w:fill="DEEAF6"/>
          </w:tcPr>
          <w:p>
            <w:pPr/>
          </w:p>
        </w:tc>
        <w:tc>
          <w:tcPr>
            <w:tcW w:w="3174" w:type="dxa"/>
            <w:gridSpan w:val="2"/>
            <w:tcBorders>
              <w:top w:val="nil" w:sz="6" w:space="0" w:color="auto"/>
              <w:left w:val="nil" w:sz="6" w:space="0" w:color="auto"/>
              <w:bottom w:val="single" w:sz="4" w:space="0" w:color="5B9BD4"/>
              <w:right w:val="nil" w:sz="6" w:space="0" w:color="auto"/>
            </w:tcBorders>
            <w:shd w:val="clear" w:color="auto" w:fill="DEEAF6"/>
          </w:tcPr>
          <w:p>
            <w:pPr/>
          </w:p>
        </w:tc>
      </w:tr>
      <w:tr>
        <w:trPr>
          <w:trHeight w:val="402" w:hRule="exact"/>
        </w:trPr>
        <w:tc>
          <w:tcPr>
            <w:tcW w:w="158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w:t>
            </w:r>
          </w:p>
        </w:tc>
        <w:tc>
          <w:tcPr>
            <w:tcW w:w="1608"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0.00</w:t>
            </w:r>
            <w:r>
              <w:rPr>
                <w:rFonts w:ascii="Arial"/>
                <w:sz w:val="18"/>
              </w:rPr>
            </w:r>
          </w:p>
        </w:tc>
        <w:tc>
          <w:tcPr>
            <w:tcW w:w="158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9"/>
              <w:ind w:right="25"/>
              <w:jc w:val="right"/>
              <w:rPr>
                <w:rFonts w:ascii="Arial" w:hAnsi="Arial" w:cs="Arial" w:eastAsia="Arial" w:hint="default"/>
                <w:sz w:val="21"/>
                <w:szCs w:val="21"/>
              </w:rPr>
            </w:pPr>
            <w:r>
              <w:rPr>
                <w:rFonts w:ascii="Arial"/>
                <w:spacing w:val="-1"/>
                <w:sz w:val="21"/>
              </w:rPr>
              <w:t>140,631,298.55</w:t>
            </w:r>
          </w:p>
        </w:tc>
        <w:tc>
          <w:tcPr>
            <w:tcW w:w="1594"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88"/>
              <w:ind w:right="11"/>
              <w:jc w:val="right"/>
              <w:rPr>
                <w:rFonts w:ascii="Arial" w:hAnsi="Arial" w:cs="Arial" w:eastAsia="Arial" w:hint="default"/>
                <w:sz w:val="18"/>
                <w:szCs w:val="18"/>
              </w:rPr>
            </w:pPr>
            <w:r>
              <w:rPr>
                <w:rFonts w:ascii="Arial"/>
                <w:w w:val="95"/>
                <w:sz w:val="18"/>
              </w:rPr>
              <w:t>0.00%</w:t>
            </w:r>
            <w:r>
              <w:rPr>
                <w:rFonts w:ascii="Arial"/>
                <w:sz w:val="18"/>
              </w:rPr>
            </w:r>
          </w:p>
        </w:tc>
        <w:tc>
          <w:tcPr>
            <w:tcW w:w="1587" w:type="dxa"/>
            <w:tcBorders>
              <w:top w:val="single" w:sz="4" w:space="0" w:color="5B9BD4"/>
              <w:left w:val="nil" w:sz="6" w:space="0" w:color="auto"/>
              <w:bottom w:val="single" w:sz="4" w:space="0" w:color="5B9BD4"/>
              <w:right w:val="nil" w:sz="6" w:space="0" w:color="auto"/>
            </w:tcBorders>
            <w:shd w:val="clear" w:color="auto" w:fill="DEEAF6"/>
          </w:tcPr>
          <w:p>
            <w:pPr/>
          </w:p>
        </w:tc>
        <w:tc>
          <w:tcPr>
            <w:tcW w:w="1587" w:type="dxa"/>
            <w:tcBorders>
              <w:top w:val="single" w:sz="4" w:space="0" w:color="5B9BD4"/>
              <w:left w:val="single" w:sz="11" w:space="0" w:color="DEEAF6"/>
              <w:bottom w:val="single" w:sz="4" w:space="0" w:color="5B9BD4"/>
              <w:right w:val="nil" w:sz="6" w:space="0" w:color="auto"/>
            </w:tcBorders>
          </w:tcPr>
          <w:p>
            <w:pPr/>
          </w:p>
        </w:tc>
      </w:tr>
      <w:tr>
        <w:trPr>
          <w:trHeight w:val="402" w:hRule="exact"/>
        </w:trPr>
        <w:tc>
          <w:tcPr>
            <w:tcW w:w="158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1"/>
                <w:sz w:val="18"/>
                <w:szCs w:val="18"/>
              </w:rPr>
              <w:t> </w:t>
            </w:r>
            <w:r>
              <w:rPr>
                <w:rFonts w:ascii="宋体" w:hAnsi="宋体" w:cs="宋体" w:eastAsia="宋体" w:hint="default"/>
                <w:sz w:val="18"/>
                <w:szCs w:val="18"/>
              </w:rPr>
              <w:t>年</w:t>
            </w:r>
          </w:p>
        </w:tc>
        <w:tc>
          <w:tcPr>
            <w:tcW w:w="1608"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0.00</w:t>
            </w:r>
            <w:r>
              <w:rPr>
                <w:rFonts w:ascii="Arial"/>
                <w:sz w:val="18"/>
              </w:rPr>
            </w:r>
          </w:p>
        </w:tc>
        <w:tc>
          <w:tcPr>
            <w:tcW w:w="158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w w:val="95"/>
                <w:sz w:val="18"/>
              </w:rPr>
              <w:t>29,143,960.41</w:t>
            </w:r>
            <w:r>
              <w:rPr>
                <w:rFonts w:ascii="Arial"/>
                <w:sz w:val="18"/>
              </w:rPr>
            </w:r>
          </w:p>
        </w:tc>
        <w:tc>
          <w:tcPr>
            <w:tcW w:w="1594"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88"/>
              <w:ind w:right="11"/>
              <w:jc w:val="right"/>
              <w:rPr>
                <w:rFonts w:ascii="Arial" w:hAnsi="Arial" w:cs="Arial" w:eastAsia="Arial" w:hint="default"/>
                <w:sz w:val="18"/>
                <w:szCs w:val="18"/>
              </w:rPr>
            </w:pPr>
            <w:r>
              <w:rPr>
                <w:rFonts w:ascii="Arial"/>
                <w:w w:val="95"/>
                <w:sz w:val="18"/>
              </w:rPr>
              <w:t>0.00%</w:t>
            </w:r>
            <w:r>
              <w:rPr>
                <w:rFonts w:ascii="Arial"/>
                <w:sz w:val="18"/>
              </w:rPr>
            </w:r>
          </w:p>
        </w:tc>
        <w:tc>
          <w:tcPr>
            <w:tcW w:w="1587" w:type="dxa"/>
            <w:tcBorders>
              <w:top w:val="single" w:sz="4" w:space="0" w:color="5B9BD4"/>
              <w:left w:val="nil" w:sz="6" w:space="0" w:color="auto"/>
              <w:bottom w:val="single" w:sz="4" w:space="0" w:color="5B9BD4"/>
              <w:right w:val="nil" w:sz="6" w:space="0" w:color="auto"/>
            </w:tcBorders>
            <w:shd w:val="clear" w:color="auto" w:fill="DEEAF6"/>
          </w:tcPr>
          <w:p>
            <w:pPr/>
          </w:p>
        </w:tc>
        <w:tc>
          <w:tcPr>
            <w:tcW w:w="1587" w:type="dxa"/>
            <w:tcBorders>
              <w:top w:val="single" w:sz="4" w:space="0" w:color="5B9BD4"/>
              <w:left w:val="single" w:sz="11" w:space="0" w:color="DEEAF6"/>
              <w:bottom w:val="single" w:sz="4" w:space="0" w:color="5B9BD4"/>
              <w:right w:val="nil" w:sz="6" w:space="0" w:color="auto"/>
            </w:tcBorders>
          </w:tcPr>
          <w:p>
            <w:pPr/>
          </w:p>
        </w:tc>
      </w:tr>
      <w:tr>
        <w:trPr>
          <w:trHeight w:val="402" w:hRule="exact"/>
        </w:trPr>
        <w:tc>
          <w:tcPr>
            <w:tcW w:w="158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1"/>
                <w:sz w:val="18"/>
                <w:szCs w:val="18"/>
              </w:rPr>
              <w:t> </w:t>
            </w:r>
            <w:r>
              <w:rPr>
                <w:rFonts w:ascii="宋体" w:hAnsi="宋体" w:cs="宋体" w:eastAsia="宋体" w:hint="default"/>
                <w:sz w:val="18"/>
                <w:szCs w:val="18"/>
              </w:rPr>
              <w:t>年</w:t>
            </w:r>
          </w:p>
        </w:tc>
        <w:tc>
          <w:tcPr>
            <w:tcW w:w="1608"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147,990,000.00</w:t>
            </w:r>
            <w:r>
              <w:rPr>
                <w:rFonts w:ascii="Arial"/>
                <w:sz w:val="18"/>
              </w:rPr>
            </w:r>
          </w:p>
        </w:tc>
        <w:tc>
          <w:tcPr>
            <w:tcW w:w="158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w w:val="95"/>
                <w:sz w:val="18"/>
              </w:rPr>
              <w:t>784,444,254.03</w:t>
            </w:r>
            <w:r>
              <w:rPr>
                <w:rFonts w:ascii="Arial"/>
                <w:sz w:val="18"/>
              </w:rPr>
            </w:r>
          </w:p>
        </w:tc>
        <w:tc>
          <w:tcPr>
            <w:tcW w:w="1594"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88"/>
              <w:ind w:right="11"/>
              <w:jc w:val="right"/>
              <w:rPr>
                <w:rFonts w:ascii="Arial" w:hAnsi="Arial" w:cs="Arial" w:eastAsia="Arial" w:hint="default"/>
                <w:sz w:val="18"/>
                <w:szCs w:val="18"/>
              </w:rPr>
            </w:pPr>
            <w:r>
              <w:rPr>
                <w:rFonts w:ascii="Arial"/>
                <w:w w:val="95"/>
                <w:sz w:val="18"/>
              </w:rPr>
              <w:t>18.87%</w:t>
            </w:r>
            <w:r>
              <w:rPr>
                <w:rFonts w:ascii="Arial"/>
                <w:sz w:val="18"/>
              </w:rPr>
            </w:r>
          </w:p>
        </w:tc>
        <w:tc>
          <w:tcPr>
            <w:tcW w:w="1587" w:type="dxa"/>
            <w:tcBorders>
              <w:top w:val="single" w:sz="4" w:space="0" w:color="5B9BD4"/>
              <w:left w:val="nil" w:sz="6" w:space="0" w:color="auto"/>
              <w:bottom w:val="single" w:sz="4" w:space="0" w:color="5B9BD4"/>
              <w:right w:val="nil" w:sz="6" w:space="0" w:color="auto"/>
            </w:tcBorders>
            <w:shd w:val="clear" w:color="auto" w:fill="DEEAF6"/>
          </w:tcPr>
          <w:p>
            <w:pPr/>
          </w:p>
        </w:tc>
        <w:tc>
          <w:tcPr>
            <w:tcW w:w="1587" w:type="dxa"/>
            <w:tcBorders>
              <w:top w:val="single" w:sz="4" w:space="0" w:color="5B9BD4"/>
              <w:left w:val="single" w:sz="11" w:space="0" w:color="DEEAF6"/>
              <w:bottom w:val="single" w:sz="4" w:space="0" w:color="5B9BD4"/>
              <w:right w:val="nil" w:sz="6" w:space="0" w:color="auto"/>
            </w:tcBorders>
          </w:tcPr>
          <w:p>
            <w:pPr/>
          </w:p>
        </w:tc>
      </w:tr>
    </w:tbl>
    <w:p>
      <w:pPr>
        <w:pStyle w:val="Heading5"/>
        <w:spacing w:line="320" w:lineRule="exact" w:before="0"/>
        <w:ind w:left="154" w:right="0"/>
        <w:jc w:val="left"/>
        <w:rPr>
          <w:rFonts w:ascii="Microsoft JhengHei" w:hAnsi="Microsoft JhengHei" w:cs="Microsoft JhengHei" w:eastAsia="Microsoft JhengHei" w:hint="default"/>
          <w:b w:val="0"/>
          <w:bCs w:val="0"/>
        </w:rPr>
      </w:pPr>
      <w:r>
        <w:rPr>
          <w:rFonts w:ascii="Trebuchet MS" w:hAnsi="Trebuchet MS" w:cs="Trebuchet MS" w:eastAsia="Trebuchet MS" w:hint="default"/>
        </w:rPr>
        <w:t>3</w:t>
      </w:r>
      <w:r>
        <w:rPr>
          <w:rFonts w:ascii="Microsoft JhengHei" w:hAnsi="Microsoft JhengHei" w:cs="Microsoft JhengHei" w:eastAsia="Microsoft JhengHei" w:hint="default"/>
        </w:rPr>
        <w:t>、公司报告期内盈利且母公司可供普通股股东分配利润为正但未提出普通股现金红利分配预案</w:t>
      </w:r>
      <w:r>
        <w:rPr>
          <w:rFonts w:ascii="Microsoft JhengHei" w:hAnsi="Microsoft JhengHei" w:cs="Microsoft JhengHei" w:eastAsia="Microsoft JhengHei" w:hint="default"/>
          <w:b w:val="0"/>
          <w:bCs w:val="0"/>
        </w:rPr>
      </w:r>
    </w:p>
    <w:p>
      <w:pPr>
        <w:spacing w:before="79"/>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69"/>
        <w:gridCol w:w="4099"/>
      </w:tblGrid>
      <w:tr>
        <w:trPr>
          <w:trHeight w:val="714" w:hRule="exact"/>
        </w:trPr>
        <w:tc>
          <w:tcPr>
            <w:tcW w:w="546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47"/>
              <w:ind w:left="1220" w:right="556" w:hanging="1171"/>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报告期内盈利且母公司可供普通股股东分配利润为正但未提出 普通股现金红利分配预案的原因</w:t>
            </w:r>
          </w:p>
        </w:tc>
        <w:tc>
          <w:tcPr>
            <w:tcW w:w="409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504"/>
              <w:jc w:val="center"/>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403" w:hRule="exact"/>
        </w:trPr>
        <w:tc>
          <w:tcPr>
            <w:tcW w:w="546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27" w:right="0"/>
              <w:jc w:val="left"/>
              <w:rPr>
                <w:rFonts w:ascii="宋体" w:hAnsi="宋体" w:cs="宋体" w:eastAsia="宋体" w:hint="default"/>
                <w:sz w:val="18"/>
                <w:szCs w:val="18"/>
              </w:rPr>
            </w:pPr>
            <w:r>
              <w:rPr>
                <w:rFonts w:ascii="宋体" w:hAnsi="宋体" w:cs="宋体" w:eastAsia="宋体" w:hint="default"/>
                <w:sz w:val="18"/>
                <w:szCs w:val="18"/>
              </w:rPr>
              <w:t>基于公司经营发展的需要，本报告期内公司拟不进行现金分红。</w:t>
            </w:r>
          </w:p>
        </w:tc>
        <w:tc>
          <w:tcPr>
            <w:tcW w:w="40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504"/>
              <w:jc w:val="center"/>
              <w:rPr>
                <w:rFonts w:ascii="宋体" w:hAnsi="宋体" w:cs="宋体" w:eastAsia="宋体" w:hint="default"/>
                <w:sz w:val="18"/>
                <w:szCs w:val="18"/>
              </w:rPr>
            </w:pPr>
            <w:r>
              <w:rPr>
                <w:rFonts w:ascii="宋体" w:hAnsi="宋体" w:cs="宋体" w:eastAsia="宋体" w:hint="default"/>
                <w:sz w:val="18"/>
                <w:szCs w:val="18"/>
              </w:rPr>
              <w:t>日常运营使用</w:t>
            </w:r>
          </w:p>
        </w:tc>
      </w:tr>
    </w:tbl>
    <w:p>
      <w:pPr>
        <w:spacing w:after="0" w:line="240" w:lineRule="auto"/>
        <w:jc w:val="center"/>
        <w:rPr>
          <w:rFonts w:ascii="宋体" w:hAnsi="宋体" w:cs="宋体" w:eastAsia="宋体" w:hint="default"/>
          <w:sz w:val="18"/>
          <w:szCs w:val="18"/>
        </w:rPr>
        <w:sectPr>
          <w:type w:val="continuous"/>
          <w:pgSz w:w="11910" w:h="16840"/>
          <w:pgMar w:top="1360" w:bottom="0" w:left="980" w:right="0"/>
        </w:sectPr>
      </w:pPr>
    </w:p>
    <w:p>
      <w:pPr>
        <w:spacing w:line="240" w:lineRule="auto" w:before="0"/>
        <w:rPr>
          <w:rFonts w:ascii="宋体" w:hAnsi="宋体" w:cs="宋体" w:eastAsia="宋体" w:hint="default"/>
          <w:sz w:val="20"/>
          <w:szCs w:val="20"/>
        </w:rPr>
      </w:pPr>
    </w:p>
    <w:p>
      <w:pPr>
        <w:pStyle w:val="Heading1"/>
        <w:spacing w:line="240" w:lineRule="auto" w:before="25"/>
        <w:ind w:right="0"/>
        <w:jc w:val="left"/>
        <w:rPr>
          <w:b w:val="0"/>
          <w:bCs w:val="0"/>
        </w:rPr>
      </w:pPr>
      <w:bookmarkStart w:name="5.2 本报告期利润分配及资本公积金转增股本预案" w:id="104"/>
      <w:bookmarkEnd w:id="104"/>
      <w:r>
        <w:rPr>
          <w:b w:val="0"/>
          <w:bCs w:val="0"/>
        </w:rPr>
      </w:r>
      <w:bookmarkStart w:name="_bookmark31" w:id="105"/>
      <w:bookmarkEnd w:id="105"/>
      <w:r>
        <w:rPr>
          <w:b w:val="0"/>
          <w:bCs w:val="0"/>
        </w:rPr>
      </w:r>
      <w:r>
        <w:rPr>
          <w:rFonts w:ascii="Trebuchet MS" w:hAnsi="Trebuchet MS" w:cs="Trebuchet MS" w:eastAsia="Trebuchet MS" w:hint="default"/>
        </w:rPr>
        <w:t>5.2</w:t>
      </w:r>
      <w:r>
        <w:rPr>
          <w:rFonts w:ascii="Trebuchet MS" w:hAnsi="Trebuchet MS" w:cs="Trebuchet MS" w:eastAsia="Trebuchet MS" w:hint="default"/>
          <w:spacing w:val="14"/>
        </w:rPr>
        <w:t> </w:t>
      </w:r>
      <w:r>
        <w:rPr/>
        <w:t>本报告期利润分配及资本公积金转增股本预案</w:t>
      </w:r>
      <w:r>
        <w:rPr>
          <w:b w:val="0"/>
          <w:bCs w:val="0"/>
        </w:rPr>
      </w:r>
    </w:p>
    <w:p>
      <w:pPr>
        <w:spacing w:before="181"/>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pStyle w:val="BodyText"/>
        <w:spacing w:line="240" w:lineRule="auto" w:before="92"/>
        <w:ind w:right="0"/>
        <w:jc w:val="left"/>
      </w:pPr>
      <w:r>
        <w:rPr/>
        <w:t>公司计划年度不派发现金红利，不送红股，不以公积金转增股本。</w:t>
      </w:r>
    </w:p>
    <w:p>
      <w:pPr>
        <w:pStyle w:val="Heading1"/>
        <w:spacing w:line="240" w:lineRule="auto" w:before="61"/>
        <w:ind w:right="0"/>
        <w:jc w:val="left"/>
        <w:rPr>
          <w:b w:val="0"/>
          <w:bCs w:val="0"/>
        </w:rPr>
      </w:pPr>
      <w:bookmarkStart w:name="5.3 承诺事项履行情况" w:id="106"/>
      <w:bookmarkEnd w:id="106"/>
      <w:r>
        <w:rPr>
          <w:b w:val="0"/>
          <w:bCs w:val="0"/>
        </w:rPr>
      </w:r>
      <w:bookmarkStart w:name="_bookmark32" w:id="107"/>
      <w:bookmarkEnd w:id="107"/>
      <w:r>
        <w:rPr>
          <w:b w:val="0"/>
          <w:bCs w:val="0"/>
        </w:rPr>
      </w:r>
      <w:r>
        <w:rPr>
          <w:rFonts w:ascii="Trebuchet MS" w:hAnsi="Trebuchet MS" w:cs="Trebuchet MS" w:eastAsia="Trebuchet MS" w:hint="default"/>
        </w:rPr>
        <w:t>5.3</w:t>
      </w:r>
      <w:r>
        <w:rPr>
          <w:rFonts w:ascii="Trebuchet MS" w:hAnsi="Trebuchet MS" w:cs="Trebuchet MS" w:eastAsia="Trebuchet MS" w:hint="default"/>
          <w:spacing w:val="14"/>
        </w:rPr>
        <w:t> </w:t>
      </w:r>
      <w:r>
        <w:rPr/>
        <w:t>承诺事项履行情况</w:t>
      </w:r>
      <w:r>
        <w:rPr>
          <w:b w:val="0"/>
          <w:bCs w:val="0"/>
        </w:rPr>
      </w:r>
    </w:p>
    <w:p>
      <w:pPr>
        <w:spacing w:line="240" w:lineRule="auto" w:before="1"/>
        <w:rPr>
          <w:rFonts w:ascii="Microsoft JhengHei" w:hAnsi="Microsoft JhengHei" w:cs="Microsoft JhengHei" w:eastAsia="Microsoft JhengHei" w:hint="default"/>
          <w:b/>
          <w:bCs/>
          <w:sz w:val="27"/>
          <w:szCs w:val="27"/>
        </w:rPr>
      </w:pPr>
    </w:p>
    <w:p>
      <w:pPr>
        <w:pStyle w:val="Heading2"/>
        <w:spacing w:line="357" w:lineRule="auto"/>
        <w:ind w:right="1125"/>
        <w:jc w:val="left"/>
        <w:rPr>
          <w:b w:val="0"/>
          <w:bCs w:val="0"/>
        </w:rPr>
      </w:pPr>
      <w:bookmarkStart w:name="5.3.1 公司、股东、实际控制人、收购人、董事、监事、高级管理人员或其他关联方" w:id="108"/>
      <w:bookmarkEnd w:id="108"/>
      <w:r>
        <w:rPr>
          <w:b w:val="0"/>
          <w:bCs w:val="0"/>
        </w:rPr>
      </w:r>
      <w:r>
        <w:rPr>
          <w:rFonts w:ascii="Trebuchet MS" w:hAnsi="Trebuchet MS" w:cs="Trebuchet MS" w:eastAsia="Trebuchet MS" w:hint="default"/>
        </w:rPr>
        <w:t>5.3.1</w:t>
      </w:r>
      <w:r>
        <w:rPr>
          <w:rFonts w:ascii="Trebuchet MS" w:hAnsi="Trebuchet MS" w:cs="Trebuchet MS" w:eastAsia="Trebuchet MS" w:hint="default"/>
          <w:spacing w:val="3"/>
        </w:rPr>
        <w:t> </w:t>
      </w:r>
      <w:r>
        <w:rPr>
          <w:spacing w:val="2"/>
        </w:rPr>
        <w:t>公司、股东、实际控制人、收购人、董事、监事、高级管理人员或其他关联方在报告</w:t>
      </w:r>
      <w:r>
        <w:rPr/>
        <w:t> 期内履行完毕及截至报告期末尚未履行完毕的承诺事项</w:t>
      </w:r>
      <w:r>
        <w:rPr>
          <w:b w:val="0"/>
          <w:bCs w:val="0"/>
        </w:rPr>
      </w:r>
    </w:p>
    <w:p>
      <w:pPr>
        <w:spacing w:line="240" w:lineRule="auto" w:before="9"/>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94"/>
        <w:gridCol w:w="992"/>
        <w:gridCol w:w="1134"/>
        <w:gridCol w:w="3684"/>
        <w:gridCol w:w="851"/>
        <w:gridCol w:w="709"/>
        <w:gridCol w:w="1276"/>
      </w:tblGrid>
      <w:tr>
        <w:trPr>
          <w:trHeight w:val="709" w:hRule="exact"/>
        </w:trPr>
        <w:tc>
          <w:tcPr>
            <w:tcW w:w="99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36"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99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225"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3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right="205"/>
              <w:jc w:val="right"/>
              <w:rPr>
                <w:rFonts w:ascii="宋体" w:hAnsi="宋体" w:cs="宋体" w:eastAsia="宋体" w:hint="default"/>
                <w:sz w:val="18"/>
                <w:szCs w:val="18"/>
              </w:rPr>
            </w:pPr>
            <w:r>
              <w:rPr>
                <w:rFonts w:ascii="宋体" w:hAnsi="宋体" w:cs="宋体" w:eastAsia="宋体" w:hint="default"/>
                <w:sz w:val="18"/>
                <w:szCs w:val="18"/>
              </w:rPr>
              <w:t>承诺类型</w:t>
            </w:r>
          </w:p>
        </w:tc>
        <w:tc>
          <w:tcPr>
            <w:tcW w:w="368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1"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316" w:lineRule="auto" w:before="47"/>
              <w:ind w:left="335" w:right="154" w:hanging="181"/>
              <w:jc w:val="left"/>
              <w:rPr>
                <w:rFonts w:ascii="宋体" w:hAnsi="宋体" w:cs="宋体" w:eastAsia="宋体" w:hint="default"/>
                <w:sz w:val="18"/>
                <w:szCs w:val="18"/>
              </w:rPr>
            </w:pPr>
            <w:r>
              <w:rPr>
                <w:rFonts w:ascii="宋体" w:hAnsi="宋体" w:cs="宋体" w:eastAsia="宋体" w:hint="default"/>
                <w:sz w:val="18"/>
                <w:szCs w:val="18"/>
              </w:rPr>
              <w:t>承诺时 间</w:t>
            </w:r>
          </w:p>
        </w:tc>
        <w:tc>
          <w:tcPr>
            <w:tcW w:w="709"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316" w:lineRule="auto" w:before="47"/>
              <w:ind w:left="173" w:right="173"/>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1276"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277"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967" w:hRule="exact"/>
        </w:trPr>
        <w:tc>
          <w:tcPr>
            <w:tcW w:w="994" w:type="dxa"/>
            <w:vMerge w:val="restart"/>
            <w:tcBorders>
              <w:top w:val="single" w:sz="4" w:space="0" w:color="2D74B5"/>
              <w:left w:val="nil" w:sz="6" w:space="0" w:color="auto"/>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319" w:lineRule="auto"/>
              <w:ind w:left="136" w:right="135"/>
              <w:jc w:val="both"/>
              <w:rPr>
                <w:rFonts w:ascii="宋体" w:hAnsi="宋体" w:cs="宋体" w:eastAsia="宋体" w:hint="default"/>
                <w:sz w:val="18"/>
                <w:szCs w:val="18"/>
              </w:rPr>
            </w:pPr>
            <w:r>
              <w:rPr>
                <w:rFonts w:ascii="宋体" w:hAnsi="宋体" w:cs="宋体" w:eastAsia="宋体" w:hint="default"/>
                <w:sz w:val="18"/>
                <w:szCs w:val="18"/>
              </w:rPr>
              <w:t>首次公开 发行或再 融资时所 作承诺</w:t>
            </w:r>
          </w:p>
        </w:tc>
        <w:tc>
          <w:tcPr>
            <w:tcW w:w="992" w:type="dxa"/>
            <w:tcBorders>
              <w:top w:val="single" w:sz="4" w:space="0" w:color="2D74B5"/>
              <w:left w:val="nil" w:sz="6" w:space="0" w:color="auto"/>
              <w:bottom w:val="single" w:sz="4" w:space="0" w:color="2D74B5"/>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8" w:right="16" w:hanging="92"/>
              <w:jc w:val="center"/>
              <w:rPr>
                <w:rFonts w:ascii="宋体" w:hAnsi="宋体" w:cs="宋体" w:eastAsia="宋体" w:hint="default"/>
                <w:sz w:val="18"/>
                <w:szCs w:val="18"/>
              </w:rPr>
            </w:pPr>
            <w:r>
              <w:rPr>
                <w:rFonts w:ascii="宋体" w:hAnsi="宋体" w:cs="宋体" w:eastAsia="宋体" w:hint="default"/>
                <w:sz w:val="18"/>
                <w:szCs w:val="18"/>
              </w:rPr>
              <w:t>公司董 </w:t>
            </w:r>
            <w:r>
              <w:rPr>
                <w:rFonts w:ascii="宋体" w:hAnsi="宋体" w:cs="宋体" w:eastAsia="宋体" w:hint="default"/>
                <w:spacing w:val="-7"/>
                <w:sz w:val="18"/>
                <w:szCs w:val="18"/>
              </w:rPr>
              <w:t>事、监事、</w:t>
            </w:r>
            <w:r>
              <w:rPr>
                <w:rFonts w:ascii="宋体" w:hAnsi="宋体" w:cs="宋体" w:eastAsia="宋体" w:hint="default"/>
                <w:sz w:val="18"/>
                <w:szCs w:val="18"/>
              </w:rPr>
              <w:t> 高级管理 人员</w:t>
            </w:r>
          </w:p>
        </w:tc>
        <w:tc>
          <w:tcPr>
            <w:tcW w:w="113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6" w:right="115" w:hanging="36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684" w:type="dxa"/>
            <w:tcBorders>
              <w:top w:val="single" w:sz="4" w:space="0" w:color="2D74B5"/>
              <w:left w:val="nil" w:sz="6" w:space="0" w:color="auto"/>
              <w:bottom w:val="single" w:sz="4" w:space="0" w:color="2D74B5"/>
              <w:right w:val="nil" w:sz="6" w:space="0" w:color="auto"/>
            </w:tcBorders>
          </w:tcPr>
          <w:p>
            <w:pPr>
              <w:pStyle w:val="TableParagraph"/>
              <w:spacing w:line="312" w:lineRule="auto" w:before="52"/>
              <w:ind w:left="107" w:right="105"/>
              <w:jc w:val="left"/>
              <w:rPr>
                <w:rFonts w:ascii="宋体" w:hAnsi="宋体" w:cs="宋体" w:eastAsia="宋体" w:hint="default"/>
                <w:sz w:val="18"/>
                <w:szCs w:val="18"/>
              </w:rPr>
            </w:pPr>
            <w:r>
              <w:rPr>
                <w:rFonts w:ascii="宋体" w:hAnsi="宋体" w:cs="宋体" w:eastAsia="宋体" w:hint="default"/>
                <w:sz w:val="18"/>
                <w:szCs w:val="18"/>
              </w:rPr>
              <w:t>在任职期间持有公司股票的，每年转让的股 份不超过其所持股份总数的</w:t>
            </w:r>
            <w:r>
              <w:rPr>
                <w:rFonts w:ascii="宋体" w:hAnsi="宋体" w:cs="宋体" w:eastAsia="宋体" w:hint="default"/>
                <w:spacing w:val="-13"/>
                <w:sz w:val="18"/>
                <w:szCs w:val="18"/>
              </w:rPr>
              <w:t> </w:t>
            </w:r>
            <w:r>
              <w:rPr>
                <w:rFonts w:ascii="Arial" w:hAnsi="Arial" w:cs="Arial" w:eastAsia="Arial" w:hint="default"/>
                <w:spacing w:val="-4"/>
                <w:sz w:val="18"/>
                <w:szCs w:val="18"/>
              </w:rPr>
              <w:t>25%</w:t>
            </w:r>
            <w:r>
              <w:rPr>
                <w:rFonts w:ascii="宋体" w:hAnsi="宋体" w:cs="宋体" w:eastAsia="宋体" w:hint="default"/>
                <w:spacing w:val="-4"/>
                <w:sz w:val="18"/>
                <w:szCs w:val="18"/>
              </w:rPr>
              <w:t>，离职后半</w:t>
            </w:r>
            <w:r>
              <w:rPr>
                <w:rFonts w:ascii="宋体" w:hAnsi="宋体" w:cs="宋体" w:eastAsia="宋体" w:hint="default"/>
                <w:sz w:val="18"/>
                <w:szCs w:val="18"/>
              </w:rPr>
              <w:t> 年内不得转让其所持有的公司股份；在申报 离任 </w:t>
            </w:r>
            <w:r>
              <w:rPr>
                <w:rFonts w:ascii="Arial" w:hAnsi="Arial" w:cs="Arial" w:eastAsia="Arial" w:hint="default"/>
                <w:sz w:val="18"/>
                <w:szCs w:val="18"/>
              </w:rPr>
              <w:t>6 </w:t>
            </w:r>
            <w:r>
              <w:rPr>
                <w:rFonts w:ascii="宋体" w:hAnsi="宋体" w:cs="宋体" w:eastAsia="宋体" w:hint="default"/>
                <w:sz w:val="18"/>
                <w:szCs w:val="18"/>
              </w:rPr>
              <w:t>个月后的 </w:t>
            </w:r>
            <w:r>
              <w:rPr>
                <w:rFonts w:ascii="Arial" w:hAnsi="Arial" w:cs="Arial" w:eastAsia="Arial" w:hint="default"/>
                <w:sz w:val="18"/>
                <w:szCs w:val="18"/>
              </w:rPr>
              <w:t>12</w:t>
            </w:r>
            <w:r>
              <w:rPr>
                <w:rFonts w:ascii="Arial" w:hAnsi="Arial" w:cs="Arial" w:eastAsia="Arial" w:hint="default"/>
                <w:spacing w:val="25"/>
                <w:sz w:val="18"/>
                <w:szCs w:val="18"/>
              </w:rPr>
              <w:t> </w:t>
            </w:r>
            <w:r>
              <w:rPr>
                <w:rFonts w:ascii="宋体" w:hAnsi="宋体" w:cs="宋体" w:eastAsia="宋体" w:hint="default"/>
                <w:sz w:val="18"/>
                <w:szCs w:val="18"/>
              </w:rPr>
              <w:t>个月内通过证券交易 所挂牌交易出售公司股票数量占所持有公司 股票总数的比例不超过</w:t>
            </w:r>
            <w:r>
              <w:rPr>
                <w:rFonts w:ascii="宋体" w:hAnsi="宋体" w:cs="宋体" w:eastAsia="宋体" w:hint="default"/>
                <w:spacing w:val="-25"/>
                <w:sz w:val="18"/>
                <w:szCs w:val="18"/>
              </w:rPr>
              <w:t> </w:t>
            </w:r>
            <w:r>
              <w:rPr>
                <w:rFonts w:ascii="Arial" w:hAnsi="Arial" w:cs="Arial" w:eastAsia="Arial" w:hint="default"/>
                <w:sz w:val="18"/>
                <w:szCs w:val="18"/>
              </w:rPr>
              <w:t>50%</w:t>
            </w:r>
            <w:r>
              <w:rPr>
                <w:rFonts w:ascii="宋体" w:hAnsi="宋体" w:cs="宋体" w:eastAsia="宋体" w:hint="default"/>
                <w:sz w:val="18"/>
                <w:szCs w:val="18"/>
              </w:rPr>
              <w:t>。</w:t>
            </w:r>
          </w:p>
        </w:tc>
        <w:tc>
          <w:tcPr>
            <w:tcW w:w="851"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1"/>
                <w:sz w:val="18"/>
                <w:szCs w:val="18"/>
              </w:rPr>
              <w:t> </w:t>
            </w:r>
            <w:r>
              <w:rPr>
                <w:rFonts w:ascii="宋体" w:hAnsi="宋体" w:cs="宋体" w:eastAsia="宋体" w:hint="default"/>
                <w:sz w:val="18"/>
                <w:szCs w:val="18"/>
              </w:rPr>
              <w:t>年</w:t>
            </w:r>
          </w:p>
          <w:p>
            <w:pPr>
              <w:pStyle w:val="TableParagraph"/>
              <w:spacing w:line="240" w:lineRule="auto" w:before="62"/>
              <w:ind w:right="1"/>
              <w:jc w:val="center"/>
              <w:rPr>
                <w:rFonts w:ascii="Arial" w:hAnsi="Arial" w:cs="Arial" w:eastAsia="Arial" w:hint="default"/>
                <w:sz w:val="18"/>
                <w:szCs w:val="18"/>
              </w:rPr>
            </w:pPr>
            <w:r>
              <w:rPr>
                <w:rFonts w:ascii="Arial" w:hAnsi="Arial" w:cs="Arial" w:eastAsia="Arial" w:hint="default"/>
                <w:sz w:val="18"/>
                <w:szCs w:val="18"/>
              </w:rPr>
              <w:t>05</w:t>
            </w:r>
            <w:r>
              <w:rPr>
                <w:rFonts w:ascii="Arial" w:hAnsi="Arial" w:cs="Arial" w:eastAsia="Arial" w:hint="default"/>
                <w:spacing w:val="-26"/>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Arial" w:hAnsi="Arial" w:cs="Arial" w:eastAsia="Arial" w:hint="default"/>
                <w:sz w:val="18"/>
                <w:szCs w:val="18"/>
              </w:rPr>
              <w:t>17</w:t>
            </w:r>
          </w:p>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2D74B5"/>
              <w:left w:val="nil" w:sz="6" w:space="0" w:color="auto"/>
              <w:bottom w:val="single" w:sz="4" w:space="0" w:color="2D74B5"/>
              <w:right w:val="nil" w:sz="6" w:space="0" w:color="auto"/>
            </w:tcBorders>
          </w:tcPr>
          <w:p>
            <w:pPr>
              <w:pStyle w:val="TableParagraph"/>
              <w:spacing w:line="314" w:lineRule="auto" w:before="52"/>
              <w:ind w:left="141" w:right="143" w:firstLine="32"/>
              <w:jc w:val="both"/>
              <w:rPr>
                <w:rFonts w:ascii="宋体" w:hAnsi="宋体" w:cs="宋体" w:eastAsia="宋体" w:hint="default"/>
                <w:sz w:val="18"/>
                <w:szCs w:val="18"/>
              </w:rPr>
            </w:pPr>
            <w:r>
              <w:rPr>
                <w:rFonts w:ascii="宋体" w:hAnsi="宋体" w:cs="宋体" w:eastAsia="宋体" w:hint="default"/>
                <w:sz w:val="18"/>
                <w:szCs w:val="18"/>
              </w:rPr>
              <w:t>任期 期间 及离 职后 </w:t>
            </w:r>
            <w:r>
              <w:rPr>
                <w:rFonts w:ascii="Arial" w:hAnsi="Arial" w:cs="Arial" w:eastAsia="Arial" w:hint="default"/>
                <w:sz w:val="18"/>
                <w:szCs w:val="18"/>
              </w:rPr>
              <w:t>18</w:t>
            </w:r>
            <w:r>
              <w:rPr>
                <w:rFonts w:ascii="Arial" w:hAnsi="Arial" w:cs="Arial" w:eastAsia="Arial" w:hint="default"/>
                <w:spacing w:val="-8"/>
                <w:sz w:val="18"/>
                <w:szCs w:val="18"/>
              </w:rPr>
              <w:t> </w:t>
            </w:r>
            <w:r>
              <w:rPr>
                <w:rFonts w:ascii="宋体" w:hAnsi="宋体" w:cs="宋体" w:eastAsia="宋体" w:hint="default"/>
                <w:sz w:val="18"/>
                <w:szCs w:val="18"/>
              </w:rPr>
              <w:t>个 月内</w:t>
            </w:r>
          </w:p>
        </w:tc>
        <w:tc>
          <w:tcPr>
            <w:tcW w:w="1276"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8" w:right="107"/>
              <w:jc w:val="center"/>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4"/>
                <w:sz w:val="18"/>
                <w:szCs w:val="18"/>
              </w:rPr>
              <w:t>披露之日，承</w:t>
            </w:r>
            <w:r>
              <w:rPr>
                <w:rFonts w:ascii="宋体" w:hAnsi="宋体" w:cs="宋体" w:eastAsia="宋体" w:hint="default"/>
                <w:sz w:val="18"/>
                <w:szCs w:val="18"/>
              </w:rPr>
              <w:t> 诺人均遵守 了以上承诺</w:t>
            </w:r>
          </w:p>
        </w:tc>
      </w:tr>
      <w:tr>
        <w:trPr>
          <w:trHeight w:val="1651" w:hRule="exact"/>
        </w:trPr>
        <w:tc>
          <w:tcPr>
            <w:tcW w:w="994" w:type="dxa"/>
            <w:vMerge/>
            <w:tcBorders>
              <w:left w:val="nil" w:sz="6" w:space="0" w:color="auto"/>
              <w:bottom w:val="single" w:sz="4" w:space="0" w:color="5B9BD4"/>
              <w:right w:val="nil" w:sz="6" w:space="0" w:color="auto"/>
            </w:tcBorders>
            <w:shd w:val="clear" w:color="auto" w:fill="DEEAF6"/>
          </w:tcPr>
          <w:p>
            <w:pPr/>
          </w:p>
        </w:tc>
        <w:tc>
          <w:tcPr>
            <w:tcW w:w="992" w:type="dxa"/>
            <w:tcBorders>
              <w:top w:val="single" w:sz="4" w:space="0" w:color="2D74B5"/>
              <w:left w:val="nil" w:sz="6" w:space="0" w:color="auto"/>
              <w:bottom w:val="single" w:sz="4" w:space="0" w:color="2D74B5"/>
              <w:right w:val="nil" w:sz="6" w:space="0" w:color="auto"/>
            </w:tcBorders>
          </w:tcPr>
          <w:p>
            <w:pPr>
              <w:pStyle w:val="TableParagraph"/>
              <w:spacing w:line="302" w:lineRule="auto" w:before="48"/>
              <w:ind w:left="110" w:right="109"/>
              <w:jc w:val="center"/>
              <w:rPr>
                <w:rFonts w:ascii="宋体" w:hAnsi="宋体" w:cs="宋体" w:eastAsia="宋体" w:hint="default"/>
                <w:sz w:val="18"/>
                <w:szCs w:val="18"/>
              </w:rPr>
            </w:pPr>
            <w:r>
              <w:rPr>
                <w:rFonts w:ascii="宋体" w:hAnsi="宋体" w:cs="宋体" w:eastAsia="宋体" w:hint="default"/>
                <w:sz w:val="18"/>
                <w:szCs w:val="18"/>
              </w:rPr>
              <w:t>余斌</w:t>
            </w:r>
            <w:r>
              <w:rPr>
                <w:rFonts w:ascii="Arial" w:hAnsi="Arial" w:cs="Arial" w:eastAsia="Arial" w:hint="default"/>
                <w:sz w:val="18"/>
                <w:szCs w:val="18"/>
              </w:rPr>
              <w:t>;</w:t>
            </w:r>
            <w:r>
              <w:rPr>
                <w:rFonts w:ascii="宋体" w:hAnsi="宋体" w:cs="宋体" w:eastAsia="宋体" w:hint="default"/>
                <w:sz w:val="18"/>
                <w:szCs w:val="18"/>
              </w:rPr>
              <w:t>吴学 军</w:t>
            </w:r>
            <w:r>
              <w:rPr>
                <w:rFonts w:ascii="Arial" w:hAnsi="Arial" w:cs="Arial" w:eastAsia="Arial" w:hint="default"/>
                <w:sz w:val="18"/>
                <w:szCs w:val="18"/>
              </w:rPr>
              <w:t>;</w:t>
            </w:r>
            <w:r>
              <w:rPr>
                <w:rFonts w:ascii="宋体" w:hAnsi="宋体" w:cs="宋体" w:eastAsia="宋体" w:hint="default"/>
                <w:sz w:val="18"/>
                <w:szCs w:val="18"/>
              </w:rPr>
              <w:t>罗筱 溪</w:t>
            </w:r>
            <w:r>
              <w:rPr>
                <w:rFonts w:ascii="Arial" w:hAnsi="Arial" w:cs="Arial" w:eastAsia="Arial" w:hint="default"/>
                <w:sz w:val="18"/>
                <w:szCs w:val="18"/>
              </w:rPr>
              <w:t>;</w:t>
            </w:r>
            <w:r>
              <w:rPr>
                <w:rFonts w:ascii="宋体" w:hAnsi="宋体" w:cs="宋体" w:eastAsia="宋体" w:hint="default"/>
                <w:sz w:val="18"/>
                <w:szCs w:val="18"/>
              </w:rPr>
              <w:t>米泽 东</w:t>
            </w:r>
            <w:r>
              <w:rPr>
                <w:rFonts w:ascii="Arial" w:hAnsi="Arial" w:cs="Arial" w:eastAsia="Arial" w:hint="default"/>
                <w:sz w:val="18"/>
                <w:szCs w:val="18"/>
              </w:rPr>
              <w:t>;</w:t>
            </w:r>
            <w:r>
              <w:rPr>
                <w:rFonts w:ascii="宋体" w:hAnsi="宋体" w:cs="宋体" w:eastAsia="宋体" w:hint="default"/>
                <w:sz w:val="18"/>
                <w:szCs w:val="18"/>
              </w:rPr>
              <w:t>陈亮</w:t>
            </w:r>
            <w:r>
              <w:rPr>
                <w:rFonts w:ascii="Arial" w:hAnsi="Arial" w:cs="Arial" w:eastAsia="Arial" w:hint="default"/>
                <w:sz w:val="18"/>
                <w:szCs w:val="18"/>
              </w:rPr>
              <w:t>;</w:t>
            </w:r>
            <w:r>
              <w:rPr>
                <w:rFonts w:ascii="Arial" w:hAnsi="Arial" w:cs="Arial" w:eastAsia="Arial" w:hint="default"/>
                <w:w w:val="99"/>
                <w:sz w:val="18"/>
                <w:szCs w:val="18"/>
              </w:rPr>
              <w:t> </w:t>
            </w:r>
            <w:r>
              <w:rPr>
                <w:rFonts w:ascii="宋体" w:hAnsi="宋体" w:cs="宋体" w:eastAsia="宋体" w:hint="default"/>
                <w:sz w:val="18"/>
                <w:szCs w:val="18"/>
              </w:rPr>
              <w:t>杨治</w:t>
            </w:r>
          </w:p>
        </w:tc>
        <w:tc>
          <w:tcPr>
            <w:tcW w:w="113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476" w:right="115" w:hanging="36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684" w:type="dxa"/>
            <w:tcBorders>
              <w:top w:val="single" w:sz="4" w:space="0" w:color="2D74B5"/>
              <w:left w:val="nil" w:sz="6" w:space="0" w:color="auto"/>
              <w:bottom w:val="single" w:sz="4" w:space="0" w:color="2D74B5"/>
              <w:right w:val="nil" w:sz="6" w:space="0" w:color="auto"/>
            </w:tcBorders>
          </w:tcPr>
          <w:p>
            <w:pPr>
              <w:pStyle w:val="TableParagraph"/>
              <w:spacing w:line="316" w:lineRule="auto" w:before="48"/>
              <w:ind w:left="107" w:right="154"/>
              <w:jc w:val="both"/>
              <w:rPr>
                <w:rFonts w:ascii="宋体" w:hAnsi="宋体" w:cs="宋体" w:eastAsia="宋体" w:hint="default"/>
                <w:sz w:val="18"/>
                <w:szCs w:val="18"/>
              </w:rPr>
            </w:pPr>
            <w:r>
              <w:rPr>
                <w:rFonts w:ascii="宋体" w:hAnsi="宋体" w:cs="宋体" w:eastAsia="宋体" w:hint="default"/>
                <w:sz w:val="18"/>
                <w:szCs w:val="18"/>
              </w:rPr>
              <w:t>通过新余爱乐投资管理中心（有限合伙）认 购公司非公开发行的股票，自本次非公开发 行结束之日起三十六个月内不得转让。</w:t>
            </w:r>
          </w:p>
        </w:tc>
        <w:tc>
          <w:tcPr>
            <w:tcW w:w="851"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w:t>
            </w:r>
          </w:p>
          <w:p>
            <w:pPr>
              <w:pStyle w:val="TableParagraph"/>
              <w:spacing w:line="240" w:lineRule="auto" w:before="62"/>
              <w:ind w:right="1"/>
              <w:jc w:val="center"/>
              <w:rPr>
                <w:rFonts w:ascii="Arial" w:hAnsi="Arial" w:cs="Arial" w:eastAsia="Arial" w:hint="default"/>
                <w:sz w:val="18"/>
                <w:szCs w:val="18"/>
              </w:rPr>
            </w:pPr>
            <w:r>
              <w:rPr>
                <w:rFonts w:ascii="Arial" w:hAnsi="Arial" w:cs="Arial" w:eastAsia="Arial" w:hint="default"/>
                <w:sz w:val="18"/>
                <w:szCs w:val="18"/>
              </w:rPr>
              <w:t>09</w:t>
            </w:r>
            <w:r>
              <w:rPr>
                <w:rFonts w:ascii="Arial" w:hAnsi="Arial" w:cs="Arial" w:eastAsia="Arial" w:hint="default"/>
                <w:spacing w:val="-26"/>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Arial" w:hAnsi="Arial" w:cs="Arial" w:eastAsia="Arial" w:hint="default"/>
                <w:sz w:val="18"/>
                <w:szCs w:val="18"/>
              </w:rPr>
              <w:t>14</w:t>
            </w:r>
          </w:p>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2D74B5"/>
              <w:left w:val="nil" w:sz="6" w:space="0" w:color="auto"/>
              <w:bottom w:val="single" w:sz="4" w:space="0" w:color="2D74B5"/>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02" w:lineRule="auto"/>
              <w:ind w:left="263" w:right="143" w:hanging="123"/>
              <w:jc w:val="left"/>
              <w:rPr>
                <w:rFonts w:ascii="宋体" w:hAnsi="宋体" w:cs="宋体" w:eastAsia="宋体" w:hint="default"/>
                <w:sz w:val="18"/>
                <w:szCs w:val="18"/>
              </w:rPr>
            </w:pPr>
            <w:r>
              <w:rPr>
                <w:rFonts w:ascii="Arial" w:hAnsi="Arial" w:cs="Arial" w:eastAsia="Arial" w:hint="default"/>
                <w:sz w:val="18"/>
                <w:szCs w:val="18"/>
              </w:rPr>
              <w:t>36</w:t>
            </w:r>
            <w:r>
              <w:rPr>
                <w:rFonts w:ascii="Arial" w:hAnsi="Arial" w:cs="Arial" w:eastAsia="Arial" w:hint="default"/>
                <w:spacing w:val="-8"/>
                <w:sz w:val="18"/>
                <w:szCs w:val="18"/>
              </w:rPr>
              <w:t> </w:t>
            </w:r>
            <w:r>
              <w:rPr>
                <w:rFonts w:ascii="宋体" w:hAnsi="宋体" w:cs="宋体" w:eastAsia="宋体" w:hint="default"/>
                <w:sz w:val="18"/>
                <w:szCs w:val="18"/>
              </w:rPr>
              <w:t>个 月</w:t>
            </w:r>
          </w:p>
        </w:tc>
        <w:tc>
          <w:tcPr>
            <w:tcW w:w="1276"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7" w:right="85" w:hanging="22"/>
              <w:jc w:val="center"/>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4"/>
                <w:sz w:val="18"/>
                <w:szCs w:val="18"/>
              </w:rPr>
              <w:t>披露之日，承</w:t>
            </w:r>
            <w:r>
              <w:rPr>
                <w:rFonts w:ascii="宋体" w:hAnsi="宋体" w:cs="宋体" w:eastAsia="宋体" w:hint="default"/>
                <w:sz w:val="18"/>
                <w:szCs w:val="18"/>
              </w:rPr>
              <w:t> 诺人均遵守 了以上承诺。</w:t>
            </w:r>
          </w:p>
        </w:tc>
      </w:tr>
      <w:tr>
        <w:trPr>
          <w:trHeight w:val="2585" w:hRule="exact"/>
        </w:trPr>
        <w:tc>
          <w:tcPr>
            <w:tcW w:w="994"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319" w:lineRule="auto"/>
              <w:ind w:left="136" w:right="135"/>
              <w:jc w:val="center"/>
              <w:rPr>
                <w:rFonts w:ascii="宋体" w:hAnsi="宋体" w:cs="宋体" w:eastAsia="宋体" w:hint="default"/>
                <w:sz w:val="18"/>
                <w:szCs w:val="18"/>
              </w:rPr>
            </w:pPr>
            <w:r>
              <w:rPr>
                <w:rFonts w:ascii="宋体" w:hAnsi="宋体" w:cs="宋体" w:eastAsia="宋体" w:hint="default"/>
                <w:sz w:val="18"/>
                <w:szCs w:val="18"/>
              </w:rPr>
              <w:t>其他对公 司中小股 东所作承 诺</w:t>
            </w:r>
          </w:p>
        </w:tc>
        <w:tc>
          <w:tcPr>
            <w:tcW w:w="992" w:type="dxa"/>
            <w:tcBorders>
              <w:top w:val="single" w:sz="4" w:space="0" w:color="2D74B5"/>
              <w:left w:val="nil" w:sz="6" w:space="0" w:color="auto"/>
              <w:bottom w:val="single" w:sz="4" w:space="0" w:color="2D74B5"/>
              <w:right w:val="nil" w:sz="6" w:space="0" w:color="auto"/>
            </w:tcBorders>
          </w:tcPr>
          <w:p>
            <w:pPr>
              <w:pStyle w:val="TableParagraph"/>
              <w:spacing w:line="312" w:lineRule="auto" w:before="47"/>
              <w:ind w:left="110" w:right="109"/>
              <w:jc w:val="center"/>
              <w:rPr>
                <w:rFonts w:ascii="宋体" w:hAnsi="宋体" w:cs="宋体" w:eastAsia="宋体" w:hint="default"/>
                <w:sz w:val="18"/>
                <w:szCs w:val="18"/>
              </w:rPr>
            </w:pPr>
            <w:r>
              <w:rPr>
                <w:rFonts w:ascii="宋体" w:hAnsi="宋体" w:cs="宋体" w:eastAsia="宋体" w:hint="default"/>
                <w:sz w:val="18"/>
                <w:szCs w:val="18"/>
              </w:rPr>
              <w:t>深圳市神 州通投资 集团有限 公司</w:t>
            </w:r>
            <w:r>
              <w:rPr>
                <w:rFonts w:ascii="Arial" w:hAnsi="Arial" w:cs="Arial" w:eastAsia="Arial" w:hint="default"/>
                <w:sz w:val="18"/>
                <w:szCs w:val="18"/>
              </w:rPr>
              <w:t>;</w:t>
            </w:r>
            <w:r>
              <w:rPr>
                <w:rFonts w:ascii="宋体" w:hAnsi="宋体" w:cs="宋体" w:eastAsia="宋体" w:hint="default"/>
                <w:sz w:val="18"/>
                <w:szCs w:val="18"/>
              </w:rPr>
              <w:t>深圳 市全球星 实业有限 公司</w:t>
            </w:r>
            <w:r>
              <w:rPr>
                <w:rFonts w:ascii="宋体" w:hAnsi="宋体" w:cs="宋体" w:eastAsia="宋体" w:hint="default"/>
                <w:spacing w:val="-3"/>
                <w:sz w:val="18"/>
                <w:szCs w:val="18"/>
              </w:rPr>
              <w:t> </w:t>
            </w:r>
            <w:r>
              <w:rPr>
                <w:rFonts w:ascii="Arial" w:hAnsi="Arial" w:cs="Arial" w:eastAsia="Arial" w:hint="default"/>
                <w:sz w:val="18"/>
                <w:szCs w:val="18"/>
              </w:rPr>
              <w:t>;</w:t>
            </w:r>
            <w:r>
              <w:rPr>
                <w:rFonts w:ascii="宋体" w:hAnsi="宋体" w:cs="宋体" w:eastAsia="宋体" w:hint="default"/>
                <w:sz w:val="18"/>
                <w:szCs w:val="18"/>
              </w:rPr>
              <w:t>黄 绍武</w:t>
            </w:r>
          </w:p>
        </w:tc>
        <w:tc>
          <w:tcPr>
            <w:tcW w:w="113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6" w:lineRule="auto"/>
              <w:ind w:left="116" w:right="115"/>
              <w:jc w:val="center"/>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3684" w:type="dxa"/>
            <w:tcBorders>
              <w:top w:val="single" w:sz="4" w:space="0" w:color="2D74B5"/>
              <w:left w:val="nil" w:sz="6" w:space="0" w:color="auto"/>
              <w:bottom w:val="single" w:sz="4" w:space="0" w:color="2D74B5"/>
              <w:right w:val="nil" w:sz="6" w:space="0" w:color="auto"/>
            </w:tcBorders>
          </w:tcPr>
          <w:p>
            <w:pPr>
              <w:pStyle w:val="TableParagraph"/>
              <w:spacing w:line="314" w:lineRule="auto" w:before="47"/>
              <w:ind w:left="107" w:right="154"/>
              <w:jc w:val="both"/>
              <w:rPr>
                <w:rFonts w:ascii="宋体" w:hAnsi="宋体" w:cs="宋体" w:eastAsia="宋体" w:hint="default"/>
                <w:sz w:val="18"/>
                <w:szCs w:val="18"/>
              </w:rPr>
            </w:pPr>
            <w:r>
              <w:rPr>
                <w:rFonts w:ascii="宋体" w:hAnsi="宋体" w:cs="宋体" w:eastAsia="宋体" w:hint="default"/>
                <w:sz w:val="18"/>
                <w:szCs w:val="18"/>
              </w:rPr>
              <w:t>本人</w:t>
            </w:r>
            <w:r>
              <w:rPr>
                <w:rFonts w:ascii="Arial" w:hAnsi="Arial" w:cs="Arial" w:eastAsia="Arial" w:hint="default"/>
                <w:sz w:val="18"/>
                <w:szCs w:val="18"/>
              </w:rPr>
              <w:t>/</w:t>
            </w:r>
            <w:r>
              <w:rPr>
                <w:rFonts w:ascii="宋体" w:hAnsi="宋体" w:cs="宋体" w:eastAsia="宋体" w:hint="default"/>
                <w:sz w:val="18"/>
                <w:szCs w:val="18"/>
              </w:rPr>
              <w:t>本公司及本人</w:t>
            </w:r>
            <w:r>
              <w:rPr>
                <w:rFonts w:ascii="Arial" w:hAnsi="Arial" w:cs="Arial" w:eastAsia="Arial" w:hint="default"/>
                <w:sz w:val="18"/>
                <w:szCs w:val="18"/>
              </w:rPr>
              <w:t>/</w:t>
            </w:r>
            <w:r>
              <w:rPr>
                <w:rFonts w:ascii="宋体" w:hAnsi="宋体" w:cs="宋体" w:eastAsia="宋体" w:hint="default"/>
                <w:sz w:val="18"/>
                <w:szCs w:val="18"/>
              </w:rPr>
              <w:t>本公司所控制的企业将</w:t>
            </w:r>
            <w:r>
              <w:rPr>
                <w:rFonts w:ascii="宋体" w:hAnsi="宋体" w:cs="宋体" w:eastAsia="宋体" w:hint="default"/>
                <w:spacing w:val="-33"/>
                <w:sz w:val="18"/>
                <w:szCs w:val="18"/>
              </w:rPr>
              <w:t> </w:t>
            </w:r>
            <w:r>
              <w:rPr>
                <w:rFonts w:ascii="宋体" w:hAnsi="宋体" w:cs="宋体" w:eastAsia="宋体" w:hint="default"/>
                <w:sz w:val="18"/>
                <w:szCs w:val="18"/>
              </w:rPr>
              <w:t>来不会以任何方式直接或间接从事与公司相 竞争的业务，不会直接或间接投资、收购竞 争企业，也不会以任何方式为竞争企业提供 任何业务上的帮助。如因未履行避免同业竞 争的承诺而给公司造成损失，将对公司遭受 的全部损失作出赔偿。</w:t>
            </w:r>
          </w:p>
        </w:tc>
        <w:tc>
          <w:tcPr>
            <w:tcW w:w="851"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11"/>
                <w:sz w:val="18"/>
                <w:szCs w:val="18"/>
              </w:rPr>
              <w:t> </w:t>
            </w:r>
            <w:r>
              <w:rPr>
                <w:rFonts w:ascii="宋体" w:hAnsi="宋体" w:cs="宋体" w:eastAsia="宋体" w:hint="default"/>
                <w:sz w:val="18"/>
                <w:szCs w:val="18"/>
              </w:rPr>
              <w:t>年</w:t>
            </w:r>
          </w:p>
          <w:p>
            <w:pPr>
              <w:pStyle w:val="TableParagraph"/>
              <w:spacing w:line="240" w:lineRule="auto" w:before="62"/>
              <w:ind w:right="1"/>
              <w:jc w:val="center"/>
              <w:rPr>
                <w:rFonts w:ascii="Arial" w:hAnsi="Arial" w:cs="Arial" w:eastAsia="Arial" w:hint="default"/>
                <w:sz w:val="18"/>
                <w:szCs w:val="18"/>
              </w:rPr>
            </w:pPr>
            <w:r>
              <w:rPr>
                <w:rFonts w:ascii="Arial" w:hAnsi="Arial" w:cs="Arial" w:eastAsia="Arial" w:hint="default"/>
                <w:sz w:val="18"/>
                <w:szCs w:val="18"/>
              </w:rPr>
              <w:t>07</w:t>
            </w:r>
            <w:r>
              <w:rPr>
                <w:rFonts w:ascii="Arial" w:hAnsi="Arial" w:cs="Arial" w:eastAsia="Arial" w:hint="default"/>
                <w:spacing w:val="-26"/>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Arial" w:hAnsi="Arial" w:cs="Arial" w:eastAsia="Arial" w:hint="default"/>
                <w:sz w:val="18"/>
                <w:szCs w:val="18"/>
              </w:rPr>
              <w:t>18</w:t>
            </w:r>
          </w:p>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2D74B5"/>
              <w:left w:val="nil" w:sz="6" w:space="0" w:color="auto"/>
              <w:bottom w:val="single" w:sz="4" w:space="0" w:color="2D74B5"/>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长期</w:t>
            </w:r>
          </w:p>
        </w:tc>
        <w:tc>
          <w:tcPr>
            <w:tcW w:w="1276"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187" w:right="186"/>
              <w:jc w:val="center"/>
              <w:rPr>
                <w:rFonts w:ascii="宋体" w:hAnsi="宋体" w:cs="宋体" w:eastAsia="宋体" w:hint="default"/>
                <w:sz w:val="18"/>
                <w:szCs w:val="18"/>
              </w:rPr>
            </w:pPr>
            <w:r>
              <w:rPr>
                <w:rFonts w:ascii="宋体" w:hAnsi="宋体" w:cs="宋体" w:eastAsia="宋体" w:hint="default"/>
                <w:sz w:val="18"/>
                <w:szCs w:val="18"/>
              </w:rPr>
              <w:t>承诺人均遵 守了该项承 诺。</w:t>
            </w:r>
          </w:p>
        </w:tc>
      </w:tr>
      <w:tr>
        <w:trPr>
          <w:trHeight w:val="2547" w:hRule="exact"/>
        </w:trPr>
        <w:tc>
          <w:tcPr>
            <w:tcW w:w="994" w:type="dxa"/>
            <w:vMerge/>
            <w:tcBorders>
              <w:left w:val="nil" w:sz="6" w:space="0" w:color="auto"/>
              <w:bottom w:val="single" w:sz="4" w:space="0" w:color="2D74B5"/>
              <w:right w:val="nil" w:sz="6" w:space="0" w:color="auto"/>
            </w:tcBorders>
            <w:shd w:val="clear" w:color="auto" w:fill="DEEAF6"/>
          </w:tcPr>
          <w:p>
            <w:pPr/>
          </w:p>
        </w:tc>
        <w:tc>
          <w:tcPr>
            <w:tcW w:w="992" w:type="dxa"/>
            <w:tcBorders>
              <w:top w:val="single" w:sz="4" w:space="0" w:color="2D74B5"/>
              <w:left w:val="nil" w:sz="6" w:space="0" w:color="auto"/>
              <w:bottom w:val="single" w:sz="4" w:space="0" w:color="2D74B5"/>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黄绍武</w:t>
            </w:r>
          </w:p>
        </w:tc>
        <w:tc>
          <w:tcPr>
            <w:tcW w:w="113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5"/>
              <w:jc w:val="right"/>
              <w:rPr>
                <w:rFonts w:ascii="宋体" w:hAnsi="宋体" w:cs="宋体" w:eastAsia="宋体" w:hint="default"/>
                <w:sz w:val="18"/>
                <w:szCs w:val="18"/>
              </w:rPr>
            </w:pPr>
            <w:r>
              <w:rPr>
                <w:rFonts w:ascii="宋体" w:hAnsi="宋体" w:cs="宋体" w:eastAsia="宋体" w:hint="default"/>
                <w:sz w:val="18"/>
                <w:szCs w:val="18"/>
              </w:rPr>
              <w:t>其他承诺</w:t>
            </w:r>
          </w:p>
        </w:tc>
        <w:tc>
          <w:tcPr>
            <w:tcW w:w="3684" w:type="dxa"/>
            <w:tcBorders>
              <w:top w:val="single" w:sz="4" w:space="0" w:color="2D74B5"/>
              <w:left w:val="nil" w:sz="6" w:space="0" w:color="auto"/>
              <w:bottom w:val="single" w:sz="4" w:space="0" w:color="2D74B5"/>
              <w:right w:val="nil" w:sz="6" w:space="0" w:color="auto"/>
            </w:tcBorders>
          </w:tcPr>
          <w:p>
            <w:pPr>
              <w:pStyle w:val="TableParagraph"/>
              <w:spacing w:line="316" w:lineRule="auto" w:before="47"/>
              <w:ind w:left="107" w:right="154"/>
              <w:jc w:val="both"/>
              <w:rPr>
                <w:rFonts w:ascii="宋体" w:hAnsi="宋体" w:cs="宋体" w:eastAsia="宋体" w:hint="default"/>
                <w:sz w:val="18"/>
                <w:szCs w:val="18"/>
              </w:rPr>
            </w:pPr>
            <w:r>
              <w:rPr>
                <w:rFonts w:ascii="宋体" w:hAnsi="宋体" w:cs="宋体" w:eastAsia="宋体" w:hint="default"/>
                <w:sz w:val="18"/>
                <w:szCs w:val="18"/>
              </w:rPr>
              <w:t>自本承诺函出具之日，本人将善意使用控制 权，严格履行控股股东、实际控制人的诚信 义务、信息披露义务及其他义务，不利用控 制地位及关联关系损害公司和社会公众股股 东的利益，不通过任何方式影响公司的独立 性，不通过任何方式影响公司的独立决策， 不通过任何方式使利益在公司与天音控股之 间不正常流动，不利用与黄绍文之间的亲属</w:t>
            </w:r>
          </w:p>
        </w:tc>
        <w:tc>
          <w:tcPr>
            <w:tcW w:w="851"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11"/>
                <w:sz w:val="18"/>
                <w:szCs w:val="18"/>
              </w:rPr>
              <w:t> </w:t>
            </w:r>
            <w:r>
              <w:rPr>
                <w:rFonts w:ascii="宋体" w:hAnsi="宋体" w:cs="宋体" w:eastAsia="宋体" w:hint="default"/>
                <w:sz w:val="18"/>
                <w:szCs w:val="18"/>
              </w:rPr>
              <w:t>年</w:t>
            </w:r>
          </w:p>
          <w:p>
            <w:pPr>
              <w:pStyle w:val="TableParagraph"/>
              <w:spacing w:line="240" w:lineRule="auto" w:before="62"/>
              <w:ind w:right="1"/>
              <w:jc w:val="center"/>
              <w:rPr>
                <w:rFonts w:ascii="Arial" w:hAnsi="Arial" w:cs="Arial" w:eastAsia="Arial" w:hint="default"/>
                <w:sz w:val="18"/>
                <w:szCs w:val="18"/>
              </w:rPr>
            </w:pPr>
            <w:r>
              <w:rPr>
                <w:rFonts w:ascii="Arial" w:hAnsi="Arial" w:cs="Arial" w:eastAsia="Arial" w:hint="default"/>
                <w:sz w:val="18"/>
                <w:szCs w:val="18"/>
              </w:rPr>
              <w:t>02</w:t>
            </w:r>
            <w:r>
              <w:rPr>
                <w:rFonts w:ascii="Arial" w:hAnsi="Arial" w:cs="Arial" w:eastAsia="Arial" w:hint="default"/>
                <w:spacing w:val="-26"/>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Arial" w:hAnsi="Arial" w:cs="Arial" w:eastAsia="Arial" w:hint="default"/>
                <w:sz w:val="18"/>
                <w:szCs w:val="18"/>
              </w:rPr>
              <w:t>16</w:t>
            </w:r>
          </w:p>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2D74B5"/>
              <w:left w:val="nil" w:sz="6" w:space="0" w:color="auto"/>
              <w:bottom w:val="single" w:sz="4" w:space="0" w:color="2D74B5"/>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长期</w:t>
            </w:r>
          </w:p>
        </w:tc>
        <w:tc>
          <w:tcPr>
            <w:tcW w:w="1276"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319" w:lineRule="auto"/>
              <w:ind w:left="108" w:right="85" w:firstLine="79"/>
              <w:jc w:val="left"/>
              <w:rPr>
                <w:rFonts w:ascii="宋体" w:hAnsi="宋体" w:cs="宋体" w:eastAsia="宋体" w:hint="default"/>
                <w:sz w:val="18"/>
                <w:szCs w:val="18"/>
              </w:rPr>
            </w:pPr>
            <w:r>
              <w:rPr>
                <w:rFonts w:ascii="宋体" w:hAnsi="宋体" w:cs="宋体" w:eastAsia="宋体" w:hint="default"/>
                <w:sz w:val="18"/>
                <w:szCs w:val="18"/>
              </w:rPr>
              <w:t>承诺人遵守 了此项承诺。</w:t>
            </w:r>
          </w:p>
        </w:tc>
      </w:tr>
    </w:tbl>
    <w:p>
      <w:pPr>
        <w:spacing w:after="0" w:line="319"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994"/>
        <w:gridCol w:w="992"/>
        <w:gridCol w:w="1134"/>
        <w:gridCol w:w="3684"/>
        <w:gridCol w:w="851"/>
        <w:gridCol w:w="709"/>
        <w:gridCol w:w="1276"/>
      </w:tblGrid>
      <w:tr>
        <w:trPr>
          <w:trHeight w:val="986" w:hRule="exact"/>
        </w:trPr>
        <w:tc>
          <w:tcPr>
            <w:tcW w:w="994" w:type="dxa"/>
            <w:vMerge w:val="restart"/>
            <w:tcBorders>
              <w:top w:val="single" w:sz="4" w:space="0" w:color="2D74B5"/>
              <w:left w:val="nil" w:sz="6" w:space="0" w:color="auto"/>
              <w:right w:val="nil" w:sz="6" w:space="0" w:color="auto"/>
            </w:tcBorders>
            <w:shd w:val="clear" w:color="auto" w:fill="DEEAF6"/>
          </w:tcPr>
          <w:p>
            <w:pPr/>
          </w:p>
        </w:tc>
        <w:tc>
          <w:tcPr>
            <w:tcW w:w="992" w:type="dxa"/>
            <w:tcBorders>
              <w:top w:val="single" w:sz="4" w:space="0" w:color="2D74B5"/>
              <w:left w:val="nil" w:sz="6" w:space="0" w:color="auto"/>
              <w:bottom w:val="single" w:sz="4" w:space="0" w:color="2D74B5"/>
              <w:right w:val="nil" w:sz="6" w:space="0" w:color="auto"/>
            </w:tcBorders>
          </w:tcPr>
          <w:p>
            <w:pPr/>
          </w:p>
        </w:tc>
        <w:tc>
          <w:tcPr>
            <w:tcW w:w="1134" w:type="dxa"/>
            <w:tcBorders>
              <w:top w:val="single" w:sz="4" w:space="0" w:color="2D74B5"/>
              <w:left w:val="nil" w:sz="6" w:space="0" w:color="auto"/>
              <w:bottom w:val="single" w:sz="4" w:space="0" w:color="2D74B5"/>
              <w:right w:val="nil" w:sz="6" w:space="0" w:color="auto"/>
            </w:tcBorders>
            <w:shd w:val="clear" w:color="auto" w:fill="DEEAF6"/>
          </w:tcPr>
          <w:p>
            <w:pPr/>
          </w:p>
        </w:tc>
        <w:tc>
          <w:tcPr>
            <w:tcW w:w="3684" w:type="dxa"/>
            <w:tcBorders>
              <w:top w:val="single" w:sz="4" w:space="0" w:color="2D74B5"/>
              <w:left w:val="nil" w:sz="6" w:space="0" w:color="auto"/>
              <w:bottom w:val="single" w:sz="4" w:space="0" w:color="2D74B5"/>
              <w:right w:val="nil" w:sz="6" w:space="0" w:color="auto"/>
            </w:tcBorders>
          </w:tcPr>
          <w:p>
            <w:pPr>
              <w:pStyle w:val="TableParagraph"/>
              <w:spacing w:line="319" w:lineRule="auto" w:before="5"/>
              <w:ind w:left="107" w:right="154"/>
              <w:jc w:val="both"/>
              <w:rPr>
                <w:rFonts w:ascii="宋体" w:hAnsi="宋体" w:cs="宋体" w:eastAsia="宋体" w:hint="default"/>
                <w:sz w:val="18"/>
                <w:szCs w:val="18"/>
              </w:rPr>
            </w:pPr>
            <w:r>
              <w:rPr>
                <w:rFonts w:ascii="宋体" w:hAnsi="宋体" w:cs="宋体" w:eastAsia="宋体" w:hint="default"/>
                <w:sz w:val="18"/>
                <w:szCs w:val="18"/>
              </w:rPr>
              <w:t>关系损害天音控股的利益。本人将严格履行 上述承诺，若违反上述承诺，本人将承担一 切责任。</w:t>
            </w:r>
          </w:p>
        </w:tc>
        <w:tc>
          <w:tcPr>
            <w:tcW w:w="851" w:type="dxa"/>
            <w:tcBorders>
              <w:top w:val="single" w:sz="4" w:space="0" w:color="2D74B5"/>
              <w:left w:val="nil" w:sz="6" w:space="0" w:color="auto"/>
              <w:bottom w:val="single" w:sz="4" w:space="0" w:color="2D74B5"/>
              <w:right w:val="nil" w:sz="6" w:space="0" w:color="auto"/>
            </w:tcBorders>
            <w:shd w:val="clear" w:color="auto" w:fill="DEEAF6"/>
          </w:tcPr>
          <w:p>
            <w:pPr/>
          </w:p>
        </w:tc>
        <w:tc>
          <w:tcPr>
            <w:tcW w:w="709" w:type="dxa"/>
            <w:tcBorders>
              <w:top w:val="single" w:sz="4" w:space="0" w:color="2D74B5"/>
              <w:left w:val="nil" w:sz="6" w:space="0" w:color="auto"/>
              <w:bottom w:val="single" w:sz="4" w:space="0" w:color="2D74B5"/>
              <w:right w:val="nil" w:sz="6" w:space="0" w:color="auto"/>
            </w:tcBorders>
          </w:tcPr>
          <w:p>
            <w:pPr/>
          </w:p>
        </w:tc>
        <w:tc>
          <w:tcPr>
            <w:tcW w:w="1276" w:type="dxa"/>
            <w:tcBorders>
              <w:top w:val="single" w:sz="4" w:space="0" w:color="2D74B5"/>
              <w:left w:val="nil" w:sz="6" w:space="0" w:color="auto"/>
              <w:bottom w:val="single" w:sz="4" w:space="0" w:color="2D74B5"/>
              <w:right w:val="nil" w:sz="6" w:space="0" w:color="auto"/>
            </w:tcBorders>
            <w:shd w:val="clear" w:color="auto" w:fill="DEEAF6"/>
          </w:tcPr>
          <w:p>
            <w:pPr/>
          </w:p>
        </w:tc>
      </w:tr>
      <w:tr>
        <w:trPr>
          <w:trHeight w:val="3210" w:hRule="exact"/>
        </w:trPr>
        <w:tc>
          <w:tcPr>
            <w:tcW w:w="994" w:type="dxa"/>
            <w:vMerge/>
            <w:tcBorders>
              <w:left w:val="nil" w:sz="6" w:space="0" w:color="auto"/>
              <w:right w:val="nil" w:sz="6" w:space="0" w:color="auto"/>
            </w:tcBorders>
            <w:shd w:val="clear" w:color="auto" w:fill="DEEAF6"/>
          </w:tcPr>
          <w:p>
            <w:pPr/>
          </w:p>
        </w:tc>
        <w:tc>
          <w:tcPr>
            <w:tcW w:w="992" w:type="dxa"/>
            <w:tcBorders>
              <w:top w:val="single" w:sz="4" w:space="0" w:color="2D74B5"/>
              <w:left w:val="nil" w:sz="6" w:space="0" w:color="auto"/>
              <w:bottom w:val="single" w:sz="4" w:space="0" w:color="2D74B5"/>
              <w:right w:val="nil" w:sz="6" w:space="0" w:color="auto"/>
            </w:tcBorders>
          </w:tcPr>
          <w:p>
            <w:pPr>
              <w:pStyle w:val="TableParagraph"/>
              <w:spacing w:line="309" w:lineRule="auto" w:before="46"/>
              <w:ind w:left="110" w:right="109"/>
              <w:jc w:val="center"/>
              <w:rPr>
                <w:rFonts w:ascii="宋体" w:hAnsi="宋体" w:cs="宋体" w:eastAsia="宋体" w:hint="default"/>
                <w:sz w:val="18"/>
                <w:szCs w:val="18"/>
              </w:rPr>
            </w:pPr>
            <w:r>
              <w:rPr>
                <w:rFonts w:ascii="宋体" w:hAnsi="宋体" w:cs="宋体" w:eastAsia="宋体" w:hint="default"/>
                <w:sz w:val="18"/>
                <w:szCs w:val="18"/>
              </w:rPr>
              <w:t>黄绍武</w:t>
            </w:r>
            <w:r>
              <w:rPr>
                <w:rFonts w:ascii="Arial" w:hAnsi="Arial" w:cs="Arial" w:eastAsia="Arial" w:hint="default"/>
                <w:sz w:val="18"/>
                <w:szCs w:val="18"/>
              </w:rPr>
              <w:t>;</w:t>
            </w:r>
            <w:r>
              <w:rPr>
                <w:rFonts w:ascii="宋体" w:hAnsi="宋体" w:cs="宋体" w:eastAsia="宋体" w:hint="default"/>
                <w:sz w:val="18"/>
                <w:szCs w:val="18"/>
              </w:rPr>
              <w:t>黄 文辉</w:t>
            </w:r>
            <w:r>
              <w:rPr>
                <w:rFonts w:ascii="Arial" w:hAnsi="Arial" w:cs="Arial" w:eastAsia="Arial" w:hint="default"/>
                <w:sz w:val="18"/>
                <w:szCs w:val="18"/>
              </w:rPr>
              <w:t>;</w:t>
            </w:r>
            <w:r>
              <w:rPr>
                <w:rFonts w:ascii="宋体" w:hAnsi="宋体" w:cs="宋体" w:eastAsia="宋体" w:hint="default"/>
                <w:sz w:val="18"/>
                <w:szCs w:val="18"/>
              </w:rPr>
              <w:t>夏小 华</w:t>
            </w:r>
            <w:r>
              <w:rPr>
                <w:rFonts w:ascii="Arial" w:hAnsi="Arial" w:cs="Arial" w:eastAsia="Arial" w:hint="default"/>
                <w:sz w:val="18"/>
                <w:szCs w:val="18"/>
              </w:rPr>
              <w:t>;</w:t>
            </w:r>
            <w:r>
              <w:rPr>
                <w:rFonts w:ascii="宋体" w:hAnsi="宋体" w:cs="宋体" w:eastAsia="宋体" w:hint="default"/>
                <w:sz w:val="18"/>
                <w:szCs w:val="18"/>
              </w:rPr>
              <w:t>刘红 花</w:t>
            </w:r>
            <w:r>
              <w:rPr>
                <w:rFonts w:ascii="Arial" w:hAnsi="Arial" w:cs="Arial" w:eastAsia="Arial" w:hint="default"/>
                <w:sz w:val="18"/>
                <w:szCs w:val="18"/>
              </w:rPr>
              <w:t>;</w:t>
            </w:r>
            <w:r>
              <w:rPr>
                <w:rFonts w:ascii="宋体" w:hAnsi="宋体" w:cs="宋体" w:eastAsia="宋体" w:hint="default"/>
                <w:sz w:val="18"/>
                <w:szCs w:val="18"/>
              </w:rPr>
              <w:t>深圳市 神州通投 资集团有 限公司</w:t>
            </w:r>
            <w:r>
              <w:rPr>
                <w:rFonts w:ascii="Arial" w:hAnsi="Arial" w:cs="Arial" w:eastAsia="Arial" w:hint="default"/>
                <w:sz w:val="18"/>
                <w:szCs w:val="18"/>
              </w:rPr>
              <w:t>;</w:t>
            </w:r>
            <w:r>
              <w:rPr>
                <w:rFonts w:ascii="宋体" w:hAnsi="宋体" w:cs="宋体" w:eastAsia="宋体" w:hint="default"/>
                <w:sz w:val="18"/>
                <w:szCs w:val="18"/>
              </w:rPr>
              <w:t>新 余全球星 投资管理 有限公司</w:t>
            </w:r>
          </w:p>
        </w:tc>
        <w:tc>
          <w:tcPr>
            <w:tcW w:w="113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476" w:right="115" w:hanging="360"/>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3684" w:type="dxa"/>
            <w:tcBorders>
              <w:top w:val="single" w:sz="4" w:space="0" w:color="2D74B5"/>
              <w:left w:val="nil" w:sz="6" w:space="0" w:color="auto"/>
              <w:bottom w:val="single" w:sz="4" w:space="0" w:color="2D74B5"/>
              <w:right w:val="nil" w:sz="6" w:space="0" w:color="auto"/>
            </w:tcBorders>
          </w:tcPr>
          <w:p>
            <w:pPr>
              <w:pStyle w:val="TableParagraph"/>
              <w:spacing w:line="309" w:lineRule="auto" w:before="46"/>
              <w:ind w:left="107" w:right="106"/>
              <w:jc w:val="left"/>
              <w:rPr>
                <w:rFonts w:ascii="宋体" w:hAnsi="宋体" w:cs="宋体" w:eastAsia="宋体" w:hint="default"/>
                <w:sz w:val="18"/>
                <w:szCs w:val="18"/>
              </w:rPr>
            </w:pPr>
            <w:r>
              <w:rPr>
                <w:rFonts w:ascii="宋体" w:hAnsi="宋体" w:cs="宋体" w:eastAsia="宋体" w:hint="default"/>
                <w:sz w:val="18"/>
                <w:szCs w:val="18"/>
              </w:rPr>
              <w:t>本次增持人将自公司股票复牌之日起六十个 交易日内，通过证券公司、基金管理公司定 向资产管理等方式以不高于</w:t>
            </w:r>
            <w:r>
              <w:rPr>
                <w:rFonts w:ascii="宋体" w:hAnsi="宋体" w:cs="宋体" w:eastAsia="宋体" w:hint="default"/>
                <w:spacing w:val="-47"/>
                <w:sz w:val="18"/>
                <w:szCs w:val="18"/>
              </w:rPr>
              <w:t> </w:t>
            </w:r>
            <w:r>
              <w:rPr>
                <w:rFonts w:ascii="Arial" w:hAnsi="Arial" w:cs="Arial" w:eastAsia="Arial" w:hint="default"/>
                <w:sz w:val="18"/>
                <w:szCs w:val="18"/>
              </w:rPr>
              <w:t>2015</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5</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4</w:t>
            </w:r>
            <w:r>
              <w:rPr>
                <w:rFonts w:ascii="Arial" w:hAnsi="Arial" w:cs="Arial" w:eastAsia="Arial" w:hint="default"/>
                <w:w w:val="99"/>
                <w:sz w:val="18"/>
                <w:szCs w:val="18"/>
              </w:rPr>
              <w:t> </w:t>
            </w:r>
            <w:r>
              <w:rPr>
                <w:rFonts w:ascii="宋体" w:hAnsi="宋体" w:cs="宋体" w:eastAsia="宋体" w:hint="default"/>
                <w:sz w:val="18"/>
                <w:szCs w:val="18"/>
              </w:rPr>
              <w:t>日收盘价（</w:t>
            </w:r>
            <w:r>
              <w:rPr>
                <w:rFonts w:ascii="Arial" w:hAnsi="Arial" w:cs="Arial" w:eastAsia="Arial" w:hint="default"/>
                <w:sz w:val="18"/>
                <w:szCs w:val="18"/>
              </w:rPr>
              <w:t>20.67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股）合计增持不低于</w:t>
            </w:r>
            <w:r>
              <w:rPr>
                <w:rFonts w:ascii="宋体" w:hAnsi="宋体" w:cs="宋体" w:eastAsia="宋体" w:hint="default"/>
                <w:spacing w:val="-70"/>
                <w:sz w:val="18"/>
                <w:szCs w:val="18"/>
              </w:rPr>
              <w:t> </w:t>
            </w:r>
            <w:r>
              <w:rPr>
                <w:rFonts w:ascii="Arial" w:hAnsi="Arial" w:cs="Arial" w:eastAsia="Arial" w:hint="default"/>
                <w:w w:val="99"/>
                <w:sz w:val="18"/>
                <w:szCs w:val="18"/>
              </w:rPr>
              <w:t>3,375</w:t>
            </w:r>
            <w:r>
              <w:rPr>
                <w:rFonts w:ascii="Arial" w:hAnsi="Arial" w:cs="Arial" w:eastAsia="Arial" w:hint="default"/>
                <w:spacing w:val="8"/>
                <w:w w:val="99"/>
                <w:sz w:val="18"/>
                <w:szCs w:val="18"/>
              </w:rPr>
              <w:t> </w:t>
            </w:r>
            <w:r>
              <w:rPr>
                <w:rFonts w:ascii="宋体" w:hAnsi="宋体" w:cs="宋体" w:eastAsia="宋体" w:hint="default"/>
                <w:spacing w:val="-6"/>
                <w:sz w:val="18"/>
                <w:szCs w:val="18"/>
              </w:rPr>
              <w:t>万元的公司股票，并且承诺以该方式购</w:t>
            </w:r>
            <w:r>
              <w:rPr>
                <w:rFonts w:ascii="宋体" w:hAnsi="宋体" w:cs="宋体" w:eastAsia="宋体" w:hint="default"/>
                <w:sz w:val="18"/>
                <w:szCs w:val="18"/>
              </w:rPr>
              <w:t> 买的公司股票六个月内不减持。公司管理层 不排除后续将继续增持公司股票的可能。</w:t>
            </w:r>
          </w:p>
        </w:tc>
        <w:tc>
          <w:tcPr>
            <w:tcW w:w="851"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w:t>
            </w:r>
          </w:p>
          <w:p>
            <w:pPr>
              <w:pStyle w:val="TableParagraph"/>
              <w:spacing w:line="240" w:lineRule="auto" w:before="62"/>
              <w:ind w:right="1"/>
              <w:jc w:val="center"/>
              <w:rPr>
                <w:rFonts w:ascii="Arial" w:hAnsi="Arial" w:cs="Arial" w:eastAsia="Arial" w:hint="default"/>
                <w:sz w:val="18"/>
                <w:szCs w:val="18"/>
              </w:rPr>
            </w:pPr>
            <w:r>
              <w:rPr>
                <w:rFonts w:ascii="Arial" w:hAnsi="Arial" w:cs="Arial" w:eastAsia="Arial" w:hint="default"/>
                <w:sz w:val="18"/>
                <w:szCs w:val="18"/>
              </w:rPr>
              <w:t>07</w:t>
            </w:r>
            <w:r>
              <w:rPr>
                <w:rFonts w:ascii="Arial" w:hAnsi="Arial" w:cs="Arial" w:eastAsia="Arial" w:hint="default"/>
                <w:spacing w:val="-26"/>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Arial" w:hAnsi="Arial" w:cs="Arial" w:eastAsia="Arial" w:hint="default"/>
                <w:sz w:val="18"/>
                <w:szCs w:val="18"/>
              </w:rPr>
              <w:t>10</w:t>
            </w:r>
          </w:p>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2D74B5"/>
              <w:left w:val="nil" w:sz="6" w:space="0" w:color="auto"/>
              <w:bottom w:val="single" w:sz="4" w:space="0" w:color="2D74B5"/>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Arial" w:hAnsi="Arial" w:cs="Arial" w:eastAsia="Arial" w:hint="default"/>
                <w:sz w:val="18"/>
                <w:szCs w:val="18"/>
              </w:rPr>
              <w:t>6</w:t>
            </w:r>
            <w:r>
              <w:rPr>
                <w:rFonts w:ascii="Arial" w:hAnsi="Arial" w:cs="Arial" w:eastAsia="Arial" w:hint="default"/>
                <w:spacing w:val="-18"/>
                <w:sz w:val="18"/>
                <w:szCs w:val="18"/>
              </w:rPr>
              <w:t> </w:t>
            </w:r>
            <w:r>
              <w:rPr>
                <w:rFonts w:ascii="宋体" w:hAnsi="宋体" w:cs="宋体" w:eastAsia="宋体" w:hint="default"/>
                <w:sz w:val="18"/>
                <w:szCs w:val="18"/>
              </w:rPr>
              <w:t>个月</w:t>
            </w:r>
          </w:p>
        </w:tc>
        <w:tc>
          <w:tcPr>
            <w:tcW w:w="1276"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07" w:right="85" w:hanging="22"/>
              <w:jc w:val="center"/>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4"/>
                <w:sz w:val="18"/>
                <w:szCs w:val="18"/>
              </w:rPr>
              <w:t>披露之日，承</w:t>
            </w:r>
            <w:r>
              <w:rPr>
                <w:rFonts w:ascii="宋体" w:hAnsi="宋体" w:cs="宋体" w:eastAsia="宋体" w:hint="default"/>
                <w:sz w:val="18"/>
                <w:szCs w:val="18"/>
              </w:rPr>
              <w:t> 诺人均遵守 了以上承诺。</w:t>
            </w:r>
          </w:p>
        </w:tc>
      </w:tr>
      <w:tr>
        <w:trPr>
          <w:trHeight w:val="9723" w:hRule="exact"/>
        </w:trPr>
        <w:tc>
          <w:tcPr>
            <w:tcW w:w="994" w:type="dxa"/>
            <w:vMerge/>
            <w:tcBorders>
              <w:left w:val="nil" w:sz="6" w:space="0" w:color="auto"/>
              <w:bottom w:val="single" w:sz="4" w:space="0" w:color="2D74B5"/>
              <w:right w:val="nil" w:sz="6" w:space="0" w:color="auto"/>
            </w:tcBorders>
            <w:shd w:val="clear" w:color="auto" w:fill="DEEAF6"/>
          </w:tcPr>
          <w:p>
            <w:pPr/>
          </w:p>
        </w:tc>
        <w:tc>
          <w:tcPr>
            <w:tcW w:w="992" w:type="dxa"/>
            <w:tcBorders>
              <w:top w:val="single" w:sz="4" w:space="0" w:color="2D74B5"/>
              <w:left w:val="nil" w:sz="6" w:space="0" w:color="auto"/>
              <w:bottom w:val="single" w:sz="4" w:space="0" w:color="2D74B5"/>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9" w:lineRule="auto"/>
              <w:ind w:left="135" w:right="134"/>
              <w:jc w:val="both"/>
              <w:rPr>
                <w:rFonts w:ascii="宋体" w:hAnsi="宋体" w:cs="宋体" w:eastAsia="宋体" w:hint="default"/>
                <w:sz w:val="18"/>
                <w:szCs w:val="18"/>
              </w:rPr>
            </w:pPr>
            <w:r>
              <w:rPr>
                <w:rFonts w:ascii="宋体" w:hAnsi="宋体" w:cs="宋体" w:eastAsia="宋体" w:hint="default"/>
                <w:sz w:val="18"/>
                <w:szCs w:val="18"/>
              </w:rPr>
              <w:t>深圳市爱 施德股份 有限公司</w:t>
            </w:r>
          </w:p>
        </w:tc>
        <w:tc>
          <w:tcPr>
            <w:tcW w:w="113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06"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3684" w:type="dxa"/>
            <w:tcBorders>
              <w:top w:val="single" w:sz="4" w:space="0" w:color="2D74B5"/>
              <w:left w:val="nil" w:sz="6" w:space="0" w:color="auto"/>
              <w:bottom w:val="single" w:sz="4" w:space="0" w:color="2D74B5"/>
              <w:right w:val="nil" w:sz="6" w:space="0" w:color="auto"/>
            </w:tcBorders>
          </w:tcPr>
          <w:p>
            <w:pPr>
              <w:pStyle w:val="TableParagraph"/>
              <w:spacing w:line="312" w:lineRule="auto" w:before="46"/>
              <w:ind w:left="107" w:right="54"/>
              <w:jc w:val="left"/>
              <w:rPr>
                <w:rFonts w:ascii="宋体" w:hAnsi="宋体" w:cs="宋体" w:eastAsia="宋体" w:hint="default"/>
                <w:sz w:val="18"/>
                <w:szCs w:val="18"/>
              </w:rPr>
            </w:pPr>
            <w:r>
              <w:rPr>
                <w:rFonts w:ascii="Arial" w:hAnsi="Arial" w:cs="Arial" w:eastAsia="Arial" w:hint="default"/>
                <w:spacing w:val="-3"/>
                <w:sz w:val="18"/>
                <w:szCs w:val="18"/>
              </w:rPr>
              <w:t>1</w:t>
            </w:r>
            <w:r>
              <w:rPr>
                <w:rFonts w:ascii="宋体" w:hAnsi="宋体" w:cs="宋体" w:eastAsia="宋体" w:hint="default"/>
                <w:spacing w:val="-3"/>
                <w:sz w:val="18"/>
                <w:szCs w:val="18"/>
              </w:rPr>
              <w:t>、利润分配的形式，公司可以采取现金、股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票或者现金股票相结合的方式进行利润分 配。在公司盈利且不影响公司正常生产经营 所需现金流情况下，公司将优先采用现金方 式进行利润分配；</w:t>
            </w:r>
            <w:r>
              <w:rPr>
                <w:rFonts w:ascii="Arial" w:hAnsi="Arial" w:cs="Arial" w:eastAsia="Arial" w:hint="default"/>
                <w:sz w:val="18"/>
                <w:szCs w:val="18"/>
              </w:rPr>
              <w:t>2</w:t>
            </w:r>
            <w:r>
              <w:rPr>
                <w:rFonts w:ascii="宋体" w:hAnsi="宋体" w:cs="宋体" w:eastAsia="宋体" w:hint="default"/>
                <w:sz w:val="18"/>
                <w:szCs w:val="18"/>
              </w:rPr>
              <w:t>、利润分配的期间间隔， 公司原则上按年进行利润分配，并可以进行 </w:t>
            </w:r>
            <w:r>
              <w:rPr>
                <w:rFonts w:ascii="宋体" w:hAnsi="宋体" w:cs="宋体" w:eastAsia="宋体" w:hint="default"/>
                <w:spacing w:val="-3"/>
                <w:sz w:val="18"/>
                <w:szCs w:val="18"/>
              </w:rPr>
              <w:t>中期利润分配和特别利润分配；</w:t>
            </w:r>
            <w:r>
              <w:rPr>
                <w:rFonts w:ascii="Arial" w:hAnsi="Arial" w:cs="Arial" w:eastAsia="Arial" w:hint="default"/>
                <w:spacing w:val="-3"/>
                <w:sz w:val="18"/>
                <w:szCs w:val="18"/>
              </w:rPr>
              <w:t>3</w:t>
            </w:r>
            <w:r>
              <w:rPr>
                <w:rFonts w:ascii="宋体" w:hAnsi="宋体" w:cs="宋体" w:eastAsia="宋体" w:hint="default"/>
                <w:spacing w:val="-3"/>
                <w:sz w:val="18"/>
                <w:szCs w:val="18"/>
              </w:rPr>
              <w:t>、利润分配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的顺序，公司将在可分配利润范围内，充分 考虑投资者的需要，并根据有关法律、法规 和公司章程，以公司缴纳所得税后的利润， </w:t>
            </w:r>
            <w:r>
              <w:rPr>
                <w:rFonts w:ascii="宋体" w:hAnsi="宋体" w:cs="宋体" w:eastAsia="宋体" w:hint="default"/>
                <w:spacing w:val="-8"/>
                <w:w w:val="99"/>
                <w:sz w:val="18"/>
                <w:szCs w:val="18"/>
              </w:rPr>
              <w:t>按顺序分配；</w:t>
            </w:r>
            <w:r>
              <w:rPr>
                <w:rFonts w:ascii="Arial" w:hAnsi="Arial" w:cs="Arial" w:eastAsia="Arial" w:hint="default"/>
                <w:spacing w:val="-8"/>
                <w:w w:val="99"/>
                <w:sz w:val="18"/>
                <w:szCs w:val="18"/>
              </w:rPr>
              <w:t>4</w:t>
            </w:r>
            <w:r>
              <w:rPr>
                <w:rFonts w:ascii="宋体" w:hAnsi="宋体" w:cs="宋体" w:eastAsia="宋体" w:hint="default"/>
                <w:spacing w:val="-8"/>
                <w:w w:val="99"/>
                <w:sz w:val="18"/>
                <w:szCs w:val="18"/>
              </w:rPr>
              <w:t>、现金分红条件，（</w:t>
            </w:r>
            <w:r>
              <w:rPr>
                <w:rFonts w:ascii="Arial" w:hAnsi="Arial" w:cs="Arial" w:eastAsia="Arial" w:hint="default"/>
                <w:spacing w:val="-8"/>
                <w:w w:val="99"/>
                <w:sz w:val="18"/>
                <w:szCs w:val="18"/>
              </w:rPr>
              <w:t>1</w:t>
            </w:r>
            <w:r>
              <w:rPr>
                <w:rFonts w:ascii="宋体" w:hAnsi="宋体" w:cs="宋体" w:eastAsia="宋体" w:hint="default"/>
                <w:spacing w:val="-8"/>
                <w:w w:val="99"/>
                <w:sz w:val="18"/>
                <w:szCs w:val="18"/>
              </w:rPr>
              <w:t>）公司该</w:t>
            </w:r>
            <w:r>
              <w:rPr>
                <w:rFonts w:ascii="宋体" w:hAnsi="宋体" w:cs="宋体" w:eastAsia="宋体" w:hint="default"/>
                <w:spacing w:val="-78"/>
                <w:w w:val="99"/>
                <w:sz w:val="18"/>
                <w:szCs w:val="18"/>
              </w:rPr>
              <w:t> </w:t>
            </w:r>
            <w:r>
              <w:rPr>
                <w:rFonts w:ascii="宋体" w:hAnsi="宋体" w:cs="宋体" w:eastAsia="宋体" w:hint="default"/>
                <w:spacing w:val="-78"/>
                <w:w w:val="99"/>
                <w:sz w:val="18"/>
                <w:szCs w:val="18"/>
              </w:rPr>
            </w:r>
            <w:r>
              <w:rPr>
                <w:rFonts w:ascii="宋体" w:hAnsi="宋体" w:cs="宋体" w:eastAsia="宋体" w:hint="default"/>
                <w:sz w:val="18"/>
                <w:szCs w:val="18"/>
              </w:rPr>
              <w:t>年度或半年度实现的可分配利润（即公司弥 补亏损、提取公积金后所余的税后利润）为 正值、且现金流充裕，实施现金分红不会影 </w:t>
            </w:r>
            <w:r>
              <w:rPr>
                <w:rFonts w:ascii="宋体" w:hAnsi="宋体" w:cs="宋体" w:eastAsia="宋体" w:hint="default"/>
                <w:spacing w:val="-5"/>
                <w:w w:val="99"/>
                <w:sz w:val="18"/>
                <w:szCs w:val="18"/>
              </w:rPr>
              <w:t>响公司后续持续经营。（</w:t>
            </w:r>
            <w:r>
              <w:rPr>
                <w:rFonts w:ascii="Arial" w:hAnsi="Arial" w:cs="Arial" w:eastAsia="Arial" w:hint="default"/>
                <w:spacing w:val="-5"/>
                <w:w w:val="99"/>
                <w:sz w:val="18"/>
                <w:szCs w:val="18"/>
              </w:rPr>
              <w:t>2</w:t>
            </w:r>
            <w:r>
              <w:rPr>
                <w:rFonts w:ascii="宋体" w:hAnsi="宋体" w:cs="宋体" w:eastAsia="宋体" w:hint="default"/>
                <w:spacing w:val="-5"/>
                <w:w w:val="99"/>
                <w:sz w:val="18"/>
                <w:szCs w:val="18"/>
              </w:rPr>
              <w:t>）公司累计可供分</w:t>
            </w:r>
            <w:r>
              <w:rPr>
                <w:rFonts w:ascii="宋体" w:hAnsi="宋体" w:cs="宋体" w:eastAsia="宋体" w:hint="default"/>
                <w:spacing w:val="-81"/>
                <w:w w:val="99"/>
                <w:sz w:val="18"/>
                <w:szCs w:val="18"/>
              </w:rPr>
              <w:t> </w:t>
            </w:r>
            <w:r>
              <w:rPr>
                <w:rFonts w:ascii="宋体" w:hAnsi="宋体" w:cs="宋体" w:eastAsia="宋体" w:hint="default"/>
                <w:spacing w:val="-5"/>
                <w:w w:val="99"/>
                <w:sz w:val="18"/>
                <w:szCs w:val="18"/>
              </w:rPr>
              <w:t>配利润为正值。（</w:t>
            </w:r>
            <w:r>
              <w:rPr>
                <w:rFonts w:ascii="Arial" w:hAnsi="Arial" w:cs="Arial" w:eastAsia="Arial" w:hint="default"/>
                <w:spacing w:val="-5"/>
                <w:w w:val="99"/>
                <w:sz w:val="18"/>
                <w:szCs w:val="18"/>
              </w:rPr>
              <w:t>3</w:t>
            </w:r>
            <w:r>
              <w:rPr>
                <w:rFonts w:ascii="宋体" w:hAnsi="宋体" w:cs="宋体" w:eastAsia="宋体" w:hint="default"/>
                <w:spacing w:val="-5"/>
                <w:w w:val="99"/>
                <w:sz w:val="18"/>
                <w:szCs w:val="18"/>
              </w:rPr>
              <w:t>）审计机构对公司的该年</w:t>
            </w:r>
            <w:r>
              <w:rPr>
                <w:rFonts w:ascii="宋体" w:hAnsi="宋体" w:cs="宋体" w:eastAsia="宋体" w:hint="default"/>
                <w:spacing w:val="-81"/>
                <w:w w:val="99"/>
                <w:sz w:val="18"/>
                <w:szCs w:val="18"/>
              </w:rPr>
              <w:t> </w:t>
            </w:r>
            <w:r>
              <w:rPr>
                <w:rFonts w:ascii="宋体" w:hAnsi="宋体" w:cs="宋体" w:eastAsia="宋体" w:hint="default"/>
                <w:sz w:val="18"/>
                <w:szCs w:val="18"/>
              </w:rPr>
              <w:t>度财务报告出具标准无保留意见的审计报 </w:t>
            </w:r>
            <w:r>
              <w:rPr>
                <w:rFonts w:ascii="宋体" w:hAnsi="宋体" w:cs="宋体" w:eastAsia="宋体" w:hint="default"/>
                <w:spacing w:val="-5"/>
                <w:w w:val="99"/>
                <w:sz w:val="18"/>
                <w:szCs w:val="18"/>
              </w:rPr>
              <w:t>告。（</w:t>
            </w:r>
            <w:r>
              <w:rPr>
                <w:rFonts w:ascii="Arial" w:hAnsi="Arial" w:cs="Arial" w:eastAsia="Arial" w:hint="default"/>
                <w:spacing w:val="-5"/>
                <w:w w:val="99"/>
                <w:sz w:val="18"/>
                <w:szCs w:val="18"/>
              </w:rPr>
              <w:t>4</w:t>
            </w:r>
            <w:r>
              <w:rPr>
                <w:rFonts w:ascii="宋体" w:hAnsi="宋体" w:cs="宋体" w:eastAsia="宋体" w:hint="default"/>
                <w:spacing w:val="-5"/>
                <w:w w:val="99"/>
                <w:sz w:val="18"/>
                <w:szCs w:val="18"/>
              </w:rPr>
              <w:t>）公司未来十二个月无重大投资计划</w:t>
            </w:r>
            <w:r>
              <w:rPr>
                <w:rFonts w:ascii="宋体" w:hAnsi="宋体" w:cs="宋体" w:eastAsia="宋体" w:hint="default"/>
                <w:spacing w:val="-80"/>
                <w:w w:val="99"/>
                <w:sz w:val="18"/>
                <w:szCs w:val="18"/>
              </w:rPr>
              <w:t> </w:t>
            </w:r>
            <w:r>
              <w:rPr>
                <w:rFonts w:ascii="宋体" w:hAnsi="宋体" w:cs="宋体" w:eastAsia="宋体" w:hint="default"/>
                <w:sz w:val="18"/>
                <w:szCs w:val="18"/>
              </w:rPr>
              <w:t>或重大现金支出等事项发生（募集资金项目 </w:t>
            </w:r>
            <w:r>
              <w:rPr>
                <w:rFonts w:ascii="宋体" w:hAnsi="宋体" w:cs="宋体" w:eastAsia="宋体" w:hint="default"/>
                <w:spacing w:val="-7"/>
                <w:sz w:val="18"/>
                <w:szCs w:val="18"/>
              </w:rPr>
              <w:t>除外）。重大投资计划或重大现金支出是指公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司未来十二个月内拟对外投资、收购资产、 购买设备、建筑物的累计支出达到或超过公 </w:t>
            </w:r>
            <w:r>
              <w:rPr>
                <w:rFonts w:ascii="宋体" w:hAnsi="宋体" w:cs="宋体" w:eastAsia="宋体" w:hint="default"/>
                <w:spacing w:val="-4"/>
                <w:sz w:val="18"/>
                <w:szCs w:val="18"/>
              </w:rPr>
              <w:t>司最近一期经审计总资产的百分之十；</w:t>
            </w:r>
            <w:r>
              <w:rPr>
                <w:rFonts w:ascii="Arial" w:hAnsi="Arial" w:cs="Arial" w:eastAsia="Arial" w:hint="default"/>
                <w:spacing w:val="-4"/>
                <w:sz w:val="18"/>
                <w:szCs w:val="18"/>
              </w:rPr>
              <w:t>5</w:t>
            </w:r>
            <w:r>
              <w:rPr>
                <w:rFonts w:ascii="宋体" w:hAnsi="宋体" w:cs="宋体" w:eastAsia="宋体" w:hint="default"/>
                <w:spacing w:val="-4"/>
                <w:sz w:val="18"/>
                <w:szCs w:val="18"/>
              </w:rPr>
              <w:t>、现</w:t>
            </w:r>
            <w:r>
              <w:rPr>
                <w:rFonts w:ascii="宋体" w:hAnsi="宋体" w:cs="宋体" w:eastAsia="宋体" w:hint="default"/>
                <w:spacing w:val="-26"/>
                <w:sz w:val="18"/>
                <w:szCs w:val="18"/>
              </w:rPr>
              <w:t> </w:t>
            </w:r>
            <w:r>
              <w:rPr>
                <w:rFonts w:ascii="宋体" w:hAnsi="宋体" w:cs="宋体" w:eastAsia="宋体" w:hint="default"/>
                <w:sz w:val="18"/>
                <w:szCs w:val="18"/>
              </w:rPr>
              <w:t>金分红比例，在不损害公司持续经营能力的</w:t>
            </w:r>
            <w:r>
              <w:rPr>
                <w:rFonts w:ascii="宋体" w:hAnsi="宋体" w:cs="宋体" w:eastAsia="宋体" w:hint="default"/>
                <w:sz w:val="18"/>
                <w:szCs w:val="18"/>
              </w:rPr>
              <w:t> 前提下，公司在任一连续三年中以现金方式 累计分配的利润不得少于该三年实现的年均 可分配利润的</w:t>
            </w:r>
            <w:r>
              <w:rPr>
                <w:rFonts w:ascii="宋体" w:hAnsi="宋体" w:cs="宋体" w:eastAsia="宋体" w:hint="default"/>
                <w:spacing w:val="-54"/>
                <w:sz w:val="18"/>
                <w:szCs w:val="18"/>
              </w:rPr>
              <w:t> </w:t>
            </w:r>
            <w:r>
              <w:rPr>
                <w:rFonts w:ascii="Arial" w:hAnsi="Arial" w:cs="Arial" w:eastAsia="Arial" w:hint="default"/>
                <w:sz w:val="18"/>
                <w:szCs w:val="18"/>
              </w:rPr>
              <w:t>30%</w:t>
            </w:r>
            <w:r>
              <w:rPr>
                <w:rFonts w:ascii="宋体" w:hAnsi="宋体" w:cs="宋体" w:eastAsia="宋体" w:hint="default"/>
                <w:sz w:val="18"/>
                <w:szCs w:val="18"/>
              </w:rPr>
              <w:t>。具体的分红比例由董事 会根据公司年度盈利状况和未来资金使用计 划提出预案。公司董事会将综合考虑所处行 业特点、发展阶段、自身经营模式、盈利水 平以及是否有重大资金支出安排等因素，区</w:t>
            </w:r>
          </w:p>
        </w:tc>
        <w:tc>
          <w:tcPr>
            <w:tcW w:w="851"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w:t>
            </w:r>
          </w:p>
          <w:p>
            <w:pPr>
              <w:pStyle w:val="TableParagraph"/>
              <w:spacing w:line="240" w:lineRule="auto" w:before="63"/>
              <w:ind w:right="1"/>
              <w:jc w:val="center"/>
              <w:rPr>
                <w:rFonts w:ascii="Arial" w:hAnsi="Arial" w:cs="Arial" w:eastAsia="Arial" w:hint="default"/>
                <w:sz w:val="18"/>
                <w:szCs w:val="18"/>
              </w:rPr>
            </w:pPr>
            <w:r>
              <w:rPr>
                <w:rFonts w:ascii="Arial" w:hAnsi="Arial" w:cs="Arial" w:eastAsia="Arial" w:hint="default"/>
                <w:sz w:val="18"/>
                <w:szCs w:val="18"/>
              </w:rPr>
              <w:t>07</w:t>
            </w:r>
            <w:r>
              <w:rPr>
                <w:rFonts w:ascii="Arial" w:hAnsi="Arial" w:cs="Arial" w:eastAsia="Arial" w:hint="default"/>
                <w:spacing w:val="-26"/>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Arial" w:hAnsi="Arial" w:cs="Arial" w:eastAsia="Arial" w:hint="default"/>
                <w:sz w:val="18"/>
                <w:szCs w:val="18"/>
              </w:rPr>
              <w:t>29</w:t>
            </w:r>
          </w:p>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2D74B5"/>
              <w:left w:val="nil" w:sz="6" w:space="0" w:color="auto"/>
              <w:bottom w:val="single" w:sz="4" w:space="0" w:color="2D74B5"/>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302" w:lineRule="auto"/>
              <w:ind w:left="263" w:right="143" w:hanging="123"/>
              <w:jc w:val="left"/>
              <w:rPr>
                <w:rFonts w:ascii="宋体" w:hAnsi="宋体" w:cs="宋体" w:eastAsia="宋体" w:hint="default"/>
                <w:sz w:val="18"/>
                <w:szCs w:val="18"/>
              </w:rPr>
            </w:pPr>
            <w:r>
              <w:rPr>
                <w:rFonts w:ascii="Arial" w:hAnsi="Arial" w:cs="Arial" w:eastAsia="Arial" w:hint="default"/>
                <w:sz w:val="18"/>
                <w:szCs w:val="18"/>
              </w:rPr>
              <w:t>36</w:t>
            </w:r>
            <w:r>
              <w:rPr>
                <w:rFonts w:ascii="Arial" w:hAnsi="Arial" w:cs="Arial" w:eastAsia="Arial" w:hint="default"/>
                <w:spacing w:val="-8"/>
                <w:sz w:val="18"/>
                <w:szCs w:val="18"/>
              </w:rPr>
              <w:t> </w:t>
            </w:r>
            <w:r>
              <w:rPr>
                <w:rFonts w:ascii="宋体" w:hAnsi="宋体" w:cs="宋体" w:eastAsia="宋体" w:hint="default"/>
                <w:sz w:val="18"/>
                <w:szCs w:val="18"/>
              </w:rPr>
              <w:t>个 月</w:t>
            </w:r>
          </w:p>
        </w:tc>
        <w:tc>
          <w:tcPr>
            <w:tcW w:w="1276"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9" w:lineRule="auto"/>
              <w:ind w:left="108" w:right="107"/>
              <w:jc w:val="center"/>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4"/>
                <w:sz w:val="18"/>
                <w:szCs w:val="18"/>
              </w:rPr>
              <w:t>披露之日，公</w:t>
            </w:r>
            <w:r>
              <w:rPr>
                <w:rFonts w:ascii="宋体" w:hAnsi="宋体" w:cs="宋体" w:eastAsia="宋体" w:hint="default"/>
                <w:sz w:val="18"/>
                <w:szCs w:val="18"/>
              </w:rPr>
              <w:t> 司遵守了以 上承诺</w:t>
            </w:r>
          </w:p>
        </w:tc>
      </w:tr>
    </w:tbl>
    <w:p>
      <w:pPr>
        <w:spacing w:after="0" w:line="319"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994"/>
        <w:gridCol w:w="992"/>
        <w:gridCol w:w="1134"/>
        <w:gridCol w:w="3684"/>
        <w:gridCol w:w="851"/>
        <w:gridCol w:w="709"/>
        <w:gridCol w:w="1276"/>
      </w:tblGrid>
      <w:tr>
        <w:trPr>
          <w:trHeight w:val="1923" w:hRule="exact"/>
        </w:trPr>
        <w:tc>
          <w:tcPr>
            <w:tcW w:w="994" w:type="dxa"/>
            <w:tcBorders>
              <w:top w:val="single" w:sz="4" w:space="0" w:color="2D74B5"/>
              <w:left w:val="nil" w:sz="6" w:space="0" w:color="auto"/>
              <w:bottom w:val="single" w:sz="4" w:space="0" w:color="2D74B5"/>
              <w:right w:val="nil" w:sz="6" w:space="0" w:color="auto"/>
            </w:tcBorders>
            <w:shd w:val="clear" w:color="auto" w:fill="DEEAF6"/>
          </w:tcPr>
          <w:p>
            <w:pPr/>
          </w:p>
        </w:tc>
        <w:tc>
          <w:tcPr>
            <w:tcW w:w="992" w:type="dxa"/>
            <w:tcBorders>
              <w:top w:val="single" w:sz="4" w:space="0" w:color="2D74B5"/>
              <w:left w:val="nil" w:sz="6" w:space="0" w:color="auto"/>
              <w:bottom w:val="single" w:sz="4" w:space="0" w:color="2D74B5"/>
              <w:right w:val="nil" w:sz="6" w:space="0" w:color="auto"/>
            </w:tcBorders>
          </w:tcPr>
          <w:p>
            <w:pPr/>
          </w:p>
        </w:tc>
        <w:tc>
          <w:tcPr>
            <w:tcW w:w="1134" w:type="dxa"/>
            <w:tcBorders>
              <w:top w:val="single" w:sz="4" w:space="0" w:color="2D74B5"/>
              <w:left w:val="nil" w:sz="6" w:space="0" w:color="auto"/>
              <w:bottom w:val="single" w:sz="4" w:space="0" w:color="2D74B5"/>
              <w:right w:val="nil" w:sz="6" w:space="0" w:color="auto"/>
            </w:tcBorders>
            <w:shd w:val="clear" w:color="auto" w:fill="DEEAF6"/>
          </w:tcPr>
          <w:p>
            <w:pPr/>
          </w:p>
        </w:tc>
        <w:tc>
          <w:tcPr>
            <w:tcW w:w="3684" w:type="dxa"/>
            <w:tcBorders>
              <w:top w:val="single" w:sz="4" w:space="0" w:color="2D74B5"/>
              <w:left w:val="nil" w:sz="6" w:space="0" w:color="auto"/>
              <w:bottom w:val="single" w:sz="4" w:space="0" w:color="2D74B5"/>
              <w:right w:val="nil" w:sz="6" w:space="0" w:color="auto"/>
            </w:tcBorders>
          </w:tcPr>
          <w:p>
            <w:pPr>
              <w:pStyle w:val="TableParagraph"/>
              <w:spacing w:line="314" w:lineRule="auto" w:before="5"/>
              <w:ind w:left="107" w:right="106"/>
              <w:jc w:val="both"/>
              <w:rPr>
                <w:rFonts w:ascii="宋体" w:hAnsi="宋体" w:cs="宋体" w:eastAsia="宋体" w:hint="default"/>
                <w:sz w:val="18"/>
                <w:szCs w:val="18"/>
              </w:rPr>
            </w:pPr>
            <w:r>
              <w:rPr>
                <w:rFonts w:ascii="宋体" w:hAnsi="宋体" w:cs="宋体" w:eastAsia="宋体" w:hint="default"/>
                <w:sz w:val="18"/>
                <w:szCs w:val="18"/>
              </w:rPr>
              <w:t>分下列情形，并按照公司章程规定的程序， </w:t>
            </w:r>
            <w:r>
              <w:rPr>
                <w:rFonts w:ascii="宋体" w:hAnsi="宋体" w:cs="宋体" w:eastAsia="宋体" w:hint="default"/>
                <w:spacing w:val="-3"/>
                <w:sz w:val="18"/>
                <w:szCs w:val="18"/>
              </w:rPr>
              <w:t>提出差异化的现金分红政策；</w:t>
            </w:r>
            <w:r>
              <w:rPr>
                <w:rFonts w:ascii="Arial" w:hAnsi="Arial" w:cs="Arial" w:eastAsia="Arial" w:hint="default"/>
                <w:spacing w:val="-3"/>
                <w:sz w:val="18"/>
                <w:szCs w:val="18"/>
              </w:rPr>
              <w:t>6</w:t>
            </w:r>
            <w:r>
              <w:rPr>
                <w:rFonts w:ascii="宋体" w:hAnsi="宋体" w:cs="宋体" w:eastAsia="宋体" w:hint="default"/>
                <w:spacing w:val="-3"/>
                <w:sz w:val="18"/>
                <w:szCs w:val="18"/>
              </w:rPr>
              <w:t>、股票股利分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配条件公司根据盈利情况和现金流状况，为 满足股本扩张的需要或合理调整股本规模和 股权结构，可以在满足上述现金分红的条件 下，采取股票股利的方式分配利润。</w:t>
            </w:r>
          </w:p>
        </w:tc>
        <w:tc>
          <w:tcPr>
            <w:tcW w:w="851" w:type="dxa"/>
            <w:tcBorders>
              <w:top w:val="single" w:sz="4" w:space="0" w:color="2D74B5"/>
              <w:left w:val="nil" w:sz="6" w:space="0" w:color="auto"/>
              <w:bottom w:val="single" w:sz="4" w:space="0" w:color="2D74B5"/>
              <w:right w:val="nil" w:sz="6" w:space="0" w:color="auto"/>
            </w:tcBorders>
            <w:shd w:val="clear" w:color="auto" w:fill="DEEAF6"/>
          </w:tcPr>
          <w:p>
            <w:pPr/>
          </w:p>
        </w:tc>
        <w:tc>
          <w:tcPr>
            <w:tcW w:w="709" w:type="dxa"/>
            <w:tcBorders>
              <w:top w:val="single" w:sz="4" w:space="0" w:color="2D74B5"/>
              <w:left w:val="nil" w:sz="6" w:space="0" w:color="auto"/>
              <w:bottom w:val="single" w:sz="4" w:space="0" w:color="2D74B5"/>
              <w:right w:val="nil" w:sz="6" w:space="0" w:color="auto"/>
            </w:tcBorders>
          </w:tcPr>
          <w:p>
            <w:pPr/>
          </w:p>
        </w:tc>
        <w:tc>
          <w:tcPr>
            <w:tcW w:w="1276" w:type="dxa"/>
            <w:tcBorders>
              <w:top w:val="single" w:sz="4" w:space="0" w:color="2D74B5"/>
              <w:left w:val="nil" w:sz="6" w:space="0" w:color="auto"/>
              <w:bottom w:val="single" w:sz="4" w:space="0" w:color="2D74B5"/>
              <w:right w:val="nil" w:sz="6" w:space="0" w:color="auto"/>
            </w:tcBorders>
            <w:shd w:val="clear" w:color="auto" w:fill="DEEAF6"/>
          </w:tcPr>
          <w:p>
            <w:pPr/>
          </w:p>
        </w:tc>
      </w:tr>
      <w:tr>
        <w:trPr>
          <w:trHeight w:val="714" w:hRule="exact"/>
        </w:trPr>
        <w:tc>
          <w:tcPr>
            <w:tcW w:w="99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316" w:lineRule="auto" w:before="46"/>
              <w:ind w:left="107" w:right="165"/>
              <w:jc w:val="left"/>
              <w:rPr>
                <w:rFonts w:ascii="宋体" w:hAnsi="宋体" w:cs="宋体" w:eastAsia="宋体" w:hint="default"/>
                <w:sz w:val="18"/>
                <w:szCs w:val="18"/>
              </w:rPr>
            </w:pPr>
            <w:r>
              <w:rPr>
                <w:rFonts w:ascii="宋体" w:hAnsi="宋体" w:cs="宋体" w:eastAsia="宋体" w:hint="default"/>
                <w:sz w:val="18"/>
                <w:szCs w:val="18"/>
              </w:rPr>
              <w:t>承诺是否 按时履行</w:t>
            </w:r>
          </w:p>
        </w:tc>
        <w:tc>
          <w:tcPr>
            <w:tcW w:w="8647" w:type="dxa"/>
            <w:gridSpan w:val="6"/>
            <w:tcBorders>
              <w:top w:val="single" w:sz="4" w:space="0" w:color="2D74B5"/>
              <w:left w:val="nil" w:sz="6" w:space="0" w:color="auto"/>
              <w:bottom w:val="single" w:sz="4" w:space="0" w:color="2D74B5"/>
              <w:right w:val="nil" w:sz="6" w:space="0" w:color="auto"/>
            </w:tcBorders>
          </w:tcPr>
          <w:p>
            <w:pPr>
              <w:pStyle w:val="TableParagraph"/>
              <w:spacing w:line="240" w:lineRule="auto" w:before="46"/>
              <w:ind w:left="10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408" w:lineRule="auto" w:before="69"/>
        <w:ind w:left="154" w:right="0" w:firstLine="420"/>
        <w:jc w:val="left"/>
      </w:pPr>
      <w:r>
        <w:rPr>
          <w:spacing w:val="-1"/>
        </w:rPr>
        <w:t>公司报告期不存在公司、股东、实际控制人、收购人、董事、监事、高级管理人员或其他关联方在报</w:t>
      </w:r>
      <w:r>
        <w:rPr/>
        <w:t> 告期内履行完毕及截至报告期末尚未履行完毕的承诺事项。</w:t>
      </w:r>
    </w:p>
    <w:p>
      <w:pPr>
        <w:spacing w:line="240" w:lineRule="auto" w:before="8"/>
        <w:rPr>
          <w:rFonts w:ascii="宋体" w:hAnsi="宋体" w:cs="宋体" w:eastAsia="宋体" w:hint="default"/>
          <w:sz w:val="24"/>
          <w:szCs w:val="24"/>
        </w:rPr>
      </w:pPr>
    </w:p>
    <w:p>
      <w:pPr>
        <w:pStyle w:val="Heading2"/>
        <w:spacing w:line="357" w:lineRule="auto"/>
        <w:ind w:right="1125"/>
        <w:jc w:val="left"/>
        <w:rPr>
          <w:b w:val="0"/>
          <w:bCs w:val="0"/>
        </w:rPr>
      </w:pPr>
      <w:bookmarkStart w:name="5.3.2 公司资产或项目存在盈利预测，且报告期仍处在盈利预测期间，公司就资产或" w:id="109"/>
      <w:bookmarkEnd w:id="109"/>
      <w:r>
        <w:rPr>
          <w:b w:val="0"/>
          <w:bCs w:val="0"/>
        </w:rPr>
      </w:r>
      <w:r>
        <w:rPr>
          <w:rFonts w:ascii="Trebuchet MS" w:hAnsi="Trebuchet MS" w:cs="Trebuchet MS" w:eastAsia="Trebuchet MS" w:hint="default"/>
        </w:rPr>
        <w:t>5.3.2</w:t>
      </w:r>
      <w:r>
        <w:rPr>
          <w:rFonts w:ascii="Trebuchet MS" w:hAnsi="Trebuchet MS" w:cs="Trebuchet MS" w:eastAsia="Trebuchet MS" w:hint="default"/>
          <w:spacing w:val="3"/>
        </w:rPr>
        <w:t> </w:t>
      </w:r>
      <w:r>
        <w:rPr>
          <w:spacing w:val="2"/>
        </w:rPr>
        <w:t>公司资产或项目存在盈利预测，且报告期仍处在盈利预测期间，公司就资产或项目达</w:t>
      </w:r>
      <w:r>
        <w:rPr/>
        <w:t> 到原盈利预测及其原因做出说明</w:t>
      </w:r>
      <w:r>
        <w:rPr>
          <w:b w:val="0"/>
          <w:bCs w:val="0"/>
        </w:rPr>
      </w:r>
    </w:p>
    <w:p>
      <w:pPr>
        <w:spacing w:line="240" w:lineRule="auto" w:before="9"/>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pStyle w:val="Heading1"/>
        <w:spacing w:line="240" w:lineRule="auto" w:before="76"/>
        <w:ind w:right="0"/>
        <w:jc w:val="left"/>
        <w:rPr>
          <w:b w:val="0"/>
          <w:bCs w:val="0"/>
        </w:rPr>
      </w:pPr>
      <w:bookmarkStart w:name="5.4 控股股东及其关联方对上市公司的非经营性占用资金情况" w:id="110"/>
      <w:bookmarkEnd w:id="110"/>
      <w:r>
        <w:rPr>
          <w:b w:val="0"/>
          <w:bCs w:val="0"/>
        </w:rPr>
      </w:r>
      <w:bookmarkStart w:name="_bookmark33" w:id="111"/>
      <w:bookmarkEnd w:id="111"/>
      <w:r>
        <w:rPr>
          <w:b w:val="0"/>
          <w:bCs w:val="0"/>
        </w:rPr>
      </w:r>
      <w:r>
        <w:rPr>
          <w:rFonts w:ascii="Trebuchet MS" w:hAnsi="Trebuchet MS" w:cs="Trebuchet MS" w:eastAsia="Trebuchet MS" w:hint="default"/>
        </w:rPr>
        <w:t>5.4</w:t>
      </w:r>
      <w:r>
        <w:rPr>
          <w:rFonts w:ascii="Trebuchet MS" w:hAnsi="Trebuchet MS" w:cs="Trebuchet MS" w:eastAsia="Trebuchet MS" w:hint="default"/>
          <w:spacing w:val="14"/>
        </w:rPr>
        <w:t> </w:t>
      </w:r>
      <w:r>
        <w:rPr/>
        <w:t>控股股东及其关联方对上市公司的非经营性占用资金情况</w:t>
      </w:r>
      <w:r>
        <w:rPr>
          <w:b w:val="0"/>
          <w:bCs w:val="0"/>
        </w:rPr>
      </w:r>
    </w:p>
    <w:p>
      <w:pPr>
        <w:spacing w:before="182"/>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pStyle w:val="Heading1"/>
        <w:spacing w:line="288" w:lineRule="auto" w:before="75"/>
        <w:ind w:right="1119"/>
        <w:jc w:val="left"/>
        <w:rPr>
          <w:b w:val="0"/>
          <w:bCs w:val="0"/>
        </w:rPr>
      </w:pPr>
      <w:bookmarkStart w:name="5.5 董事会、监事会、独立董事（如有）对会计师事务所本报告期“非标准审计报告”" w:id="112"/>
      <w:bookmarkEnd w:id="112"/>
      <w:r>
        <w:rPr>
          <w:b w:val="0"/>
          <w:bCs w:val="0"/>
        </w:rPr>
      </w:r>
      <w:bookmarkStart w:name="_bookmark34" w:id="113"/>
      <w:bookmarkEnd w:id="113"/>
      <w:r>
        <w:rPr>
          <w:b w:val="0"/>
          <w:bCs w:val="0"/>
        </w:rPr>
      </w:r>
      <w:r>
        <w:rPr>
          <w:rFonts w:ascii="Trebuchet MS" w:hAnsi="Trebuchet MS" w:cs="Trebuchet MS" w:eastAsia="Trebuchet MS" w:hint="default"/>
        </w:rPr>
        <w:t>5.5</w:t>
      </w:r>
      <w:r>
        <w:rPr>
          <w:rFonts w:ascii="Trebuchet MS" w:hAnsi="Trebuchet MS" w:cs="Trebuchet MS" w:eastAsia="Trebuchet MS" w:hint="default"/>
          <w:spacing w:val="22"/>
        </w:rPr>
        <w:t> </w:t>
      </w:r>
      <w:r>
        <w:rPr>
          <w:spacing w:val="2"/>
        </w:rPr>
        <w:t>董事会、监事会、独立董事（如有）对会计师事务所本报告期“非标 </w:t>
      </w:r>
      <w:r>
        <w:rPr/>
        <w:t>准审计报告”的说明</w:t>
      </w:r>
      <w:r>
        <w:rPr>
          <w:b w:val="0"/>
          <w:bCs w:val="0"/>
        </w:rPr>
      </w:r>
    </w:p>
    <w:p>
      <w:pPr>
        <w:spacing w:before="103"/>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pStyle w:val="Heading1"/>
        <w:spacing w:line="288" w:lineRule="auto" w:before="76"/>
        <w:ind w:left="154" w:right="1126"/>
        <w:jc w:val="left"/>
        <w:rPr>
          <w:b w:val="0"/>
          <w:bCs w:val="0"/>
        </w:rPr>
      </w:pPr>
      <w:bookmarkStart w:name="5.6 与上年度财务报告相比，会计政策、会计估计和核算方法发生变化的情况说明" w:id="114"/>
      <w:bookmarkEnd w:id="114"/>
      <w:r>
        <w:rPr>
          <w:b w:val="0"/>
          <w:bCs w:val="0"/>
        </w:rPr>
      </w:r>
      <w:bookmarkStart w:name="_bookmark35" w:id="115"/>
      <w:bookmarkEnd w:id="115"/>
      <w:r>
        <w:rPr>
          <w:b w:val="0"/>
          <w:bCs w:val="0"/>
        </w:rPr>
      </w:r>
      <w:r>
        <w:rPr>
          <w:rFonts w:ascii="Trebuchet MS" w:hAnsi="Trebuchet MS" w:cs="Trebuchet MS" w:eastAsia="Trebuchet MS" w:hint="default"/>
        </w:rPr>
        <w:t>5.6</w:t>
      </w:r>
      <w:r>
        <w:rPr>
          <w:rFonts w:ascii="Trebuchet MS" w:hAnsi="Trebuchet MS" w:cs="Trebuchet MS" w:eastAsia="Trebuchet MS" w:hint="default"/>
          <w:spacing w:val="74"/>
        </w:rPr>
        <w:t> </w:t>
      </w:r>
      <w:r>
        <w:rPr/>
        <w:t>与上年度财务报告相比，会计政策、会计估计和核算方法发生变化的</w:t>
      </w:r>
      <w:r>
        <w:rPr>
          <w:spacing w:val="2"/>
        </w:rPr>
        <w:t> </w:t>
      </w:r>
      <w:r>
        <w:rPr/>
        <w:t>情况说明</w:t>
      </w:r>
      <w:r>
        <w:rPr>
          <w:b w:val="0"/>
          <w:bCs w:val="0"/>
        </w:rPr>
      </w:r>
    </w:p>
    <w:p>
      <w:pPr>
        <w:spacing w:before="103"/>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pStyle w:val="Heading1"/>
        <w:spacing w:line="240" w:lineRule="auto" w:before="76"/>
        <w:ind w:left="154" w:right="0"/>
        <w:jc w:val="left"/>
        <w:rPr>
          <w:b w:val="0"/>
          <w:bCs w:val="0"/>
        </w:rPr>
      </w:pPr>
      <w:bookmarkStart w:name="5.7 报告期内发生重大会计差错更正需追溯重述的情况说明" w:id="116"/>
      <w:bookmarkEnd w:id="116"/>
      <w:r>
        <w:rPr>
          <w:b w:val="0"/>
          <w:bCs w:val="0"/>
        </w:rPr>
      </w:r>
      <w:bookmarkStart w:name="_bookmark36" w:id="117"/>
      <w:bookmarkEnd w:id="117"/>
      <w:r>
        <w:rPr>
          <w:b w:val="0"/>
          <w:bCs w:val="0"/>
        </w:rPr>
      </w:r>
      <w:r>
        <w:rPr>
          <w:rFonts w:ascii="Trebuchet MS" w:hAnsi="Trebuchet MS" w:cs="Trebuchet MS" w:eastAsia="Trebuchet MS" w:hint="default"/>
        </w:rPr>
        <w:t>5.7</w:t>
      </w:r>
      <w:r>
        <w:rPr>
          <w:rFonts w:ascii="Trebuchet MS" w:hAnsi="Trebuchet MS" w:cs="Trebuchet MS" w:eastAsia="Trebuchet MS" w:hint="default"/>
          <w:spacing w:val="14"/>
        </w:rPr>
        <w:t> </w:t>
      </w:r>
      <w:r>
        <w:rPr/>
        <w:t>报告期内发生重大会计差错更正需追溯重述的情况说明</w:t>
      </w:r>
      <w:r>
        <w:rPr>
          <w:b w:val="0"/>
          <w:bCs w:val="0"/>
        </w:rPr>
      </w:r>
    </w:p>
    <w:p>
      <w:pPr>
        <w:spacing w:before="182"/>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pStyle w:val="Heading1"/>
        <w:spacing w:line="240" w:lineRule="auto" w:before="75"/>
        <w:ind w:right="0"/>
        <w:jc w:val="left"/>
        <w:rPr>
          <w:b w:val="0"/>
          <w:bCs w:val="0"/>
        </w:rPr>
      </w:pPr>
      <w:bookmarkStart w:name="5.8 与上年度财务报告相比，合并报表范围发生变化的情况说明" w:id="118"/>
      <w:bookmarkEnd w:id="118"/>
      <w:r>
        <w:rPr>
          <w:b w:val="0"/>
          <w:bCs w:val="0"/>
        </w:rPr>
      </w:r>
      <w:bookmarkStart w:name="_bookmark37" w:id="119"/>
      <w:bookmarkEnd w:id="119"/>
      <w:r>
        <w:rPr>
          <w:b w:val="0"/>
          <w:bCs w:val="0"/>
        </w:rPr>
      </w:r>
      <w:r>
        <w:rPr>
          <w:rFonts w:ascii="Trebuchet MS" w:hAnsi="Trebuchet MS" w:cs="Trebuchet MS" w:eastAsia="Trebuchet MS" w:hint="default"/>
        </w:rPr>
        <w:t>5.8</w:t>
      </w:r>
      <w:r>
        <w:rPr>
          <w:rFonts w:ascii="Trebuchet MS" w:hAnsi="Trebuchet MS" w:cs="Trebuchet MS" w:eastAsia="Trebuchet MS" w:hint="default"/>
          <w:spacing w:val="14"/>
        </w:rPr>
        <w:t> </w:t>
      </w:r>
      <w:r>
        <w:rPr/>
        <w:t>与上年度财务报告相比，合并报表范围发生变化的情况说明</w:t>
      </w:r>
      <w:r>
        <w:rPr>
          <w:b w:val="0"/>
          <w:bCs w:val="0"/>
        </w:rPr>
      </w:r>
    </w:p>
    <w:p>
      <w:pPr>
        <w:spacing w:before="182"/>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1"/>
          <w:szCs w:val="21"/>
        </w:rPr>
      </w:pPr>
    </w:p>
    <w:p>
      <w:pPr>
        <w:pStyle w:val="BodyText"/>
        <w:spacing w:line="240" w:lineRule="auto"/>
        <w:ind w:left="573" w:right="0"/>
        <w:jc w:val="left"/>
      </w:pPr>
      <w:r>
        <w:rPr/>
        <w:t>（</w:t>
      </w:r>
      <w:r>
        <w:rPr>
          <w:rFonts w:ascii="Arial" w:hAnsi="Arial" w:cs="Arial" w:eastAsia="Arial" w:hint="default"/>
        </w:rPr>
        <w:t>1</w:t>
      </w:r>
      <w:r>
        <w:rPr/>
        <w:t>）本年新纳入合并范围的子公司</w:t>
      </w:r>
    </w:p>
    <w:p>
      <w:pPr>
        <w:spacing w:line="240" w:lineRule="auto" w:before="13"/>
        <w:rPr>
          <w:rFonts w:ascii="宋体" w:hAnsi="宋体" w:cs="宋体" w:eastAsia="宋体" w:hint="default"/>
          <w:sz w:val="9"/>
          <w:szCs w:val="9"/>
        </w:rPr>
      </w:pPr>
    </w:p>
    <w:tbl>
      <w:tblPr>
        <w:tblW w:w="0" w:type="auto"/>
        <w:jc w:val="left"/>
        <w:tblInd w:w="428" w:type="dxa"/>
        <w:tblLayout w:type="fixed"/>
        <w:tblCellMar>
          <w:top w:w="0" w:type="dxa"/>
          <w:left w:w="0" w:type="dxa"/>
          <w:bottom w:w="0" w:type="dxa"/>
          <w:right w:w="0" w:type="dxa"/>
        </w:tblCellMar>
        <w:tblLook w:val="01E0"/>
      </w:tblPr>
      <w:tblGrid>
        <w:gridCol w:w="3480"/>
        <w:gridCol w:w="2745"/>
        <w:gridCol w:w="2853"/>
      </w:tblGrid>
      <w:tr>
        <w:trPr>
          <w:trHeight w:val="331" w:hRule="exact"/>
        </w:trPr>
        <w:tc>
          <w:tcPr>
            <w:tcW w:w="348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4"/>
              <w:jc w:val="center"/>
              <w:rPr>
                <w:rFonts w:ascii="宋体" w:hAnsi="宋体" w:cs="宋体" w:eastAsia="宋体" w:hint="default"/>
                <w:sz w:val="18"/>
                <w:szCs w:val="18"/>
              </w:rPr>
            </w:pPr>
            <w:r>
              <w:rPr>
                <w:rFonts w:ascii="宋体" w:hAnsi="宋体" w:cs="宋体" w:eastAsia="宋体" w:hint="default"/>
                <w:sz w:val="18"/>
                <w:szCs w:val="18"/>
              </w:rPr>
              <w:t>名称</w:t>
            </w:r>
          </w:p>
        </w:tc>
        <w:tc>
          <w:tcPr>
            <w:tcW w:w="274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年末净资产</w:t>
            </w:r>
          </w:p>
        </w:tc>
        <w:tc>
          <w:tcPr>
            <w:tcW w:w="285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3" w:right="0"/>
              <w:jc w:val="center"/>
              <w:rPr>
                <w:rFonts w:ascii="宋体" w:hAnsi="宋体" w:cs="宋体" w:eastAsia="宋体" w:hint="default"/>
                <w:sz w:val="18"/>
                <w:szCs w:val="18"/>
              </w:rPr>
            </w:pPr>
            <w:r>
              <w:rPr>
                <w:rFonts w:ascii="宋体" w:hAnsi="宋体" w:cs="宋体" w:eastAsia="宋体" w:hint="default"/>
                <w:sz w:val="18"/>
                <w:szCs w:val="18"/>
              </w:rPr>
              <w:t>本年净利润</w:t>
            </w:r>
          </w:p>
        </w:tc>
      </w:tr>
      <w:tr>
        <w:trPr>
          <w:trHeight w:val="342" w:hRule="exact"/>
        </w:trPr>
        <w:tc>
          <w:tcPr>
            <w:tcW w:w="348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z w:val="18"/>
                <w:szCs w:val="18"/>
              </w:rPr>
              <w:t>深圳市网爱金融服务有限公司</w:t>
            </w:r>
          </w:p>
        </w:tc>
        <w:tc>
          <w:tcPr>
            <w:tcW w:w="2745" w:type="dxa"/>
            <w:tcBorders>
              <w:top w:val="single" w:sz="8" w:space="0" w:color="5B9BD4"/>
              <w:left w:val="single" w:sz="4" w:space="0" w:color="DEEAF6"/>
              <w:bottom w:val="single" w:sz="4" w:space="0" w:color="5B9BD4"/>
              <w:right w:val="single" w:sz="4" w:space="0" w:color="DEEAF6"/>
            </w:tcBorders>
          </w:tcPr>
          <w:p>
            <w:pPr>
              <w:pStyle w:val="TableParagraph"/>
              <w:spacing w:line="240" w:lineRule="auto" w:before="52"/>
              <w:ind w:right="1"/>
              <w:jc w:val="right"/>
              <w:rPr>
                <w:rFonts w:ascii="Arial" w:hAnsi="Arial" w:cs="Arial" w:eastAsia="Arial" w:hint="default"/>
                <w:sz w:val="18"/>
                <w:szCs w:val="18"/>
              </w:rPr>
            </w:pPr>
            <w:r>
              <w:rPr>
                <w:rFonts w:ascii="Arial"/>
                <w:w w:val="95"/>
                <w:sz w:val="18"/>
              </w:rPr>
              <w:t>1,772,498.89</w:t>
            </w:r>
            <w:r>
              <w:rPr>
                <w:rFonts w:ascii="Arial"/>
                <w:sz w:val="18"/>
              </w:rPr>
            </w:r>
          </w:p>
        </w:tc>
        <w:tc>
          <w:tcPr>
            <w:tcW w:w="285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7"/>
              <w:ind w:right="3"/>
              <w:jc w:val="right"/>
              <w:rPr>
                <w:rFonts w:ascii="Arial" w:hAnsi="Arial" w:cs="Arial" w:eastAsia="Arial" w:hint="default"/>
                <w:sz w:val="18"/>
                <w:szCs w:val="18"/>
              </w:rPr>
            </w:pPr>
            <w:r>
              <w:rPr>
                <w:rFonts w:ascii="Arial"/>
                <w:w w:val="95"/>
                <w:sz w:val="18"/>
              </w:rPr>
              <w:t>-227,501.11</w:t>
            </w:r>
            <w:r>
              <w:rPr>
                <w:rFonts w:ascii="Arial"/>
                <w:sz w:val="18"/>
              </w:rPr>
            </w:r>
          </w:p>
        </w:tc>
      </w:tr>
      <w:tr>
        <w:trPr>
          <w:trHeight w:val="337" w:hRule="exact"/>
        </w:trPr>
        <w:tc>
          <w:tcPr>
            <w:tcW w:w="348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z w:val="18"/>
                <w:szCs w:val="18"/>
              </w:rPr>
              <w:t>深圳由你购电子商务有限公司</w:t>
            </w:r>
          </w:p>
        </w:tc>
        <w:tc>
          <w:tcPr>
            <w:tcW w:w="2745" w:type="dxa"/>
            <w:tcBorders>
              <w:top w:val="single" w:sz="4" w:space="0" w:color="5B9BD4"/>
              <w:left w:val="single" w:sz="4" w:space="0" w:color="DEEAF6"/>
              <w:bottom w:val="single" w:sz="4" w:space="0" w:color="5B9BD4"/>
              <w:right w:val="single" w:sz="4" w:space="0" w:color="DEEAF6"/>
            </w:tcBorders>
          </w:tcPr>
          <w:p>
            <w:pPr>
              <w:pStyle w:val="TableParagraph"/>
              <w:spacing w:line="240" w:lineRule="auto" w:before="56"/>
              <w:ind w:right="1"/>
              <w:jc w:val="right"/>
              <w:rPr>
                <w:rFonts w:ascii="Arial" w:hAnsi="Arial" w:cs="Arial" w:eastAsia="Arial" w:hint="default"/>
                <w:sz w:val="18"/>
                <w:szCs w:val="18"/>
              </w:rPr>
            </w:pPr>
            <w:r>
              <w:rPr>
                <w:rFonts w:ascii="Arial"/>
                <w:w w:val="95"/>
                <w:sz w:val="18"/>
              </w:rPr>
              <w:t>---</w:t>
            </w:r>
            <w:r>
              <w:rPr>
                <w:rFonts w:ascii="Arial"/>
                <w:sz w:val="18"/>
              </w:rPr>
            </w:r>
          </w:p>
        </w:tc>
        <w:tc>
          <w:tcPr>
            <w:tcW w:w="285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7"/>
              <w:ind w:right="2"/>
              <w:jc w:val="right"/>
              <w:rPr>
                <w:rFonts w:ascii="Arial" w:hAnsi="Arial" w:cs="Arial" w:eastAsia="Arial" w:hint="default"/>
                <w:sz w:val="18"/>
                <w:szCs w:val="18"/>
              </w:rPr>
            </w:pPr>
            <w:r>
              <w:rPr>
                <w:rFonts w:ascii="Arial"/>
                <w:w w:val="95"/>
                <w:sz w:val="18"/>
              </w:rPr>
              <w:t>---</w:t>
            </w:r>
            <w:r>
              <w:rPr>
                <w:rFonts w:ascii="Arial"/>
                <w:sz w:val="18"/>
              </w:rPr>
            </w:r>
          </w:p>
        </w:tc>
      </w:tr>
    </w:tbl>
    <w:p>
      <w:pPr>
        <w:spacing w:after="0" w:line="240" w:lineRule="auto"/>
        <w:jc w:val="right"/>
        <w:rPr>
          <w:rFonts w:ascii="Arial" w:hAnsi="Arial" w:cs="Arial" w:eastAsia="Arial"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4"/>
          <w:szCs w:val="24"/>
        </w:rPr>
      </w:pPr>
    </w:p>
    <w:tbl>
      <w:tblPr>
        <w:tblW w:w="0" w:type="auto"/>
        <w:jc w:val="left"/>
        <w:tblInd w:w="424" w:type="dxa"/>
        <w:tblLayout w:type="fixed"/>
        <w:tblCellMar>
          <w:top w:w="0" w:type="dxa"/>
          <w:left w:w="0" w:type="dxa"/>
          <w:bottom w:w="0" w:type="dxa"/>
          <w:right w:w="0" w:type="dxa"/>
        </w:tblCellMar>
        <w:tblLook w:val="01E0"/>
      </w:tblPr>
      <w:tblGrid>
        <w:gridCol w:w="3486"/>
        <w:gridCol w:w="2744"/>
        <w:gridCol w:w="2859"/>
      </w:tblGrid>
      <w:tr>
        <w:trPr>
          <w:trHeight w:val="336" w:hRule="exact"/>
        </w:trPr>
        <w:tc>
          <w:tcPr>
            <w:tcW w:w="348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壹号电子商务有限公司</w:t>
            </w:r>
          </w:p>
        </w:tc>
        <w:tc>
          <w:tcPr>
            <w:tcW w:w="2744"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right="6"/>
              <w:jc w:val="right"/>
              <w:rPr>
                <w:rFonts w:ascii="Arial" w:hAnsi="Arial" w:cs="Arial" w:eastAsia="Arial" w:hint="default"/>
                <w:sz w:val="18"/>
                <w:szCs w:val="18"/>
              </w:rPr>
            </w:pPr>
            <w:r>
              <w:rPr>
                <w:rFonts w:ascii="Arial"/>
                <w:w w:val="95"/>
                <w:sz w:val="18"/>
              </w:rPr>
              <w:t>-13,143,962.35</w:t>
            </w:r>
            <w:r>
              <w:rPr>
                <w:rFonts w:ascii="Arial"/>
                <w:sz w:val="18"/>
              </w:rPr>
            </w:r>
          </w:p>
        </w:tc>
        <w:tc>
          <w:tcPr>
            <w:tcW w:w="285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2"/>
              <w:ind w:right="7"/>
              <w:jc w:val="right"/>
              <w:rPr>
                <w:rFonts w:ascii="Arial" w:hAnsi="Arial" w:cs="Arial" w:eastAsia="Arial" w:hint="default"/>
                <w:sz w:val="18"/>
                <w:szCs w:val="18"/>
              </w:rPr>
            </w:pPr>
            <w:r>
              <w:rPr>
                <w:rFonts w:ascii="Arial"/>
                <w:w w:val="95"/>
                <w:sz w:val="18"/>
              </w:rPr>
              <w:t>-17,143,962.35</w:t>
            </w:r>
            <w:r>
              <w:rPr>
                <w:rFonts w:ascii="Arial"/>
                <w:sz w:val="18"/>
              </w:rPr>
            </w:r>
          </w:p>
        </w:tc>
      </w:tr>
      <w:tr>
        <w:trPr>
          <w:trHeight w:val="342" w:hRule="exact"/>
        </w:trPr>
        <w:tc>
          <w:tcPr>
            <w:tcW w:w="348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7"/>
              <w:ind w:left="9" w:right="0"/>
              <w:jc w:val="left"/>
              <w:rPr>
                <w:rFonts w:ascii="宋体" w:hAnsi="宋体" w:cs="宋体" w:eastAsia="宋体" w:hint="default"/>
                <w:sz w:val="18"/>
                <w:szCs w:val="18"/>
              </w:rPr>
            </w:pPr>
            <w:r>
              <w:rPr>
                <w:rFonts w:ascii="宋体" w:hAnsi="宋体" w:cs="宋体" w:eastAsia="宋体" w:hint="default"/>
                <w:sz w:val="18"/>
                <w:szCs w:val="18"/>
              </w:rPr>
              <w:t>深圳市酷爱星通讯科技有限责任公司</w:t>
            </w:r>
          </w:p>
        </w:tc>
        <w:tc>
          <w:tcPr>
            <w:tcW w:w="2744" w:type="dxa"/>
            <w:tcBorders>
              <w:top w:val="single" w:sz="4" w:space="0" w:color="5B9BD4"/>
              <w:left w:val="nil" w:sz="6" w:space="0" w:color="auto"/>
              <w:bottom w:val="single" w:sz="4" w:space="0" w:color="5B9BD4"/>
              <w:right w:val="nil" w:sz="6" w:space="0" w:color="auto"/>
            </w:tcBorders>
          </w:tcPr>
          <w:p>
            <w:pPr>
              <w:pStyle w:val="TableParagraph"/>
              <w:spacing w:line="240" w:lineRule="auto" w:before="58"/>
              <w:ind w:right="6"/>
              <w:jc w:val="right"/>
              <w:rPr>
                <w:rFonts w:ascii="Arial" w:hAnsi="Arial" w:cs="Arial" w:eastAsia="Arial" w:hint="default"/>
                <w:sz w:val="18"/>
                <w:szCs w:val="18"/>
              </w:rPr>
            </w:pPr>
            <w:r>
              <w:rPr>
                <w:rFonts w:ascii="Arial"/>
                <w:w w:val="95"/>
                <w:sz w:val="18"/>
              </w:rPr>
              <w:t>-7,254,483.65</w:t>
            </w:r>
            <w:r>
              <w:rPr>
                <w:rFonts w:ascii="Arial"/>
                <w:sz w:val="18"/>
              </w:rPr>
            </w:r>
          </w:p>
        </w:tc>
        <w:tc>
          <w:tcPr>
            <w:tcW w:w="285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8"/>
              <w:ind w:right="7"/>
              <w:jc w:val="right"/>
              <w:rPr>
                <w:rFonts w:ascii="Arial" w:hAnsi="Arial" w:cs="Arial" w:eastAsia="Arial" w:hint="default"/>
                <w:sz w:val="18"/>
                <w:szCs w:val="18"/>
              </w:rPr>
            </w:pPr>
            <w:r>
              <w:rPr>
                <w:rFonts w:ascii="Arial"/>
                <w:w w:val="95"/>
                <w:sz w:val="18"/>
              </w:rPr>
              <w:t>-7,254,483.65</w:t>
            </w:r>
            <w:r>
              <w:rPr>
                <w:rFonts w:ascii="Arial"/>
                <w:sz w:val="18"/>
              </w:rPr>
            </w:r>
          </w:p>
        </w:tc>
      </w:tr>
      <w:tr>
        <w:trPr>
          <w:trHeight w:val="342" w:hRule="exact"/>
        </w:trPr>
        <w:tc>
          <w:tcPr>
            <w:tcW w:w="348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7"/>
              <w:ind w:left="9" w:right="0"/>
              <w:jc w:val="left"/>
              <w:rPr>
                <w:rFonts w:ascii="宋体" w:hAnsi="宋体" w:cs="宋体" w:eastAsia="宋体" w:hint="default"/>
                <w:sz w:val="18"/>
                <w:szCs w:val="18"/>
              </w:rPr>
            </w:pPr>
            <w:r>
              <w:rPr>
                <w:rFonts w:ascii="宋体" w:hAnsi="宋体" w:cs="宋体" w:eastAsia="宋体" w:hint="default"/>
                <w:sz w:val="18"/>
                <w:szCs w:val="18"/>
              </w:rPr>
              <w:t>西安市爱星通通信器材有限公司</w:t>
            </w:r>
          </w:p>
        </w:tc>
        <w:tc>
          <w:tcPr>
            <w:tcW w:w="2744" w:type="dxa"/>
            <w:tcBorders>
              <w:top w:val="single" w:sz="4" w:space="0" w:color="5B9BD4"/>
              <w:left w:val="nil" w:sz="6" w:space="0" w:color="auto"/>
              <w:bottom w:val="single" w:sz="4" w:space="0" w:color="5B9BD4"/>
              <w:right w:val="nil" w:sz="6" w:space="0" w:color="auto"/>
            </w:tcBorders>
          </w:tcPr>
          <w:p>
            <w:pPr>
              <w:pStyle w:val="TableParagraph"/>
              <w:spacing w:line="240" w:lineRule="auto" w:before="58"/>
              <w:ind w:right="6"/>
              <w:jc w:val="right"/>
              <w:rPr>
                <w:rFonts w:ascii="Arial" w:hAnsi="Arial" w:cs="Arial" w:eastAsia="Arial" w:hint="default"/>
                <w:sz w:val="18"/>
                <w:szCs w:val="18"/>
              </w:rPr>
            </w:pPr>
            <w:r>
              <w:rPr>
                <w:rFonts w:ascii="Arial"/>
                <w:w w:val="95"/>
                <w:sz w:val="18"/>
              </w:rPr>
              <w:t>2,254,702.54</w:t>
            </w:r>
            <w:r>
              <w:rPr>
                <w:rFonts w:ascii="Arial"/>
                <w:sz w:val="18"/>
              </w:rPr>
            </w:r>
          </w:p>
        </w:tc>
        <w:tc>
          <w:tcPr>
            <w:tcW w:w="285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8"/>
              <w:ind w:right="7"/>
              <w:jc w:val="right"/>
              <w:rPr>
                <w:rFonts w:ascii="Arial" w:hAnsi="Arial" w:cs="Arial" w:eastAsia="Arial" w:hint="default"/>
                <w:sz w:val="18"/>
                <w:szCs w:val="18"/>
              </w:rPr>
            </w:pPr>
            <w:r>
              <w:rPr>
                <w:rFonts w:ascii="Arial"/>
                <w:w w:val="95"/>
                <w:sz w:val="18"/>
              </w:rPr>
              <w:t>2,254,702.54</w:t>
            </w:r>
            <w:r>
              <w:rPr>
                <w:rFonts w:ascii="Arial"/>
                <w:sz w:val="18"/>
              </w:rPr>
            </w:r>
          </w:p>
        </w:tc>
      </w:tr>
      <w:tr>
        <w:trPr>
          <w:trHeight w:val="342" w:hRule="exact"/>
        </w:trPr>
        <w:tc>
          <w:tcPr>
            <w:tcW w:w="348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7"/>
              <w:ind w:left="9" w:right="0"/>
              <w:jc w:val="left"/>
              <w:rPr>
                <w:rFonts w:ascii="宋体" w:hAnsi="宋体" w:cs="宋体" w:eastAsia="宋体" w:hint="default"/>
                <w:sz w:val="18"/>
                <w:szCs w:val="18"/>
              </w:rPr>
            </w:pPr>
            <w:r>
              <w:rPr>
                <w:rFonts w:ascii="宋体" w:hAnsi="宋体" w:cs="宋体" w:eastAsia="宋体" w:hint="default"/>
                <w:sz w:val="18"/>
                <w:szCs w:val="18"/>
              </w:rPr>
              <w:t>北京灵动互娱科技有限公司</w:t>
            </w:r>
          </w:p>
        </w:tc>
        <w:tc>
          <w:tcPr>
            <w:tcW w:w="2744" w:type="dxa"/>
            <w:tcBorders>
              <w:top w:val="single" w:sz="4" w:space="0" w:color="5B9BD4"/>
              <w:left w:val="nil" w:sz="6" w:space="0" w:color="auto"/>
              <w:bottom w:val="single" w:sz="4" w:space="0" w:color="5B9BD4"/>
              <w:right w:val="nil" w:sz="6" w:space="0" w:color="auto"/>
            </w:tcBorders>
          </w:tcPr>
          <w:p>
            <w:pPr>
              <w:pStyle w:val="TableParagraph"/>
              <w:spacing w:line="240" w:lineRule="auto" w:before="58"/>
              <w:ind w:right="6"/>
              <w:jc w:val="right"/>
              <w:rPr>
                <w:rFonts w:ascii="Arial" w:hAnsi="Arial" w:cs="Arial" w:eastAsia="Arial" w:hint="default"/>
                <w:sz w:val="18"/>
                <w:szCs w:val="18"/>
              </w:rPr>
            </w:pPr>
            <w:r>
              <w:rPr>
                <w:rFonts w:ascii="Arial"/>
                <w:w w:val="95"/>
                <w:sz w:val="18"/>
              </w:rPr>
              <w:t>9,973,905.07</w:t>
            </w:r>
            <w:r>
              <w:rPr>
                <w:rFonts w:ascii="Arial"/>
                <w:sz w:val="18"/>
              </w:rPr>
            </w:r>
          </w:p>
        </w:tc>
        <w:tc>
          <w:tcPr>
            <w:tcW w:w="285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8"/>
              <w:ind w:right="9"/>
              <w:jc w:val="right"/>
              <w:rPr>
                <w:rFonts w:ascii="Arial" w:hAnsi="Arial" w:cs="Arial" w:eastAsia="Arial" w:hint="default"/>
                <w:sz w:val="18"/>
                <w:szCs w:val="18"/>
              </w:rPr>
            </w:pPr>
            <w:r>
              <w:rPr>
                <w:rFonts w:ascii="Arial"/>
                <w:w w:val="95"/>
                <w:sz w:val="18"/>
              </w:rPr>
              <w:t>-26,094.93</w:t>
            </w:r>
            <w:r>
              <w:rPr>
                <w:rFonts w:ascii="Arial"/>
                <w:sz w:val="18"/>
              </w:rPr>
            </w:r>
          </w:p>
        </w:tc>
      </w:tr>
      <w:tr>
        <w:trPr>
          <w:trHeight w:val="338" w:hRule="exact"/>
        </w:trPr>
        <w:tc>
          <w:tcPr>
            <w:tcW w:w="348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7"/>
              <w:ind w:left="9" w:right="0"/>
              <w:jc w:val="left"/>
              <w:rPr>
                <w:rFonts w:ascii="宋体" w:hAnsi="宋体" w:cs="宋体" w:eastAsia="宋体" w:hint="default"/>
                <w:sz w:val="18"/>
                <w:szCs w:val="18"/>
              </w:rPr>
            </w:pPr>
            <w:r>
              <w:rPr>
                <w:rFonts w:ascii="宋体" w:hAnsi="宋体" w:cs="宋体" w:eastAsia="宋体" w:hint="default"/>
                <w:sz w:val="18"/>
                <w:szCs w:val="18"/>
              </w:rPr>
              <w:t>深圳市优友金融服务有限公司</w:t>
            </w:r>
          </w:p>
        </w:tc>
        <w:tc>
          <w:tcPr>
            <w:tcW w:w="2744" w:type="dxa"/>
            <w:tcBorders>
              <w:top w:val="single" w:sz="4" w:space="0" w:color="5B9BD4"/>
              <w:left w:val="nil" w:sz="6" w:space="0" w:color="auto"/>
              <w:bottom w:val="single" w:sz="4" w:space="0" w:color="5B9BD4"/>
              <w:right w:val="nil" w:sz="6" w:space="0" w:color="auto"/>
            </w:tcBorders>
          </w:tcPr>
          <w:p>
            <w:pPr>
              <w:pStyle w:val="TableParagraph"/>
              <w:spacing w:line="240" w:lineRule="auto" w:before="58"/>
              <w:ind w:right="7"/>
              <w:jc w:val="right"/>
              <w:rPr>
                <w:rFonts w:ascii="Arial" w:hAnsi="Arial" w:cs="Arial" w:eastAsia="Arial" w:hint="default"/>
                <w:sz w:val="18"/>
                <w:szCs w:val="18"/>
              </w:rPr>
            </w:pPr>
            <w:r>
              <w:rPr>
                <w:rFonts w:ascii="Arial"/>
                <w:w w:val="95"/>
                <w:sz w:val="18"/>
              </w:rPr>
              <w:t>795,142.31</w:t>
            </w:r>
            <w:r>
              <w:rPr>
                <w:rFonts w:ascii="Arial"/>
                <w:sz w:val="18"/>
              </w:rPr>
            </w:r>
          </w:p>
        </w:tc>
        <w:tc>
          <w:tcPr>
            <w:tcW w:w="285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8"/>
              <w:ind w:right="8"/>
              <w:jc w:val="right"/>
              <w:rPr>
                <w:rFonts w:ascii="Arial" w:hAnsi="Arial" w:cs="Arial" w:eastAsia="Arial" w:hint="default"/>
                <w:sz w:val="18"/>
                <w:szCs w:val="18"/>
              </w:rPr>
            </w:pPr>
            <w:r>
              <w:rPr>
                <w:rFonts w:ascii="Arial"/>
                <w:w w:val="95"/>
                <w:sz w:val="18"/>
              </w:rPr>
              <w:t>-204,857.69</w:t>
            </w:r>
            <w:r>
              <w:rPr>
                <w:rFonts w:ascii="Arial"/>
                <w:sz w:val="18"/>
              </w:rPr>
            </w:r>
          </w:p>
        </w:tc>
      </w:tr>
    </w:tbl>
    <w:p>
      <w:pPr>
        <w:spacing w:line="240" w:lineRule="auto" w:before="4"/>
        <w:rPr>
          <w:rFonts w:ascii="宋体" w:hAnsi="宋体" w:cs="宋体" w:eastAsia="宋体" w:hint="default"/>
          <w:sz w:val="15"/>
          <w:szCs w:val="15"/>
        </w:rPr>
      </w:pPr>
    </w:p>
    <w:p>
      <w:pPr>
        <w:pStyle w:val="BodyText"/>
        <w:spacing w:line="240" w:lineRule="auto" w:before="18"/>
        <w:ind w:left="574" w:right="0"/>
        <w:jc w:val="left"/>
      </w:pPr>
      <w:r>
        <w:rPr/>
        <w:t>（</w:t>
      </w:r>
      <w:r>
        <w:rPr>
          <w:rFonts w:ascii="Arial" w:hAnsi="Arial" w:cs="Arial" w:eastAsia="Arial" w:hint="default"/>
        </w:rPr>
        <w:t>2</w:t>
      </w:r>
      <w:r>
        <w:rPr/>
        <w:t>）本年不再纳入合并范围的公司</w:t>
      </w:r>
    </w:p>
    <w:p>
      <w:pPr>
        <w:spacing w:line="240" w:lineRule="auto" w:before="12"/>
        <w:rPr>
          <w:rFonts w:ascii="宋体" w:hAnsi="宋体" w:cs="宋体" w:eastAsia="宋体" w:hint="default"/>
          <w:sz w:val="9"/>
          <w:szCs w:val="9"/>
        </w:rPr>
      </w:pPr>
    </w:p>
    <w:tbl>
      <w:tblPr>
        <w:tblW w:w="0" w:type="auto"/>
        <w:jc w:val="left"/>
        <w:tblInd w:w="435" w:type="dxa"/>
        <w:tblLayout w:type="fixed"/>
        <w:tblCellMar>
          <w:top w:w="0" w:type="dxa"/>
          <w:left w:w="0" w:type="dxa"/>
          <w:bottom w:w="0" w:type="dxa"/>
          <w:right w:w="0" w:type="dxa"/>
        </w:tblCellMar>
        <w:tblLook w:val="01E0"/>
      </w:tblPr>
      <w:tblGrid>
        <w:gridCol w:w="3540"/>
        <w:gridCol w:w="2694"/>
        <w:gridCol w:w="2830"/>
      </w:tblGrid>
      <w:tr>
        <w:trPr>
          <w:trHeight w:val="332" w:hRule="exact"/>
        </w:trPr>
        <w:tc>
          <w:tcPr>
            <w:tcW w:w="354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4"/>
              <w:jc w:val="center"/>
              <w:rPr>
                <w:rFonts w:ascii="宋体" w:hAnsi="宋体" w:cs="宋体" w:eastAsia="宋体" w:hint="default"/>
                <w:sz w:val="18"/>
                <w:szCs w:val="18"/>
              </w:rPr>
            </w:pPr>
            <w:r>
              <w:rPr>
                <w:rFonts w:ascii="宋体" w:hAnsi="宋体" w:cs="宋体" w:eastAsia="宋体" w:hint="default"/>
                <w:sz w:val="18"/>
                <w:szCs w:val="18"/>
              </w:rPr>
              <w:t>名称</w:t>
            </w:r>
          </w:p>
        </w:tc>
        <w:tc>
          <w:tcPr>
            <w:tcW w:w="26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806"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83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608"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r>
        <w:trPr>
          <w:trHeight w:val="346" w:hRule="exact"/>
        </w:trPr>
        <w:tc>
          <w:tcPr>
            <w:tcW w:w="354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z w:val="18"/>
                <w:szCs w:val="18"/>
              </w:rPr>
              <w:t>长沙市酷动数码产品有限公司</w:t>
            </w:r>
          </w:p>
        </w:tc>
        <w:tc>
          <w:tcPr>
            <w:tcW w:w="2694" w:type="dxa"/>
            <w:tcBorders>
              <w:top w:val="single" w:sz="4" w:space="0" w:color="5B9BD4"/>
              <w:left w:val="single" w:sz="4" w:space="0" w:color="DEEAF6"/>
              <w:bottom w:val="single" w:sz="4" w:space="0" w:color="5B9BD4"/>
              <w:right w:val="single" w:sz="4" w:space="0" w:color="DEEAF6"/>
            </w:tcBorders>
          </w:tcPr>
          <w:p>
            <w:pPr>
              <w:pStyle w:val="TableParagraph"/>
              <w:spacing w:line="240" w:lineRule="auto" w:before="57"/>
              <w:ind w:right="2"/>
              <w:jc w:val="right"/>
              <w:rPr>
                <w:rFonts w:ascii="Arial" w:hAnsi="Arial" w:cs="Arial" w:eastAsia="Arial" w:hint="default"/>
                <w:sz w:val="18"/>
                <w:szCs w:val="18"/>
              </w:rPr>
            </w:pPr>
            <w:r>
              <w:rPr>
                <w:rFonts w:ascii="Arial"/>
                <w:w w:val="95"/>
                <w:sz w:val="18"/>
              </w:rPr>
              <w:t>690,297.04</w:t>
            </w:r>
            <w:r>
              <w:rPr>
                <w:rFonts w:ascii="Arial"/>
                <w:sz w:val="18"/>
              </w:rPr>
            </w:r>
          </w:p>
        </w:tc>
        <w:tc>
          <w:tcPr>
            <w:tcW w:w="283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7"/>
              <w:ind w:right="2"/>
              <w:jc w:val="right"/>
              <w:rPr>
                <w:rFonts w:ascii="Arial" w:hAnsi="Arial" w:cs="Arial" w:eastAsia="Arial" w:hint="default"/>
                <w:sz w:val="18"/>
                <w:szCs w:val="18"/>
              </w:rPr>
            </w:pPr>
            <w:r>
              <w:rPr>
                <w:rFonts w:ascii="Arial"/>
                <w:w w:val="95"/>
                <w:sz w:val="18"/>
              </w:rPr>
              <w:t>-120.65</w:t>
            </w:r>
            <w:r>
              <w:rPr>
                <w:rFonts w:ascii="Arial"/>
                <w:sz w:val="18"/>
              </w:rPr>
            </w:r>
          </w:p>
        </w:tc>
      </w:tr>
      <w:tr>
        <w:trPr>
          <w:trHeight w:val="342" w:hRule="exact"/>
        </w:trPr>
        <w:tc>
          <w:tcPr>
            <w:tcW w:w="354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武汉酷索商贸有限公司</w:t>
            </w:r>
          </w:p>
        </w:tc>
        <w:tc>
          <w:tcPr>
            <w:tcW w:w="2694" w:type="dxa"/>
            <w:tcBorders>
              <w:top w:val="single" w:sz="4" w:space="0" w:color="5B9BD4"/>
              <w:left w:val="single" w:sz="4" w:space="0" w:color="DEEAF6"/>
              <w:bottom w:val="single" w:sz="4" w:space="0" w:color="5B9BD4"/>
              <w:right w:val="single" w:sz="4" w:space="0" w:color="DEEAF6"/>
            </w:tcBorders>
          </w:tcPr>
          <w:p>
            <w:pPr>
              <w:pStyle w:val="TableParagraph"/>
              <w:spacing w:line="240" w:lineRule="auto" w:before="52"/>
              <w:ind w:right="2"/>
              <w:jc w:val="right"/>
              <w:rPr>
                <w:rFonts w:ascii="Arial" w:hAnsi="Arial" w:cs="Arial" w:eastAsia="Arial" w:hint="default"/>
                <w:sz w:val="18"/>
                <w:szCs w:val="18"/>
              </w:rPr>
            </w:pPr>
            <w:r>
              <w:rPr>
                <w:rFonts w:ascii="Arial"/>
                <w:w w:val="95"/>
                <w:sz w:val="18"/>
              </w:rPr>
              <w:t>452,007.71</w:t>
            </w:r>
            <w:r>
              <w:rPr>
                <w:rFonts w:ascii="Arial"/>
                <w:sz w:val="18"/>
              </w:rPr>
            </w:r>
          </w:p>
        </w:tc>
        <w:tc>
          <w:tcPr>
            <w:tcW w:w="283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3"/>
              <w:ind w:right="2"/>
              <w:jc w:val="right"/>
              <w:rPr>
                <w:rFonts w:ascii="Arial" w:hAnsi="Arial" w:cs="Arial" w:eastAsia="Arial" w:hint="default"/>
                <w:sz w:val="18"/>
                <w:szCs w:val="18"/>
              </w:rPr>
            </w:pPr>
            <w:r>
              <w:rPr>
                <w:rFonts w:ascii="Arial"/>
                <w:w w:val="95"/>
                <w:sz w:val="18"/>
              </w:rPr>
              <w:t>-11,925.82</w:t>
            </w:r>
            <w:r>
              <w:rPr>
                <w:rFonts w:ascii="Arial"/>
                <w:sz w:val="18"/>
              </w:rPr>
            </w:r>
          </w:p>
        </w:tc>
      </w:tr>
      <w:tr>
        <w:trPr>
          <w:trHeight w:val="342" w:hRule="exact"/>
        </w:trPr>
        <w:tc>
          <w:tcPr>
            <w:tcW w:w="354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大连市酷索数码产品有限公司</w:t>
            </w:r>
          </w:p>
        </w:tc>
        <w:tc>
          <w:tcPr>
            <w:tcW w:w="2694" w:type="dxa"/>
            <w:tcBorders>
              <w:top w:val="single" w:sz="4" w:space="0" w:color="5B9BD4"/>
              <w:left w:val="single" w:sz="4" w:space="0" w:color="DEEAF6"/>
              <w:bottom w:val="single" w:sz="4" w:space="0" w:color="5B9BD4"/>
              <w:right w:val="single" w:sz="4" w:space="0" w:color="DEEAF6"/>
            </w:tcBorders>
          </w:tcPr>
          <w:p>
            <w:pPr>
              <w:pStyle w:val="TableParagraph"/>
              <w:spacing w:line="240" w:lineRule="auto" w:before="53"/>
              <w:ind w:right="3"/>
              <w:jc w:val="right"/>
              <w:rPr>
                <w:rFonts w:ascii="Arial" w:hAnsi="Arial" w:cs="Arial" w:eastAsia="Arial" w:hint="default"/>
                <w:sz w:val="18"/>
                <w:szCs w:val="18"/>
              </w:rPr>
            </w:pPr>
            <w:r>
              <w:rPr>
                <w:rFonts w:ascii="Arial"/>
                <w:w w:val="95"/>
                <w:sz w:val="18"/>
              </w:rPr>
              <w:t>17,569.74</w:t>
            </w:r>
            <w:r>
              <w:rPr>
                <w:rFonts w:ascii="Arial"/>
                <w:sz w:val="18"/>
              </w:rPr>
            </w:r>
          </w:p>
        </w:tc>
        <w:tc>
          <w:tcPr>
            <w:tcW w:w="283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3"/>
              <w:ind w:right="2"/>
              <w:jc w:val="right"/>
              <w:rPr>
                <w:rFonts w:ascii="Arial" w:hAnsi="Arial" w:cs="Arial" w:eastAsia="Arial" w:hint="default"/>
                <w:sz w:val="18"/>
                <w:szCs w:val="18"/>
              </w:rPr>
            </w:pPr>
            <w:r>
              <w:rPr>
                <w:rFonts w:ascii="Arial"/>
                <w:w w:val="95"/>
                <w:sz w:val="18"/>
              </w:rPr>
              <w:t>18.31</w:t>
            </w:r>
            <w:r>
              <w:rPr>
                <w:rFonts w:ascii="Arial"/>
                <w:sz w:val="18"/>
              </w:rPr>
            </w:r>
          </w:p>
        </w:tc>
      </w:tr>
      <w:tr>
        <w:trPr>
          <w:trHeight w:val="333" w:hRule="exact"/>
        </w:trPr>
        <w:tc>
          <w:tcPr>
            <w:tcW w:w="354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天津市美索商贸有限公司</w:t>
            </w:r>
          </w:p>
        </w:tc>
        <w:tc>
          <w:tcPr>
            <w:tcW w:w="2694" w:type="dxa"/>
            <w:tcBorders>
              <w:top w:val="single" w:sz="4" w:space="0" w:color="5B9BD4"/>
              <w:left w:val="single" w:sz="4" w:space="0" w:color="DEEAF6"/>
              <w:bottom w:val="single" w:sz="4" w:space="0" w:color="5B9BD4"/>
              <w:right w:val="single" w:sz="4" w:space="0" w:color="DEEAF6"/>
            </w:tcBorders>
          </w:tcPr>
          <w:p>
            <w:pPr>
              <w:pStyle w:val="TableParagraph"/>
              <w:spacing w:line="240" w:lineRule="auto" w:before="52"/>
              <w:ind w:right="2"/>
              <w:jc w:val="right"/>
              <w:rPr>
                <w:rFonts w:ascii="Arial" w:hAnsi="Arial" w:cs="Arial" w:eastAsia="Arial" w:hint="default"/>
                <w:sz w:val="18"/>
                <w:szCs w:val="18"/>
              </w:rPr>
            </w:pPr>
            <w:r>
              <w:rPr>
                <w:rFonts w:ascii="Arial"/>
                <w:w w:val="95"/>
                <w:sz w:val="18"/>
              </w:rPr>
              <w:t>180,754.80</w:t>
            </w:r>
            <w:r>
              <w:rPr>
                <w:rFonts w:ascii="Arial"/>
                <w:sz w:val="18"/>
              </w:rPr>
            </w:r>
          </w:p>
        </w:tc>
        <w:tc>
          <w:tcPr>
            <w:tcW w:w="283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3"/>
              <w:ind w:right="1"/>
              <w:jc w:val="right"/>
              <w:rPr>
                <w:rFonts w:ascii="Arial" w:hAnsi="Arial" w:cs="Arial" w:eastAsia="Arial" w:hint="default"/>
                <w:sz w:val="18"/>
                <w:szCs w:val="18"/>
              </w:rPr>
            </w:pPr>
            <w:r>
              <w:rPr>
                <w:rFonts w:ascii="Arial"/>
                <w:w w:val="95"/>
                <w:sz w:val="18"/>
              </w:rPr>
              <w:t>-2,749.2</w:t>
            </w:r>
            <w:r>
              <w:rPr>
                <w:rFonts w:ascii="Arial"/>
                <w:sz w:val="18"/>
              </w:rPr>
            </w:r>
          </w:p>
        </w:tc>
      </w:tr>
    </w:tbl>
    <w:p>
      <w:pPr>
        <w:spacing w:line="240" w:lineRule="auto" w:before="2"/>
        <w:rPr>
          <w:rFonts w:ascii="宋体" w:hAnsi="宋体" w:cs="宋体" w:eastAsia="宋体" w:hint="default"/>
          <w:sz w:val="7"/>
          <w:szCs w:val="7"/>
        </w:rPr>
      </w:pPr>
    </w:p>
    <w:p>
      <w:pPr>
        <w:pStyle w:val="Heading1"/>
        <w:spacing w:line="409" w:lineRule="exact"/>
        <w:ind w:left="154" w:right="0"/>
        <w:jc w:val="left"/>
        <w:rPr>
          <w:b w:val="0"/>
          <w:bCs w:val="0"/>
        </w:rPr>
      </w:pPr>
      <w:bookmarkStart w:name="5.9 聘任、解聘会计师事务所情况" w:id="120"/>
      <w:bookmarkEnd w:id="120"/>
      <w:r>
        <w:rPr>
          <w:b w:val="0"/>
          <w:bCs w:val="0"/>
        </w:rPr>
      </w:r>
      <w:bookmarkStart w:name="_bookmark38" w:id="121"/>
      <w:bookmarkEnd w:id="121"/>
      <w:r>
        <w:rPr>
          <w:b w:val="0"/>
          <w:bCs w:val="0"/>
        </w:rPr>
      </w:r>
      <w:r>
        <w:rPr>
          <w:rFonts w:ascii="Trebuchet MS" w:hAnsi="Trebuchet MS" w:cs="Trebuchet MS" w:eastAsia="Trebuchet MS" w:hint="default"/>
        </w:rPr>
        <w:t>5.9</w:t>
      </w:r>
      <w:r>
        <w:rPr>
          <w:rFonts w:ascii="Trebuchet MS" w:hAnsi="Trebuchet MS" w:cs="Trebuchet MS" w:eastAsia="Trebuchet MS" w:hint="default"/>
          <w:spacing w:val="14"/>
        </w:rPr>
        <w:t> </w:t>
      </w:r>
      <w:r>
        <w:rPr/>
        <w:t>聘任、解聘会计师事务所情况</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10"/>
          <w:szCs w:val="10"/>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5B9BD4"/>
              <w:left w:val="nil" w:sz="6" w:space="0" w:color="auto"/>
              <w:bottom w:val="single" w:sz="4" w:space="0" w:color="5B9BD4"/>
              <w:right w:val="nil" w:sz="6" w:space="0" w:color="auto"/>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388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left="28" w:right="0"/>
              <w:jc w:val="left"/>
              <w:rPr>
                <w:rFonts w:ascii="Arial" w:hAnsi="Arial" w:cs="Arial" w:eastAsia="Arial" w:hint="default"/>
                <w:sz w:val="18"/>
                <w:szCs w:val="18"/>
              </w:rPr>
            </w:pPr>
            <w:r>
              <w:rPr>
                <w:rFonts w:ascii="Arial"/>
                <w:sz w:val="18"/>
              </w:rPr>
              <w:t>80</w:t>
            </w:r>
          </w:p>
        </w:tc>
      </w:tr>
      <w:tr>
        <w:trPr>
          <w:trHeight w:val="402" w:hRule="exact"/>
        </w:trPr>
        <w:tc>
          <w:tcPr>
            <w:tcW w:w="388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5B9BD4"/>
              <w:left w:val="nil" w:sz="6" w:space="0" w:color="auto"/>
              <w:bottom w:val="single" w:sz="4" w:space="0" w:color="5B9BD4"/>
              <w:right w:val="nil" w:sz="6" w:space="0" w:color="auto"/>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九年</w:t>
            </w:r>
          </w:p>
        </w:tc>
      </w:tr>
      <w:tr>
        <w:trPr>
          <w:trHeight w:val="402" w:hRule="exact"/>
        </w:trPr>
        <w:tc>
          <w:tcPr>
            <w:tcW w:w="388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5B9BD4"/>
              <w:left w:val="nil" w:sz="6" w:space="0" w:color="auto"/>
              <w:bottom w:val="single" w:sz="4" w:space="0" w:color="5B9BD4"/>
              <w:right w:val="nil" w:sz="6" w:space="0" w:color="auto"/>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廖晓鸿、何晓娟</w:t>
            </w:r>
          </w:p>
        </w:tc>
      </w:tr>
      <w:tr>
        <w:trPr>
          <w:trHeight w:val="402" w:hRule="exact"/>
        </w:trPr>
        <w:tc>
          <w:tcPr>
            <w:tcW w:w="388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5682" w:type="dxa"/>
            <w:tcBorders>
              <w:top w:val="single" w:sz="4" w:space="0" w:color="5B9BD4"/>
              <w:left w:val="nil" w:sz="6" w:space="0" w:color="auto"/>
              <w:bottom w:val="single" w:sz="4" w:space="0" w:color="5B9BD4"/>
              <w:right w:val="nil" w:sz="6" w:space="0" w:color="auto"/>
            </w:tcBorders>
          </w:tcPr>
          <w:p>
            <w:pPr/>
          </w:p>
        </w:tc>
      </w:tr>
      <w:tr>
        <w:trPr>
          <w:trHeight w:val="402" w:hRule="exact"/>
        </w:trPr>
        <w:tc>
          <w:tcPr>
            <w:tcW w:w="388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90"/>
                <w:sz w:val="18"/>
                <w:szCs w:val="18"/>
              </w:rPr>
              <w:t>）</w:t>
            </w:r>
            <w:r>
              <w:rPr>
                <w:rFonts w:ascii="宋体" w:hAnsi="宋体" w:cs="宋体" w:eastAsia="宋体" w:hint="default"/>
                <w:sz w:val="18"/>
                <w:szCs w:val="18"/>
              </w:rPr>
              <w:t>（如有）</w:t>
            </w:r>
          </w:p>
        </w:tc>
        <w:tc>
          <w:tcPr>
            <w:tcW w:w="5682" w:type="dxa"/>
            <w:tcBorders>
              <w:top w:val="single" w:sz="4" w:space="0" w:color="5B9BD4"/>
              <w:left w:val="nil" w:sz="6" w:space="0" w:color="auto"/>
              <w:bottom w:val="single" w:sz="4" w:space="0" w:color="5B9BD4"/>
              <w:right w:val="nil" w:sz="6" w:space="0" w:color="auto"/>
            </w:tcBorders>
          </w:tcPr>
          <w:p>
            <w:pPr/>
          </w:p>
        </w:tc>
      </w:tr>
      <w:tr>
        <w:trPr>
          <w:trHeight w:val="402" w:hRule="exact"/>
        </w:trPr>
        <w:tc>
          <w:tcPr>
            <w:tcW w:w="388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5682" w:type="dxa"/>
            <w:tcBorders>
              <w:top w:val="single" w:sz="4" w:space="0" w:color="5B9BD4"/>
              <w:left w:val="nil" w:sz="6" w:space="0" w:color="auto"/>
              <w:bottom w:val="single" w:sz="4" w:space="0" w:color="5B9BD4"/>
              <w:right w:val="nil" w:sz="6" w:space="0" w:color="auto"/>
            </w:tcBorders>
          </w:tcPr>
          <w:p>
            <w:pPr/>
          </w:p>
        </w:tc>
      </w:tr>
      <w:tr>
        <w:trPr>
          <w:trHeight w:val="402" w:hRule="exact"/>
        </w:trPr>
        <w:tc>
          <w:tcPr>
            <w:tcW w:w="388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5682" w:type="dxa"/>
            <w:tcBorders>
              <w:top w:val="single" w:sz="4" w:space="0" w:color="5B9BD4"/>
              <w:left w:val="nil" w:sz="6" w:space="0" w:color="auto"/>
              <w:bottom w:val="single" w:sz="4" w:space="0" w:color="5B9BD4"/>
              <w:right w:val="nil" w:sz="6" w:space="0" w:color="auto"/>
            </w:tcBorders>
          </w:tcPr>
          <w:p>
            <w:pPr/>
          </w:p>
        </w:tc>
      </w:tr>
    </w:tbl>
    <w:p>
      <w:pPr>
        <w:spacing w:line="240" w:lineRule="auto" w:before="2"/>
        <w:rPr>
          <w:rFonts w:ascii="Microsoft JhengHei" w:hAnsi="Microsoft JhengHei" w:cs="Microsoft JhengHei" w:eastAsia="Microsoft JhengHei" w:hint="default"/>
          <w:b/>
          <w:bCs/>
          <w:sz w:val="5"/>
          <w:szCs w:val="5"/>
        </w:rPr>
      </w:pPr>
    </w:p>
    <w:p>
      <w:pPr>
        <w:pStyle w:val="Heading1"/>
        <w:spacing w:line="409" w:lineRule="exact"/>
        <w:ind w:left="154" w:right="0"/>
        <w:jc w:val="left"/>
        <w:rPr>
          <w:b w:val="0"/>
          <w:bCs w:val="0"/>
        </w:rPr>
      </w:pPr>
      <w:bookmarkStart w:name="5.10 年度报告披露后面临暂停上市和终止上市情况" w:id="122"/>
      <w:bookmarkEnd w:id="122"/>
      <w:r>
        <w:rPr>
          <w:b w:val="0"/>
          <w:bCs w:val="0"/>
        </w:rPr>
      </w:r>
      <w:bookmarkStart w:name="_bookmark39" w:id="123"/>
      <w:bookmarkEnd w:id="123"/>
      <w:r>
        <w:rPr>
          <w:b w:val="0"/>
          <w:bCs w:val="0"/>
        </w:rPr>
      </w:r>
      <w:r>
        <w:rPr>
          <w:rFonts w:ascii="Trebuchet MS" w:hAnsi="Trebuchet MS" w:cs="Trebuchet MS" w:eastAsia="Trebuchet MS" w:hint="default"/>
        </w:rPr>
        <w:t>5.10</w:t>
      </w:r>
      <w:r>
        <w:rPr>
          <w:rFonts w:ascii="Trebuchet MS" w:hAnsi="Trebuchet MS" w:cs="Trebuchet MS" w:eastAsia="Trebuchet MS" w:hint="default"/>
          <w:spacing w:val="4"/>
        </w:rPr>
        <w:t> </w:t>
      </w:r>
      <w:r>
        <w:rPr/>
        <w:t>年度报告披露后面临暂停上市和终止上市情况</w:t>
      </w:r>
      <w:r>
        <w:rPr>
          <w:b w:val="0"/>
          <w:bCs w:val="0"/>
        </w:rPr>
      </w:r>
    </w:p>
    <w:p>
      <w:pPr>
        <w:spacing w:before="181"/>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pStyle w:val="Heading1"/>
        <w:spacing w:line="240" w:lineRule="auto" w:before="76"/>
        <w:ind w:right="0"/>
        <w:jc w:val="left"/>
        <w:rPr>
          <w:b w:val="0"/>
          <w:bCs w:val="0"/>
        </w:rPr>
      </w:pPr>
      <w:bookmarkStart w:name="5.11 破产重整相关事项" w:id="124"/>
      <w:bookmarkEnd w:id="124"/>
      <w:r>
        <w:rPr>
          <w:b w:val="0"/>
          <w:bCs w:val="0"/>
        </w:rPr>
      </w:r>
      <w:bookmarkStart w:name="_bookmark40" w:id="125"/>
      <w:bookmarkEnd w:id="125"/>
      <w:r>
        <w:rPr>
          <w:b w:val="0"/>
          <w:bCs w:val="0"/>
        </w:rPr>
      </w:r>
      <w:r>
        <w:rPr>
          <w:rFonts w:ascii="Trebuchet MS" w:hAnsi="Trebuchet MS" w:cs="Trebuchet MS" w:eastAsia="Trebuchet MS" w:hint="default"/>
        </w:rPr>
        <w:t>5.11</w:t>
      </w:r>
      <w:r>
        <w:rPr>
          <w:rFonts w:ascii="Trebuchet MS" w:hAnsi="Trebuchet MS" w:cs="Trebuchet MS" w:eastAsia="Trebuchet MS" w:hint="default"/>
          <w:spacing w:val="4"/>
        </w:rPr>
        <w:t> </w:t>
      </w:r>
      <w:r>
        <w:rPr/>
        <w:t>破产重整相关事项</w:t>
      </w:r>
      <w:r>
        <w:rPr>
          <w:b w:val="0"/>
          <w:bCs w:val="0"/>
        </w:rPr>
      </w:r>
    </w:p>
    <w:p>
      <w:pPr>
        <w:spacing w:before="182"/>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1"/>
          <w:szCs w:val="21"/>
        </w:rPr>
      </w:pPr>
    </w:p>
    <w:p>
      <w:pPr>
        <w:pStyle w:val="BodyText"/>
        <w:spacing w:line="240" w:lineRule="auto"/>
        <w:ind w:left="573" w:right="0"/>
        <w:jc w:val="left"/>
      </w:pPr>
      <w:r>
        <w:rPr/>
        <w:t>公司报告期未发生破产重整相关事项。</w:t>
      </w:r>
    </w:p>
    <w:p>
      <w:pPr>
        <w:pStyle w:val="Heading1"/>
        <w:spacing w:line="240" w:lineRule="auto" w:before="110"/>
        <w:ind w:right="0"/>
        <w:jc w:val="left"/>
        <w:rPr>
          <w:b w:val="0"/>
          <w:bCs w:val="0"/>
        </w:rPr>
      </w:pPr>
      <w:bookmarkStart w:name="5.12 重大诉讼、仲裁事项" w:id="126"/>
      <w:bookmarkEnd w:id="126"/>
      <w:r>
        <w:rPr>
          <w:b w:val="0"/>
          <w:bCs w:val="0"/>
        </w:rPr>
      </w:r>
      <w:bookmarkStart w:name="_bookmark41" w:id="127"/>
      <w:bookmarkEnd w:id="127"/>
      <w:r>
        <w:rPr>
          <w:b w:val="0"/>
          <w:bCs w:val="0"/>
        </w:rPr>
      </w:r>
      <w:r>
        <w:rPr>
          <w:rFonts w:ascii="Trebuchet MS" w:hAnsi="Trebuchet MS" w:cs="Trebuchet MS" w:eastAsia="Trebuchet MS" w:hint="default"/>
        </w:rPr>
        <w:t>5.12</w:t>
      </w:r>
      <w:r>
        <w:rPr>
          <w:rFonts w:ascii="Trebuchet MS" w:hAnsi="Trebuchet MS" w:cs="Trebuchet MS" w:eastAsia="Trebuchet MS" w:hint="default"/>
          <w:spacing w:val="4"/>
        </w:rPr>
        <w:t> </w:t>
      </w:r>
      <w:r>
        <w:rPr/>
        <w:t>重大诉讼、仲裁事项</w:t>
      </w:r>
      <w:r>
        <w:rPr>
          <w:b w:val="0"/>
          <w:bCs w:val="0"/>
        </w:rPr>
      </w:r>
    </w:p>
    <w:p>
      <w:pPr>
        <w:spacing w:before="182"/>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pStyle w:val="Heading1"/>
        <w:spacing w:line="240" w:lineRule="auto" w:before="75"/>
        <w:ind w:right="0"/>
        <w:jc w:val="left"/>
        <w:rPr>
          <w:b w:val="0"/>
          <w:bCs w:val="0"/>
        </w:rPr>
      </w:pPr>
      <w:bookmarkStart w:name="5.13 处罚及整改情况" w:id="128"/>
      <w:bookmarkEnd w:id="128"/>
      <w:r>
        <w:rPr>
          <w:b w:val="0"/>
          <w:bCs w:val="0"/>
        </w:rPr>
      </w:r>
      <w:bookmarkStart w:name="_bookmark42" w:id="129"/>
      <w:bookmarkEnd w:id="129"/>
      <w:r>
        <w:rPr>
          <w:b w:val="0"/>
          <w:bCs w:val="0"/>
        </w:rPr>
      </w:r>
      <w:r>
        <w:rPr>
          <w:rFonts w:ascii="Trebuchet MS" w:hAnsi="Trebuchet MS" w:cs="Trebuchet MS" w:eastAsia="Trebuchet MS" w:hint="default"/>
        </w:rPr>
        <w:t>5.13</w:t>
      </w:r>
      <w:r>
        <w:rPr>
          <w:rFonts w:ascii="Trebuchet MS" w:hAnsi="Trebuchet MS" w:cs="Trebuchet MS" w:eastAsia="Trebuchet MS" w:hint="default"/>
          <w:spacing w:val="4"/>
        </w:rPr>
        <w:t> </w:t>
      </w:r>
      <w:r>
        <w:rPr/>
        <w:t>处罚及整改情况</w:t>
      </w:r>
      <w:r>
        <w:rPr>
          <w:b w:val="0"/>
          <w:bCs w:val="0"/>
        </w:rPr>
      </w:r>
    </w:p>
    <w:p>
      <w:pPr>
        <w:spacing w:before="183"/>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pStyle w:val="BodyText"/>
        <w:spacing w:line="240" w:lineRule="auto" w:before="92"/>
        <w:ind w:left="573" w:right="0"/>
        <w:jc w:val="left"/>
      </w:pPr>
      <w:r>
        <w:rPr/>
        <w:t>公司报告期不存在处罚及整改情况。</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pStyle w:val="Heading1"/>
        <w:spacing w:line="240" w:lineRule="auto" w:before="24"/>
        <w:ind w:right="0"/>
        <w:jc w:val="left"/>
        <w:rPr>
          <w:b w:val="0"/>
          <w:bCs w:val="0"/>
        </w:rPr>
      </w:pPr>
      <w:bookmarkStart w:name="5.14 公司及其控股股东、实际控制人的诚信状况" w:id="130"/>
      <w:bookmarkEnd w:id="130"/>
      <w:r>
        <w:rPr>
          <w:b w:val="0"/>
          <w:bCs w:val="0"/>
        </w:rPr>
      </w:r>
      <w:bookmarkStart w:name="_bookmark43" w:id="131"/>
      <w:bookmarkEnd w:id="131"/>
      <w:r>
        <w:rPr>
          <w:b w:val="0"/>
          <w:bCs w:val="0"/>
        </w:rPr>
      </w:r>
      <w:r>
        <w:rPr>
          <w:rFonts w:ascii="Trebuchet MS" w:hAnsi="Trebuchet MS" w:cs="Trebuchet MS" w:eastAsia="Trebuchet MS" w:hint="default"/>
        </w:rPr>
        <w:t>5.14</w:t>
      </w:r>
      <w:r>
        <w:rPr>
          <w:rFonts w:ascii="Trebuchet MS" w:hAnsi="Trebuchet MS" w:cs="Trebuchet MS" w:eastAsia="Trebuchet MS" w:hint="default"/>
          <w:spacing w:val="4"/>
        </w:rPr>
        <w:t> </w:t>
      </w:r>
      <w:r>
        <w:rPr/>
        <w:t>公司及其控股股东、实际控制人的诚信状况</w:t>
      </w:r>
      <w:r>
        <w:rPr>
          <w:b w:val="0"/>
          <w:bCs w:val="0"/>
        </w:rPr>
      </w:r>
    </w:p>
    <w:p>
      <w:pPr>
        <w:spacing w:before="182"/>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pStyle w:val="BodyText"/>
        <w:spacing w:line="273" w:lineRule="auto" w:before="90"/>
        <w:ind w:right="0" w:firstLine="420"/>
        <w:jc w:val="left"/>
      </w:pPr>
      <w:r>
        <w:rPr>
          <w:spacing w:val="-1"/>
        </w:rPr>
        <w:t>报告期内，公司及其控股股东、实际控制人不存在未履行法院生效判决、所负数额较大的债务到期未</w:t>
      </w:r>
      <w:r>
        <w:rPr/>
        <w:t> 清偿等情况。</w:t>
      </w:r>
    </w:p>
    <w:p>
      <w:pPr>
        <w:pStyle w:val="Heading1"/>
        <w:spacing w:line="240" w:lineRule="auto" w:before="31"/>
        <w:ind w:right="0"/>
        <w:jc w:val="left"/>
        <w:rPr>
          <w:b w:val="0"/>
          <w:bCs w:val="0"/>
        </w:rPr>
      </w:pPr>
      <w:bookmarkStart w:name="5.15 公司股权激励计划、员工持股计划或其他员工激励措施的实施情况" w:id="132"/>
      <w:bookmarkEnd w:id="132"/>
      <w:r>
        <w:rPr>
          <w:b w:val="0"/>
          <w:bCs w:val="0"/>
        </w:rPr>
      </w:r>
      <w:bookmarkStart w:name="_bookmark44" w:id="133"/>
      <w:bookmarkEnd w:id="133"/>
      <w:r>
        <w:rPr>
          <w:b w:val="0"/>
          <w:bCs w:val="0"/>
        </w:rPr>
      </w:r>
      <w:r>
        <w:rPr>
          <w:rFonts w:ascii="Trebuchet MS" w:hAnsi="Trebuchet MS" w:cs="Trebuchet MS" w:eastAsia="Trebuchet MS" w:hint="default"/>
        </w:rPr>
        <w:t>5.15</w:t>
      </w:r>
      <w:r>
        <w:rPr>
          <w:rFonts w:ascii="Trebuchet MS" w:hAnsi="Trebuchet MS" w:cs="Trebuchet MS" w:eastAsia="Trebuchet MS" w:hint="default"/>
          <w:spacing w:val="4"/>
        </w:rPr>
        <w:t> </w:t>
      </w:r>
      <w:r>
        <w:rPr/>
        <w:t>公司股权激励计划、员工持股计划或其他员工激励措施的实施情况</w:t>
      </w:r>
      <w:r>
        <w:rPr>
          <w:b w:val="0"/>
          <w:bCs w:val="0"/>
        </w:rPr>
      </w:r>
    </w:p>
    <w:p>
      <w:pPr>
        <w:spacing w:before="182"/>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1"/>
          <w:szCs w:val="21"/>
        </w:rPr>
      </w:pPr>
    </w:p>
    <w:p>
      <w:pPr>
        <w:pStyle w:val="BodyText"/>
        <w:spacing w:line="240" w:lineRule="auto"/>
        <w:ind w:left="573" w:right="0"/>
        <w:jc w:val="left"/>
      </w:pPr>
      <w:r>
        <w:rPr>
          <w:rFonts w:ascii="Arial" w:hAnsi="Arial" w:cs="Arial" w:eastAsia="Arial" w:hint="default"/>
        </w:rPr>
        <w:t>1</w:t>
      </w:r>
      <w:r>
        <w:rPr/>
        <w:t>、《首期股票期权与限制性股票激励计划》的实施情况</w:t>
      </w:r>
    </w:p>
    <w:p>
      <w:pPr>
        <w:spacing w:line="240" w:lineRule="auto" w:before="6"/>
        <w:rPr>
          <w:rFonts w:ascii="宋体" w:hAnsi="宋体" w:cs="宋体" w:eastAsia="宋体" w:hint="default"/>
          <w:sz w:val="25"/>
          <w:szCs w:val="25"/>
        </w:rPr>
      </w:pPr>
    </w:p>
    <w:p>
      <w:pPr>
        <w:pStyle w:val="BodyText"/>
        <w:spacing w:line="391" w:lineRule="auto"/>
        <w:ind w:right="1022" w:firstLine="420"/>
        <w:jc w:val="left"/>
      </w:pPr>
      <w:r>
        <w:rPr>
          <w:rFonts w:ascii="Arial" w:hAnsi="Arial" w:cs="Arial" w:eastAsia="Arial" w:hint="default"/>
        </w:rPr>
        <w:t>2015</w:t>
      </w:r>
      <w:r>
        <w:rPr/>
        <w:t>年</w:t>
      </w:r>
      <w:r>
        <w:rPr>
          <w:rFonts w:ascii="Arial" w:hAnsi="Arial" w:cs="Arial" w:eastAsia="Arial" w:hint="default"/>
        </w:rPr>
        <w:t>1</w:t>
      </w:r>
      <w:r>
        <w:rPr/>
        <w:t>月</w:t>
      </w:r>
      <w:r>
        <w:rPr>
          <w:rFonts w:ascii="Arial" w:hAnsi="Arial" w:cs="Arial" w:eastAsia="Arial" w:hint="default"/>
        </w:rPr>
        <w:t>9</w:t>
      </w:r>
      <w:r>
        <w:rPr/>
        <w:t>日，公司分别召开第三届董事会第二十次（临时）会议和第三届监事会第十三次（临时） 会议，审议通过了《关于确认首期股票期权与限制性股票激励计划第二个行权</w:t>
      </w:r>
      <w:r>
        <w:rPr>
          <w:rFonts w:ascii="Arial" w:hAnsi="Arial" w:cs="Arial" w:eastAsia="Arial" w:hint="default"/>
        </w:rPr>
        <w:t>/</w:t>
      </w:r>
      <w:r>
        <w:rPr/>
        <w:t>解锁期失效及相关事项的</w:t>
      </w:r>
      <w:r>
        <w:rPr>
          <w:spacing w:val="19"/>
        </w:rPr>
        <w:t> </w:t>
      </w:r>
      <w:r>
        <w:rPr>
          <w:spacing w:val="19"/>
        </w:rPr>
      </w:r>
      <w:r>
        <w:rPr/>
        <w:t>议案》。</w:t>
      </w:r>
      <w:r>
        <w:rPr>
          <w:rFonts w:ascii="Arial" w:hAnsi="Arial" w:cs="Arial" w:eastAsia="Arial" w:hint="default"/>
        </w:rPr>
        <w:t>2015</w:t>
      </w:r>
      <w:r>
        <w:rPr/>
        <w:t>年</w:t>
      </w:r>
      <w:r>
        <w:rPr>
          <w:rFonts w:ascii="Arial" w:hAnsi="Arial" w:cs="Arial" w:eastAsia="Arial" w:hint="default"/>
        </w:rPr>
        <w:t>1</w:t>
      </w:r>
      <w:r>
        <w:rPr/>
        <w:t>月</w:t>
      </w:r>
      <w:r>
        <w:rPr>
          <w:rFonts w:ascii="Arial" w:hAnsi="Arial" w:cs="Arial" w:eastAsia="Arial" w:hint="default"/>
        </w:rPr>
        <w:t>26</w:t>
      </w:r>
      <w:r>
        <w:rPr/>
        <w:t>日，公司注销完成首期股票期权激励计划</w:t>
      </w:r>
      <w:r>
        <w:rPr>
          <w:rFonts w:ascii="Arial" w:hAnsi="Arial" w:cs="Arial" w:eastAsia="Arial" w:hint="default"/>
        </w:rPr>
        <w:t>5</w:t>
      </w:r>
      <w:r>
        <w:rPr/>
        <w:t>名离职激励对象已获授的股票期权</w:t>
      </w:r>
      <w:r>
        <w:rPr>
          <w:rFonts w:ascii="Arial" w:hAnsi="Arial" w:cs="Arial" w:eastAsia="Arial" w:hint="default"/>
        </w:rPr>
        <w:t>75.44</w:t>
      </w:r>
      <w:r>
        <w:rPr>
          <w:rFonts w:ascii="Arial" w:hAnsi="Arial" w:cs="Arial" w:eastAsia="Arial" w:hint="default"/>
          <w:w w:val="99"/>
        </w:rPr>
        <w:t> </w:t>
      </w:r>
      <w:r>
        <w:rPr>
          <w:spacing w:val="-2"/>
        </w:rPr>
        <w:t>万份和</w:t>
      </w:r>
      <w:r>
        <w:rPr>
          <w:rFonts w:ascii="Arial" w:hAnsi="Arial" w:cs="Arial" w:eastAsia="Arial" w:hint="default"/>
          <w:spacing w:val="-2"/>
        </w:rPr>
        <w:t>83</w:t>
      </w:r>
      <w:r>
        <w:rPr>
          <w:spacing w:val="-2"/>
        </w:rPr>
        <w:t>名在职激励对象不符合第二个行权期行权条件的股票期权</w:t>
      </w:r>
      <w:r>
        <w:rPr>
          <w:rFonts w:ascii="Arial" w:hAnsi="Arial" w:cs="Arial" w:eastAsia="Arial" w:hint="default"/>
          <w:spacing w:val="-2"/>
        </w:rPr>
        <w:t>403.962</w:t>
      </w:r>
      <w:r>
        <w:rPr>
          <w:spacing w:val="-2"/>
        </w:rPr>
        <w:t>万份，共计</w:t>
      </w:r>
      <w:r>
        <w:rPr>
          <w:rFonts w:ascii="Arial" w:hAnsi="Arial" w:cs="Arial" w:eastAsia="Arial" w:hint="default"/>
          <w:spacing w:val="-2"/>
        </w:rPr>
        <w:t>479.402</w:t>
      </w:r>
      <w:r>
        <w:rPr>
          <w:spacing w:val="-2"/>
        </w:rPr>
        <w:t>万份。具体</w:t>
      </w:r>
      <w:r>
        <w:rPr>
          <w:spacing w:val="-94"/>
        </w:rPr>
        <w:t> </w:t>
      </w:r>
      <w:r>
        <w:rPr>
          <w:spacing w:val="-94"/>
        </w:rPr>
      </w:r>
      <w:r>
        <w:rPr/>
        <w:t>内容详见公司分别在</w:t>
      </w:r>
      <w:r>
        <w:rPr>
          <w:rFonts w:ascii="Arial" w:hAnsi="Arial" w:cs="Arial" w:eastAsia="Arial" w:hint="default"/>
        </w:rPr>
        <w:t>2015</w:t>
      </w:r>
      <w:r>
        <w:rPr/>
        <w:t>年</w:t>
      </w:r>
      <w:r>
        <w:rPr>
          <w:rFonts w:ascii="Arial" w:hAnsi="Arial" w:cs="Arial" w:eastAsia="Arial" w:hint="default"/>
        </w:rPr>
        <w:t>1</w:t>
      </w:r>
      <w:r>
        <w:rPr/>
        <w:t>月</w:t>
      </w:r>
      <w:r>
        <w:rPr>
          <w:rFonts w:ascii="Arial" w:hAnsi="Arial" w:cs="Arial" w:eastAsia="Arial" w:hint="default"/>
        </w:rPr>
        <w:t>13</w:t>
      </w:r>
      <w:r>
        <w:rPr/>
        <w:t>日和</w:t>
      </w:r>
      <w:r>
        <w:rPr>
          <w:rFonts w:ascii="Arial" w:hAnsi="Arial" w:cs="Arial" w:eastAsia="Arial" w:hint="default"/>
        </w:rPr>
        <w:t>2015</w:t>
      </w:r>
      <w:r>
        <w:rPr/>
        <w:t>年</w:t>
      </w:r>
      <w:r>
        <w:rPr>
          <w:rFonts w:ascii="Arial" w:hAnsi="Arial" w:cs="Arial" w:eastAsia="Arial" w:hint="default"/>
        </w:rPr>
        <w:t>1</w:t>
      </w:r>
      <w:r>
        <w:rPr/>
        <w:t>月</w:t>
      </w:r>
      <w:r>
        <w:rPr>
          <w:rFonts w:ascii="Arial" w:hAnsi="Arial" w:cs="Arial" w:eastAsia="Arial" w:hint="default"/>
        </w:rPr>
        <w:t>27</w:t>
      </w:r>
      <w:r>
        <w:rPr/>
        <w:t>日刊登于《中国证券报》、《证券时报》及巨潮资讯</w:t>
      </w:r>
      <w:r>
        <w:rPr>
          <w:spacing w:val="-86"/>
        </w:rPr>
        <w:t> </w:t>
      </w:r>
      <w:r>
        <w:rPr>
          <w:spacing w:val="-86"/>
        </w:rPr>
      </w:r>
      <w:r>
        <w:rPr>
          <w:spacing w:val="-2"/>
        </w:rPr>
        <w:t>网（</w:t>
      </w:r>
      <w:hyperlink r:id="rId29">
        <w:r>
          <w:rPr>
            <w:rFonts w:ascii="Arial" w:hAnsi="Arial" w:cs="Arial" w:eastAsia="Arial" w:hint="default"/>
            <w:spacing w:val="-2"/>
          </w:rPr>
          <w:t>www.cninfo.com.cn</w:t>
        </w:r>
      </w:hyperlink>
      <w:r>
        <w:rPr>
          <w:spacing w:val="-2"/>
        </w:rPr>
        <w:t>）的《关于首期股票期权与限制性股票激励计划第二个行权</w:t>
      </w:r>
      <w:r>
        <w:rPr>
          <w:rFonts w:ascii="Arial" w:hAnsi="Arial" w:cs="Arial" w:eastAsia="Arial" w:hint="default"/>
          <w:spacing w:val="-2"/>
        </w:rPr>
        <w:t>/</w:t>
      </w:r>
      <w:r>
        <w:rPr>
          <w:spacing w:val="-2"/>
        </w:rPr>
        <w:t>解锁期失效及相关</w:t>
      </w:r>
      <w:r>
        <w:rPr>
          <w:spacing w:val="102"/>
        </w:rPr>
        <w:t> </w:t>
      </w:r>
      <w:r>
        <w:rPr/>
        <w:t>事项的公告》和《关于首期股票期权与限制性股票激励计划第二个行权期不符合行权条件的股票期权注销</w:t>
      </w:r>
      <w:r>
        <w:rPr/>
        <w:t> 完成的公告》。</w:t>
      </w:r>
    </w:p>
    <w:p>
      <w:pPr>
        <w:spacing w:line="240" w:lineRule="auto" w:before="8"/>
        <w:rPr>
          <w:rFonts w:ascii="宋体" w:hAnsi="宋体" w:cs="宋体" w:eastAsia="宋体" w:hint="default"/>
          <w:sz w:val="16"/>
          <w:szCs w:val="16"/>
        </w:rPr>
      </w:pPr>
    </w:p>
    <w:p>
      <w:pPr>
        <w:pStyle w:val="BodyText"/>
        <w:spacing w:line="388" w:lineRule="auto"/>
        <w:ind w:right="1129" w:firstLine="420"/>
        <w:jc w:val="both"/>
      </w:pPr>
      <w:r>
        <w:rPr>
          <w:rFonts w:ascii="Arial" w:hAnsi="Arial" w:cs="Arial" w:eastAsia="Arial" w:hint="default"/>
          <w:spacing w:val="-4"/>
        </w:rPr>
        <w:t>2015</w:t>
      </w:r>
      <w:r>
        <w:rPr>
          <w:spacing w:val="-4"/>
        </w:rPr>
        <w:t>年</w:t>
      </w:r>
      <w:r>
        <w:rPr>
          <w:rFonts w:ascii="Arial" w:hAnsi="Arial" w:cs="Arial" w:eastAsia="Arial" w:hint="default"/>
          <w:spacing w:val="-4"/>
        </w:rPr>
        <w:t>10</w:t>
      </w:r>
      <w:r>
        <w:rPr>
          <w:spacing w:val="-4"/>
        </w:rPr>
        <w:t>月</w:t>
      </w:r>
      <w:r>
        <w:rPr>
          <w:rFonts w:ascii="Arial" w:hAnsi="Arial" w:cs="Arial" w:eastAsia="Arial" w:hint="default"/>
          <w:spacing w:val="-4"/>
        </w:rPr>
        <w:t>23</w:t>
      </w:r>
      <w:r>
        <w:rPr>
          <w:spacing w:val="-4"/>
        </w:rPr>
        <w:t>日，公司分别召开第三届董事会第三十一次（临时）会议和第三届监事会第二十四次</w:t>
      </w:r>
      <w:r>
        <w:rPr>
          <w:rFonts w:ascii="Arial" w:hAnsi="Arial" w:cs="Arial" w:eastAsia="Arial" w:hint="default"/>
          <w:spacing w:val="-4"/>
        </w:rPr>
        <w:t>(</w:t>
      </w:r>
      <w:r>
        <w:rPr>
          <w:spacing w:val="-4"/>
        </w:rPr>
        <w:t>临</w:t>
      </w:r>
      <w:r>
        <w:rPr/>
        <w:t> 时</w:t>
      </w:r>
      <w:r>
        <w:rPr>
          <w:rFonts w:ascii="Arial" w:hAnsi="Arial" w:cs="Arial" w:eastAsia="Arial" w:hint="default"/>
        </w:rPr>
        <w:t>)</w:t>
      </w:r>
      <w:r>
        <w:rPr/>
        <w:t>会议，审议通过了《关于确认首期股票期权与限制性股票激励计划第三个行权</w:t>
      </w:r>
      <w:r>
        <w:rPr>
          <w:rFonts w:ascii="Arial" w:hAnsi="Arial" w:cs="Arial" w:eastAsia="Arial" w:hint="default"/>
        </w:rPr>
        <w:t>/</w:t>
      </w:r>
      <w:r>
        <w:rPr/>
        <w:t>解锁期失效及相关事项</w:t>
      </w:r>
      <w:r>
        <w:rPr>
          <w:spacing w:val="-47"/>
        </w:rPr>
        <w:t> </w:t>
      </w:r>
      <w:r>
        <w:rPr>
          <w:spacing w:val="-47"/>
        </w:rPr>
      </w:r>
      <w:r>
        <w:rPr/>
        <w:t>的议案》。</w:t>
      </w:r>
      <w:r>
        <w:rPr>
          <w:rFonts w:ascii="Arial" w:hAnsi="Arial" w:cs="Arial" w:eastAsia="Arial" w:hint="default"/>
        </w:rPr>
        <w:t>2015</w:t>
      </w:r>
      <w:r>
        <w:rPr/>
        <w:t>年</w:t>
      </w:r>
      <w:r>
        <w:rPr>
          <w:rFonts w:ascii="Arial" w:hAnsi="Arial" w:cs="Arial" w:eastAsia="Arial" w:hint="default"/>
        </w:rPr>
        <w:t>11</w:t>
      </w:r>
      <w:r>
        <w:rPr/>
        <w:t>月</w:t>
      </w:r>
      <w:r>
        <w:rPr>
          <w:rFonts w:ascii="Arial" w:hAnsi="Arial" w:cs="Arial" w:eastAsia="Arial" w:hint="default"/>
        </w:rPr>
        <w:t>17</w:t>
      </w:r>
      <w:r>
        <w:rPr/>
        <w:t>日，公司注销完成首期股票期权激励计划</w:t>
      </w:r>
      <w:r>
        <w:rPr>
          <w:rFonts w:ascii="Arial" w:hAnsi="Arial" w:cs="Arial" w:eastAsia="Arial" w:hint="default"/>
        </w:rPr>
        <w:t>83</w:t>
      </w:r>
      <w:r>
        <w:rPr/>
        <w:t>名激励对象不符合第三个行权期行</w:t>
      </w:r>
      <w:r>
        <w:rPr>
          <w:spacing w:val="-46"/>
        </w:rPr>
        <w:t> </w:t>
      </w:r>
      <w:r>
        <w:rPr>
          <w:spacing w:val="-46"/>
        </w:rPr>
      </w:r>
      <w:r>
        <w:rPr>
          <w:spacing w:val="-1"/>
        </w:rPr>
        <w:t>权条件的股票期权</w:t>
      </w:r>
      <w:r>
        <w:rPr>
          <w:rFonts w:ascii="Arial" w:hAnsi="Arial" w:cs="Arial" w:eastAsia="Arial" w:hint="default"/>
          <w:spacing w:val="-1"/>
        </w:rPr>
        <w:t>673.27</w:t>
      </w:r>
      <w:r>
        <w:rPr>
          <w:spacing w:val="-1"/>
        </w:rPr>
        <w:t>万份，本次股票期权注销完成后，公司首期股票期权激励计划授予的股票期权共</w:t>
      </w:r>
      <w:r>
        <w:rPr>
          <w:spacing w:val="-93"/>
        </w:rPr>
        <w:t> </w:t>
      </w:r>
      <w:r>
        <w:rPr>
          <w:spacing w:val="-93"/>
        </w:rPr>
      </w:r>
      <w:r>
        <w:rPr>
          <w:spacing w:val="-2"/>
        </w:rPr>
        <w:t>计</w:t>
      </w:r>
      <w:r>
        <w:rPr>
          <w:rFonts w:ascii="Arial" w:hAnsi="Arial" w:cs="Arial" w:eastAsia="Arial" w:hint="default"/>
          <w:spacing w:val="-2"/>
        </w:rPr>
        <w:t>2,510.5</w:t>
      </w:r>
      <w:r>
        <w:rPr>
          <w:spacing w:val="-2"/>
        </w:rPr>
        <w:t>万份已经全部办理注销登记。具体内容详见公司分别在</w:t>
      </w:r>
      <w:r>
        <w:rPr>
          <w:rFonts w:ascii="Arial" w:hAnsi="Arial" w:cs="Arial" w:eastAsia="Arial" w:hint="default"/>
          <w:spacing w:val="-2"/>
        </w:rPr>
        <w:t>2015</w:t>
      </w:r>
      <w:r>
        <w:rPr>
          <w:spacing w:val="-2"/>
        </w:rPr>
        <w:t>年</w:t>
      </w:r>
      <w:r>
        <w:rPr>
          <w:rFonts w:ascii="Arial" w:hAnsi="Arial" w:cs="Arial" w:eastAsia="Arial" w:hint="default"/>
          <w:spacing w:val="-2"/>
        </w:rPr>
        <w:t>10</w:t>
      </w:r>
      <w:r>
        <w:rPr>
          <w:spacing w:val="-2"/>
        </w:rPr>
        <w:t>月</w:t>
      </w:r>
      <w:r>
        <w:rPr>
          <w:rFonts w:ascii="Arial" w:hAnsi="Arial" w:cs="Arial" w:eastAsia="Arial" w:hint="default"/>
          <w:spacing w:val="-2"/>
        </w:rPr>
        <w:t>27</w:t>
      </w:r>
      <w:r>
        <w:rPr>
          <w:spacing w:val="-2"/>
        </w:rPr>
        <w:t>日和</w:t>
      </w:r>
      <w:r>
        <w:rPr>
          <w:rFonts w:ascii="Arial" w:hAnsi="Arial" w:cs="Arial" w:eastAsia="Arial" w:hint="default"/>
          <w:spacing w:val="-2"/>
        </w:rPr>
        <w:t>2015</w:t>
      </w:r>
      <w:r>
        <w:rPr>
          <w:spacing w:val="-2"/>
        </w:rPr>
        <w:t>年</w:t>
      </w:r>
      <w:r>
        <w:rPr>
          <w:rFonts w:ascii="Arial" w:hAnsi="Arial" w:cs="Arial" w:eastAsia="Arial" w:hint="default"/>
          <w:spacing w:val="-2"/>
        </w:rPr>
        <w:t>11</w:t>
      </w:r>
      <w:r>
        <w:rPr>
          <w:spacing w:val="-2"/>
        </w:rPr>
        <w:t>月</w:t>
      </w:r>
      <w:r>
        <w:rPr>
          <w:rFonts w:ascii="Arial" w:hAnsi="Arial" w:cs="Arial" w:eastAsia="Arial" w:hint="default"/>
          <w:spacing w:val="-2"/>
        </w:rPr>
        <w:t>18</w:t>
      </w:r>
      <w:r>
        <w:rPr>
          <w:spacing w:val="-2"/>
        </w:rPr>
        <w:t>日刊登</w:t>
      </w:r>
      <w:r>
        <w:rPr>
          <w:spacing w:val="-63"/>
        </w:rPr>
        <w:t> </w:t>
      </w:r>
      <w:r>
        <w:rPr/>
        <w:t>于《中国证券报》、《证券时报》及巨潮资讯网（</w:t>
      </w:r>
      <w:hyperlink r:id="rId29">
        <w:r>
          <w:rPr>
            <w:rFonts w:ascii="Arial" w:hAnsi="Arial" w:cs="Arial" w:eastAsia="Arial" w:hint="default"/>
          </w:rPr>
          <w:t>www.cninfo.com.cn</w:t>
        </w:r>
      </w:hyperlink>
      <w:r>
        <w:rPr/>
        <w:t>）的《关于首期股票期权与限制</w:t>
      </w:r>
      <w:r>
        <w:rPr>
          <w:spacing w:val="56"/>
        </w:rPr>
        <w:t> </w:t>
      </w:r>
      <w:r>
        <w:rPr>
          <w:spacing w:val="56"/>
        </w:rPr>
      </w:r>
      <w:r>
        <w:rPr/>
        <w:t>性股票激励计划第三个行权</w:t>
      </w:r>
      <w:r>
        <w:rPr>
          <w:rFonts w:ascii="Arial" w:hAnsi="Arial" w:cs="Arial" w:eastAsia="Arial" w:hint="default"/>
        </w:rPr>
        <w:t>/</w:t>
      </w:r>
      <w:r>
        <w:rPr/>
        <w:t>解锁期失效及相关事项的公告》和《关于首期股票期权与限制性股票激励计</w:t>
      </w:r>
      <w:r>
        <w:rPr>
          <w:spacing w:val="12"/>
        </w:rPr>
        <w:t> </w:t>
      </w:r>
      <w:r>
        <w:rPr>
          <w:spacing w:val="12"/>
        </w:rPr>
      </w:r>
      <w:r>
        <w:rPr/>
        <w:t>划第三个行权期不符合行权条件的股票期权注销完成的公告》。</w:t>
      </w:r>
    </w:p>
    <w:p>
      <w:pPr>
        <w:spacing w:line="240" w:lineRule="auto" w:before="10"/>
        <w:rPr>
          <w:rFonts w:ascii="宋体" w:hAnsi="宋体" w:cs="宋体" w:eastAsia="宋体" w:hint="default"/>
          <w:sz w:val="16"/>
          <w:szCs w:val="16"/>
        </w:rPr>
      </w:pPr>
    </w:p>
    <w:p>
      <w:pPr>
        <w:pStyle w:val="BodyText"/>
        <w:spacing w:line="398" w:lineRule="auto"/>
        <w:ind w:right="1024" w:firstLine="420"/>
        <w:jc w:val="left"/>
      </w:pPr>
      <w:r>
        <w:rPr>
          <w:rFonts w:ascii="Arial" w:hAnsi="Arial" w:cs="Arial" w:eastAsia="Arial" w:hint="default"/>
          <w:spacing w:val="-2"/>
          <w:w w:val="99"/>
        </w:rPr>
        <w:t>2016</w:t>
      </w:r>
      <w:r>
        <w:rPr>
          <w:spacing w:val="-2"/>
          <w:w w:val="99"/>
        </w:rPr>
        <w:t>年</w:t>
      </w:r>
      <w:r>
        <w:rPr>
          <w:rFonts w:ascii="Arial" w:hAnsi="Arial" w:cs="Arial" w:eastAsia="Arial" w:hint="default"/>
          <w:spacing w:val="-2"/>
          <w:w w:val="99"/>
        </w:rPr>
        <w:t>1</w:t>
      </w:r>
      <w:r>
        <w:rPr>
          <w:spacing w:val="-2"/>
          <w:w w:val="99"/>
        </w:rPr>
        <w:t>月</w:t>
      </w:r>
      <w:r>
        <w:rPr>
          <w:rFonts w:ascii="Arial" w:hAnsi="Arial" w:cs="Arial" w:eastAsia="Arial" w:hint="default"/>
          <w:spacing w:val="-2"/>
          <w:w w:val="99"/>
        </w:rPr>
        <w:t>26</w:t>
      </w:r>
      <w:r>
        <w:rPr>
          <w:spacing w:val="-2"/>
          <w:w w:val="99"/>
        </w:rPr>
        <w:t>日，公司完成了首期股票期权与限制性股票激励计划已授予的限制性股票共计</w:t>
      </w:r>
      <w:r>
        <w:rPr>
          <w:rFonts w:ascii="Arial" w:hAnsi="Arial" w:cs="Arial" w:eastAsia="Arial" w:hint="default"/>
          <w:spacing w:val="-2"/>
          <w:w w:val="99"/>
        </w:rPr>
        <w:t>1,250</w:t>
      </w:r>
      <w:r>
        <w:rPr>
          <w:spacing w:val="-2"/>
          <w:w w:val="99"/>
        </w:rPr>
        <w:t>万股</w:t>
      </w:r>
      <w:r>
        <w:rPr/>
        <w:t> </w:t>
      </w:r>
      <w:r>
        <w:rPr>
          <w:spacing w:val="-3"/>
        </w:rPr>
        <w:t>的回购注销工作。公司本次回购注销限制性股票完成后，公司首期股票期权与限制性股票激励计划已结束。</w:t>
      </w:r>
      <w:r>
        <w:rPr>
          <w:spacing w:val="-92"/>
        </w:rPr>
        <w:t> </w:t>
      </w:r>
      <w:r>
        <w:rPr>
          <w:spacing w:val="-92"/>
        </w:rPr>
      </w:r>
      <w:r>
        <w:rPr/>
        <w:t>具</w:t>
      </w:r>
      <w:r>
        <w:rPr>
          <w:spacing w:val="-67"/>
        </w:rPr>
        <w:t> </w:t>
      </w:r>
      <w:r>
        <w:rPr/>
        <w:t>体</w:t>
      </w:r>
      <w:r>
        <w:rPr>
          <w:spacing w:val="-67"/>
        </w:rPr>
        <w:t> </w:t>
      </w:r>
      <w:r>
        <w:rPr/>
        <w:t>内</w:t>
      </w:r>
      <w:r>
        <w:rPr>
          <w:spacing w:val="-67"/>
        </w:rPr>
        <w:t> </w:t>
      </w:r>
      <w:r>
        <w:rPr/>
        <w:t>容</w:t>
      </w:r>
      <w:r>
        <w:rPr>
          <w:spacing w:val="-66"/>
        </w:rPr>
        <w:t> </w:t>
      </w:r>
      <w:r>
        <w:rPr/>
        <w:t>详</w:t>
      </w:r>
      <w:r>
        <w:rPr>
          <w:spacing w:val="-67"/>
        </w:rPr>
        <w:t> </w:t>
      </w:r>
      <w:r>
        <w:rPr/>
        <w:t>见</w:t>
      </w:r>
      <w:r>
        <w:rPr>
          <w:spacing w:val="-67"/>
        </w:rPr>
        <w:t> </w:t>
      </w:r>
      <w:r>
        <w:rPr/>
        <w:t>公</w:t>
      </w:r>
      <w:r>
        <w:rPr>
          <w:spacing w:val="-67"/>
        </w:rPr>
        <w:t> </w:t>
      </w:r>
      <w:r>
        <w:rPr/>
        <w:t>司</w:t>
      </w:r>
      <w:r>
        <w:rPr>
          <w:spacing w:val="-66"/>
        </w:rPr>
        <w:t> </w:t>
      </w:r>
      <w:r>
        <w:rPr/>
        <w:t>在</w:t>
      </w:r>
      <w:r>
        <w:rPr>
          <w:spacing w:val="-65"/>
        </w:rPr>
        <w:t> </w:t>
      </w:r>
      <w:r>
        <w:rPr>
          <w:rFonts w:ascii="Arial" w:hAnsi="Arial" w:cs="Arial" w:eastAsia="Arial" w:hint="default"/>
        </w:rPr>
        <w:t>2016</w:t>
      </w:r>
      <w:r>
        <w:rPr>
          <w:rFonts w:ascii="Arial" w:hAnsi="Arial" w:cs="Arial" w:eastAsia="Arial" w:hint="default"/>
          <w:spacing w:val="-20"/>
        </w:rPr>
        <w:t> </w:t>
      </w:r>
      <w:r>
        <w:rPr/>
        <w:t>年</w:t>
      </w:r>
      <w:r>
        <w:rPr>
          <w:spacing w:val="-67"/>
        </w:rPr>
        <w:t> </w:t>
      </w:r>
      <w:r>
        <w:rPr>
          <w:rFonts w:ascii="Arial" w:hAnsi="Arial" w:cs="Arial" w:eastAsia="Arial" w:hint="default"/>
        </w:rPr>
        <w:t>1</w:t>
      </w:r>
      <w:r>
        <w:rPr>
          <w:rFonts w:ascii="Arial" w:hAnsi="Arial" w:cs="Arial" w:eastAsia="Arial" w:hint="default"/>
          <w:spacing w:val="-20"/>
        </w:rPr>
        <w:t> </w:t>
      </w:r>
      <w:r>
        <w:rPr/>
        <w:t>月</w:t>
      </w:r>
      <w:r>
        <w:rPr>
          <w:spacing w:val="-67"/>
        </w:rPr>
        <w:t> </w:t>
      </w:r>
      <w:r>
        <w:rPr>
          <w:rFonts w:ascii="Arial" w:hAnsi="Arial" w:cs="Arial" w:eastAsia="Arial" w:hint="default"/>
        </w:rPr>
        <w:t>27</w:t>
      </w:r>
      <w:r>
        <w:rPr>
          <w:rFonts w:ascii="Arial" w:hAnsi="Arial" w:cs="Arial" w:eastAsia="Arial" w:hint="default"/>
          <w:spacing w:val="-20"/>
        </w:rPr>
        <w:t> </w:t>
      </w:r>
      <w:r>
        <w:rPr/>
        <w:t>日</w:t>
      </w:r>
      <w:r>
        <w:rPr>
          <w:spacing w:val="-67"/>
        </w:rPr>
        <w:t> </w:t>
      </w:r>
      <w:r>
        <w:rPr/>
        <w:t>刊</w:t>
      </w:r>
      <w:r>
        <w:rPr>
          <w:spacing w:val="-66"/>
        </w:rPr>
        <w:t> </w:t>
      </w:r>
      <w:r>
        <w:rPr/>
        <w:t>登</w:t>
      </w:r>
      <w:r>
        <w:rPr>
          <w:spacing w:val="-67"/>
        </w:rPr>
        <w:t> </w:t>
      </w:r>
      <w:r>
        <w:rPr/>
        <w:t>于</w:t>
      </w:r>
      <w:r>
        <w:rPr>
          <w:spacing w:val="-67"/>
        </w:rPr>
        <w:t> </w:t>
      </w:r>
      <w:r>
        <w:rPr/>
        <w:t>《</w:t>
      </w:r>
      <w:r>
        <w:rPr>
          <w:spacing w:val="-67"/>
        </w:rPr>
        <w:t> </w:t>
      </w:r>
      <w:r>
        <w:rPr/>
        <w:t>中</w:t>
      </w:r>
      <w:r>
        <w:rPr>
          <w:spacing w:val="-66"/>
        </w:rPr>
        <w:t> </w:t>
      </w:r>
      <w:r>
        <w:rPr/>
        <w:t>国</w:t>
      </w:r>
      <w:r>
        <w:rPr>
          <w:spacing w:val="-67"/>
        </w:rPr>
        <w:t> </w:t>
      </w:r>
      <w:r>
        <w:rPr/>
        <w:t>证</w:t>
      </w:r>
      <w:r>
        <w:rPr>
          <w:spacing w:val="-67"/>
        </w:rPr>
        <w:t> </w:t>
      </w:r>
      <w:r>
        <w:rPr/>
        <w:t>券</w:t>
      </w:r>
      <w:r>
        <w:rPr>
          <w:spacing w:val="-67"/>
        </w:rPr>
        <w:t> </w:t>
      </w:r>
      <w:r>
        <w:rPr/>
        <w:t>报</w:t>
      </w:r>
      <w:r>
        <w:rPr>
          <w:spacing w:val="-66"/>
        </w:rPr>
        <w:t> </w:t>
      </w:r>
      <w:r>
        <w:rPr/>
        <w:t>》</w:t>
      </w:r>
      <w:r>
        <w:rPr>
          <w:spacing w:val="-67"/>
        </w:rPr>
        <w:t> </w:t>
      </w:r>
      <w:r>
        <w:rPr/>
        <w:t>、</w:t>
      </w:r>
      <w:r>
        <w:rPr>
          <w:spacing w:val="-67"/>
        </w:rPr>
        <w:t> </w:t>
      </w:r>
      <w:r>
        <w:rPr/>
        <w:t>《</w:t>
      </w:r>
      <w:r>
        <w:rPr>
          <w:spacing w:val="-67"/>
        </w:rPr>
        <w:t> </w:t>
      </w:r>
      <w:r>
        <w:rPr/>
        <w:t>证</w:t>
      </w:r>
      <w:r>
        <w:rPr>
          <w:spacing w:val="-66"/>
        </w:rPr>
        <w:t> </w:t>
      </w:r>
      <w:r>
        <w:rPr/>
        <w:t>券</w:t>
      </w:r>
      <w:r>
        <w:rPr>
          <w:spacing w:val="-67"/>
        </w:rPr>
        <w:t> </w:t>
      </w:r>
      <w:r>
        <w:rPr/>
        <w:t>时</w:t>
      </w:r>
      <w:r>
        <w:rPr>
          <w:spacing w:val="-67"/>
        </w:rPr>
        <w:t> </w:t>
      </w:r>
      <w:r>
        <w:rPr/>
        <w:t>报</w:t>
      </w:r>
      <w:r>
        <w:rPr>
          <w:spacing w:val="-67"/>
        </w:rPr>
        <w:t> </w:t>
      </w:r>
      <w:r>
        <w:rPr/>
        <w:t>》</w:t>
      </w:r>
      <w:r>
        <w:rPr>
          <w:spacing w:val="-66"/>
        </w:rPr>
        <w:t> </w:t>
      </w:r>
      <w:r>
        <w:rPr/>
        <w:t>及</w:t>
      </w:r>
      <w:r>
        <w:rPr>
          <w:spacing w:val="-67"/>
        </w:rPr>
        <w:t> </w:t>
      </w:r>
      <w:r>
        <w:rPr/>
        <w:t>巨</w:t>
      </w:r>
      <w:r>
        <w:rPr>
          <w:spacing w:val="-67"/>
        </w:rPr>
        <w:t> </w:t>
      </w:r>
      <w:r>
        <w:rPr/>
        <w:t>潮</w:t>
      </w:r>
      <w:r>
        <w:rPr>
          <w:spacing w:val="-67"/>
        </w:rPr>
        <w:t> </w:t>
      </w:r>
      <w:r>
        <w:rPr/>
        <w:t>资</w:t>
      </w:r>
      <w:r>
        <w:rPr>
          <w:spacing w:val="-66"/>
        </w:rPr>
        <w:t> </w:t>
      </w:r>
      <w:r>
        <w:rPr/>
        <w:t>讯</w:t>
      </w:r>
      <w:r>
        <w:rPr>
          <w:spacing w:val="-67"/>
        </w:rPr>
        <w:t> </w:t>
      </w:r>
      <w:r>
        <w:rPr/>
        <w:t>网</w:t>
      </w:r>
    </w:p>
    <w:p>
      <w:pPr>
        <w:pStyle w:val="BodyText"/>
        <w:spacing w:line="516" w:lineRule="auto" w:before="23"/>
        <w:ind w:left="573" w:right="4700" w:hanging="420"/>
        <w:jc w:val="left"/>
      </w:pPr>
      <w:r>
        <w:rPr>
          <w:spacing w:val="-1"/>
          <w:w w:val="105"/>
        </w:rPr>
        <w:t>（</w:t>
      </w:r>
      <w:hyperlink r:id="rId29">
        <w:r>
          <w:rPr>
            <w:rFonts w:ascii="Arial" w:hAnsi="Arial" w:cs="Arial" w:eastAsia="Arial" w:hint="default"/>
            <w:spacing w:val="-1"/>
            <w:w w:val="105"/>
          </w:rPr>
          <w:t>www.cninfo.com.cn</w:t>
        </w:r>
      </w:hyperlink>
      <w:r>
        <w:rPr>
          <w:spacing w:val="-1"/>
          <w:w w:val="105"/>
        </w:rPr>
        <w:t>）的《限制性股票回购注销完成公告》。</w:t>
      </w:r>
      <w:r>
        <w:rPr>
          <w:spacing w:val="-108"/>
          <w:w w:val="105"/>
        </w:rPr>
        <w:t> </w:t>
      </w:r>
      <w:r>
        <w:rPr>
          <w:rFonts w:ascii="Arial" w:hAnsi="Arial" w:cs="Arial" w:eastAsia="Arial" w:hint="default"/>
          <w:w w:val="105"/>
        </w:rPr>
        <w:t>2</w:t>
      </w:r>
      <w:r>
        <w:rPr>
          <w:w w:val="105"/>
        </w:rPr>
        <w:t>、《第二期股票期权激励计划》的实施情况</w:t>
      </w:r>
    </w:p>
    <w:p>
      <w:pPr>
        <w:spacing w:after="0" w:line="516"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391" w:lineRule="auto" w:before="18"/>
        <w:ind w:right="1130" w:firstLine="420"/>
        <w:jc w:val="both"/>
      </w:pPr>
      <w:r>
        <w:rPr>
          <w:rFonts w:ascii="Arial" w:hAnsi="Arial" w:cs="Arial" w:eastAsia="Arial" w:hint="default"/>
          <w:spacing w:val="-4"/>
        </w:rPr>
        <w:t>2015</w:t>
      </w:r>
      <w:r>
        <w:rPr>
          <w:spacing w:val="-4"/>
        </w:rPr>
        <w:t>年</w:t>
      </w:r>
      <w:r>
        <w:rPr>
          <w:rFonts w:ascii="Arial" w:hAnsi="Arial" w:cs="Arial" w:eastAsia="Arial" w:hint="default"/>
          <w:spacing w:val="-4"/>
        </w:rPr>
        <w:t>10</w:t>
      </w:r>
      <w:r>
        <w:rPr>
          <w:spacing w:val="-4"/>
        </w:rPr>
        <w:t>月</w:t>
      </w:r>
      <w:r>
        <w:rPr>
          <w:rFonts w:ascii="Arial" w:hAnsi="Arial" w:cs="Arial" w:eastAsia="Arial" w:hint="default"/>
          <w:spacing w:val="-4"/>
        </w:rPr>
        <w:t>23</w:t>
      </w:r>
      <w:r>
        <w:rPr>
          <w:spacing w:val="-4"/>
        </w:rPr>
        <w:t>日，公司分别召开第三届董事会第三十一次（临时）会议和第三届监事会第二十四次</w:t>
      </w:r>
      <w:r>
        <w:rPr>
          <w:rFonts w:ascii="Arial" w:hAnsi="Arial" w:cs="Arial" w:eastAsia="Arial" w:hint="default"/>
          <w:spacing w:val="-4"/>
        </w:rPr>
        <w:t>(</w:t>
      </w:r>
      <w:r>
        <w:rPr>
          <w:spacing w:val="-4"/>
        </w:rPr>
        <w:t>临</w:t>
      </w:r>
      <w:r>
        <w:rPr/>
        <w:t> </w:t>
      </w:r>
      <w:r>
        <w:rPr>
          <w:spacing w:val="-3"/>
        </w:rPr>
        <w:t>时</w:t>
      </w:r>
      <w:r>
        <w:rPr>
          <w:rFonts w:ascii="Arial" w:hAnsi="Arial" w:cs="Arial" w:eastAsia="Arial" w:hint="default"/>
          <w:spacing w:val="-3"/>
        </w:rPr>
        <w:t>)</w:t>
      </w:r>
      <w:r>
        <w:rPr>
          <w:spacing w:val="-3"/>
        </w:rPr>
        <w:t>会议，审议通过了《关于第二期股票期权激励计划第一个行权期结束拟注销失效股票期权暨确认第二个</w:t>
      </w:r>
      <w:r>
        <w:rPr>
          <w:spacing w:val="-58"/>
        </w:rPr>
        <w:t> </w:t>
      </w:r>
      <w:r>
        <w:rPr>
          <w:spacing w:val="-58"/>
        </w:rPr>
      </w:r>
      <w:r>
        <w:rPr/>
        <w:t>行权期失效及相关事项的议案》。</w:t>
      </w:r>
      <w:r>
        <w:rPr>
          <w:rFonts w:ascii="Arial" w:hAnsi="Arial" w:cs="Arial" w:eastAsia="Arial" w:hint="default"/>
        </w:rPr>
        <w:t>2015</w:t>
      </w:r>
      <w:r>
        <w:rPr/>
        <w:t>年</w:t>
      </w:r>
      <w:r>
        <w:rPr>
          <w:rFonts w:ascii="Arial" w:hAnsi="Arial" w:cs="Arial" w:eastAsia="Arial" w:hint="default"/>
        </w:rPr>
        <w:t>11</w:t>
      </w:r>
      <w:r>
        <w:rPr/>
        <w:t>月</w:t>
      </w:r>
      <w:r>
        <w:rPr>
          <w:rFonts w:ascii="Arial" w:hAnsi="Arial" w:cs="Arial" w:eastAsia="Arial" w:hint="default"/>
        </w:rPr>
        <w:t>24</w:t>
      </w:r>
      <w:r>
        <w:rPr/>
        <w:t>日，公司注销完成第二期股票期权激励计划第一个行权</w:t>
      </w:r>
      <w:r>
        <w:rPr>
          <w:spacing w:val="-27"/>
        </w:rPr>
        <w:t> </w:t>
      </w:r>
      <w:r>
        <w:rPr>
          <w:spacing w:val="-27"/>
        </w:rPr>
      </w:r>
      <w:r>
        <w:rPr/>
        <w:t>期过期未行权股票期权</w:t>
      </w:r>
      <w:r>
        <w:rPr>
          <w:rFonts w:ascii="Arial" w:hAnsi="Arial" w:cs="Arial" w:eastAsia="Arial" w:hint="default"/>
        </w:rPr>
        <w:t>53.3192</w:t>
      </w:r>
      <w:r>
        <w:rPr/>
        <w:t>万份，及第二个行权期已授予但不符合行权条件的</w:t>
      </w:r>
      <w:r>
        <w:rPr>
          <w:rFonts w:ascii="Arial" w:hAnsi="Arial" w:cs="Arial" w:eastAsia="Arial" w:hint="default"/>
        </w:rPr>
        <w:t>50%</w:t>
      </w:r>
      <w:r>
        <w:rPr/>
        <w:t>股票期权</w:t>
      </w:r>
      <w:r>
        <w:rPr>
          <w:rFonts w:ascii="Arial" w:hAnsi="Arial" w:cs="Arial" w:eastAsia="Arial" w:hint="default"/>
        </w:rPr>
        <w:t>998.0283</w:t>
      </w:r>
      <w:r>
        <w:rPr>
          <w:rFonts w:ascii="Arial" w:hAnsi="Arial" w:cs="Arial" w:eastAsia="Arial" w:hint="default"/>
          <w:spacing w:val="-39"/>
        </w:rPr>
        <w:t> </w:t>
      </w:r>
      <w:r>
        <w:rPr/>
        <w:t>万份，共计</w:t>
      </w:r>
      <w:r>
        <w:rPr>
          <w:rFonts w:ascii="Arial" w:hAnsi="Arial" w:cs="Arial" w:eastAsia="Arial" w:hint="default"/>
        </w:rPr>
        <w:t>1051.3475</w:t>
      </w:r>
      <w:r>
        <w:rPr/>
        <w:t>万份。具体内容详见公司分别在</w:t>
      </w:r>
      <w:r>
        <w:rPr>
          <w:rFonts w:ascii="Arial" w:hAnsi="Arial" w:cs="Arial" w:eastAsia="Arial" w:hint="default"/>
        </w:rPr>
        <w:t>2015</w:t>
      </w:r>
      <w:r>
        <w:rPr/>
        <w:t>年</w:t>
      </w:r>
      <w:r>
        <w:rPr>
          <w:rFonts w:ascii="Arial" w:hAnsi="Arial" w:cs="Arial" w:eastAsia="Arial" w:hint="default"/>
        </w:rPr>
        <w:t>10</w:t>
      </w:r>
      <w:r>
        <w:rPr/>
        <w:t>月</w:t>
      </w:r>
      <w:r>
        <w:rPr>
          <w:rFonts w:ascii="Arial" w:hAnsi="Arial" w:cs="Arial" w:eastAsia="Arial" w:hint="default"/>
        </w:rPr>
        <w:t>27</w:t>
      </w:r>
      <w:r>
        <w:rPr/>
        <w:t>日和</w:t>
      </w:r>
      <w:r>
        <w:rPr>
          <w:rFonts w:ascii="Arial" w:hAnsi="Arial" w:cs="Arial" w:eastAsia="Arial" w:hint="default"/>
        </w:rPr>
        <w:t>2015</w:t>
      </w:r>
      <w:r>
        <w:rPr/>
        <w:t>年</w:t>
      </w:r>
      <w:r>
        <w:rPr>
          <w:rFonts w:ascii="Arial" w:hAnsi="Arial" w:cs="Arial" w:eastAsia="Arial" w:hint="default"/>
        </w:rPr>
        <w:t>11</w:t>
      </w:r>
      <w:r>
        <w:rPr/>
        <w:t>月</w:t>
      </w:r>
      <w:r>
        <w:rPr>
          <w:rFonts w:ascii="Arial" w:hAnsi="Arial" w:cs="Arial" w:eastAsia="Arial" w:hint="default"/>
        </w:rPr>
        <w:t>25</w:t>
      </w:r>
      <w:r>
        <w:rPr/>
        <w:t>日刊登于《中国</w:t>
      </w:r>
      <w:r>
        <w:rPr>
          <w:spacing w:val="-59"/>
        </w:rPr>
        <w:t> </w:t>
      </w:r>
      <w:r>
        <w:rPr>
          <w:spacing w:val="-59"/>
        </w:rPr>
      </w:r>
      <w:r>
        <w:rPr/>
        <w:t>证券报》、《证券时报》及巨潮资讯网（</w:t>
      </w:r>
      <w:hyperlink r:id="rId29">
        <w:r>
          <w:rPr>
            <w:rFonts w:ascii="Arial" w:hAnsi="Arial" w:cs="Arial" w:eastAsia="Arial" w:hint="default"/>
          </w:rPr>
          <w:t>www.cninfo.com.cn</w:t>
        </w:r>
      </w:hyperlink>
      <w:r>
        <w:rPr/>
        <w:t>）的《第二期股票期权激励计划第一个行</w:t>
      </w:r>
      <w:r>
        <w:rPr>
          <w:spacing w:val="57"/>
        </w:rPr>
        <w:t> </w:t>
      </w:r>
      <w:r>
        <w:rPr>
          <w:spacing w:val="57"/>
        </w:rPr>
      </w:r>
      <w:r>
        <w:rPr>
          <w:spacing w:val="-1"/>
        </w:rPr>
        <w:t>权期结束拟注销失效股票期权暨确认第二个行权期失效及相关事项的公告》和《关于第二期股票期权激励</w:t>
      </w:r>
      <w:r>
        <w:rPr>
          <w:spacing w:val="-80"/>
        </w:rPr>
        <w:t> </w:t>
      </w:r>
      <w:r>
        <w:rPr>
          <w:spacing w:val="-80"/>
        </w:rPr>
      </w:r>
      <w:r>
        <w:rPr/>
        <w:t>计划第一个行权期失效股票期权及第二个行权期不符合行权条件的股票期权注销完成的公告》。</w:t>
      </w:r>
    </w:p>
    <w:p>
      <w:pPr>
        <w:spacing w:line="240" w:lineRule="auto" w:before="8"/>
        <w:rPr>
          <w:rFonts w:ascii="宋体" w:hAnsi="宋体" w:cs="宋体" w:eastAsia="宋体" w:hint="default"/>
          <w:sz w:val="16"/>
          <w:szCs w:val="16"/>
        </w:rPr>
      </w:pPr>
    </w:p>
    <w:p>
      <w:pPr>
        <w:pStyle w:val="BodyText"/>
        <w:spacing w:line="240" w:lineRule="auto"/>
        <w:ind w:left="573" w:right="0"/>
        <w:jc w:val="left"/>
      </w:pPr>
      <w:r>
        <w:rPr>
          <w:rFonts w:ascii="Arial" w:hAnsi="Arial" w:cs="Arial" w:eastAsia="Arial" w:hint="default"/>
        </w:rPr>
        <w:t>3</w:t>
      </w:r>
      <w:r>
        <w:rPr/>
        <w:t>、《第三期股票期权激励计划》的实施情况</w:t>
      </w:r>
    </w:p>
    <w:p>
      <w:pPr>
        <w:spacing w:line="240" w:lineRule="auto" w:before="7"/>
        <w:rPr>
          <w:rFonts w:ascii="宋体" w:hAnsi="宋体" w:cs="宋体" w:eastAsia="宋体" w:hint="default"/>
          <w:sz w:val="25"/>
          <w:szCs w:val="25"/>
        </w:rPr>
      </w:pPr>
    </w:p>
    <w:p>
      <w:pPr>
        <w:pStyle w:val="BodyText"/>
        <w:spacing w:line="393" w:lineRule="auto"/>
        <w:ind w:left="154" w:right="1131" w:firstLine="420"/>
        <w:jc w:val="both"/>
      </w:pPr>
      <w:r>
        <w:rPr>
          <w:rFonts w:ascii="Arial" w:hAnsi="Arial" w:cs="Arial" w:eastAsia="Arial" w:hint="default"/>
          <w:spacing w:val="-1"/>
        </w:rPr>
        <w:t>2014</w:t>
      </w:r>
      <w:r>
        <w:rPr>
          <w:spacing w:val="-1"/>
        </w:rPr>
        <w:t>年</w:t>
      </w:r>
      <w:r>
        <w:rPr>
          <w:rFonts w:ascii="Arial" w:hAnsi="Arial" w:cs="Arial" w:eastAsia="Arial" w:hint="default"/>
          <w:spacing w:val="-1"/>
        </w:rPr>
        <w:t>10</w:t>
      </w:r>
      <w:r>
        <w:rPr>
          <w:spacing w:val="-1"/>
        </w:rPr>
        <w:t>月</w:t>
      </w:r>
      <w:r>
        <w:rPr>
          <w:rFonts w:ascii="Arial" w:hAnsi="Arial" w:cs="Arial" w:eastAsia="Arial" w:hint="default"/>
          <w:spacing w:val="-1"/>
        </w:rPr>
        <w:t>9</w:t>
      </w:r>
      <w:r>
        <w:rPr>
          <w:spacing w:val="-1"/>
        </w:rPr>
        <w:t>日，公司</w:t>
      </w:r>
      <w:r>
        <w:rPr>
          <w:rFonts w:ascii="Arial" w:hAnsi="Arial" w:cs="Arial" w:eastAsia="Arial" w:hint="default"/>
          <w:spacing w:val="-1"/>
        </w:rPr>
        <w:t>2014</w:t>
      </w:r>
      <w:r>
        <w:rPr>
          <w:spacing w:val="-1"/>
        </w:rPr>
        <w:t>年第四次临时股东大会审议通过《深圳市爱施德股份有限公司第三期股票</w:t>
      </w:r>
      <w:r>
        <w:rPr/>
        <w:t> 期权激励计划（草案）》。</w:t>
      </w:r>
      <w:r>
        <w:rPr>
          <w:rFonts w:ascii="Arial" w:hAnsi="Arial" w:cs="Arial" w:eastAsia="Arial" w:hint="default"/>
        </w:rPr>
        <w:t>2014</w:t>
      </w:r>
      <w:r>
        <w:rPr/>
        <w:t>年</w:t>
      </w:r>
      <w:r>
        <w:rPr>
          <w:rFonts w:ascii="Arial" w:hAnsi="Arial" w:cs="Arial" w:eastAsia="Arial" w:hint="default"/>
        </w:rPr>
        <w:t>10</w:t>
      </w:r>
      <w:r>
        <w:rPr/>
        <w:t>月</w:t>
      </w:r>
      <w:r>
        <w:rPr>
          <w:rFonts w:ascii="Arial" w:hAnsi="Arial" w:cs="Arial" w:eastAsia="Arial" w:hint="default"/>
        </w:rPr>
        <w:t>24</w:t>
      </w:r>
      <w:r>
        <w:rPr/>
        <w:t>日，公司召开第三届董事会第十七次（临时）会议和第三届监</w:t>
      </w:r>
      <w:r>
        <w:rPr>
          <w:spacing w:val="-27"/>
        </w:rPr>
        <w:t> </w:t>
      </w:r>
      <w:r>
        <w:rPr>
          <w:spacing w:val="-27"/>
        </w:rPr>
      </w:r>
      <w:r>
        <w:rPr>
          <w:spacing w:val="-10"/>
        </w:rPr>
        <w:t>事会第十二次（临时）会议，审议通过了《关于向第三期股票期权激励计划激励对象授予股票期权的议案》，</w:t>
      </w:r>
      <w:r>
        <w:rPr>
          <w:spacing w:val="-69"/>
        </w:rPr>
        <w:t> </w:t>
      </w:r>
      <w:r>
        <w:rPr>
          <w:spacing w:val="-69"/>
        </w:rPr>
      </w:r>
      <w:r>
        <w:rPr/>
        <w:t>确定</w:t>
      </w:r>
      <w:r>
        <w:rPr>
          <w:rFonts w:ascii="Arial" w:hAnsi="Arial" w:cs="Arial" w:eastAsia="Arial" w:hint="default"/>
        </w:rPr>
        <w:t>2014</w:t>
      </w:r>
      <w:r>
        <w:rPr/>
        <w:t>年</w:t>
      </w:r>
      <w:r>
        <w:rPr>
          <w:rFonts w:ascii="Arial" w:hAnsi="Arial" w:cs="Arial" w:eastAsia="Arial" w:hint="default"/>
        </w:rPr>
        <w:t>10</w:t>
      </w:r>
      <w:r>
        <w:rPr/>
        <w:t>月</w:t>
      </w:r>
      <w:r>
        <w:rPr>
          <w:rFonts w:ascii="Arial" w:hAnsi="Arial" w:cs="Arial" w:eastAsia="Arial" w:hint="default"/>
        </w:rPr>
        <w:t>31</w:t>
      </w:r>
      <w:r>
        <w:rPr/>
        <w:t>日为授予日，向公司第三期股票期权激励计划所确定的激励对象授予股票期权。具体</w:t>
      </w:r>
    </w:p>
    <w:p>
      <w:pPr>
        <w:pStyle w:val="BodyText"/>
        <w:spacing w:line="398" w:lineRule="auto" w:before="28"/>
        <w:ind w:left="154" w:right="1013"/>
        <w:jc w:val="left"/>
      </w:pPr>
      <w:r>
        <w:rPr/>
        <w:t>内容详见公司在</w:t>
      </w:r>
      <w:r>
        <w:rPr>
          <w:rFonts w:ascii="Arial" w:hAnsi="Arial" w:cs="Arial" w:eastAsia="Arial" w:hint="default"/>
          <w:w w:val="99"/>
        </w:rPr>
        <w:t>2014</w:t>
      </w:r>
      <w:r>
        <w:rPr/>
        <w:t>年</w:t>
      </w:r>
      <w:r>
        <w:rPr>
          <w:rFonts w:ascii="Arial" w:hAnsi="Arial" w:cs="Arial" w:eastAsia="Arial" w:hint="default"/>
          <w:w w:val="99"/>
        </w:rPr>
        <w:t>10</w:t>
      </w:r>
      <w:r>
        <w:rPr/>
        <w:t>月</w:t>
      </w:r>
      <w:r>
        <w:rPr>
          <w:rFonts w:ascii="Arial" w:hAnsi="Arial" w:cs="Arial" w:eastAsia="Arial" w:hint="default"/>
          <w:w w:val="99"/>
        </w:rPr>
        <w:t>28</w:t>
      </w:r>
      <w:r>
        <w:rPr/>
        <w:t>日刊登</w:t>
      </w:r>
      <w:r>
        <w:rPr>
          <w:spacing w:val="-101"/>
        </w:rPr>
        <w:t>于</w:t>
      </w:r>
      <w:r>
        <w:rPr/>
        <w:t>《中国证券报</w:t>
      </w:r>
      <w:r>
        <w:rPr>
          <w:spacing w:val="-101"/>
        </w:rPr>
        <w:t>》</w:t>
      </w:r>
      <w:r>
        <w:rPr>
          <w:spacing w:val="-202"/>
        </w:rPr>
        <w:t>、</w:t>
      </w:r>
      <w:r>
        <w:rPr/>
        <w:t>《证券</w:t>
      </w:r>
      <w:r>
        <w:rPr>
          <w:spacing w:val="-2"/>
        </w:rPr>
        <w:t>时</w:t>
      </w:r>
      <w:r>
        <w:rPr/>
        <w:t>报</w:t>
      </w:r>
      <w:r>
        <w:rPr>
          <w:spacing w:val="-101"/>
        </w:rPr>
        <w:t>》</w:t>
      </w:r>
      <w:r>
        <w:rPr/>
        <w:t>及巨潮资讯</w:t>
      </w:r>
      <w:r>
        <w:rPr>
          <w:spacing w:val="-101"/>
        </w:rPr>
        <w:t>网</w:t>
      </w:r>
      <w:r>
        <w:rPr/>
        <w:t>（</w:t>
      </w:r>
      <w:hyperlink r:id="rId29">
        <w:r>
          <w:rPr>
            <w:rFonts w:ascii="Arial" w:hAnsi="Arial" w:cs="Arial" w:eastAsia="Arial" w:hint="default"/>
            <w:w w:val="115"/>
          </w:rPr>
          <w:t>w</w:t>
        </w:r>
        <w:r>
          <w:rPr>
            <w:rFonts w:ascii="Arial" w:hAnsi="Arial" w:cs="Arial" w:eastAsia="Arial" w:hint="default"/>
            <w:spacing w:val="-2"/>
            <w:w w:val="115"/>
          </w:rPr>
          <w:t>w</w:t>
        </w:r>
        <w:r>
          <w:rPr>
            <w:rFonts w:ascii="Arial" w:hAnsi="Arial" w:cs="Arial" w:eastAsia="Arial" w:hint="default"/>
            <w:w w:val="112"/>
          </w:rPr>
          <w:t>w.cninfo</w:t>
        </w:r>
        <w:r>
          <w:rPr>
            <w:rFonts w:ascii="Arial" w:hAnsi="Arial" w:cs="Arial" w:eastAsia="Arial" w:hint="default"/>
            <w:w w:val="118"/>
          </w:rPr>
          <w:t>.</w:t>
        </w:r>
        <w:r>
          <w:rPr>
            <w:rFonts w:ascii="Arial" w:hAnsi="Arial" w:cs="Arial" w:eastAsia="Arial" w:hint="default"/>
            <w:spacing w:val="-1"/>
            <w:w w:val="118"/>
          </w:rPr>
          <w:t>c</w:t>
        </w:r>
        <w:r>
          <w:rPr>
            <w:rFonts w:ascii="Arial" w:hAnsi="Arial" w:cs="Arial" w:eastAsia="Arial" w:hint="default"/>
            <w:w w:val="114"/>
          </w:rPr>
          <w:t>om.c</w:t>
        </w:r>
        <w:r>
          <w:rPr>
            <w:rFonts w:ascii="Arial" w:hAnsi="Arial" w:cs="Arial" w:eastAsia="Arial" w:hint="default"/>
            <w:spacing w:val="-1"/>
            <w:w w:val="114"/>
          </w:rPr>
          <w:t>n</w:t>
        </w:r>
      </w:hyperlink>
      <w:r>
        <w:rPr/>
        <w:t>） 的《关于向第三期股票期权激励计划激励对象授予股票期权的公告》。由于第三期股票期权激励计划正处 于等待期，本报告期内第三期股票期权激励计划无进一步实施情况。</w:t>
      </w:r>
    </w:p>
    <w:p>
      <w:pPr>
        <w:pStyle w:val="Heading1"/>
        <w:spacing w:line="495" w:lineRule="exact"/>
        <w:ind w:left="154" w:right="0"/>
        <w:jc w:val="left"/>
        <w:rPr>
          <w:b w:val="0"/>
          <w:bCs w:val="0"/>
        </w:rPr>
      </w:pPr>
      <w:bookmarkStart w:name="5.16 重大关联交易" w:id="134"/>
      <w:bookmarkEnd w:id="134"/>
      <w:r>
        <w:rPr>
          <w:b w:val="0"/>
          <w:bCs w:val="0"/>
        </w:rPr>
      </w:r>
      <w:bookmarkStart w:name="_bookmark45" w:id="135"/>
      <w:bookmarkEnd w:id="135"/>
      <w:r>
        <w:rPr>
          <w:b w:val="0"/>
          <w:bCs w:val="0"/>
        </w:rPr>
      </w:r>
      <w:r>
        <w:rPr>
          <w:rFonts w:ascii="Trebuchet MS" w:hAnsi="Trebuchet MS" w:cs="Trebuchet MS" w:eastAsia="Trebuchet MS" w:hint="default"/>
        </w:rPr>
        <w:t>5.16</w:t>
      </w:r>
      <w:r>
        <w:rPr>
          <w:rFonts w:ascii="Trebuchet MS" w:hAnsi="Trebuchet MS" w:cs="Trebuchet MS" w:eastAsia="Trebuchet MS" w:hint="default"/>
          <w:spacing w:val="4"/>
        </w:rPr>
        <w:t> </w:t>
      </w:r>
      <w:r>
        <w:rPr/>
        <w:t>重大关联交易</w:t>
      </w:r>
      <w:r>
        <w:rPr>
          <w:b w:val="0"/>
          <w:bCs w:val="0"/>
        </w:rPr>
      </w:r>
    </w:p>
    <w:p>
      <w:pPr>
        <w:spacing w:line="240" w:lineRule="auto" w:before="17"/>
        <w:rPr>
          <w:rFonts w:ascii="Microsoft JhengHei" w:hAnsi="Microsoft JhengHei" w:cs="Microsoft JhengHei" w:eastAsia="Microsoft JhengHei" w:hint="default"/>
          <w:b/>
          <w:bCs/>
          <w:sz w:val="26"/>
          <w:szCs w:val="26"/>
        </w:rPr>
      </w:pPr>
    </w:p>
    <w:p>
      <w:pPr>
        <w:pStyle w:val="Heading2"/>
        <w:spacing w:line="240" w:lineRule="auto"/>
        <w:ind w:left="154" w:right="0"/>
        <w:jc w:val="left"/>
        <w:rPr>
          <w:b w:val="0"/>
          <w:bCs w:val="0"/>
        </w:rPr>
      </w:pPr>
      <w:bookmarkStart w:name="5.16.1 与日常经营相关的关联交易" w:id="136"/>
      <w:bookmarkEnd w:id="136"/>
      <w:r>
        <w:rPr>
          <w:b w:val="0"/>
          <w:bCs w:val="0"/>
        </w:rPr>
      </w:r>
      <w:r>
        <w:rPr>
          <w:rFonts w:ascii="Trebuchet MS" w:hAnsi="Trebuchet MS" w:cs="Trebuchet MS" w:eastAsia="Trebuchet MS" w:hint="default"/>
        </w:rPr>
        <w:t>5.16.1</w:t>
      </w:r>
      <w:r>
        <w:rPr>
          <w:rFonts w:ascii="Trebuchet MS" w:hAnsi="Trebuchet MS" w:cs="Trebuchet MS" w:eastAsia="Trebuchet MS" w:hint="default"/>
          <w:spacing w:val="-26"/>
        </w:rPr>
        <w:t> </w:t>
      </w:r>
      <w:r>
        <w:rPr/>
        <w:t>与日常经营相关的关联交易</w:t>
      </w:r>
      <w:r>
        <w:rPr>
          <w:b w:val="0"/>
          <w:bCs w:val="0"/>
        </w:rPr>
      </w:r>
    </w:p>
    <w:p>
      <w:pPr>
        <w:spacing w:line="240" w:lineRule="auto" w:before="9"/>
        <w:rPr>
          <w:rFonts w:ascii="Microsoft JhengHei" w:hAnsi="Microsoft JhengHei" w:cs="Microsoft JhengHei" w:eastAsia="Microsoft JhengHei"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780"/>
        <w:gridCol w:w="691"/>
        <w:gridCol w:w="663"/>
        <w:gridCol w:w="712"/>
        <w:gridCol w:w="680"/>
        <w:gridCol w:w="689"/>
        <w:gridCol w:w="660"/>
        <w:gridCol w:w="674"/>
        <w:gridCol w:w="674"/>
        <w:gridCol w:w="681"/>
        <w:gridCol w:w="667"/>
        <w:gridCol w:w="688"/>
        <w:gridCol w:w="649"/>
        <w:gridCol w:w="635"/>
      </w:tblGrid>
      <w:tr>
        <w:trPr>
          <w:trHeight w:val="161" w:hRule="exact"/>
        </w:trPr>
        <w:tc>
          <w:tcPr>
            <w:tcW w:w="2846" w:type="dxa"/>
            <w:gridSpan w:val="4"/>
            <w:vMerge w:val="restart"/>
            <w:tcBorders>
              <w:top w:val="single" w:sz="4" w:space="0" w:color="5B9BD4"/>
              <w:left w:val="nil" w:sz="6" w:space="0" w:color="auto"/>
              <w:right w:val="nil" w:sz="6" w:space="0" w:color="auto"/>
            </w:tcBorders>
            <w:shd w:val="clear" w:color="auto" w:fill="DEEAF6"/>
          </w:tcPr>
          <w:p>
            <w:pPr/>
          </w:p>
        </w:tc>
        <w:tc>
          <w:tcPr>
            <w:tcW w:w="680" w:type="dxa"/>
            <w:tcBorders>
              <w:top w:val="single" w:sz="4" w:space="0" w:color="5B9BD4"/>
              <w:left w:val="nil" w:sz="6" w:space="0" w:color="auto"/>
              <w:bottom w:val="nil" w:sz="6" w:space="0" w:color="auto"/>
              <w:right w:val="nil" w:sz="6" w:space="0" w:color="auto"/>
            </w:tcBorders>
            <w:shd w:val="clear" w:color="auto" w:fill="DEEAF6"/>
          </w:tcPr>
          <w:p>
            <w:pPr/>
          </w:p>
        </w:tc>
        <w:tc>
          <w:tcPr>
            <w:tcW w:w="689" w:type="dxa"/>
            <w:vMerge w:val="restart"/>
            <w:tcBorders>
              <w:top w:val="single" w:sz="4" w:space="0" w:color="5B9BD4"/>
              <w:left w:val="nil" w:sz="6" w:space="0" w:color="auto"/>
              <w:right w:val="nil" w:sz="6" w:space="0" w:color="auto"/>
            </w:tcBorders>
            <w:shd w:val="clear" w:color="auto" w:fill="DEEAF6"/>
          </w:tcPr>
          <w:p>
            <w:pPr/>
          </w:p>
        </w:tc>
        <w:tc>
          <w:tcPr>
            <w:tcW w:w="660"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6"/>
              <w:ind w:left="52" w:right="65"/>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42" w:right="155"/>
              <w:jc w:val="left"/>
              <w:rPr>
                <w:rFonts w:ascii="宋体" w:hAnsi="宋体" w:cs="宋体" w:eastAsia="宋体" w:hint="default"/>
                <w:sz w:val="18"/>
                <w:szCs w:val="18"/>
              </w:rPr>
            </w:pPr>
            <w:r>
              <w:rPr>
                <w:rFonts w:ascii="宋体" w:hAnsi="宋体" w:cs="宋体" w:eastAsia="宋体" w:hint="default"/>
                <w:sz w:val="18"/>
                <w:szCs w:val="18"/>
              </w:rPr>
              <w:t>（万 元）</w:t>
            </w:r>
          </w:p>
        </w:tc>
        <w:tc>
          <w:tcPr>
            <w:tcW w:w="674"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6"/>
              <w:ind w:left="66" w:right="65"/>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6"/>
              <w:ind w:left="66" w:right="65"/>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1349" w:type="dxa"/>
            <w:gridSpan w:val="2"/>
            <w:tcBorders>
              <w:top w:val="single" w:sz="4" w:space="0" w:color="5B9BD4"/>
              <w:left w:val="nil" w:sz="6" w:space="0" w:color="auto"/>
              <w:bottom w:val="nil" w:sz="6" w:space="0" w:color="auto"/>
              <w:right w:val="nil" w:sz="6" w:space="0" w:color="auto"/>
            </w:tcBorders>
            <w:shd w:val="clear" w:color="auto" w:fill="DEEAF6"/>
          </w:tcPr>
          <w:p>
            <w:pPr/>
          </w:p>
        </w:tc>
        <w:tc>
          <w:tcPr>
            <w:tcW w:w="688"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6"/>
              <w:ind w:left="66" w:right="80"/>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1284" w:type="dxa"/>
            <w:gridSpan w:val="2"/>
            <w:vMerge w:val="restart"/>
            <w:tcBorders>
              <w:top w:val="single" w:sz="4" w:space="0" w:color="5B9BD4"/>
              <w:left w:val="nil" w:sz="6" w:space="0" w:color="auto"/>
              <w:right w:val="nil" w:sz="6" w:space="0" w:color="auto"/>
            </w:tcBorders>
            <w:shd w:val="clear" w:color="auto" w:fill="DEEAF6"/>
          </w:tcPr>
          <w:p>
            <w:pPr/>
          </w:p>
        </w:tc>
      </w:tr>
      <w:tr>
        <w:trPr>
          <w:trHeight w:val="156" w:hRule="exact"/>
        </w:trPr>
        <w:tc>
          <w:tcPr>
            <w:tcW w:w="2846" w:type="dxa"/>
            <w:gridSpan w:val="4"/>
            <w:vMerge/>
            <w:tcBorders>
              <w:left w:val="nil" w:sz="6" w:space="0" w:color="auto"/>
              <w:bottom w:val="nil" w:sz="6" w:space="0" w:color="auto"/>
              <w:right w:val="nil" w:sz="6" w:space="0" w:color="auto"/>
            </w:tcBorders>
            <w:shd w:val="clear" w:color="auto" w:fill="DEEAF6"/>
          </w:tcPr>
          <w:p>
            <w:pPr/>
          </w:p>
        </w:tc>
        <w:tc>
          <w:tcPr>
            <w:tcW w:w="680"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70" w:right="67"/>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89" w:type="dxa"/>
            <w:vMerge/>
            <w:tcBorders>
              <w:left w:val="nil" w:sz="6" w:space="0" w:color="auto"/>
              <w:bottom w:val="nil" w:sz="6" w:space="0" w:color="auto"/>
              <w:right w:val="nil" w:sz="6" w:space="0" w:color="auto"/>
            </w:tcBorders>
            <w:shd w:val="clear" w:color="auto" w:fill="DEEAF6"/>
          </w:tcPr>
          <w:p>
            <w:pPr/>
          </w:p>
        </w:tc>
        <w:tc>
          <w:tcPr>
            <w:tcW w:w="660" w:type="dxa"/>
            <w:vMerge/>
            <w:tcBorders>
              <w:left w:val="nil" w:sz="6" w:space="0" w:color="auto"/>
              <w:right w:val="nil" w:sz="6" w:space="0" w:color="auto"/>
            </w:tcBorders>
            <w:shd w:val="clear" w:color="auto" w:fill="DEEAF6"/>
          </w:tcPr>
          <w:p>
            <w:pPr/>
          </w:p>
        </w:tc>
        <w:tc>
          <w:tcPr>
            <w:tcW w:w="674" w:type="dxa"/>
            <w:vMerge/>
            <w:tcBorders>
              <w:left w:val="nil" w:sz="6" w:space="0" w:color="auto"/>
              <w:right w:val="nil" w:sz="6" w:space="0" w:color="auto"/>
            </w:tcBorders>
            <w:shd w:val="clear" w:color="auto" w:fill="DEEAF6"/>
          </w:tcPr>
          <w:p>
            <w:pPr/>
          </w:p>
        </w:tc>
        <w:tc>
          <w:tcPr>
            <w:tcW w:w="674" w:type="dxa"/>
            <w:vMerge/>
            <w:tcBorders>
              <w:left w:val="nil" w:sz="6" w:space="0" w:color="auto"/>
              <w:right w:val="nil" w:sz="6" w:space="0" w:color="auto"/>
            </w:tcBorders>
            <w:shd w:val="clear" w:color="auto" w:fill="DEEAF6"/>
          </w:tcPr>
          <w:p>
            <w:pPr/>
          </w:p>
        </w:tc>
        <w:tc>
          <w:tcPr>
            <w:tcW w:w="681"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66" w:right="72"/>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67"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59" w:right="65"/>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88" w:type="dxa"/>
            <w:vMerge/>
            <w:tcBorders>
              <w:left w:val="nil" w:sz="6" w:space="0" w:color="auto"/>
              <w:right w:val="nil" w:sz="6" w:space="0" w:color="auto"/>
            </w:tcBorders>
            <w:shd w:val="clear" w:color="auto" w:fill="DEEAF6"/>
          </w:tcPr>
          <w:p>
            <w:pPr/>
          </w:p>
        </w:tc>
        <w:tc>
          <w:tcPr>
            <w:tcW w:w="1284" w:type="dxa"/>
            <w:gridSpan w:val="2"/>
            <w:vMerge/>
            <w:tcBorders>
              <w:left w:val="nil" w:sz="6" w:space="0" w:color="auto"/>
              <w:bottom w:val="nil" w:sz="6" w:space="0" w:color="auto"/>
              <w:right w:val="nil" w:sz="6" w:space="0" w:color="auto"/>
            </w:tcBorders>
            <w:shd w:val="clear" w:color="auto" w:fill="DEEAF6"/>
          </w:tcPr>
          <w:p>
            <w:pPr/>
          </w:p>
        </w:tc>
      </w:tr>
      <w:tr>
        <w:trPr>
          <w:trHeight w:val="704" w:hRule="exact"/>
        </w:trPr>
        <w:tc>
          <w:tcPr>
            <w:tcW w:w="780" w:type="dxa"/>
            <w:tcBorders>
              <w:top w:val="nil" w:sz="6" w:space="0" w:color="auto"/>
              <w:left w:val="nil" w:sz="6" w:space="0" w:color="auto"/>
              <w:bottom w:val="nil" w:sz="6" w:space="0" w:color="auto"/>
              <w:right w:val="nil" w:sz="6" w:space="0" w:color="auto"/>
            </w:tcBorders>
            <w:shd w:val="clear" w:color="auto" w:fill="DEEAF6"/>
          </w:tcPr>
          <w:p>
            <w:pPr>
              <w:pStyle w:val="TableParagraph"/>
              <w:spacing w:line="316" w:lineRule="auto" w:before="46"/>
              <w:ind w:left="295" w:right="31"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91" w:type="dxa"/>
            <w:tcBorders>
              <w:top w:val="nil" w:sz="6" w:space="0" w:color="auto"/>
              <w:left w:val="nil" w:sz="6" w:space="0" w:color="auto"/>
              <w:bottom w:val="nil" w:sz="6" w:space="0" w:color="auto"/>
              <w:right w:val="nil" w:sz="6" w:space="0" w:color="auto"/>
            </w:tcBorders>
            <w:shd w:val="clear" w:color="auto" w:fill="DEEAF6"/>
          </w:tcPr>
          <w:p>
            <w:pPr>
              <w:pStyle w:val="TableParagraph"/>
              <w:spacing w:line="316" w:lineRule="auto" w:before="46"/>
              <w:ind w:left="255" w:right="74"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63" w:type="dxa"/>
            <w:tcBorders>
              <w:top w:val="nil" w:sz="6" w:space="0" w:color="auto"/>
              <w:left w:val="nil" w:sz="6" w:space="0" w:color="auto"/>
              <w:bottom w:val="nil" w:sz="6" w:space="0" w:color="auto"/>
              <w:right w:val="nil" w:sz="6" w:space="0" w:color="auto"/>
            </w:tcBorders>
            <w:shd w:val="clear" w:color="auto" w:fill="DEEAF6"/>
          </w:tcPr>
          <w:p>
            <w:pPr>
              <w:pStyle w:val="TableParagraph"/>
              <w:spacing w:line="316" w:lineRule="auto" w:before="46"/>
              <w:ind w:left="61" w:right="59"/>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12" w:type="dxa"/>
            <w:tcBorders>
              <w:top w:val="nil" w:sz="6" w:space="0" w:color="auto"/>
              <w:left w:val="nil" w:sz="6" w:space="0" w:color="auto"/>
              <w:bottom w:val="nil" w:sz="6" w:space="0" w:color="auto"/>
              <w:right w:val="nil" w:sz="6" w:space="0" w:color="auto"/>
            </w:tcBorders>
            <w:shd w:val="clear" w:color="auto" w:fill="DEEAF6"/>
          </w:tcPr>
          <w:p>
            <w:pPr>
              <w:pStyle w:val="TableParagraph"/>
              <w:spacing w:line="316" w:lineRule="auto" w:before="46"/>
              <w:ind w:left="88" w:right="81"/>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0" w:type="dxa"/>
            <w:vMerge/>
            <w:tcBorders>
              <w:left w:val="nil" w:sz="6" w:space="0" w:color="auto"/>
              <w:right w:val="nil" w:sz="6" w:space="0" w:color="auto"/>
            </w:tcBorders>
            <w:shd w:val="clear" w:color="auto" w:fill="DEEAF6"/>
          </w:tcPr>
          <w:p>
            <w:pPr/>
          </w:p>
        </w:tc>
        <w:tc>
          <w:tcPr>
            <w:tcW w:w="689" w:type="dxa"/>
            <w:tcBorders>
              <w:top w:val="nil" w:sz="6" w:space="0" w:color="auto"/>
              <w:left w:val="nil" w:sz="6" w:space="0" w:color="auto"/>
              <w:bottom w:val="nil" w:sz="6" w:space="0" w:color="auto"/>
              <w:right w:val="nil" w:sz="6" w:space="0" w:color="auto"/>
            </w:tcBorders>
            <w:shd w:val="clear" w:color="auto" w:fill="DEEAF6"/>
          </w:tcPr>
          <w:p>
            <w:pPr>
              <w:pStyle w:val="TableParagraph"/>
              <w:spacing w:line="316" w:lineRule="auto" w:before="46"/>
              <w:ind w:left="66" w:right="8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60" w:type="dxa"/>
            <w:vMerge/>
            <w:tcBorders>
              <w:left w:val="nil" w:sz="6" w:space="0" w:color="auto"/>
              <w:right w:val="nil" w:sz="6" w:space="0" w:color="auto"/>
            </w:tcBorders>
            <w:shd w:val="clear" w:color="auto" w:fill="DEEAF6"/>
          </w:tcPr>
          <w:p>
            <w:pPr/>
          </w:p>
        </w:tc>
        <w:tc>
          <w:tcPr>
            <w:tcW w:w="674" w:type="dxa"/>
            <w:vMerge/>
            <w:tcBorders>
              <w:left w:val="nil" w:sz="6" w:space="0" w:color="auto"/>
              <w:right w:val="nil" w:sz="6" w:space="0" w:color="auto"/>
            </w:tcBorders>
            <w:shd w:val="clear" w:color="auto" w:fill="DEEAF6"/>
          </w:tcPr>
          <w:p>
            <w:pPr/>
          </w:p>
        </w:tc>
        <w:tc>
          <w:tcPr>
            <w:tcW w:w="674" w:type="dxa"/>
            <w:vMerge/>
            <w:tcBorders>
              <w:left w:val="nil" w:sz="6" w:space="0" w:color="auto"/>
              <w:right w:val="nil" w:sz="6" w:space="0" w:color="auto"/>
            </w:tcBorders>
            <w:shd w:val="clear" w:color="auto" w:fill="DEEAF6"/>
          </w:tcPr>
          <w:p>
            <w:pPr/>
          </w:p>
        </w:tc>
        <w:tc>
          <w:tcPr>
            <w:tcW w:w="681" w:type="dxa"/>
            <w:vMerge/>
            <w:tcBorders>
              <w:left w:val="nil" w:sz="6" w:space="0" w:color="auto"/>
              <w:right w:val="nil" w:sz="6" w:space="0" w:color="auto"/>
            </w:tcBorders>
            <w:shd w:val="clear" w:color="auto" w:fill="DEEAF6"/>
          </w:tcPr>
          <w:p>
            <w:pPr/>
          </w:p>
        </w:tc>
        <w:tc>
          <w:tcPr>
            <w:tcW w:w="667" w:type="dxa"/>
            <w:vMerge/>
            <w:tcBorders>
              <w:left w:val="nil" w:sz="6" w:space="0" w:color="auto"/>
              <w:right w:val="nil" w:sz="6" w:space="0" w:color="auto"/>
            </w:tcBorders>
            <w:shd w:val="clear" w:color="auto" w:fill="DEEAF6"/>
          </w:tcPr>
          <w:p>
            <w:pPr/>
          </w:p>
        </w:tc>
        <w:tc>
          <w:tcPr>
            <w:tcW w:w="688" w:type="dxa"/>
            <w:vMerge/>
            <w:tcBorders>
              <w:left w:val="nil" w:sz="6" w:space="0" w:color="auto"/>
              <w:right w:val="nil" w:sz="6" w:space="0" w:color="auto"/>
            </w:tcBorders>
            <w:shd w:val="clear" w:color="auto" w:fill="DEEAF6"/>
          </w:tcPr>
          <w:p>
            <w:pPr/>
          </w:p>
        </w:tc>
        <w:tc>
          <w:tcPr>
            <w:tcW w:w="649" w:type="dxa"/>
            <w:tcBorders>
              <w:top w:val="nil" w:sz="6" w:space="0" w:color="auto"/>
              <w:left w:val="nil" w:sz="6" w:space="0" w:color="auto"/>
              <w:bottom w:val="nil" w:sz="6" w:space="0" w:color="auto"/>
              <w:right w:val="nil" w:sz="6" w:space="0" w:color="auto"/>
            </w:tcBorders>
            <w:shd w:val="clear" w:color="auto" w:fill="DEEAF6"/>
          </w:tcPr>
          <w:p>
            <w:pPr>
              <w:pStyle w:val="TableParagraph"/>
              <w:spacing w:line="316" w:lineRule="auto" w:before="46"/>
              <w:ind w:left="231" w:right="5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5" w:type="dxa"/>
            <w:tcBorders>
              <w:top w:val="nil" w:sz="6" w:space="0" w:color="auto"/>
              <w:left w:val="nil" w:sz="6" w:space="0" w:color="auto"/>
              <w:bottom w:val="nil" w:sz="6" w:space="0" w:color="auto"/>
              <w:right w:val="nil" w:sz="6" w:space="0" w:color="auto"/>
            </w:tcBorders>
            <w:shd w:val="clear" w:color="auto" w:fill="DEEAF6"/>
          </w:tcPr>
          <w:p>
            <w:pPr>
              <w:pStyle w:val="TableParagraph"/>
              <w:spacing w:line="316" w:lineRule="auto" w:before="46"/>
              <w:ind w:left="237" w:right="35"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56" w:hRule="exact"/>
        </w:trPr>
        <w:tc>
          <w:tcPr>
            <w:tcW w:w="2846" w:type="dxa"/>
            <w:gridSpan w:val="4"/>
            <w:vMerge w:val="restart"/>
            <w:tcBorders>
              <w:top w:val="nil" w:sz="6" w:space="0" w:color="auto"/>
              <w:left w:val="nil" w:sz="6" w:space="0" w:color="auto"/>
              <w:right w:val="nil" w:sz="6" w:space="0" w:color="auto"/>
            </w:tcBorders>
            <w:shd w:val="clear" w:color="auto" w:fill="DEEAF6"/>
          </w:tcPr>
          <w:p>
            <w:pPr/>
          </w:p>
        </w:tc>
        <w:tc>
          <w:tcPr>
            <w:tcW w:w="680" w:type="dxa"/>
            <w:vMerge/>
            <w:tcBorders>
              <w:left w:val="nil" w:sz="6" w:space="0" w:color="auto"/>
              <w:bottom w:val="nil" w:sz="6" w:space="0" w:color="auto"/>
              <w:right w:val="nil" w:sz="6" w:space="0" w:color="auto"/>
            </w:tcBorders>
            <w:shd w:val="clear" w:color="auto" w:fill="DEEAF6"/>
          </w:tcPr>
          <w:p>
            <w:pPr/>
          </w:p>
        </w:tc>
        <w:tc>
          <w:tcPr>
            <w:tcW w:w="689" w:type="dxa"/>
            <w:vMerge w:val="restart"/>
            <w:tcBorders>
              <w:top w:val="nil" w:sz="6" w:space="0" w:color="auto"/>
              <w:left w:val="nil" w:sz="6" w:space="0" w:color="auto"/>
              <w:right w:val="nil" w:sz="6" w:space="0" w:color="auto"/>
            </w:tcBorders>
            <w:shd w:val="clear" w:color="auto" w:fill="DEEAF6"/>
          </w:tcPr>
          <w:p>
            <w:pPr/>
          </w:p>
        </w:tc>
        <w:tc>
          <w:tcPr>
            <w:tcW w:w="660" w:type="dxa"/>
            <w:vMerge/>
            <w:tcBorders>
              <w:left w:val="nil" w:sz="6" w:space="0" w:color="auto"/>
              <w:right w:val="nil" w:sz="6" w:space="0" w:color="auto"/>
            </w:tcBorders>
            <w:shd w:val="clear" w:color="auto" w:fill="DEEAF6"/>
          </w:tcPr>
          <w:p>
            <w:pPr/>
          </w:p>
        </w:tc>
        <w:tc>
          <w:tcPr>
            <w:tcW w:w="674" w:type="dxa"/>
            <w:vMerge/>
            <w:tcBorders>
              <w:left w:val="nil" w:sz="6" w:space="0" w:color="auto"/>
              <w:right w:val="nil" w:sz="6" w:space="0" w:color="auto"/>
            </w:tcBorders>
            <w:shd w:val="clear" w:color="auto" w:fill="DEEAF6"/>
          </w:tcPr>
          <w:p>
            <w:pPr/>
          </w:p>
        </w:tc>
        <w:tc>
          <w:tcPr>
            <w:tcW w:w="674" w:type="dxa"/>
            <w:vMerge/>
            <w:tcBorders>
              <w:left w:val="nil" w:sz="6" w:space="0" w:color="auto"/>
              <w:right w:val="nil" w:sz="6" w:space="0" w:color="auto"/>
            </w:tcBorders>
            <w:shd w:val="clear" w:color="auto" w:fill="DEEAF6"/>
          </w:tcPr>
          <w:p>
            <w:pPr/>
          </w:p>
        </w:tc>
        <w:tc>
          <w:tcPr>
            <w:tcW w:w="681" w:type="dxa"/>
            <w:vMerge/>
            <w:tcBorders>
              <w:left w:val="nil" w:sz="6" w:space="0" w:color="auto"/>
              <w:bottom w:val="nil" w:sz="6" w:space="0" w:color="auto"/>
              <w:right w:val="nil" w:sz="6" w:space="0" w:color="auto"/>
            </w:tcBorders>
            <w:shd w:val="clear" w:color="auto" w:fill="DEEAF6"/>
          </w:tcPr>
          <w:p>
            <w:pPr/>
          </w:p>
        </w:tc>
        <w:tc>
          <w:tcPr>
            <w:tcW w:w="667" w:type="dxa"/>
            <w:vMerge/>
            <w:tcBorders>
              <w:left w:val="nil" w:sz="6" w:space="0" w:color="auto"/>
              <w:bottom w:val="nil" w:sz="6" w:space="0" w:color="auto"/>
              <w:right w:val="nil" w:sz="6" w:space="0" w:color="auto"/>
            </w:tcBorders>
            <w:shd w:val="clear" w:color="auto" w:fill="DEEAF6"/>
          </w:tcPr>
          <w:p>
            <w:pPr/>
          </w:p>
        </w:tc>
        <w:tc>
          <w:tcPr>
            <w:tcW w:w="688" w:type="dxa"/>
            <w:vMerge/>
            <w:tcBorders>
              <w:left w:val="nil" w:sz="6" w:space="0" w:color="auto"/>
              <w:right w:val="nil" w:sz="6" w:space="0" w:color="auto"/>
            </w:tcBorders>
            <w:shd w:val="clear" w:color="auto" w:fill="DEEAF6"/>
          </w:tcPr>
          <w:p>
            <w:pPr/>
          </w:p>
        </w:tc>
        <w:tc>
          <w:tcPr>
            <w:tcW w:w="1284" w:type="dxa"/>
            <w:gridSpan w:val="2"/>
            <w:vMerge w:val="restart"/>
            <w:tcBorders>
              <w:top w:val="nil" w:sz="6" w:space="0" w:color="auto"/>
              <w:left w:val="nil" w:sz="6" w:space="0" w:color="auto"/>
              <w:right w:val="nil" w:sz="6" w:space="0" w:color="auto"/>
            </w:tcBorders>
            <w:shd w:val="clear" w:color="auto" w:fill="DEEAF6"/>
          </w:tcPr>
          <w:p>
            <w:pPr/>
          </w:p>
        </w:tc>
      </w:tr>
      <w:tr>
        <w:trPr>
          <w:trHeight w:val="156" w:hRule="exact"/>
        </w:trPr>
        <w:tc>
          <w:tcPr>
            <w:tcW w:w="2846" w:type="dxa"/>
            <w:gridSpan w:val="4"/>
            <w:vMerge/>
            <w:tcBorders>
              <w:left w:val="nil" w:sz="6" w:space="0" w:color="auto"/>
              <w:bottom w:val="single" w:sz="4" w:space="0" w:color="5B9BD4"/>
              <w:right w:val="nil" w:sz="6" w:space="0" w:color="auto"/>
            </w:tcBorders>
            <w:shd w:val="clear" w:color="auto" w:fill="DEEAF6"/>
          </w:tcPr>
          <w:p>
            <w:pPr/>
          </w:p>
        </w:tc>
        <w:tc>
          <w:tcPr>
            <w:tcW w:w="680" w:type="dxa"/>
            <w:tcBorders>
              <w:top w:val="nil" w:sz="6" w:space="0" w:color="auto"/>
              <w:left w:val="nil" w:sz="6" w:space="0" w:color="auto"/>
              <w:bottom w:val="single" w:sz="4" w:space="0" w:color="5B9BD4"/>
              <w:right w:val="nil" w:sz="6" w:space="0" w:color="auto"/>
            </w:tcBorders>
            <w:shd w:val="clear" w:color="auto" w:fill="DEEAF6"/>
          </w:tcPr>
          <w:p>
            <w:pPr/>
          </w:p>
        </w:tc>
        <w:tc>
          <w:tcPr>
            <w:tcW w:w="689" w:type="dxa"/>
            <w:vMerge/>
            <w:tcBorders>
              <w:left w:val="nil" w:sz="6" w:space="0" w:color="auto"/>
              <w:bottom w:val="single" w:sz="4" w:space="0" w:color="5B9BD4"/>
              <w:right w:val="nil" w:sz="6" w:space="0" w:color="auto"/>
            </w:tcBorders>
            <w:shd w:val="clear" w:color="auto" w:fill="DEEAF6"/>
          </w:tcPr>
          <w:p>
            <w:pPr/>
          </w:p>
        </w:tc>
        <w:tc>
          <w:tcPr>
            <w:tcW w:w="660" w:type="dxa"/>
            <w:vMerge/>
            <w:tcBorders>
              <w:left w:val="nil" w:sz="6" w:space="0" w:color="auto"/>
              <w:bottom w:val="single" w:sz="4" w:space="0" w:color="5B9BD4"/>
              <w:right w:val="nil" w:sz="6" w:space="0" w:color="auto"/>
            </w:tcBorders>
            <w:shd w:val="clear" w:color="auto" w:fill="DEEAF6"/>
          </w:tcPr>
          <w:p>
            <w:pPr/>
          </w:p>
        </w:tc>
        <w:tc>
          <w:tcPr>
            <w:tcW w:w="674" w:type="dxa"/>
            <w:vMerge/>
            <w:tcBorders>
              <w:left w:val="nil" w:sz="6" w:space="0" w:color="auto"/>
              <w:bottom w:val="single" w:sz="4" w:space="0" w:color="5B9BD4"/>
              <w:right w:val="nil" w:sz="6" w:space="0" w:color="auto"/>
            </w:tcBorders>
            <w:shd w:val="clear" w:color="auto" w:fill="DEEAF6"/>
          </w:tcPr>
          <w:p>
            <w:pPr/>
          </w:p>
        </w:tc>
        <w:tc>
          <w:tcPr>
            <w:tcW w:w="674" w:type="dxa"/>
            <w:vMerge/>
            <w:tcBorders>
              <w:left w:val="nil" w:sz="6" w:space="0" w:color="auto"/>
              <w:bottom w:val="single" w:sz="4" w:space="0" w:color="5B9BD4"/>
              <w:right w:val="nil" w:sz="6" w:space="0" w:color="auto"/>
            </w:tcBorders>
            <w:shd w:val="clear" w:color="auto" w:fill="DEEAF6"/>
          </w:tcPr>
          <w:p>
            <w:pPr/>
          </w:p>
        </w:tc>
        <w:tc>
          <w:tcPr>
            <w:tcW w:w="1349" w:type="dxa"/>
            <w:gridSpan w:val="2"/>
            <w:tcBorders>
              <w:top w:val="nil" w:sz="6" w:space="0" w:color="auto"/>
              <w:left w:val="nil" w:sz="6" w:space="0" w:color="auto"/>
              <w:bottom w:val="single" w:sz="4" w:space="0" w:color="5B9BD4"/>
              <w:right w:val="nil" w:sz="6" w:space="0" w:color="auto"/>
            </w:tcBorders>
            <w:shd w:val="clear" w:color="auto" w:fill="DEEAF6"/>
          </w:tcPr>
          <w:p>
            <w:pPr/>
          </w:p>
        </w:tc>
        <w:tc>
          <w:tcPr>
            <w:tcW w:w="688" w:type="dxa"/>
            <w:vMerge/>
            <w:tcBorders>
              <w:left w:val="nil" w:sz="6" w:space="0" w:color="auto"/>
              <w:bottom w:val="single" w:sz="4" w:space="0" w:color="5B9BD4"/>
              <w:right w:val="nil" w:sz="6" w:space="0" w:color="auto"/>
            </w:tcBorders>
            <w:shd w:val="clear" w:color="auto" w:fill="DEEAF6"/>
          </w:tcPr>
          <w:p>
            <w:pPr/>
          </w:p>
        </w:tc>
        <w:tc>
          <w:tcPr>
            <w:tcW w:w="1284" w:type="dxa"/>
            <w:gridSpan w:val="2"/>
            <w:vMerge/>
            <w:tcBorders>
              <w:left w:val="nil" w:sz="6" w:space="0" w:color="auto"/>
              <w:bottom w:val="single" w:sz="4" w:space="0" w:color="5B9BD4"/>
              <w:right w:val="nil" w:sz="6" w:space="0" w:color="auto"/>
            </w:tcBorders>
            <w:shd w:val="clear" w:color="auto" w:fill="DEEAF6"/>
          </w:tcPr>
          <w:p>
            <w:pPr/>
          </w:p>
        </w:tc>
      </w:tr>
      <w:tr>
        <w:trPr>
          <w:trHeight w:val="457" w:hRule="exact"/>
        </w:trPr>
        <w:tc>
          <w:tcPr>
            <w:tcW w:w="780"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51"/>
              <w:ind w:left="13" w:right="43"/>
              <w:jc w:val="both"/>
              <w:rPr>
                <w:rFonts w:ascii="宋体" w:hAnsi="宋体" w:cs="宋体" w:eastAsia="宋体" w:hint="default"/>
                <w:sz w:val="18"/>
                <w:szCs w:val="18"/>
              </w:rPr>
            </w:pPr>
            <w:r>
              <w:rPr>
                <w:rFonts w:ascii="宋体" w:hAnsi="宋体" w:cs="宋体" w:eastAsia="宋体" w:hint="default"/>
                <w:sz w:val="18"/>
                <w:szCs w:val="18"/>
              </w:rPr>
              <w:t>上海酷武 供应链管 理股份有 限公司、 深圳市神 州通物流 有限公司 及其子公</w:t>
            </w:r>
          </w:p>
        </w:tc>
        <w:tc>
          <w:tcPr>
            <w:tcW w:w="691" w:type="dxa"/>
            <w:vMerge w:val="restart"/>
            <w:tcBorders>
              <w:top w:val="single" w:sz="4" w:space="0" w:color="5B9BD4"/>
              <w:left w:val="single" w:sz="12" w:space="0" w:color="DEEAF6"/>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9" w:lineRule="auto"/>
              <w:ind w:left="20" w:right="113"/>
              <w:jc w:val="both"/>
              <w:rPr>
                <w:rFonts w:ascii="宋体" w:hAnsi="宋体" w:cs="宋体" w:eastAsia="宋体" w:hint="default"/>
                <w:sz w:val="18"/>
                <w:szCs w:val="18"/>
              </w:rPr>
            </w:pPr>
            <w:r>
              <w:rPr>
                <w:rFonts w:ascii="宋体" w:hAnsi="宋体" w:cs="宋体" w:eastAsia="宋体" w:hint="default"/>
                <w:sz w:val="18"/>
                <w:szCs w:val="18"/>
              </w:rPr>
              <w:t>与本公 司受同 一控制 人控制</w:t>
            </w:r>
          </w:p>
        </w:tc>
        <w:tc>
          <w:tcPr>
            <w:tcW w:w="663" w:type="dxa"/>
            <w:vMerge w:val="restart"/>
            <w:tcBorders>
              <w:top w:val="single" w:sz="4" w:space="0" w:color="5B9BD4"/>
              <w:left w:val="nil" w:sz="6" w:space="0" w:color="auto"/>
              <w:right w:val="nil" w:sz="6" w:space="0" w:color="auto"/>
            </w:tcBorders>
            <w:shd w:val="clear" w:color="auto" w:fill="DEEAF6"/>
          </w:tcPr>
          <w:p>
            <w:pPr/>
          </w:p>
        </w:tc>
        <w:tc>
          <w:tcPr>
            <w:tcW w:w="712"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19" w:lineRule="auto"/>
              <w:ind w:left="34" w:right="135"/>
              <w:jc w:val="both"/>
              <w:rPr>
                <w:rFonts w:ascii="宋体" w:hAnsi="宋体" w:cs="宋体" w:eastAsia="宋体" w:hint="default"/>
                <w:sz w:val="18"/>
                <w:szCs w:val="18"/>
              </w:rPr>
            </w:pPr>
            <w:r>
              <w:rPr>
                <w:rFonts w:ascii="宋体" w:hAnsi="宋体" w:cs="宋体" w:eastAsia="宋体" w:hint="default"/>
                <w:sz w:val="18"/>
                <w:szCs w:val="18"/>
              </w:rPr>
              <w:t>运输仓 储等服 务</w:t>
            </w:r>
          </w:p>
        </w:tc>
        <w:tc>
          <w:tcPr>
            <w:tcW w:w="680" w:type="dxa"/>
            <w:tcBorders>
              <w:top w:val="single" w:sz="4" w:space="0" w:color="5B9BD4"/>
              <w:left w:val="nil" w:sz="6" w:space="0" w:color="auto"/>
              <w:bottom w:val="nil" w:sz="6" w:space="0" w:color="auto"/>
              <w:right w:val="nil" w:sz="6" w:space="0" w:color="auto"/>
            </w:tcBorders>
            <w:shd w:val="clear" w:color="auto" w:fill="DEEAF6"/>
          </w:tcPr>
          <w:p>
            <w:pPr/>
          </w:p>
        </w:tc>
        <w:tc>
          <w:tcPr>
            <w:tcW w:w="689"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9" w:lineRule="auto"/>
              <w:ind w:left="27" w:right="120"/>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60" w:type="dxa"/>
            <w:vMerge w:val="restart"/>
            <w:tcBorders>
              <w:top w:val="single" w:sz="4" w:space="0" w:color="5B9BD4"/>
              <w:left w:val="nil" w:sz="6" w:space="0" w:color="auto"/>
              <w:right w:val="nil" w:sz="6" w:space="0" w:color="auto"/>
            </w:tcBorders>
            <w:shd w:val="clear" w:color="auto" w:fill="DEEAF6"/>
          </w:tcPr>
          <w:p>
            <w:pPr/>
          </w:p>
        </w:tc>
        <w:tc>
          <w:tcPr>
            <w:tcW w:w="674"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58" w:right="0"/>
              <w:jc w:val="left"/>
              <w:rPr>
                <w:rFonts w:ascii="Arial" w:hAnsi="Arial" w:cs="Arial" w:eastAsia="Arial" w:hint="default"/>
                <w:sz w:val="18"/>
                <w:szCs w:val="18"/>
              </w:rPr>
            </w:pPr>
            <w:r>
              <w:rPr>
                <w:rFonts w:ascii="Arial"/>
                <w:w w:val="95"/>
                <w:sz w:val="18"/>
              </w:rPr>
              <w:t>10.83%</w:t>
            </w:r>
            <w:r>
              <w:rPr>
                <w:rFonts w:ascii="Arial"/>
                <w:sz w:val="18"/>
              </w:rPr>
            </w:r>
          </w:p>
        </w:tc>
        <w:tc>
          <w:tcPr>
            <w:tcW w:w="674" w:type="dxa"/>
            <w:vMerge w:val="restart"/>
            <w:tcBorders>
              <w:top w:val="single" w:sz="4" w:space="0" w:color="5B9BD4"/>
              <w:left w:val="nil" w:sz="6" w:space="0" w:color="auto"/>
              <w:right w:val="nil" w:sz="6" w:space="0" w:color="auto"/>
            </w:tcBorders>
            <w:shd w:val="clear" w:color="auto" w:fill="DEEAF6"/>
          </w:tcPr>
          <w:p>
            <w:pPr/>
          </w:p>
        </w:tc>
        <w:tc>
          <w:tcPr>
            <w:tcW w:w="681"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67" w:type="dxa"/>
            <w:vMerge w:val="restart"/>
            <w:tcBorders>
              <w:top w:val="single" w:sz="4" w:space="0" w:color="5B9BD4"/>
              <w:left w:val="nil" w:sz="6" w:space="0" w:color="auto"/>
              <w:right w:val="nil" w:sz="6" w:space="0" w:color="auto"/>
            </w:tcBorders>
            <w:shd w:val="clear" w:color="auto" w:fill="DEEAF6"/>
          </w:tcPr>
          <w:p>
            <w:pPr/>
          </w:p>
        </w:tc>
        <w:tc>
          <w:tcPr>
            <w:tcW w:w="688"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9" w:lineRule="auto"/>
              <w:ind w:left="27" w:right="11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49" w:type="dxa"/>
            <w:vMerge w:val="restart"/>
            <w:tcBorders>
              <w:top w:val="single" w:sz="4" w:space="0" w:color="5B9BD4"/>
              <w:left w:val="nil" w:sz="6" w:space="0" w:color="auto"/>
              <w:right w:val="nil" w:sz="6" w:space="0" w:color="auto"/>
            </w:tcBorders>
            <w:shd w:val="clear" w:color="auto" w:fill="DEEAF6"/>
          </w:tcPr>
          <w:p>
            <w:pPr/>
          </w:p>
        </w:tc>
        <w:tc>
          <w:tcPr>
            <w:tcW w:w="635" w:type="dxa"/>
            <w:vMerge w:val="restart"/>
            <w:tcBorders>
              <w:top w:val="single" w:sz="4" w:space="0" w:color="5B9BD4"/>
              <w:left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362" w:lineRule="auto"/>
              <w:ind w:left="34" w:right="53"/>
              <w:jc w:val="left"/>
              <w:rPr>
                <w:rFonts w:ascii="Arial" w:hAnsi="Arial" w:cs="Arial" w:eastAsia="Arial" w:hint="default"/>
                <w:sz w:val="18"/>
                <w:szCs w:val="18"/>
              </w:rPr>
            </w:pPr>
            <w:hyperlink r:id="rId38">
              <w:r>
                <w:rPr>
                  <w:rFonts w:ascii="Arial"/>
                  <w:w w:val="110"/>
                  <w:sz w:val="18"/>
                </w:rPr>
                <w:t>www.</w:t>
              </w:r>
            </w:hyperlink>
            <w:r>
              <w:rPr>
                <w:rFonts w:ascii="Arial"/>
                <w:spacing w:val="-42"/>
                <w:w w:val="110"/>
                <w:sz w:val="18"/>
              </w:rPr>
              <w:t> </w:t>
            </w:r>
            <w:r>
              <w:rPr>
                <w:rFonts w:ascii="Arial"/>
                <w:spacing w:val="-42"/>
                <w:w w:val="110"/>
                <w:sz w:val="18"/>
              </w:rPr>
            </w:r>
            <w:r>
              <w:rPr>
                <w:rFonts w:ascii="Arial"/>
                <w:w w:val="110"/>
                <w:sz w:val="18"/>
              </w:rPr>
              <w:t>cninfo</w:t>
            </w:r>
            <w:r>
              <w:rPr>
                <w:rFonts w:ascii="Arial"/>
                <w:sz w:val="18"/>
              </w:rPr>
            </w:r>
          </w:p>
          <w:p>
            <w:pPr>
              <w:pStyle w:val="TableParagraph"/>
              <w:spacing w:line="314" w:lineRule="auto" w:before="2"/>
              <w:ind w:left="34" w:right="40"/>
              <w:jc w:val="left"/>
              <w:rPr>
                <w:rFonts w:ascii="宋体" w:hAnsi="宋体" w:cs="宋体" w:eastAsia="宋体" w:hint="default"/>
                <w:sz w:val="18"/>
                <w:szCs w:val="18"/>
              </w:rPr>
            </w:pPr>
            <w:r>
              <w:rPr>
                <w:rFonts w:ascii="Arial" w:hAnsi="Arial" w:cs="Arial" w:eastAsia="Arial" w:hint="default"/>
                <w:w w:val="110"/>
                <w:sz w:val="18"/>
                <w:szCs w:val="18"/>
              </w:rPr>
              <w:t>.com</w:t>
            </w:r>
            <w:r>
              <w:rPr>
                <w:rFonts w:ascii="Arial" w:hAnsi="Arial" w:cs="Arial" w:eastAsia="Arial" w:hint="default"/>
                <w:spacing w:val="-31"/>
                <w:w w:val="110"/>
                <w:sz w:val="18"/>
                <w:szCs w:val="18"/>
              </w:rPr>
              <w:t> </w:t>
            </w:r>
            <w:r>
              <w:rPr>
                <w:rFonts w:ascii="宋体" w:hAnsi="宋体" w:cs="宋体" w:eastAsia="宋体" w:hint="default"/>
                <w:sz w:val="18"/>
                <w:szCs w:val="18"/>
              </w:rPr>
              <w:t>公告编</w:t>
            </w:r>
          </w:p>
          <w:p>
            <w:pPr>
              <w:pStyle w:val="TableParagraph"/>
              <w:spacing w:line="360" w:lineRule="auto" w:before="20"/>
              <w:ind w:left="34" w:right="40"/>
              <w:jc w:val="left"/>
              <w:rPr>
                <w:rFonts w:ascii="Arial" w:hAnsi="Arial" w:cs="Arial" w:eastAsia="Arial" w:hint="default"/>
                <w:sz w:val="18"/>
                <w:szCs w:val="18"/>
              </w:rPr>
            </w:pPr>
            <w:r>
              <w:rPr>
                <w:rFonts w:ascii="宋体" w:hAnsi="宋体" w:cs="宋体" w:eastAsia="宋体" w:hint="default"/>
                <w:sz w:val="18"/>
                <w:szCs w:val="18"/>
              </w:rPr>
              <w:t>号： </w:t>
            </w:r>
            <w:r>
              <w:rPr>
                <w:rFonts w:ascii="Arial" w:hAnsi="Arial" w:cs="Arial" w:eastAsia="Arial" w:hint="default"/>
                <w:w w:val="95"/>
                <w:sz w:val="18"/>
                <w:szCs w:val="18"/>
              </w:rPr>
              <w:t>2015-0</w:t>
            </w:r>
            <w:r>
              <w:rPr>
                <w:rFonts w:ascii="Arial" w:hAnsi="Arial" w:cs="Arial" w:eastAsia="Arial" w:hint="default"/>
                <w:sz w:val="18"/>
                <w:szCs w:val="18"/>
              </w:rPr>
            </w:r>
          </w:p>
          <w:p>
            <w:pPr>
              <w:pStyle w:val="TableParagraph"/>
              <w:spacing w:line="240" w:lineRule="auto" w:before="5"/>
              <w:ind w:left="34" w:right="0"/>
              <w:jc w:val="left"/>
              <w:rPr>
                <w:rFonts w:ascii="Arial" w:hAnsi="Arial" w:cs="Arial" w:eastAsia="Arial" w:hint="default"/>
                <w:sz w:val="18"/>
                <w:szCs w:val="18"/>
              </w:rPr>
            </w:pPr>
            <w:r>
              <w:rPr>
                <w:rFonts w:ascii="Arial"/>
                <w:sz w:val="18"/>
              </w:rPr>
              <w:t>48</w:t>
            </w:r>
          </w:p>
        </w:tc>
      </w:tr>
      <w:tr>
        <w:trPr>
          <w:trHeight w:val="312" w:hRule="exact"/>
        </w:trPr>
        <w:tc>
          <w:tcPr>
            <w:tcW w:w="780" w:type="dxa"/>
            <w:vMerge/>
            <w:tcBorders>
              <w:left w:val="nil" w:sz="6" w:space="0" w:color="auto"/>
              <w:right w:val="nil" w:sz="6" w:space="0" w:color="auto"/>
            </w:tcBorders>
            <w:shd w:val="clear" w:color="auto" w:fill="DEEAF6"/>
          </w:tcPr>
          <w:p>
            <w:pPr/>
          </w:p>
        </w:tc>
        <w:tc>
          <w:tcPr>
            <w:tcW w:w="691" w:type="dxa"/>
            <w:vMerge/>
            <w:tcBorders>
              <w:left w:val="single" w:sz="12" w:space="0" w:color="DEEAF6"/>
              <w:right w:val="nil" w:sz="6" w:space="0" w:color="auto"/>
            </w:tcBorders>
          </w:tcPr>
          <w:p>
            <w:pPr/>
          </w:p>
        </w:tc>
        <w:tc>
          <w:tcPr>
            <w:tcW w:w="663" w:type="dxa"/>
            <w:vMerge/>
            <w:tcBorders>
              <w:left w:val="nil" w:sz="6" w:space="0" w:color="auto"/>
              <w:right w:val="nil" w:sz="6" w:space="0" w:color="auto"/>
            </w:tcBorders>
            <w:shd w:val="clear" w:color="auto" w:fill="DEEAF6"/>
          </w:tcPr>
          <w:p>
            <w:pPr/>
          </w:p>
        </w:tc>
        <w:tc>
          <w:tcPr>
            <w:tcW w:w="712" w:type="dxa"/>
            <w:vMerge/>
            <w:tcBorders>
              <w:left w:val="nil" w:sz="6" w:space="0" w:color="auto"/>
              <w:right w:val="nil" w:sz="6" w:space="0" w:color="auto"/>
            </w:tcBorders>
          </w:tcPr>
          <w:p>
            <w:pPr/>
          </w:p>
        </w:tc>
        <w:tc>
          <w:tcPr>
            <w:tcW w:w="680" w:type="dxa"/>
            <w:vMerge w:val="restart"/>
            <w:tcBorders>
              <w:top w:val="nil" w:sz="6" w:space="0" w:color="auto"/>
              <w:left w:val="nil" w:sz="6" w:space="0" w:color="auto"/>
              <w:right w:val="nil" w:sz="6" w:space="0" w:color="auto"/>
            </w:tcBorders>
            <w:shd w:val="clear" w:color="auto" w:fill="DEEAF6"/>
          </w:tcPr>
          <w:p>
            <w:pPr>
              <w:pStyle w:val="TableParagraph"/>
              <w:spacing w:line="319" w:lineRule="auto" w:before="46"/>
              <w:ind w:left="28" w:right="109"/>
              <w:jc w:val="both"/>
              <w:rPr>
                <w:rFonts w:ascii="宋体" w:hAnsi="宋体" w:cs="宋体" w:eastAsia="宋体" w:hint="default"/>
                <w:sz w:val="18"/>
                <w:szCs w:val="18"/>
              </w:rPr>
            </w:pPr>
            <w:r>
              <w:rPr>
                <w:rFonts w:ascii="宋体" w:hAnsi="宋体" w:cs="宋体" w:eastAsia="宋体" w:hint="default"/>
                <w:sz w:val="18"/>
                <w:szCs w:val="18"/>
              </w:rPr>
              <w:t>在市场 价格基 础上经 双方协 商确定</w:t>
            </w:r>
          </w:p>
        </w:tc>
        <w:tc>
          <w:tcPr>
            <w:tcW w:w="689" w:type="dxa"/>
            <w:vMerge/>
            <w:tcBorders>
              <w:left w:val="nil" w:sz="6" w:space="0" w:color="auto"/>
              <w:right w:val="nil" w:sz="6" w:space="0" w:color="auto"/>
            </w:tcBorders>
          </w:tcPr>
          <w:p>
            <w:pPr/>
          </w:p>
        </w:tc>
        <w:tc>
          <w:tcPr>
            <w:tcW w:w="660" w:type="dxa"/>
            <w:vMerge/>
            <w:tcBorders>
              <w:left w:val="nil" w:sz="6" w:space="0" w:color="auto"/>
              <w:right w:val="nil" w:sz="6" w:space="0" w:color="auto"/>
            </w:tcBorders>
            <w:shd w:val="clear" w:color="auto" w:fill="DEEAF6"/>
          </w:tcPr>
          <w:p>
            <w:pPr/>
          </w:p>
        </w:tc>
        <w:tc>
          <w:tcPr>
            <w:tcW w:w="674" w:type="dxa"/>
            <w:vMerge/>
            <w:tcBorders>
              <w:left w:val="nil" w:sz="6" w:space="0" w:color="auto"/>
              <w:right w:val="nil" w:sz="6" w:space="0" w:color="auto"/>
            </w:tcBorders>
          </w:tcPr>
          <w:p>
            <w:pPr/>
          </w:p>
        </w:tc>
        <w:tc>
          <w:tcPr>
            <w:tcW w:w="674" w:type="dxa"/>
            <w:vMerge/>
            <w:tcBorders>
              <w:left w:val="nil" w:sz="6" w:space="0" w:color="auto"/>
              <w:right w:val="nil" w:sz="6" w:space="0" w:color="auto"/>
            </w:tcBorders>
            <w:shd w:val="clear" w:color="auto" w:fill="DEEAF6"/>
          </w:tcPr>
          <w:p>
            <w:pPr/>
          </w:p>
        </w:tc>
        <w:tc>
          <w:tcPr>
            <w:tcW w:w="681" w:type="dxa"/>
            <w:vMerge/>
            <w:tcBorders>
              <w:left w:val="nil" w:sz="6" w:space="0" w:color="auto"/>
              <w:right w:val="nil" w:sz="6" w:space="0" w:color="auto"/>
            </w:tcBorders>
          </w:tcPr>
          <w:p>
            <w:pPr/>
          </w:p>
        </w:tc>
        <w:tc>
          <w:tcPr>
            <w:tcW w:w="667" w:type="dxa"/>
            <w:vMerge/>
            <w:tcBorders>
              <w:left w:val="nil" w:sz="6" w:space="0" w:color="auto"/>
              <w:right w:val="nil" w:sz="6" w:space="0" w:color="auto"/>
            </w:tcBorders>
            <w:shd w:val="clear" w:color="auto" w:fill="DEEAF6"/>
          </w:tcPr>
          <w:p>
            <w:pPr/>
          </w:p>
        </w:tc>
        <w:tc>
          <w:tcPr>
            <w:tcW w:w="688" w:type="dxa"/>
            <w:vMerge/>
            <w:tcBorders>
              <w:left w:val="nil" w:sz="6" w:space="0" w:color="auto"/>
              <w:right w:val="nil" w:sz="6" w:space="0" w:color="auto"/>
            </w:tcBorders>
          </w:tcPr>
          <w:p>
            <w:pPr/>
          </w:p>
        </w:tc>
        <w:tc>
          <w:tcPr>
            <w:tcW w:w="649" w:type="dxa"/>
            <w:vMerge/>
            <w:tcBorders>
              <w:left w:val="nil" w:sz="6" w:space="0" w:color="auto"/>
              <w:bottom w:val="nil" w:sz="6" w:space="0" w:color="auto"/>
              <w:right w:val="nil" w:sz="6" w:space="0" w:color="auto"/>
            </w:tcBorders>
            <w:shd w:val="clear" w:color="auto" w:fill="DEEAF6"/>
          </w:tcPr>
          <w:p>
            <w:pPr/>
          </w:p>
        </w:tc>
        <w:tc>
          <w:tcPr>
            <w:tcW w:w="635" w:type="dxa"/>
            <w:vMerge/>
            <w:tcBorders>
              <w:left w:val="nil" w:sz="6" w:space="0" w:color="auto"/>
              <w:right w:val="nil" w:sz="6" w:space="0" w:color="auto"/>
            </w:tcBorders>
          </w:tcPr>
          <w:p>
            <w:pPr/>
          </w:p>
        </w:tc>
      </w:tr>
      <w:tr>
        <w:trPr>
          <w:trHeight w:val="156" w:hRule="exact"/>
        </w:trPr>
        <w:tc>
          <w:tcPr>
            <w:tcW w:w="780" w:type="dxa"/>
            <w:vMerge/>
            <w:tcBorders>
              <w:left w:val="nil" w:sz="6" w:space="0" w:color="auto"/>
              <w:right w:val="nil" w:sz="6" w:space="0" w:color="auto"/>
            </w:tcBorders>
            <w:shd w:val="clear" w:color="auto" w:fill="DEEAF6"/>
          </w:tcPr>
          <w:p>
            <w:pPr/>
          </w:p>
        </w:tc>
        <w:tc>
          <w:tcPr>
            <w:tcW w:w="691" w:type="dxa"/>
            <w:vMerge/>
            <w:tcBorders>
              <w:left w:val="single" w:sz="12" w:space="0" w:color="DEEAF6"/>
              <w:right w:val="nil" w:sz="6" w:space="0" w:color="auto"/>
            </w:tcBorders>
          </w:tcPr>
          <w:p>
            <w:pPr/>
          </w:p>
        </w:tc>
        <w:tc>
          <w:tcPr>
            <w:tcW w:w="663" w:type="dxa"/>
            <w:vMerge/>
            <w:tcBorders>
              <w:left w:val="nil" w:sz="6" w:space="0" w:color="auto"/>
              <w:bottom w:val="nil" w:sz="6" w:space="0" w:color="auto"/>
              <w:right w:val="nil" w:sz="6" w:space="0" w:color="auto"/>
            </w:tcBorders>
            <w:shd w:val="clear" w:color="auto" w:fill="DEEAF6"/>
          </w:tcPr>
          <w:p>
            <w:pPr/>
          </w:p>
        </w:tc>
        <w:tc>
          <w:tcPr>
            <w:tcW w:w="712" w:type="dxa"/>
            <w:vMerge/>
            <w:tcBorders>
              <w:left w:val="nil" w:sz="6" w:space="0" w:color="auto"/>
              <w:right w:val="nil" w:sz="6" w:space="0" w:color="auto"/>
            </w:tcBorders>
          </w:tcPr>
          <w:p>
            <w:pPr/>
          </w:p>
        </w:tc>
        <w:tc>
          <w:tcPr>
            <w:tcW w:w="680" w:type="dxa"/>
            <w:vMerge/>
            <w:tcBorders>
              <w:left w:val="nil" w:sz="6" w:space="0" w:color="auto"/>
              <w:right w:val="nil" w:sz="6" w:space="0" w:color="auto"/>
            </w:tcBorders>
            <w:shd w:val="clear" w:color="auto" w:fill="DEEAF6"/>
          </w:tcPr>
          <w:p>
            <w:pPr/>
          </w:p>
        </w:tc>
        <w:tc>
          <w:tcPr>
            <w:tcW w:w="689" w:type="dxa"/>
            <w:vMerge/>
            <w:tcBorders>
              <w:left w:val="nil" w:sz="6" w:space="0" w:color="auto"/>
              <w:right w:val="nil" w:sz="6" w:space="0" w:color="auto"/>
            </w:tcBorders>
          </w:tcPr>
          <w:p>
            <w:pPr/>
          </w:p>
        </w:tc>
        <w:tc>
          <w:tcPr>
            <w:tcW w:w="660" w:type="dxa"/>
            <w:vMerge/>
            <w:tcBorders>
              <w:left w:val="nil" w:sz="6" w:space="0" w:color="auto"/>
              <w:right w:val="nil" w:sz="6" w:space="0" w:color="auto"/>
            </w:tcBorders>
            <w:shd w:val="clear" w:color="auto" w:fill="DEEAF6"/>
          </w:tcPr>
          <w:p>
            <w:pPr/>
          </w:p>
        </w:tc>
        <w:tc>
          <w:tcPr>
            <w:tcW w:w="674" w:type="dxa"/>
            <w:vMerge/>
            <w:tcBorders>
              <w:left w:val="nil" w:sz="6" w:space="0" w:color="auto"/>
              <w:right w:val="nil" w:sz="6" w:space="0" w:color="auto"/>
            </w:tcBorders>
          </w:tcPr>
          <w:p>
            <w:pPr/>
          </w:p>
        </w:tc>
        <w:tc>
          <w:tcPr>
            <w:tcW w:w="674" w:type="dxa"/>
            <w:vMerge/>
            <w:tcBorders>
              <w:left w:val="nil" w:sz="6" w:space="0" w:color="auto"/>
              <w:right w:val="nil" w:sz="6" w:space="0" w:color="auto"/>
            </w:tcBorders>
            <w:shd w:val="clear" w:color="auto" w:fill="DEEAF6"/>
          </w:tcPr>
          <w:p>
            <w:pPr/>
          </w:p>
        </w:tc>
        <w:tc>
          <w:tcPr>
            <w:tcW w:w="681" w:type="dxa"/>
            <w:vMerge/>
            <w:tcBorders>
              <w:left w:val="nil" w:sz="6" w:space="0" w:color="auto"/>
              <w:right w:val="nil" w:sz="6" w:space="0" w:color="auto"/>
            </w:tcBorders>
          </w:tcPr>
          <w:p>
            <w:pPr/>
          </w:p>
        </w:tc>
        <w:tc>
          <w:tcPr>
            <w:tcW w:w="667" w:type="dxa"/>
            <w:vMerge/>
            <w:tcBorders>
              <w:left w:val="nil" w:sz="6" w:space="0" w:color="auto"/>
              <w:bottom w:val="nil" w:sz="6" w:space="0" w:color="auto"/>
              <w:right w:val="nil" w:sz="6" w:space="0" w:color="auto"/>
            </w:tcBorders>
            <w:shd w:val="clear" w:color="auto" w:fill="DEEAF6"/>
          </w:tcPr>
          <w:p>
            <w:pPr/>
          </w:p>
        </w:tc>
        <w:tc>
          <w:tcPr>
            <w:tcW w:w="688" w:type="dxa"/>
            <w:vMerge/>
            <w:tcBorders>
              <w:left w:val="nil" w:sz="6" w:space="0" w:color="auto"/>
              <w:right w:val="nil" w:sz="6" w:space="0" w:color="auto"/>
            </w:tcBorders>
          </w:tcPr>
          <w:p>
            <w:pPr/>
          </w:p>
        </w:tc>
        <w:tc>
          <w:tcPr>
            <w:tcW w:w="649" w:type="dxa"/>
            <w:vMerge w:val="restart"/>
            <w:tcBorders>
              <w:top w:val="nil" w:sz="6" w:space="0" w:color="auto"/>
              <w:left w:val="nil" w:sz="6" w:space="0" w:color="auto"/>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21"/>
                <w:sz w:val="18"/>
                <w:szCs w:val="18"/>
              </w:rPr>
              <w:t> </w:t>
            </w:r>
            <w:r>
              <w:rPr>
                <w:rFonts w:ascii="宋体" w:hAnsi="宋体" w:cs="宋体" w:eastAsia="宋体" w:hint="default"/>
                <w:sz w:val="18"/>
                <w:szCs w:val="18"/>
              </w:rPr>
              <w:t>年</w:t>
            </w:r>
          </w:p>
          <w:p>
            <w:pPr>
              <w:pStyle w:val="TableParagraph"/>
              <w:spacing w:line="240" w:lineRule="auto" w:before="64"/>
              <w:ind w:left="13" w:right="0"/>
              <w:jc w:val="left"/>
              <w:rPr>
                <w:rFonts w:ascii="宋体" w:hAnsi="宋体" w:cs="宋体" w:eastAsia="宋体" w:hint="default"/>
                <w:sz w:val="18"/>
                <w:szCs w:val="18"/>
              </w:rPr>
            </w:pPr>
            <w:r>
              <w:rPr>
                <w:rFonts w:ascii="Arial" w:hAnsi="Arial" w:cs="Arial" w:eastAsia="Arial" w:hint="default"/>
                <w:sz w:val="18"/>
                <w:szCs w:val="18"/>
              </w:rPr>
              <w:t>04</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5"/>
              <w:ind w:left="13" w:right="0"/>
              <w:jc w:val="left"/>
              <w:rPr>
                <w:rFonts w:ascii="宋体" w:hAnsi="宋体" w:cs="宋体" w:eastAsia="宋体" w:hint="default"/>
                <w:sz w:val="18"/>
                <w:szCs w:val="18"/>
              </w:rPr>
            </w:pPr>
            <w:r>
              <w:rPr>
                <w:rFonts w:ascii="Arial" w:hAnsi="Arial" w:cs="Arial" w:eastAsia="Arial" w:hint="default"/>
                <w:sz w:val="18"/>
                <w:szCs w:val="18"/>
              </w:rPr>
              <w:t>21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635" w:type="dxa"/>
            <w:vMerge/>
            <w:tcBorders>
              <w:left w:val="nil" w:sz="6" w:space="0" w:color="auto"/>
              <w:right w:val="nil" w:sz="6" w:space="0" w:color="auto"/>
            </w:tcBorders>
          </w:tcPr>
          <w:p>
            <w:pPr/>
          </w:p>
        </w:tc>
      </w:tr>
      <w:tr>
        <w:trPr>
          <w:trHeight w:val="156" w:hRule="exact"/>
        </w:trPr>
        <w:tc>
          <w:tcPr>
            <w:tcW w:w="780" w:type="dxa"/>
            <w:vMerge/>
            <w:tcBorders>
              <w:left w:val="nil" w:sz="6" w:space="0" w:color="auto"/>
              <w:right w:val="nil" w:sz="6" w:space="0" w:color="auto"/>
            </w:tcBorders>
            <w:shd w:val="clear" w:color="auto" w:fill="DEEAF6"/>
          </w:tcPr>
          <w:p>
            <w:pPr/>
          </w:p>
        </w:tc>
        <w:tc>
          <w:tcPr>
            <w:tcW w:w="691" w:type="dxa"/>
            <w:vMerge/>
            <w:tcBorders>
              <w:left w:val="single" w:sz="12" w:space="0" w:color="DEEAF6"/>
              <w:right w:val="nil" w:sz="6" w:space="0" w:color="auto"/>
            </w:tcBorders>
          </w:tcPr>
          <w:p>
            <w:pPr/>
          </w:p>
        </w:tc>
        <w:tc>
          <w:tcPr>
            <w:tcW w:w="663" w:type="dxa"/>
            <w:vMerge w:val="restart"/>
            <w:tcBorders>
              <w:top w:val="nil" w:sz="6" w:space="0" w:color="auto"/>
              <w:left w:val="nil" w:sz="6" w:space="0" w:color="auto"/>
              <w:right w:val="nil" w:sz="6" w:space="0" w:color="auto"/>
            </w:tcBorders>
            <w:shd w:val="clear" w:color="auto" w:fill="DEEAF6"/>
          </w:tcPr>
          <w:p>
            <w:pPr>
              <w:pStyle w:val="TableParagraph"/>
              <w:spacing w:line="319" w:lineRule="auto" w:before="46"/>
              <w:ind w:left="20" w:right="100"/>
              <w:jc w:val="left"/>
              <w:rPr>
                <w:rFonts w:ascii="宋体" w:hAnsi="宋体" w:cs="宋体" w:eastAsia="宋体" w:hint="default"/>
                <w:sz w:val="18"/>
                <w:szCs w:val="18"/>
              </w:rPr>
            </w:pPr>
            <w:r>
              <w:rPr>
                <w:rFonts w:ascii="宋体" w:hAnsi="宋体" w:cs="宋体" w:eastAsia="宋体" w:hint="default"/>
                <w:sz w:val="18"/>
                <w:szCs w:val="18"/>
              </w:rPr>
              <w:t>接受劳 务</w:t>
            </w:r>
          </w:p>
        </w:tc>
        <w:tc>
          <w:tcPr>
            <w:tcW w:w="712" w:type="dxa"/>
            <w:vMerge/>
            <w:tcBorders>
              <w:left w:val="nil" w:sz="6" w:space="0" w:color="auto"/>
              <w:right w:val="nil" w:sz="6" w:space="0" w:color="auto"/>
            </w:tcBorders>
          </w:tcPr>
          <w:p>
            <w:pPr/>
          </w:p>
        </w:tc>
        <w:tc>
          <w:tcPr>
            <w:tcW w:w="680" w:type="dxa"/>
            <w:vMerge/>
            <w:tcBorders>
              <w:left w:val="nil" w:sz="6" w:space="0" w:color="auto"/>
              <w:right w:val="nil" w:sz="6" w:space="0" w:color="auto"/>
            </w:tcBorders>
            <w:shd w:val="clear" w:color="auto" w:fill="DEEAF6"/>
          </w:tcPr>
          <w:p>
            <w:pPr/>
          </w:p>
        </w:tc>
        <w:tc>
          <w:tcPr>
            <w:tcW w:w="689" w:type="dxa"/>
            <w:vMerge/>
            <w:tcBorders>
              <w:left w:val="nil" w:sz="6" w:space="0" w:color="auto"/>
              <w:right w:val="nil" w:sz="6" w:space="0" w:color="auto"/>
            </w:tcBorders>
          </w:tcPr>
          <w:p>
            <w:pPr/>
          </w:p>
        </w:tc>
        <w:tc>
          <w:tcPr>
            <w:tcW w:w="660" w:type="dxa"/>
            <w:vMerge/>
            <w:tcBorders>
              <w:left w:val="nil" w:sz="6" w:space="0" w:color="auto"/>
              <w:bottom w:val="nil" w:sz="6" w:space="0" w:color="auto"/>
              <w:right w:val="nil" w:sz="6" w:space="0" w:color="auto"/>
            </w:tcBorders>
            <w:shd w:val="clear" w:color="auto" w:fill="DEEAF6"/>
          </w:tcPr>
          <w:p>
            <w:pPr/>
          </w:p>
        </w:tc>
        <w:tc>
          <w:tcPr>
            <w:tcW w:w="674" w:type="dxa"/>
            <w:vMerge/>
            <w:tcBorders>
              <w:left w:val="nil" w:sz="6" w:space="0" w:color="auto"/>
              <w:right w:val="nil" w:sz="6" w:space="0" w:color="auto"/>
            </w:tcBorders>
          </w:tcPr>
          <w:p>
            <w:pPr/>
          </w:p>
        </w:tc>
        <w:tc>
          <w:tcPr>
            <w:tcW w:w="674" w:type="dxa"/>
            <w:vMerge/>
            <w:tcBorders>
              <w:left w:val="nil" w:sz="6" w:space="0" w:color="auto"/>
              <w:bottom w:val="nil" w:sz="6" w:space="0" w:color="auto"/>
              <w:right w:val="nil" w:sz="6" w:space="0" w:color="auto"/>
            </w:tcBorders>
            <w:shd w:val="clear" w:color="auto" w:fill="DEEAF6"/>
          </w:tcPr>
          <w:p>
            <w:pPr/>
          </w:p>
        </w:tc>
        <w:tc>
          <w:tcPr>
            <w:tcW w:w="681" w:type="dxa"/>
            <w:vMerge/>
            <w:tcBorders>
              <w:left w:val="nil" w:sz="6" w:space="0" w:color="auto"/>
              <w:right w:val="nil" w:sz="6" w:space="0" w:color="auto"/>
            </w:tcBorders>
          </w:tcPr>
          <w:p>
            <w:pPr/>
          </w:p>
        </w:tc>
        <w:tc>
          <w:tcPr>
            <w:tcW w:w="667" w:type="dxa"/>
            <w:vMerge w:val="restart"/>
            <w:tcBorders>
              <w:top w:val="nil" w:sz="6" w:space="0" w:color="auto"/>
              <w:left w:val="nil" w:sz="6" w:space="0" w:color="auto"/>
              <w:right w:val="nil" w:sz="6" w:space="0" w:color="auto"/>
            </w:tcBorders>
            <w:shd w:val="clear" w:color="auto" w:fill="DEEAF6"/>
          </w:tcPr>
          <w:p>
            <w:pPr>
              <w:pStyle w:val="TableParagraph"/>
              <w:spacing w:line="319" w:lineRule="auto" w:before="46"/>
              <w:ind w:left="21" w:right="105"/>
              <w:jc w:val="left"/>
              <w:rPr>
                <w:rFonts w:ascii="宋体" w:hAnsi="宋体" w:cs="宋体" w:eastAsia="宋体" w:hint="default"/>
                <w:sz w:val="18"/>
                <w:szCs w:val="18"/>
              </w:rPr>
            </w:pPr>
            <w:r>
              <w:rPr>
                <w:rFonts w:ascii="宋体" w:hAnsi="宋体" w:cs="宋体" w:eastAsia="宋体" w:hint="default"/>
                <w:sz w:val="18"/>
                <w:szCs w:val="18"/>
              </w:rPr>
              <w:t>现金结 算</w:t>
            </w:r>
          </w:p>
        </w:tc>
        <w:tc>
          <w:tcPr>
            <w:tcW w:w="688" w:type="dxa"/>
            <w:vMerge/>
            <w:tcBorders>
              <w:left w:val="nil" w:sz="6" w:space="0" w:color="auto"/>
              <w:right w:val="nil" w:sz="6" w:space="0" w:color="auto"/>
            </w:tcBorders>
          </w:tcPr>
          <w:p>
            <w:pPr/>
          </w:p>
        </w:tc>
        <w:tc>
          <w:tcPr>
            <w:tcW w:w="649" w:type="dxa"/>
            <w:vMerge/>
            <w:tcBorders>
              <w:left w:val="nil" w:sz="6" w:space="0" w:color="auto"/>
              <w:right w:val="nil" w:sz="6" w:space="0" w:color="auto"/>
            </w:tcBorders>
            <w:shd w:val="clear" w:color="auto" w:fill="DEEAF6"/>
          </w:tcPr>
          <w:p>
            <w:pPr/>
          </w:p>
        </w:tc>
        <w:tc>
          <w:tcPr>
            <w:tcW w:w="635" w:type="dxa"/>
            <w:vMerge/>
            <w:tcBorders>
              <w:left w:val="nil" w:sz="6" w:space="0" w:color="auto"/>
              <w:right w:val="nil" w:sz="6" w:space="0" w:color="auto"/>
            </w:tcBorders>
          </w:tcPr>
          <w:p>
            <w:pPr/>
          </w:p>
        </w:tc>
      </w:tr>
      <w:tr>
        <w:trPr>
          <w:trHeight w:val="393" w:hRule="exact"/>
        </w:trPr>
        <w:tc>
          <w:tcPr>
            <w:tcW w:w="780" w:type="dxa"/>
            <w:vMerge/>
            <w:tcBorders>
              <w:left w:val="nil" w:sz="6" w:space="0" w:color="auto"/>
              <w:right w:val="nil" w:sz="6" w:space="0" w:color="auto"/>
            </w:tcBorders>
            <w:shd w:val="clear" w:color="auto" w:fill="DEEAF6"/>
          </w:tcPr>
          <w:p>
            <w:pPr/>
          </w:p>
        </w:tc>
        <w:tc>
          <w:tcPr>
            <w:tcW w:w="691" w:type="dxa"/>
            <w:vMerge/>
            <w:tcBorders>
              <w:left w:val="single" w:sz="12" w:space="0" w:color="DEEAF6"/>
              <w:right w:val="nil" w:sz="6" w:space="0" w:color="auto"/>
            </w:tcBorders>
          </w:tcPr>
          <w:p>
            <w:pPr/>
          </w:p>
        </w:tc>
        <w:tc>
          <w:tcPr>
            <w:tcW w:w="663" w:type="dxa"/>
            <w:vMerge/>
            <w:tcBorders>
              <w:left w:val="nil" w:sz="6" w:space="0" w:color="auto"/>
              <w:right w:val="nil" w:sz="6" w:space="0" w:color="auto"/>
            </w:tcBorders>
            <w:shd w:val="clear" w:color="auto" w:fill="DEEAF6"/>
          </w:tcPr>
          <w:p>
            <w:pPr/>
          </w:p>
        </w:tc>
        <w:tc>
          <w:tcPr>
            <w:tcW w:w="712" w:type="dxa"/>
            <w:vMerge/>
            <w:tcBorders>
              <w:left w:val="nil" w:sz="6" w:space="0" w:color="auto"/>
              <w:right w:val="nil" w:sz="6" w:space="0" w:color="auto"/>
            </w:tcBorders>
          </w:tcPr>
          <w:p>
            <w:pPr/>
          </w:p>
        </w:tc>
        <w:tc>
          <w:tcPr>
            <w:tcW w:w="680" w:type="dxa"/>
            <w:vMerge/>
            <w:tcBorders>
              <w:left w:val="nil" w:sz="6" w:space="0" w:color="auto"/>
              <w:right w:val="nil" w:sz="6" w:space="0" w:color="auto"/>
            </w:tcBorders>
            <w:shd w:val="clear" w:color="auto" w:fill="DEEAF6"/>
          </w:tcPr>
          <w:p>
            <w:pPr/>
          </w:p>
        </w:tc>
        <w:tc>
          <w:tcPr>
            <w:tcW w:w="689" w:type="dxa"/>
            <w:vMerge/>
            <w:tcBorders>
              <w:left w:val="nil" w:sz="6" w:space="0" w:color="auto"/>
              <w:right w:val="nil" w:sz="6" w:space="0" w:color="auto"/>
            </w:tcBorders>
          </w:tcPr>
          <w:p>
            <w:pPr/>
          </w:p>
        </w:tc>
        <w:tc>
          <w:tcPr>
            <w:tcW w:w="660"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left="83" w:right="0"/>
              <w:jc w:val="left"/>
              <w:rPr>
                <w:rFonts w:ascii="Arial" w:hAnsi="Arial" w:cs="Arial" w:eastAsia="Arial" w:hint="default"/>
                <w:sz w:val="18"/>
                <w:szCs w:val="18"/>
              </w:rPr>
            </w:pPr>
            <w:r>
              <w:rPr>
                <w:rFonts w:ascii="Arial"/>
                <w:sz w:val="18"/>
              </w:rPr>
              <w:t>839.44</w:t>
            </w:r>
          </w:p>
        </w:tc>
        <w:tc>
          <w:tcPr>
            <w:tcW w:w="674" w:type="dxa"/>
            <w:vMerge/>
            <w:tcBorders>
              <w:left w:val="nil" w:sz="6" w:space="0" w:color="auto"/>
              <w:right w:val="nil" w:sz="6" w:space="0" w:color="auto"/>
            </w:tcBorders>
          </w:tcPr>
          <w:p>
            <w:pPr/>
          </w:p>
        </w:tc>
        <w:tc>
          <w:tcPr>
            <w:tcW w:w="674"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left="196" w:right="0"/>
              <w:jc w:val="left"/>
              <w:rPr>
                <w:rFonts w:ascii="Arial" w:hAnsi="Arial" w:cs="Arial" w:eastAsia="Arial" w:hint="default"/>
                <w:sz w:val="18"/>
                <w:szCs w:val="18"/>
              </w:rPr>
            </w:pPr>
            <w:r>
              <w:rPr>
                <w:rFonts w:ascii="Arial"/>
                <w:sz w:val="18"/>
              </w:rPr>
              <w:t>2,500</w:t>
            </w:r>
          </w:p>
        </w:tc>
        <w:tc>
          <w:tcPr>
            <w:tcW w:w="681" w:type="dxa"/>
            <w:vMerge/>
            <w:tcBorders>
              <w:left w:val="nil" w:sz="6" w:space="0" w:color="auto"/>
              <w:right w:val="nil" w:sz="6" w:space="0" w:color="auto"/>
            </w:tcBorders>
          </w:tcPr>
          <w:p>
            <w:pPr/>
          </w:p>
        </w:tc>
        <w:tc>
          <w:tcPr>
            <w:tcW w:w="667" w:type="dxa"/>
            <w:vMerge/>
            <w:tcBorders>
              <w:left w:val="nil" w:sz="6" w:space="0" w:color="auto"/>
              <w:right w:val="nil" w:sz="6" w:space="0" w:color="auto"/>
            </w:tcBorders>
            <w:shd w:val="clear" w:color="auto" w:fill="DEEAF6"/>
          </w:tcPr>
          <w:p>
            <w:pPr/>
          </w:p>
        </w:tc>
        <w:tc>
          <w:tcPr>
            <w:tcW w:w="688" w:type="dxa"/>
            <w:vMerge/>
            <w:tcBorders>
              <w:left w:val="nil" w:sz="6" w:space="0" w:color="auto"/>
              <w:right w:val="nil" w:sz="6" w:space="0" w:color="auto"/>
            </w:tcBorders>
          </w:tcPr>
          <w:p>
            <w:pPr/>
          </w:p>
        </w:tc>
        <w:tc>
          <w:tcPr>
            <w:tcW w:w="649" w:type="dxa"/>
            <w:vMerge/>
            <w:tcBorders>
              <w:left w:val="nil" w:sz="6" w:space="0" w:color="auto"/>
              <w:right w:val="nil" w:sz="6" w:space="0" w:color="auto"/>
            </w:tcBorders>
            <w:shd w:val="clear" w:color="auto" w:fill="DEEAF6"/>
          </w:tcPr>
          <w:p>
            <w:pPr/>
          </w:p>
        </w:tc>
        <w:tc>
          <w:tcPr>
            <w:tcW w:w="635" w:type="dxa"/>
            <w:vMerge/>
            <w:tcBorders>
              <w:left w:val="nil" w:sz="6" w:space="0" w:color="auto"/>
              <w:right w:val="nil" w:sz="6" w:space="0" w:color="auto"/>
            </w:tcBorders>
          </w:tcPr>
          <w:p>
            <w:pPr/>
          </w:p>
        </w:tc>
      </w:tr>
      <w:tr>
        <w:trPr>
          <w:trHeight w:val="156" w:hRule="exact"/>
        </w:trPr>
        <w:tc>
          <w:tcPr>
            <w:tcW w:w="780" w:type="dxa"/>
            <w:vMerge/>
            <w:tcBorders>
              <w:left w:val="nil" w:sz="6" w:space="0" w:color="auto"/>
              <w:right w:val="nil" w:sz="6" w:space="0" w:color="auto"/>
            </w:tcBorders>
            <w:shd w:val="clear" w:color="auto" w:fill="DEEAF6"/>
          </w:tcPr>
          <w:p>
            <w:pPr/>
          </w:p>
        </w:tc>
        <w:tc>
          <w:tcPr>
            <w:tcW w:w="691" w:type="dxa"/>
            <w:vMerge/>
            <w:tcBorders>
              <w:left w:val="single" w:sz="12" w:space="0" w:color="DEEAF6"/>
              <w:right w:val="nil" w:sz="6" w:space="0" w:color="auto"/>
            </w:tcBorders>
          </w:tcPr>
          <w:p>
            <w:pPr/>
          </w:p>
        </w:tc>
        <w:tc>
          <w:tcPr>
            <w:tcW w:w="663" w:type="dxa"/>
            <w:vMerge/>
            <w:tcBorders>
              <w:left w:val="nil" w:sz="6" w:space="0" w:color="auto"/>
              <w:bottom w:val="nil" w:sz="6" w:space="0" w:color="auto"/>
              <w:right w:val="nil" w:sz="6" w:space="0" w:color="auto"/>
            </w:tcBorders>
            <w:shd w:val="clear" w:color="auto" w:fill="DEEAF6"/>
          </w:tcPr>
          <w:p>
            <w:pPr/>
          </w:p>
        </w:tc>
        <w:tc>
          <w:tcPr>
            <w:tcW w:w="712" w:type="dxa"/>
            <w:vMerge/>
            <w:tcBorders>
              <w:left w:val="nil" w:sz="6" w:space="0" w:color="auto"/>
              <w:right w:val="nil" w:sz="6" w:space="0" w:color="auto"/>
            </w:tcBorders>
          </w:tcPr>
          <w:p>
            <w:pPr/>
          </w:p>
        </w:tc>
        <w:tc>
          <w:tcPr>
            <w:tcW w:w="680" w:type="dxa"/>
            <w:vMerge/>
            <w:tcBorders>
              <w:left w:val="nil" w:sz="6" w:space="0" w:color="auto"/>
              <w:right w:val="nil" w:sz="6" w:space="0" w:color="auto"/>
            </w:tcBorders>
            <w:shd w:val="clear" w:color="auto" w:fill="DEEAF6"/>
          </w:tcPr>
          <w:p>
            <w:pPr/>
          </w:p>
        </w:tc>
        <w:tc>
          <w:tcPr>
            <w:tcW w:w="689" w:type="dxa"/>
            <w:vMerge/>
            <w:tcBorders>
              <w:left w:val="nil" w:sz="6" w:space="0" w:color="auto"/>
              <w:right w:val="nil" w:sz="6" w:space="0" w:color="auto"/>
            </w:tcBorders>
          </w:tcPr>
          <w:p>
            <w:pPr/>
          </w:p>
        </w:tc>
        <w:tc>
          <w:tcPr>
            <w:tcW w:w="660" w:type="dxa"/>
            <w:vMerge w:val="restart"/>
            <w:tcBorders>
              <w:top w:val="nil" w:sz="6" w:space="0" w:color="auto"/>
              <w:left w:val="nil" w:sz="6" w:space="0" w:color="auto"/>
              <w:right w:val="nil" w:sz="6" w:space="0" w:color="auto"/>
            </w:tcBorders>
            <w:shd w:val="clear" w:color="auto" w:fill="DEEAF6"/>
          </w:tcPr>
          <w:p>
            <w:pPr/>
          </w:p>
        </w:tc>
        <w:tc>
          <w:tcPr>
            <w:tcW w:w="674" w:type="dxa"/>
            <w:vMerge/>
            <w:tcBorders>
              <w:left w:val="nil" w:sz="6" w:space="0" w:color="auto"/>
              <w:right w:val="nil" w:sz="6" w:space="0" w:color="auto"/>
            </w:tcBorders>
          </w:tcPr>
          <w:p>
            <w:pPr/>
          </w:p>
        </w:tc>
        <w:tc>
          <w:tcPr>
            <w:tcW w:w="674" w:type="dxa"/>
            <w:vMerge w:val="restart"/>
            <w:tcBorders>
              <w:top w:val="nil" w:sz="6" w:space="0" w:color="auto"/>
              <w:left w:val="nil" w:sz="6" w:space="0" w:color="auto"/>
              <w:right w:val="nil" w:sz="6" w:space="0" w:color="auto"/>
            </w:tcBorders>
            <w:shd w:val="clear" w:color="auto" w:fill="DEEAF6"/>
          </w:tcPr>
          <w:p>
            <w:pPr/>
          </w:p>
        </w:tc>
        <w:tc>
          <w:tcPr>
            <w:tcW w:w="681" w:type="dxa"/>
            <w:vMerge/>
            <w:tcBorders>
              <w:left w:val="nil" w:sz="6" w:space="0" w:color="auto"/>
              <w:right w:val="nil" w:sz="6" w:space="0" w:color="auto"/>
            </w:tcBorders>
          </w:tcPr>
          <w:p>
            <w:pPr/>
          </w:p>
        </w:tc>
        <w:tc>
          <w:tcPr>
            <w:tcW w:w="667" w:type="dxa"/>
            <w:vMerge/>
            <w:tcBorders>
              <w:left w:val="nil" w:sz="6" w:space="0" w:color="auto"/>
              <w:bottom w:val="nil" w:sz="6" w:space="0" w:color="auto"/>
              <w:right w:val="nil" w:sz="6" w:space="0" w:color="auto"/>
            </w:tcBorders>
            <w:shd w:val="clear" w:color="auto" w:fill="DEEAF6"/>
          </w:tcPr>
          <w:p>
            <w:pPr/>
          </w:p>
        </w:tc>
        <w:tc>
          <w:tcPr>
            <w:tcW w:w="688" w:type="dxa"/>
            <w:vMerge/>
            <w:tcBorders>
              <w:left w:val="nil" w:sz="6" w:space="0" w:color="auto"/>
              <w:right w:val="nil" w:sz="6" w:space="0" w:color="auto"/>
            </w:tcBorders>
          </w:tcPr>
          <w:p>
            <w:pPr/>
          </w:p>
        </w:tc>
        <w:tc>
          <w:tcPr>
            <w:tcW w:w="649" w:type="dxa"/>
            <w:vMerge/>
            <w:tcBorders>
              <w:left w:val="nil" w:sz="6" w:space="0" w:color="auto"/>
              <w:right w:val="nil" w:sz="6" w:space="0" w:color="auto"/>
            </w:tcBorders>
            <w:shd w:val="clear" w:color="auto" w:fill="DEEAF6"/>
          </w:tcPr>
          <w:p>
            <w:pPr/>
          </w:p>
        </w:tc>
        <w:tc>
          <w:tcPr>
            <w:tcW w:w="635" w:type="dxa"/>
            <w:vMerge/>
            <w:tcBorders>
              <w:left w:val="nil" w:sz="6" w:space="0" w:color="auto"/>
              <w:right w:val="nil" w:sz="6" w:space="0" w:color="auto"/>
            </w:tcBorders>
          </w:tcPr>
          <w:p>
            <w:pPr/>
          </w:p>
        </w:tc>
      </w:tr>
      <w:tr>
        <w:trPr>
          <w:trHeight w:val="156" w:hRule="exact"/>
        </w:trPr>
        <w:tc>
          <w:tcPr>
            <w:tcW w:w="780" w:type="dxa"/>
            <w:vMerge/>
            <w:tcBorders>
              <w:left w:val="nil" w:sz="6" w:space="0" w:color="auto"/>
              <w:right w:val="nil" w:sz="6" w:space="0" w:color="auto"/>
            </w:tcBorders>
            <w:shd w:val="clear" w:color="auto" w:fill="DEEAF6"/>
          </w:tcPr>
          <w:p>
            <w:pPr/>
          </w:p>
        </w:tc>
        <w:tc>
          <w:tcPr>
            <w:tcW w:w="691" w:type="dxa"/>
            <w:vMerge/>
            <w:tcBorders>
              <w:left w:val="single" w:sz="12" w:space="0" w:color="DEEAF6"/>
              <w:right w:val="nil" w:sz="6" w:space="0" w:color="auto"/>
            </w:tcBorders>
          </w:tcPr>
          <w:p>
            <w:pPr/>
          </w:p>
        </w:tc>
        <w:tc>
          <w:tcPr>
            <w:tcW w:w="663" w:type="dxa"/>
            <w:vMerge w:val="restart"/>
            <w:tcBorders>
              <w:top w:val="nil" w:sz="6" w:space="0" w:color="auto"/>
              <w:left w:val="nil" w:sz="6" w:space="0" w:color="auto"/>
              <w:right w:val="nil" w:sz="6" w:space="0" w:color="auto"/>
            </w:tcBorders>
            <w:shd w:val="clear" w:color="auto" w:fill="DEEAF6"/>
          </w:tcPr>
          <w:p>
            <w:pPr/>
          </w:p>
        </w:tc>
        <w:tc>
          <w:tcPr>
            <w:tcW w:w="712" w:type="dxa"/>
            <w:vMerge/>
            <w:tcBorders>
              <w:left w:val="nil" w:sz="6" w:space="0" w:color="auto"/>
              <w:right w:val="nil" w:sz="6" w:space="0" w:color="auto"/>
            </w:tcBorders>
          </w:tcPr>
          <w:p>
            <w:pPr/>
          </w:p>
        </w:tc>
        <w:tc>
          <w:tcPr>
            <w:tcW w:w="680" w:type="dxa"/>
            <w:vMerge/>
            <w:tcBorders>
              <w:left w:val="nil" w:sz="6" w:space="0" w:color="auto"/>
              <w:right w:val="nil" w:sz="6" w:space="0" w:color="auto"/>
            </w:tcBorders>
            <w:shd w:val="clear" w:color="auto" w:fill="DEEAF6"/>
          </w:tcPr>
          <w:p>
            <w:pPr/>
          </w:p>
        </w:tc>
        <w:tc>
          <w:tcPr>
            <w:tcW w:w="689" w:type="dxa"/>
            <w:vMerge/>
            <w:tcBorders>
              <w:left w:val="nil" w:sz="6" w:space="0" w:color="auto"/>
              <w:right w:val="nil" w:sz="6" w:space="0" w:color="auto"/>
            </w:tcBorders>
          </w:tcPr>
          <w:p>
            <w:pPr/>
          </w:p>
        </w:tc>
        <w:tc>
          <w:tcPr>
            <w:tcW w:w="660" w:type="dxa"/>
            <w:vMerge/>
            <w:tcBorders>
              <w:left w:val="nil" w:sz="6" w:space="0" w:color="auto"/>
              <w:right w:val="nil" w:sz="6" w:space="0" w:color="auto"/>
            </w:tcBorders>
            <w:shd w:val="clear" w:color="auto" w:fill="DEEAF6"/>
          </w:tcPr>
          <w:p>
            <w:pPr/>
          </w:p>
        </w:tc>
        <w:tc>
          <w:tcPr>
            <w:tcW w:w="674" w:type="dxa"/>
            <w:vMerge/>
            <w:tcBorders>
              <w:left w:val="nil" w:sz="6" w:space="0" w:color="auto"/>
              <w:right w:val="nil" w:sz="6" w:space="0" w:color="auto"/>
            </w:tcBorders>
          </w:tcPr>
          <w:p>
            <w:pPr/>
          </w:p>
        </w:tc>
        <w:tc>
          <w:tcPr>
            <w:tcW w:w="674" w:type="dxa"/>
            <w:vMerge/>
            <w:tcBorders>
              <w:left w:val="nil" w:sz="6" w:space="0" w:color="auto"/>
              <w:right w:val="nil" w:sz="6" w:space="0" w:color="auto"/>
            </w:tcBorders>
            <w:shd w:val="clear" w:color="auto" w:fill="DEEAF6"/>
          </w:tcPr>
          <w:p>
            <w:pPr/>
          </w:p>
        </w:tc>
        <w:tc>
          <w:tcPr>
            <w:tcW w:w="681" w:type="dxa"/>
            <w:vMerge/>
            <w:tcBorders>
              <w:left w:val="nil" w:sz="6" w:space="0" w:color="auto"/>
              <w:right w:val="nil" w:sz="6" w:space="0" w:color="auto"/>
            </w:tcBorders>
          </w:tcPr>
          <w:p>
            <w:pPr/>
          </w:p>
        </w:tc>
        <w:tc>
          <w:tcPr>
            <w:tcW w:w="667" w:type="dxa"/>
            <w:vMerge w:val="restart"/>
            <w:tcBorders>
              <w:top w:val="nil" w:sz="6" w:space="0" w:color="auto"/>
              <w:left w:val="nil" w:sz="6" w:space="0" w:color="auto"/>
              <w:right w:val="nil" w:sz="6" w:space="0" w:color="auto"/>
            </w:tcBorders>
            <w:shd w:val="clear" w:color="auto" w:fill="DEEAF6"/>
          </w:tcPr>
          <w:p>
            <w:pPr/>
          </w:p>
        </w:tc>
        <w:tc>
          <w:tcPr>
            <w:tcW w:w="688" w:type="dxa"/>
            <w:vMerge/>
            <w:tcBorders>
              <w:left w:val="nil" w:sz="6" w:space="0" w:color="auto"/>
              <w:right w:val="nil" w:sz="6" w:space="0" w:color="auto"/>
            </w:tcBorders>
          </w:tcPr>
          <w:p>
            <w:pPr/>
          </w:p>
        </w:tc>
        <w:tc>
          <w:tcPr>
            <w:tcW w:w="649" w:type="dxa"/>
            <w:vMerge/>
            <w:tcBorders>
              <w:left w:val="nil" w:sz="6" w:space="0" w:color="auto"/>
              <w:bottom w:val="nil" w:sz="6" w:space="0" w:color="auto"/>
              <w:right w:val="nil" w:sz="6" w:space="0" w:color="auto"/>
            </w:tcBorders>
            <w:shd w:val="clear" w:color="auto" w:fill="DEEAF6"/>
          </w:tcPr>
          <w:p>
            <w:pPr/>
          </w:p>
        </w:tc>
        <w:tc>
          <w:tcPr>
            <w:tcW w:w="635" w:type="dxa"/>
            <w:vMerge/>
            <w:tcBorders>
              <w:left w:val="nil" w:sz="6" w:space="0" w:color="auto"/>
              <w:right w:val="nil" w:sz="6" w:space="0" w:color="auto"/>
            </w:tcBorders>
          </w:tcPr>
          <w:p>
            <w:pPr/>
          </w:p>
        </w:tc>
      </w:tr>
      <w:tr>
        <w:trPr>
          <w:trHeight w:val="312" w:hRule="exact"/>
        </w:trPr>
        <w:tc>
          <w:tcPr>
            <w:tcW w:w="780" w:type="dxa"/>
            <w:vMerge/>
            <w:tcBorders>
              <w:left w:val="nil" w:sz="6" w:space="0" w:color="auto"/>
              <w:right w:val="nil" w:sz="6" w:space="0" w:color="auto"/>
            </w:tcBorders>
            <w:shd w:val="clear" w:color="auto" w:fill="DEEAF6"/>
          </w:tcPr>
          <w:p>
            <w:pPr/>
          </w:p>
        </w:tc>
        <w:tc>
          <w:tcPr>
            <w:tcW w:w="691" w:type="dxa"/>
            <w:vMerge/>
            <w:tcBorders>
              <w:left w:val="single" w:sz="12" w:space="0" w:color="DEEAF6"/>
              <w:right w:val="nil" w:sz="6" w:space="0" w:color="auto"/>
            </w:tcBorders>
          </w:tcPr>
          <w:p>
            <w:pPr/>
          </w:p>
        </w:tc>
        <w:tc>
          <w:tcPr>
            <w:tcW w:w="663" w:type="dxa"/>
            <w:vMerge/>
            <w:tcBorders>
              <w:left w:val="nil" w:sz="6" w:space="0" w:color="auto"/>
              <w:right w:val="nil" w:sz="6" w:space="0" w:color="auto"/>
            </w:tcBorders>
            <w:shd w:val="clear" w:color="auto" w:fill="DEEAF6"/>
          </w:tcPr>
          <w:p>
            <w:pPr/>
          </w:p>
        </w:tc>
        <w:tc>
          <w:tcPr>
            <w:tcW w:w="712" w:type="dxa"/>
            <w:vMerge/>
            <w:tcBorders>
              <w:left w:val="nil" w:sz="6" w:space="0" w:color="auto"/>
              <w:right w:val="nil" w:sz="6" w:space="0" w:color="auto"/>
            </w:tcBorders>
          </w:tcPr>
          <w:p>
            <w:pPr/>
          </w:p>
        </w:tc>
        <w:tc>
          <w:tcPr>
            <w:tcW w:w="680" w:type="dxa"/>
            <w:vMerge/>
            <w:tcBorders>
              <w:left w:val="nil" w:sz="6" w:space="0" w:color="auto"/>
              <w:bottom w:val="nil" w:sz="6" w:space="0" w:color="auto"/>
              <w:right w:val="nil" w:sz="6" w:space="0" w:color="auto"/>
            </w:tcBorders>
            <w:shd w:val="clear" w:color="auto" w:fill="DEEAF6"/>
          </w:tcPr>
          <w:p>
            <w:pPr/>
          </w:p>
        </w:tc>
        <w:tc>
          <w:tcPr>
            <w:tcW w:w="689" w:type="dxa"/>
            <w:vMerge/>
            <w:tcBorders>
              <w:left w:val="nil" w:sz="6" w:space="0" w:color="auto"/>
              <w:right w:val="nil" w:sz="6" w:space="0" w:color="auto"/>
            </w:tcBorders>
          </w:tcPr>
          <w:p>
            <w:pPr/>
          </w:p>
        </w:tc>
        <w:tc>
          <w:tcPr>
            <w:tcW w:w="660" w:type="dxa"/>
            <w:vMerge/>
            <w:tcBorders>
              <w:left w:val="nil" w:sz="6" w:space="0" w:color="auto"/>
              <w:right w:val="nil" w:sz="6" w:space="0" w:color="auto"/>
            </w:tcBorders>
            <w:shd w:val="clear" w:color="auto" w:fill="DEEAF6"/>
          </w:tcPr>
          <w:p>
            <w:pPr/>
          </w:p>
        </w:tc>
        <w:tc>
          <w:tcPr>
            <w:tcW w:w="674" w:type="dxa"/>
            <w:vMerge/>
            <w:tcBorders>
              <w:left w:val="nil" w:sz="6" w:space="0" w:color="auto"/>
              <w:right w:val="nil" w:sz="6" w:space="0" w:color="auto"/>
            </w:tcBorders>
          </w:tcPr>
          <w:p>
            <w:pPr/>
          </w:p>
        </w:tc>
        <w:tc>
          <w:tcPr>
            <w:tcW w:w="674" w:type="dxa"/>
            <w:vMerge/>
            <w:tcBorders>
              <w:left w:val="nil" w:sz="6" w:space="0" w:color="auto"/>
              <w:right w:val="nil" w:sz="6" w:space="0" w:color="auto"/>
            </w:tcBorders>
            <w:shd w:val="clear" w:color="auto" w:fill="DEEAF6"/>
          </w:tcPr>
          <w:p>
            <w:pPr/>
          </w:p>
        </w:tc>
        <w:tc>
          <w:tcPr>
            <w:tcW w:w="681" w:type="dxa"/>
            <w:vMerge/>
            <w:tcBorders>
              <w:left w:val="nil" w:sz="6" w:space="0" w:color="auto"/>
              <w:right w:val="nil" w:sz="6" w:space="0" w:color="auto"/>
            </w:tcBorders>
          </w:tcPr>
          <w:p>
            <w:pPr/>
          </w:p>
        </w:tc>
        <w:tc>
          <w:tcPr>
            <w:tcW w:w="667" w:type="dxa"/>
            <w:vMerge/>
            <w:tcBorders>
              <w:left w:val="nil" w:sz="6" w:space="0" w:color="auto"/>
              <w:right w:val="nil" w:sz="6" w:space="0" w:color="auto"/>
            </w:tcBorders>
            <w:shd w:val="clear" w:color="auto" w:fill="DEEAF6"/>
          </w:tcPr>
          <w:p>
            <w:pPr/>
          </w:p>
        </w:tc>
        <w:tc>
          <w:tcPr>
            <w:tcW w:w="688" w:type="dxa"/>
            <w:vMerge/>
            <w:tcBorders>
              <w:left w:val="nil" w:sz="6" w:space="0" w:color="auto"/>
              <w:right w:val="nil" w:sz="6" w:space="0" w:color="auto"/>
            </w:tcBorders>
          </w:tcPr>
          <w:p>
            <w:pPr/>
          </w:p>
        </w:tc>
        <w:tc>
          <w:tcPr>
            <w:tcW w:w="649" w:type="dxa"/>
            <w:vMerge w:val="restart"/>
            <w:tcBorders>
              <w:top w:val="nil" w:sz="6" w:space="0" w:color="auto"/>
              <w:left w:val="nil" w:sz="6" w:space="0" w:color="auto"/>
              <w:right w:val="nil" w:sz="6" w:space="0" w:color="auto"/>
            </w:tcBorders>
            <w:shd w:val="clear" w:color="auto" w:fill="DEEAF6"/>
          </w:tcPr>
          <w:p>
            <w:pPr/>
          </w:p>
        </w:tc>
        <w:tc>
          <w:tcPr>
            <w:tcW w:w="635" w:type="dxa"/>
            <w:vMerge/>
            <w:tcBorders>
              <w:left w:val="nil" w:sz="6" w:space="0" w:color="auto"/>
              <w:right w:val="nil" w:sz="6" w:space="0" w:color="auto"/>
            </w:tcBorders>
          </w:tcPr>
          <w:p>
            <w:pPr/>
          </w:p>
        </w:tc>
      </w:tr>
      <w:tr>
        <w:trPr>
          <w:trHeight w:val="454" w:hRule="exact"/>
        </w:trPr>
        <w:tc>
          <w:tcPr>
            <w:tcW w:w="780" w:type="dxa"/>
            <w:vMerge/>
            <w:tcBorders>
              <w:left w:val="nil" w:sz="6" w:space="0" w:color="auto"/>
              <w:bottom w:val="single" w:sz="4" w:space="0" w:color="5B9BD4"/>
              <w:right w:val="nil" w:sz="6" w:space="0" w:color="auto"/>
            </w:tcBorders>
            <w:shd w:val="clear" w:color="auto" w:fill="DEEAF6"/>
          </w:tcPr>
          <w:p>
            <w:pPr/>
          </w:p>
        </w:tc>
        <w:tc>
          <w:tcPr>
            <w:tcW w:w="691" w:type="dxa"/>
            <w:vMerge/>
            <w:tcBorders>
              <w:left w:val="single" w:sz="12" w:space="0" w:color="DEEAF6"/>
              <w:bottom w:val="single" w:sz="4" w:space="0" w:color="5B9BD4"/>
              <w:right w:val="nil" w:sz="6" w:space="0" w:color="auto"/>
            </w:tcBorders>
          </w:tcPr>
          <w:p>
            <w:pPr/>
          </w:p>
        </w:tc>
        <w:tc>
          <w:tcPr>
            <w:tcW w:w="663" w:type="dxa"/>
            <w:vMerge/>
            <w:tcBorders>
              <w:left w:val="nil" w:sz="6" w:space="0" w:color="auto"/>
              <w:bottom w:val="single" w:sz="4" w:space="0" w:color="5B9BD4"/>
              <w:right w:val="nil" w:sz="6" w:space="0" w:color="auto"/>
            </w:tcBorders>
            <w:shd w:val="clear" w:color="auto" w:fill="DEEAF6"/>
          </w:tcPr>
          <w:p>
            <w:pPr/>
          </w:p>
        </w:tc>
        <w:tc>
          <w:tcPr>
            <w:tcW w:w="712" w:type="dxa"/>
            <w:vMerge/>
            <w:tcBorders>
              <w:left w:val="nil" w:sz="6" w:space="0" w:color="auto"/>
              <w:bottom w:val="single" w:sz="4" w:space="0" w:color="5B9BD4"/>
              <w:right w:val="nil" w:sz="6" w:space="0" w:color="auto"/>
            </w:tcBorders>
          </w:tcPr>
          <w:p>
            <w:pPr/>
          </w:p>
        </w:tc>
        <w:tc>
          <w:tcPr>
            <w:tcW w:w="680" w:type="dxa"/>
            <w:tcBorders>
              <w:top w:val="nil" w:sz="6" w:space="0" w:color="auto"/>
              <w:left w:val="nil" w:sz="6" w:space="0" w:color="auto"/>
              <w:bottom w:val="single" w:sz="4" w:space="0" w:color="5B9BD4"/>
              <w:right w:val="nil" w:sz="6" w:space="0" w:color="auto"/>
            </w:tcBorders>
            <w:shd w:val="clear" w:color="auto" w:fill="DEEAF6"/>
          </w:tcPr>
          <w:p>
            <w:pPr/>
          </w:p>
        </w:tc>
        <w:tc>
          <w:tcPr>
            <w:tcW w:w="689" w:type="dxa"/>
            <w:vMerge/>
            <w:tcBorders>
              <w:left w:val="nil" w:sz="6" w:space="0" w:color="auto"/>
              <w:bottom w:val="single" w:sz="4" w:space="0" w:color="5B9BD4"/>
              <w:right w:val="nil" w:sz="6" w:space="0" w:color="auto"/>
            </w:tcBorders>
          </w:tcPr>
          <w:p>
            <w:pPr/>
          </w:p>
        </w:tc>
        <w:tc>
          <w:tcPr>
            <w:tcW w:w="660" w:type="dxa"/>
            <w:vMerge/>
            <w:tcBorders>
              <w:left w:val="nil" w:sz="6" w:space="0" w:color="auto"/>
              <w:bottom w:val="single" w:sz="4" w:space="0" w:color="5B9BD4"/>
              <w:right w:val="nil" w:sz="6" w:space="0" w:color="auto"/>
            </w:tcBorders>
            <w:shd w:val="clear" w:color="auto" w:fill="DEEAF6"/>
          </w:tcPr>
          <w:p>
            <w:pPr/>
          </w:p>
        </w:tc>
        <w:tc>
          <w:tcPr>
            <w:tcW w:w="674" w:type="dxa"/>
            <w:vMerge/>
            <w:tcBorders>
              <w:left w:val="nil" w:sz="6" w:space="0" w:color="auto"/>
              <w:bottom w:val="single" w:sz="4" w:space="0" w:color="5B9BD4"/>
              <w:right w:val="nil" w:sz="6" w:space="0" w:color="auto"/>
            </w:tcBorders>
          </w:tcPr>
          <w:p>
            <w:pPr/>
          </w:p>
        </w:tc>
        <w:tc>
          <w:tcPr>
            <w:tcW w:w="674" w:type="dxa"/>
            <w:vMerge/>
            <w:tcBorders>
              <w:left w:val="nil" w:sz="6" w:space="0" w:color="auto"/>
              <w:bottom w:val="single" w:sz="4" w:space="0" w:color="5B9BD4"/>
              <w:right w:val="nil" w:sz="6" w:space="0" w:color="auto"/>
            </w:tcBorders>
            <w:shd w:val="clear" w:color="auto" w:fill="DEEAF6"/>
          </w:tcPr>
          <w:p>
            <w:pPr/>
          </w:p>
        </w:tc>
        <w:tc>
          <w:tcPr>
            <w:tcW w:w="681" w:type="dxa"/>
            <w:vMerge/>
            <w:tcBorders>
              <w:left w:val="nil" w:sz="6" w:space="0" w:color="auto"/>
              <w:bottom w:val="single" w:sz="4" w:space="0" w:color="5B9BD4"/>
              <w:right w:val="nil" w:sz="6" w:space="0" w:color="auto"/>
            </w:tcBorders>
          </w:tcPr>
          <w:p>
            <w:pPr/>
          </w:p>
        </w:tc>
        <w:tc>
          <w:tcPr>
            <w:tcW w:w="667" w:type="dxa"/>
            <w:vMerge/>
            <w:tcBorders>
              <w:left w:val="nil" w:sz="6" w:space="0" w:color="auto"/>
              <w:bottom w:val="single" w:sz="4" w:space="0" w:color="5B9BD4"/>
              <w:right w:val="nil" w:sz="6" w:space="0" w:color="auto"/>
            </w:tcBorders>
            <w:shd w:val="clear" w:color="auto" w:fill="DEEAF6"/>
          </w:tcPr>
          <w:p>
            <w:pPr/>
          </w:p>
        </w:tc>
        <w:tc>
          <w:tcPr>
            <w:tcW w:w="688" w:type="dxa"/>
            <w:vMerge/>
            <w:tcBorders>
              <w:left w:val="nil" w:sz="6" w:space="0" w:color="auto"/>
              <w:bottom w:val="single" w:sz="4" w:space="0" w:color="5B9BD4"/>
              <w:right w:val="nil" w:sz="6" w:space="0" w:color="auto"/>
            </w:tcBorders>
          </w:tcPr>
          <w:p>
            <w:pPr/>
          </w:p>
        </w:tc>
        <w:tc>
          <w:tcPr>
            <w:tcW w:w="649" w:type="dxa"/>
            <w:vMerge/>
            <w:tcBorders>
              <w:left w:val="nil" w:sz="6" w:space="0" w:color="auto"/>
              <w:bottom w:val="single" w:sz="4" w:space="0" w:color="5B9BD4"/>
              <w:right w:val="nil" w:sz="6" w:space="0" w:color="auto"/>
            </w:tcBorders>
            <w:shd w:val="clear" w:color="auto" w:fill="DEEAF6"/>
          </w:tcPr>
          <w:p>
            <w:pPr/>
          </w:p>
        </w:tc>
        <w:tc>
          <w:tcPr>
            <w:tcW w:w="635" w:type="dxa"/>
            <w:vMerge/>
            <w:tcBorders>
              <w:left w:val="nil" w:sz="6" w:space="0" w:color="auto"/>
              <w:bottom w:val="single" w:sz="4" w:space="0" w:color="5B9BD4"/>
              <w:right w:val="nil" w:sz="6" w:space="0" w:color="auto"/>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2" w:type="dxa"/>
        <w:tblLayout w:type="fixed"/>
        <w:tblCellMar>
          <w:top w:w="0" w:type="dxa"/>
          <w:left w:w="0" w:type="dxa"/>
          <w:bottom w:w="0" w:type="dxa"/>
          <w:right w:w="0" w:type="dxa"/>
        </w:tblCellMar>
        <w:tblLook w:val="01E0"/>
      </w:tblPr>
      <w:tblGrid>
        <w:gridCol w:w="773"/>
        <w:gridCol w:w="691"/>
        <w:gridCol w:w="677"/>
        <w:gridCol w:w="691"/>
        <w:gridCol w:w="680"/>
        <w:gridCol w:w="689"/>
        <w:gridCol w:w="673"/>
        <w:gridCol w:w="674"/>
        <w:gridCol w:w="674"/>
        <w:gridCol w:w="673"/>
        <w:gridCol w:w="675"/>
        <w:gridCol w:w="674"/>
        <w:gridCol w:w="670"/>
        <w:gridCol w:w="642"/>
      </w:tblGrid>
      <w:tr>
        <w:trPr>
          <w:trHeight w:val="362" w:hRule="exact"/>
        </w:trPr>
        <w:tc>
          <w:tcPr>
            <w:tcW w:w="77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left="1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91" w:type="dxa"/>
            <w:tcBorders>
              <w:top w:val="single" w:sz="4" w:space="0" w:color="5B9BD4"/>
              <w:left w:val="single" w:sz="12" w:space="0" w:color="DEEAF6"/>
              <w:bottom w:val="single" w:sz="4" w:space="0" w:color="5B9BD4"/>
              <w:right w:val="nil" w:sz="6" w:space="0" w:color="auto"/>
            </w:tcBorders>
          </w:tcPr>
          <w:p>
            <w:pPr/>
          </w:p>
        </w:tc>
        <w:tc>
          <w:tcPr>
            <w:tcW w:w="677" w:type="dxa"/>
            <w:tcBorders>
              <w:top w:val="single" w:sz="4" w:space="0" w:color="5B9BD4"/>
              <w:left w:val="nil" w:sz="6" w:space="0" w:color="auto"/>
              <w:bottom w:val="single" w:sz="4" w:space="0" w:color="5B9BD4"/>
              <w:right w:val="nil" w:sz="6" w:space="0" w:color="auto"/>
            </w:tcBorders>
            <w:shd w:val="clear" w:color="auto" w:fill="DEEAF6"/>
          </w:tcPr>
          <w:p>
            <w:pPr/>
          </w:p>
        </w:tc>
        <w:tc>
          <w:tcPr>
            <w:tcW w:w="691" w:type="dxa"/>
            <w:tcBorders>
              <w:top w:val="single" w:sz="4" w:space="0" w:color="5B9BD4"/>
              <w:left w:val="nil" w:sz="6" w:space="0" w:color="auto"/>
              <w:bottom w:val="single" w:sz="4" w:space="0" w:color="5B9BD4"/>
              <w:right w:val="nil" w:sz="6" w:space="0" w:color="auto"/>
            </w:tcBorders>
          </w:tcPr>
          <w:p>
            <w:pPr/>
          </w:p>
        </w:tc>
        <w:tc>
          <w:tcPr>
            <w:tcW w:w="680" w:type="dxa"/>
            <w:tcBorders>
              <w:top w:val="single" w:sz="4" w:space="0" w:color="5B9BD4"/>
              <w:left w:val="nil" w:sz="6" w:space="0" w:color="auto"/>
              <w:bottom w:val="single" w:sz="4" w:space="0" w:color="5B9BD4"/>
              <w:right w:val="nil" w:sz="6" w:space="0" w:color="auto"/>
            </w:tcBorders>
            <w:shd w:val="clear" w:color="auto" w:fill="DEEAF6"/>
          </w:tcPr>
          <w:p>
            <w:pPr/>
          </w:p>
        </w:tc>
        <w:tc>
          <w:tcPr>
            <w:tcW w:w="689" w:type="dxa"/>
            <w:tcBorders>
              <w:top w:val="single" w:sz="4" w:space="0" w:color="5B9BD4"/>
              <w:left w:val="nil" w:sz="6" w:space="0" w:color="auto"/>
              <w:bottom w:val="single" w:sz="4" w:space="0" w:color="5B9BD4"/>
              <w:right w:val="nil" w:sz="6" w:space="0" w:color="auto"/>
            </w:tcBorders>
          </w:tcPr>
          <w:p>
            <w:pPr/>
          </w:p>
        </w:tc>
        <w:tc>
          <w:tcPr>
            <w:tcW w:w="673" w:type="dxa"/>
            <w:tcBorders>
              <w:top w:val="single" w:sz="4" w:space="0" w:color="5B9BD4"/>
              <w:left w:val="nil" w:sz="6" w:space="0" w:color="auto"/>
              <w:bottom w:val="single" w:sz="4" w:space="0" w:color="5B9BD4"/>
              <w:right w:val="nil" w:sz="6" w:space="0" w:color="auto"/>
            </w:tcBorders>
            <w:shd w:val="clear" w:color="auto" w:fill="DEEAF6"/>
          </w:tcPr>
          <w:p>
            <w:pPr/>
          </w:p>
        </w:tc>
        <w:tc>
          <w:tcPr>
            <w:tcW w:w="674" w:type="dxa"/>
            <w:tcBorders>
              <w:top w:val="single" w:sz="4" w:space="0" w:color="5B9BD4"/>
              <w:left w:val="nil" w:sz="6" w:space="0" w:color="auto"/>
              <w:bottom w:val="single" w:sz="4" w:space="0" w:color="5B9BD4"/>
              <w:right w:val="nil" w:sz="6" w:space="0" w:color="auto"/>
            </w:tcBorders>
          </w:tcPr>
          <w:p>
            <w:pPr/>
          </w:p>
        </w:tc>
        <w:tc>
          <w:tcPr>
            <w:tcW w:w="674" w:type="dxa"/>
            <w:tcBorders>
              <w:top w:val="single" w:sz="4" w:space="0" w:color="5B9BD4"/>
              <w:left w:val="nil" w:sz="6" w:space="0" w:color="auto"/>
              <w:bottom w:val="single" w:sz="4" w:space="0" w:color="5B9BD4"/>
              <w:right w:val="nil" w:sz="6" w:space="0" w:color="auto"/>
            </w:tcBorders>
            <w:shd w:val="clear" w:color="auto" w:fill="DEEAF6"/>
          </w:tcPr>
          <w:p>
            <w:pPr/>
          </w:p>
        </w:tc>
        <w:tc>
          <w:tcPr>
            <w:tcW w:w="673" w:type="dxa"/>
            <w:tcBorders>
              <w:top w:val="single" w:sz="4" w:space="0" w:color="5B9BD4"/>
              <w:left w:val="nil" w:sz="6" w:space="0" w:color="auto"/>
              <w:bottom w:val="single" w:sz="4" w:space="0" w:color="5B9BD4"/>
              <w:right w:val="nil" w:sz="6" w:space="0" w:color="auto"/>
            </w:tcBorders>
          </w:tcPr>
          <w:p>
            <w:pPr/>
          </w:p>
        </w:tc>
        <w:tc>
          <w:tcPr>
            <w:tcW w:w="675" w:type="dxa"/>
            <w:tcBorders>
              <w:top w:val="single" w:sz="4" w:space="0" w:color="5B9BD4"/>
              <w:left w:val="nil" w:sz="6" w:space="0" w:color="auto"/>
              <w:bottom w:val="single" w:sz="4" w:space="0" w:color="5B9BD4"/>
              <w:right w:val="nil" w:sz="6" w:space="0" w:color="auto"/>
            </w:tcBorders>
            <w:shd w:val="clear" w:color="auto" w:fill="DEEAF6"/>
          </w:tcPr>
          <w:p>
            <w:pPr/>
          </w:p>
        </w:tc>
        <w:tc>
          <w:tcPr>
            <w:tcW w:w="674" w:type="dxa"/>
            <w:tcBorders>
              <w:top w:val="single" w:sz="4" w:space="0" w:color="5B9BD4"/>
              <w:left w:val="nil" w:sz="6" w:space="0" w:color="auto"/>
              <w:bottom w:val="single" w:sz="4" w:space="0" w:color="5B9BD4"/>
              <w:right w:val="nil" w:sz="6" w:space="0" w:color="auto"/>
            </w:tcBorders>
          </w:tcPr>
          <w:p>
            <w:pPr/>
          </w:p>
        </w:tc>
        <w:tc>
          <w:tcPr>
            <w:tcW w:w="670" w:type="dxa"/>
            <w:tcBorders>
              <w:top w:val="single" w:sz="4" w:space="0" w:color="5B9BD4"/>
              <w:left w:val="nil" w:sz="6" w:space="0" w:color="auto"/>
              <w:bottom w:val="single" w:sz="4" w:space="0" w:color="5B9BD4"/>
              <w:right w:val="nil" w:sz="6" w:space="0" w:color="auto"/>
            </w:tcBorders>
            <w:shd w:val="clear" w:color="auto" w:fill="DEEAF6"/>
          </w:tcPr>
          <w:p>
            <w:pPr/>
          </w:p>
        </w:tc>
        <w:tc>
          <w:tcPr>
            <w:tcW w:w="642" w:type="dxa"/>
            <w:tcBorders>
              <w:top w:val="single" w:sz="4" w:space="0" w:color="5B9BD4"/>
              <w:left w:val="nil" w:sz="6" w:space="0" w:color="auto"/>
              <w:bottom w:val="single" w:sz="4" w:space="0" w:color="5B9BD4"/>
              <w:right w:val="nil" w:sz="6" w:space="0" w:color="auto"/>
            </w:tcBorders>
          </w:tcPr>
          <w:p>
            <w:pPr/>
          </w:p>
        </w:tc>
      </w:tr>
      <w:tr>
        <w:trPr>
          <w:trHeight w:val="402" w:hRule="exact"/>
        </w:trPr>
        <w:tc>
          <w:tcPr>
            <w:tcW w:w="2831" w:type="dxa"/>
            <w:gridSpan w:val="4"/>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left="28" w:right="0"/>
              <w:jc w:val="center"/>
              <w:rPr>
                <w:rFonts w:ascii="Arial" w:hAnsi="Arial" w:cs="Arial" w:eastAsia="Arial" w:hint="default"/>
                <w:sz w:val="18"/>
                <w:szCs w:val="18"/>
              </w:rPr>
            </w:pPr>
            <w:r>
              <w:rPr>
                <w:rFonts w:ascii="Arial"/>
                <w:sz w:val="18"/>
              </w:rPr>
              <w:t>--</w:t>
            </w:r>
          </w:p>
        </w:tc>
        <w:tc>
          <w:tcPr>
            <w:tcW w:w="689"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88"/>
              <w:ind w:right="1"/>
              <w:jc w:val="center"/>
              <w:rPr>
                <w:rFonts w:ascii="Arial" w:hAnsi="Arial" w:cs="Arial" w:eastAsia="Arial" w:hint="default"/>
                <w:sz w:val="18"/>
                <w:szCs w:val="18"/>
              </w:rPr>
            </w:pPr>
            <w:r>
              <w:rPr>
                <w:rFonts w:ascii="Arial"/>
                <w:sz w:val="18"/>
              </w:rPr>
              <w:t>--</w:t>
            </w:r>
          </w:p>
        </w:tc>
        <w:tc>
          <w:tcPr>
            <w:tcW w:w="67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left="97" w:right="0"/>
              <w:jc w:val="left"/>
              <w:rPr>
                <w:rFonts w:ascii="Arial" w:hAnsi="Arial" w:cs="Arial" w:eastAsia="Arial" w:hint="default"/>
                <w:sz w:val="18"/>
                <w:szCs w:val="18"/>
              </w:rPr>
            </w:pPr>
            <w:r>
              <w:rPr>
                <w:rFonts w:ascii="Arial"/>
                <w:sz w:val="18"/>
              </w:rPr>
              <w:t>839.44</w:t>
            </w:r>
          </w:p>
        </w:tc>
        <w:tc>
          <w:tcPr>
            <w:tcW w:w="674"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0"/>
              <w:jc w:val="center"/>
              <w:rPr>
                <w:rFonts w:ascii="Arial" w:hAnsi="Arial" w:cs="Arial" w:eastAsia="Arial" w:hint="default"/>
                <w:sz w:val="18"/>
                <w:szCs w:val="18"/>
              </w:rPr>
            </w:pPr>
            <w:r>
              <w:rPr>
                <w:rFonts w:ascii="Arial"/>
                <w:sz w:val="18"/>
              </w:rPr>
              <w:t>--</w:t>
            </w:r>
          </w:p>
        </w:tc>
        <w:tc>
          <w:tcPr>
            <w:tcW w:w="67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left="196" w:right="0"/>
              <w:jc w:val="left"/>
              <w:rPr>
                <w:rFonts w:ascii="Arial" w:hAnsi="Arial" w:cs="Arial" w:eastAsia="Arial" w:hint="default"/>
                <w:sz w:val="18"/>
                <w:szCs w:val="18"/>
              </w:rPr>
            </w:pPr>
            <w:r>
              <w:rPr>
                <w:rFonts w:ascii="Arial"/>
                <w:sz w:val="18"/>
              </w:rPr>
              <w:t>2,500</w:t>
            </w:r>
          </w:p>
        </w:tc>
        <w:tc>
          <w:tcPr>
            <w:tcW w:w="673"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1"/>
              <w:jc w:val="center"/>
              <w:rPr>
                <w:rFonts w:ascii="Arial" w:hAnsi="Arial" w:cs="Arial" w:eastAsia="Arial" w:hint="default"/>
                <w:sz w:val="18"/>
                <w:szCs w:val="18"/>
              </w:rPr>
            </w:pPr>
            <w:r>
              <w:rPr>
                <w:rFonts w:ascii="Arial"/>
                <w:sz w:val="18"/>
              </w:rPr>
              <w:t>--</w:t>
            </w:r>
          </w:p>
        </w:tc>
        <w:tc>
          <w:tcPr>
            <w:tcW w:w="67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0"/>
              <w:jc w:val="center"/>
              <w:rPr>
                <w:rFonts w:ascii="Arial" w:hAnsi="Arial" w:cs="Arial" w:eastAsia="Arial" w:hint="default"/>
                <w:sz w:val="18"/>
                <w:szCs w:val="18"/>
              </w:rPr>
            </w:pPr>
            <w:r>
              <w:rPr>
                <w:rFonts w:ascii="Arial"/>
                <w:sz w:val="18"/>
              </w:rPr>
              <w:t>--</w:t>
            </w:r>
          </w:p>
        </w:tc>
        <w:tc>
          <w:tcPr>
            <w:tcW w:w="674"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0"/>
              <w:jc w:val="center"/>
              <w:rPr>
                <w:rFonts w:ascii="Arial" w:hAnsi="Arial" w:cs="Arial" w:eastAsia="Arial" w:hint="default"/>
                <w:sz w:val="18"/>
                <w:szCs w:val="18"/>
              </w:rPr>
            </w:pPr>
            <w:r>
              <w:rPr>
                <w:rFonts w:ascii="Arial"/>
                <w:sz w:val="18"/>
              </w:rPr>
              <w:t>--</w:t>
            </w:r>
          </w:p>
        </w:tc>
        <w:tc>
          <w:tcPr>
            <w:tcW w:w="67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0"/>
              <w:jc w:val="center"/>
              <w:rPr>
                <w:rFonts w:ascii="Arial" w:hAnsi="Arial" w:cs="Arial" w:eastAsia="Arial" w:hint="default"/>
                <w:sz w:val="18"/>
                <w:szCs w:val="18"/>
              </w:rPr>
            </w:pPr>
            <w:r>
              <w:rPr>
                <w:rFonts w:ascii="Arial"/>
                <w:sz w:val="18"/>
              </w:rPr>
              <w:t>--</w:t>
            </w:r>
          </w:p>
        </w:tc>
        <w:tc>
          <w:tcPr>
            <w:tcW w:w="642"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1"/>
              <w:jc w:val="center"/>
              <w:rPr>
                <w:rFonts w:ascii="Arial" w:hAnsi="Arial" w:cs="Arial" w:eastAsia="Arial" w:hint="default"/>
                <w:sz w:val="18"/>
                <w:szCs w:val="18"/>
              </w:rPr>
            </w:pPr>
            <w:r>
              <w:rPr>
                <w:rFonts w:ascii="Arial"/>
                <w:sz w:val="18"/>
              </w:rPr>
              <w:t>--</w:t>
            </w:r>
          </w:p>
        </w:tc>
      </w:tr>
      <w:tr>
        <w:trPr>
          <w:trHeight w:val="402" w:hRule="exact"/>
        </w:trPr>
        <w:tc>
          <w:tcPr>
            <w:tcW w:w="2831" w:type="dxa"/>
            <w:gridSpan w:val="4"/>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25" w:type="dxa"/>
            <w:gridSpan w:val="10"/>
            <w:tcBorders>
              <w:top w:val="single" w:sz="4" w:space="0" w:color="5B9BD4"/>
              <w:left w:val="single" w:sz="11" w:space="0" w:color="DEEAF6"/>
              <w:bottom w:val="single" w:sz="4" w:space="0" w:color="5B9BD4"/>
              <w:right w:val="nil" w:sz="6" w:space="0" w:color="auto"/>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831" w:type="dxa"/>
            <w:gridSpan w:val="4"/>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47"/>
              <w:ind w:left="13" w:right="1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25" w:type="dxa"/>
            <w:gridSpan w:val="10"/>
            <w:tcBorders>
              <w:top w:val="single" w:sz="4" w:space="0" w:color="5B9BD4"/>
              <w:left w:val="single" w:sz="11" w:space="0" w:color="DEEAF6"/>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31" w:type="dxa"/>
            <w:gridSpan w:val="4"/>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46"/>
              <w:ind w:left="13" w:right="115"/>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25" w:type="dxa"/>
            <w:gridSpan w:val="10"/>
            <w:tcBorders>
              <w:top w:val="single" w:sz="4" w:space="0" w:color="5B9BD4"/>
              <w:left w:val="single" w:sz="11" w:space="0" w:color="DEEAF6"/>
              <w:bottom w:val="single" w:sz="4" w:space="0" w:color="5B9BD4"/>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0"/>
        <w:rPr>
          <w:rFonts w:ascii="宋体" w:hAnsi="宋体" w:cs="宋体" w:eastAsia="宋体" w:hint="default"/>
          <w:sz w:val="20"/>
          <w:szCs w:val="20"/>
        </w:rPr>
      </w:pPr>
    </w:p>
    <w:p>
      <w:pPr>
        <w:pStyle w:val="Heading2"/>
        <w:spacing w:line="240" w:lineRule="auto" w:before="73"/>
        <w:ind w:left="154" w:right="0"/>
        <w:jc w:val="left"/>
        <w:rPr>
          <w:b w:val="0"/>
          <w:bCs w:val="0"/>
        </w:rPr>
      </w:pPr>
      <w:bookmarkStart w:name="5.16.2 资产或股权收购、出售发生的关联交易" w:id="137"/>
      <w:bookmarkEnd w:id="137"/>
      <w:r>
        <w:rPr>
          <w:b w:val="0"/>
          <w:bCs w:val="0"/>
        </w:rPr>
      </w:r>
      <w:r>
        <w:rPr>
          <w:rFonts w:ascii="Trebuchet MS" w:hAnsi="Trebuchet MS" w:cs="Trebuchet MS" w:eastAsia="Trebuchet MS" w:hint="default"/>
        </w:rPr>
        <w:t>5.16.2</w:t>
      </w:r>
      <w:r>
        <w:rPr>
          <w:rFonts w:ascii="Trebuchet MS" w:hAnsi="Trebuchet MS" w:cs="Trebuchet MS" w:eastAsia="Trebuchet MS" w:hint="default"/>
          <w:spacing w:val="-26"/>
        </w:rPr>
        <w:t> </w:t>
      </w:r>
      <w:r>
        <w:rPr/>
        <w:t>资产或股权收购、出售发生的关联交易</w:t>
      </w:r>
      <w:r>
        <w:rPr>
          <w:b w:val="0"/>
          <w:bCs w:val="0"/>
        </w:rPr>
      </w:r>
    </w:p>
    <w:p>
      <w:pPr>
        <w:spacing w:line="240" w:lineRule="auto" w:before="9"/>
        <w:rPr>
          <w:rFonts w:ascii="Microsoft JhengHei" w:hAnsi="Microsoft JhengHei" w:cs="Microsoft JhengHei" w:eastAsia="Microsoft JhengHei"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Heading2"/>
        <w:spacing w:line="240" w:lineRule="auto"/>
        <w:ind w:left="154" w:right="0"/>
        <w:jc w:val="left"/>
        <w:rPr>
          <w:b w:val="0"/>
          <w:bCs w:val="0"/>
        </w:rPr>
      </w:pPr>
      <w:bookmarkStart w:name="5.16.3 共同对外投资的关联交易" w:id="138"/>
      <w:bookmarkEnd w:id="138"/>
      <w:r>
        <w:rPr>
          <w:b w:val="0"/>
          <w:bCs w:val="0"/>
        </w:rPr>
      </w:r>
      <w:r>
        <w:rPr>
          <w:rFonts w:ascii="Trebuchet MS" w:hAnsi="Trebuchet MS" w:cs="Trebuchet MS" w:eastAsia="Trebuchet MS" w:hint="default"/>
        </w:rPr>
        <w:t>5.16.3</w:t>
      </w:r>
      <w:r>
        <w:rPr>
          <w:rFonts w:ascii="Trebuchet MS" w:hAnsi="Trebuchet MS" w:cs="Trebuchet MS" w:eastAsia="Trebuchet MS" w:hint="default"/>
          <w:spacing w:val="-26"/>
        </w:rPr>
        <w:t> </w:t>
      </w:r>
      <w:r>
        <w:rPr/>
        <w:t>共同对外投资的关联交易</w:t>
      </w:r>
      <w:r>
        <w:rPr>
          <w:b w:val="0"/>
          <w:bCs w:val="0"/>
        </w:rPr>
      </w:r>
    </w:p>
    <w:p>
      <w:pPr>
        <w:spacing w:line="240" w:lineRule="auto" w:before="9"/>
        <w:rPr>
          <w:rFonts w:ascii="Microsoft JhengHei" w:hAnsi="Microsoft JhengHei" w:cs="Microsoft JhengHei" w:eastAsia="Microsoft JhengHei"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Heading2"/>
        <w:spacing w:line="240" w:lineRule="auto"/>
        <w:ind w:left="154" w:right="0"/>
        <w:jc w:val="left"/>
        <w:rPr>
          <w:b w:val="0"/>
          <w:bCs w:val="0"/>
        </w:rPr>
      </w:pPr>
      <w:bookmarkStart w:name="5.16.4 关联债权债务往来" w:id="139"/>
      <w:bookmarkEnd w:id="139"/>
      <w:r>
        <w:rPr>
          <w:b w:val="0"/>
          <w:bCs w:val="0"/>
        </w:rPr>
      </w:r>
      <w:r>
        <w:rPr>
          <w:rFonts w:ascii="Trebuchet MS" w:hAnsi="Trebuchet MS" w:cs="Trebuchet MS" w:eastAsia="Trebuchet MS" w:hint="default"/>
        </w:rPr>
        <w:t>5.16.4</w:t>
      </w:r>
      <w:r>
        <w:rPr>
          <w:rFonts w:ascii="Trebuchet MS" w:hAnsi="Trebuchet MS" w:cs="Trebuchet MS" w:eastAsia="Trebuchet MS" w:hint="default"/>
          <w:spacing w:val="-26"/>
        </w:rPr>
        <w:t> </w:t>
      </w:r>
      <w:r>
        <w:rPr/>
        <w:t>关联债权债务往来</w:t>
      </w:r>
      <w:r>
        <w:rPr>
          <w:b w:val="0"/>
          <w:bCs w:val="0"/>
        </w:rPr>
      </w:r>
    </w:p>
    <w:p>
      <w:pPr>
        <w:spacing w:line="240" w:lineRule="auto" w:before="1"/>
        <w:rPr>
          <w:rFonts w:ascii="Microsoft JhengHei" w:hAnsi="Microsoft JhengHei" w:cs="Microsoft JhengHei" w:eastAsia="Microsoft JhengHei" w:hint="default"/>
          <w:b/>
          <w:bCs/>
          <w:sz w:val="26"/>
          <w:szCs w:val="26"/>
        </w:rPr>
      </w:pPr>
    </w:p>
    <w:p>
      <w:pPr>
        <w:pStyle w:val="BodyText"/>
        <w:spacing w:line="240" w:lineRule="auto"/>
        <w:ind w:left="154" w:right="0"/>
        <w:jc w:val="left"/>
      </w:pPr>
      <w:r>
        <w:rPr/>
        <w:t>应付关联方债务</w:t>
      </w:r>
    </w:p>
    <w:p>
      <w:pPr>
        <w:spacing w:line="240" w:lineRule="auto" w:before="4"/>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1136"/>
        <w:gridCol w:w="1045"/>
        <w:gridCol w:w="1045"/>
        <w:gridCol w:w="1044"/>
        <w:gridCol w:w="1044"/>
        <w:gridCol w:w="1058"/>
        <w:gridCol w:w="1044"/>
        <w:gridCol w:w="1030"/>
        <w:gridCol w:w="1094"/>
      </w:tblGrid>
      <w:tr>
        <w:trPr>
          <w:trHeight w:val="162" w:hRule="exact"/>
        </w:trPr>
        <w:tc>
          <w:tcPr>
            <w:tcW w:w="3225" w:type="dxa"/>
            <w:gridSpan w:val="3"/>
            <w:tcBorders>
              <w:top w:val="single" w:sz="4" w:space="0" w:color="5B9BD4"/>
              <w:left w:val="nil" w:sz="6" w:space="0" w:color="auto"/>
              <w:bottom w:val="nil" w:sz="6" w:space="0" w:color="auto"/>
              <w:right w:val="nil" w:sz="6" w:space="0" w:color="auto"/>
            </w:tcBorders>
            <w:shd w:val="clear" w:color="auto" w:fill="DEEAF6"/>
          </w:tcPr>
          <w:p>
            <w:pPr/>
          </w:p>
        </w:tc>
        <w:tc>
          <w:tcPr>
            <w:tcW w:w="1044"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47"/>
              <w:ind w:left="160"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16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4"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7"/>
              <w:ind w:left="70" w:right="71"/>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1058"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7"/>
              <w:ind w:left="70" w:right="86"/>
              <w:jc w:val="left"/>
              <w:rPr>
                <w:rFonts w:ascii="宋体" w:hAnsi="宋体" w:cs="宋体" w:eastAsia="宋体" w:hint="default"/>
                <w:sz w:val="18"/>
                <w:szCs w:val="18"/>
              </w:rPr>
            </w:pPr>
            <w:r>
              <w:rPr>
                <w:rFonts w:ascii="宋体" w:hAnsi="宋体" w:cs="宋体" w:eastAsia="宋体" w:hint="default"/>
                <w:sz w:val="18"/>
                <w:szCs w:val="18"/>
              </w:rPr>
              <w:t>本期归还金 额（万元）</w:t>
            </w:r>
          </w:p>
        </w:tc>
        <w:tc>
          <w:tcPr>
            <w:tcW w:w="1044" w:type="dxa"/>
            <w:tcBorders>
              <w:top w:val="single" w:sz="4" w:space="0" w:color="5B9BD4"/>
              <w:left w:val="nil" w:sz="6" w:space="0" w:color="auto"/>
              <w:bottom w:val="nil" w:sz="6" w:space="0" w:color="auto"/>
              <w:right w:val="nil" w:sz="6" w:space="0" w:color="auto"/>
            </w:tcBorders>
            <w:shd w:val="clear" w:color="auto" w:fill="DEEAF6"/>
          </w:tcPr>
          <w:p>
            <w:pPr/>
          </w:p>
        </w:tc>
        <w:tc>
          <w:tcPr>
            <w:tcW w:w="1030"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47"/>
              <w:ind w:left="147"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6"/>
              <w:ind w:left="14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94"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7"/>
              <w:ind w:left="373" w:right="11" w:hanging="346"/>
              <w:jc w:val="left"/>
              <w:rPr>
                <w:rFonts w:ascii="宋体" w:hAnsi="宋体" w:cs="宋体" w:eastAsia="宋体" w:hint="default"/>
                <w:sz w:val="18"/>
                <w:szCs w:val="18"/>
              </w:rPr>
            </w:pPr>
            <w:r>
              <w:rPr>
                <w:rFonts w:ascii="宋体" w:hAnsi="宋体" w:cs="宋体" w:eastAsia="宋体" w:hint="default"/>
                <w:spacing w:val="-5"/>
                <w:sz w:val="18"/>
                <w:szCs w:val="18"/>
              </w:rPr>
              <w:t>期末余额（万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元）</w:t>
            </w:r>
          </w:p>
        </w:tc>
      </w:tr>
      <w:tr>
        <w:trPr>
          <w:trHeight w:val="391" w:hRule="exact"/>
        </w:trPr>
        <w:tc>
          <w:tcPr>
            <w:tcW w:w="1136"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29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045"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166"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45"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162"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44" w:type="dxa"/>
            <w:vMerge/>
            <w:tcBorders>
              <w:left w:val="nil" w:sz="6" w:space="0" w:color="auto"/>
              <w:right w:val="nil" w:sz="6" w:space="0" w:color="auto"/>
            </w:tcBorders>
            <w:shd w:val="clear" w:color="auto" w:fill="DEEAF6"/>
          </w:tcPr>
          <w:p>
            <w:pPr/>
          </w:p>
        </w:tc>
        <w:tc>
          <w:tcPr>
            <w:tcW w:w="1044" w:type="dxa"/>
            <w:vMerge/>
            <w:tcBorders>
              <w:left w:val="nil" w:sz="6" w:space="0" w:color="auto"/>
              <w:right w:val="nil" w:sz="6" w:space="0" w:color="auto"/>
            </w:tcBorders>
            <w:shd w:val="clear" w:color="auto" w:fill="DEEAF6"/>
          </w:tcPr>
          <w:p>
            <w:pPr/>
          </w:p>
        </w:tc>
        <w:tc>
          <w:tcPr>
            <w:tcW w:w="1058" w:type="dxa"/>
            <w:vMerge/>
            <w:tcBorders>
              <w:left w:val="nil" w:sz="6" w:space="0" w:color="auto"/>
              <w:right w:val="nil" w:sz="6" w:space="0" w:color="auto"/>
            </w:tcBorders>
            <w:shd w:val="clear" w:color="auto" w:fill="DEEAF6"/>
          </w:tcPr>
          <w:p>
            <w:pPr/>
          </w:p>
        </w:tc>
        <w:tc>
          <w:tcPr>
            <w:tcW w:w="1044"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327"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1030" w:type="dxa"/>
            <w:vMerge/>
            <w:tcBorders>
              <w:left w:val="nil" w:sz="6" w:space="0" w:color="auto"/>
              <w:right w:val="nil" w:sz="6" w:space="0" w:color="auto"/>
            </w:tcBorders>
            <w:shd w:val="clear" w:color="auto" w:fill="DEEAF6"/>
          </w:tcPr>
          <w:p>
            <w:pPr/>
          </w:p>
        </w:tc>
        <w:tc>
          <w:tcPr>
            <w:tcW w:w="1094" w:type="dxa"/>
            <w:vMerge/>
            <w:tcBorders>
              <w:left w:val="nil" w:sz="6" w:space="0" w:color="auto"/>
              <w:right w:val="nil" w:sz="6" w:space="0" w:color="auto"/>
            </w:tcBorders>
            <w:shd w:val="clear" w:color="auto" w:fill="DEEAF6"/>
          </w:tcPr>
          <w:p>
            <w:pPr/>
          </w:p>
        </w:tc>
      </w:tr>
      <w:tr>
        <w:trPr>
          <w:trHeight w:val="161" w:hRule="exact"/>
        </w:trPr>
        <w:tc>
          <w:tcPr>
            <w:tcW w:w="3225" w:type="dxa"/>
            <w:gridSpan w:val="3"/>
            <w:tcBorders>
              <w:top w:val="nil" w:sz="6" w:space="0" w:color="auto"/>
              <w:left w:val="nil" w:sz="6" w:space="0" w:color="auto"/>
              <w:bottom w:val="single" w:sz="4" w:space="0" w:color="5B9BD4"/>
              <w:right w:val="nil" w:sz="6" w:space="0" w:color="auto"/>
            </w:tcBorders>
            <w:shd w:val="clear" w:color="auto" w:fill="DEEAF6"/>
          </w:tcPr>
          <w:p>
            <w:pPr/>
          </w:p>
        </w:tc>
        <w:tc>
          <w:tcPr>
            <w:tcW w:w="1044" w:type="dxa"/>
            <w:vMerge/>
            <w:tcBorders>
              <w:left w:val="nil" w:sz="6" w:space="0" w:color="auto"/>
              <w:bottom w:val="single" w:sz="4" w:space="0" w:color="5B9BD4"/>
              <w:right w:val="nil" w:sz="6" w:space="0" w:color="auto"/>
            </w:tcBorders>
            <w:shd w:val="clear" w:color="auto" w:fill="DEEAF6"/>
          </w:tcPr>
          <w:p>
            <w:pPr/>
          </w:p>
        </w:tc>
        <w:tc>
          <w:tcPr>
            <w:tcW w:w="1044" w:type="dxa"/>
            <w:vMerge/>
            <w:tcBorders>
              <w:left w:val="nil" w:sz="6" w:space="0" w:color="auto"/>
              <w:bottom w:val="single" w:sz="4" w:space="0" w:color="5B9BD4"/>
              <w:right w:val="nil" w:sz="6" w:space="0" w:color="auto"/>
            </w:tcBorders>
            <w:shd w:val="clear" w:color="auto" w:fill="DEEAF6"/>
          </w:tcPr>
          <w:p>
            <w:pPr/>
          </w:p>
        </w:tc>
        <w:tc>
          <w:tcPr>
            <w:tcW w:w="1058" w:type="dxa"/>
            <w:vMerge/>
            <w:tcBorders>
              <w:left w:val="nil" w:sz="6" w:space="0" w:color="auto"/>
              <w:bottom w:val="single" w:sz="4" w:space="0" w:color="5B9BD4"/>
              <w:right w:val="nil" w:sz="6" w:space="0" w:color="auto"/>
            </w:tcBorders>
            <w:shd w:val="clear" w:color="auto" w:fill="DEEAF6"/>
          </w:tcPr>
          <w:p>
            <w:pPr/>
          </w:p>
        </w:tc>
        <w:tc>
          <w:tcPr>
            <w:tcW w:w="1044" w:type="dxa"/>
            <w:tcBorders>
              <w:top w:val="nil" w:sz="6" w:space="0" w:color="auto"/>
              <w:left w:val="nil" w:sz="6" w:space="0" w:color="auto"/>
              <w:bottom w:val="single" w:sz="4" w:space="0" w:color="5B9BD4"/>
              <w:right w:val="nil" w:sz="6" w:space="0" w:color="auto"/>
            </w:tcBorders>
            <w:shd w:val="clear" w:color="auto" w:fill="DEEAF6"/>
          </w:tcPr>
          <w:p>
            <w:pPr/>
          </w:p>
        </w:tc>
        <w:tc>
          <w:tcPr>
            <w:tcW w:w="1030" w:type="dxa"/>
            <w:vMerge/>
            <w:tcBorders>
              <w:left w:val="nil" w:sz="6" w:space="0" w:color="auto"/>
              <w:bottom w:val="single" w:sz="4" w:space="0" w:color="5B9BD4"/>
              <w:right w:val="nil" w:sz="6" w:space="0" w:color="auto"/>
            </w:tcBorders>
            <w:shd w:val="clear" w:color="auto" w:fill="DEEAF6"/>
          </w:tcPr>
          <w:p>
            <w:pPr/>
          </w:p>
        </w:tc>
        <w:tc>
          <w:tcPr>
            <w:tcW w:w="1094" w:type="dxa"/>
            <w:vMerge/>
            <w:tcBorders>
              <w:left w:val="nil" w:sz="6" w:space="0" w:color="auto"/>
              <w:bottom w:val="single" w:sz="4" w:space="0" w:color="5B9BD4"/>
              <w:right w:val="nil" w:sz="6" w:space="0" w:color="auto"/>
            </w:tcBorders>
            <w:shd w:val="clear" w:color="auto" w:fill="DEEAF6"/>
          </w:tcPr>
          <w:p>
            <w:pPr/>
          </w:p>
        </w:tc>
      </w:tr>
      <w:tr>
        <w:trPr>
          <w:trHeight w:val="161" w:hRule="exact"/>
        </w:trPr>
        <w:tc>
          <w:tcPr>
            <w:tcW w:w="1136" w:type="dxa"/>
            <w:tcBorders>
              <w:top w:val="single" w:sz="4" w:space="0" w:color="5B9BD4"/>
              <w:left w:val="nil" w:sz="6" w:space="0" w:color="auto"/>
              <w:bottom w:val="nil" w:sz="6" w:space="0" w:color="auto"/>
              <w:right w:val="nil" w:sz="6" w:space="0" w:color="auto"/>
            </w:tcBorders>
            <w:shd w:val="clear" w:color="auto" w:fill="DEEAF6"/>
          </w:tcPr>
          <w:p>
            <w:pPr/>
          </w:p>
        </w:tc>
        <w:tc>
          <w:tcPr>
            <w:tcW w:w="1045" w:type="dxa"/>
            <w:vMerge w:val="restart"/>
            <w:tcBorders>
              <w:top w:val="single" w:sz="4" w:space="0" w:color="5B9BD4"/>
              <w:left w:val="nil" w:sz="6" w:space="0" w:color="auto"/>
              <w:right w:val="nil" w:sz="6" w:space="0" w:color="auto"/>
            </w:tcBorders>
          </w:tcPr>
          <w:p>
            <w:pPr>
              <w:pStyle w:val="TableParagraph"/>
              <w:spacing w:line="316" w:lineRule="auto" w:before="47"/>
              <w:ind w:left="35" w:right="107"/>
              <w:jc w:val="left"/>
              <w:rPr>
                <w:rFonts w:ascii="宋体" w:hAnsi="宋体" w:cs="宋体" w:eastAsia="宋体" w:hint="default"/>
                <w:sz w:val="18"/>
                <w:szCs w:val="18"/>
              </w:rPr>
            </w:pPr>
            <w:r>
              <w:rPr>
                <w:rFonts w:ascii="宋体" w:hAnsi="宋体" w:cs="宋体" w:eastAsia="宋体" w:hint="default"/>
                <w:sz w:val="18"/>
                <w:szCs w:val="18"/>
              </w:rPr>
              <w:t>与本公司受 同一控制人</w:t>
            </w:r>
          </w:p>
          <w:p>
            <w:pPr>
              <w:pStyle w:val="TableParagraph"/>
              <w:spacing w:line="229" w:lineRule="exact" w:before="20"/>
              <w:ind w:left="35" w:right="0"/>
              <w:jc w:val="left"/>
              <w:rPr>
                <w:rFonts w:ascii="宋体" w:hAnsi="宋体" w:cs="宋体" w:eastAsia="宋体" w:hint="default"/>
                <w:sz w:val="18"/>
                <w:szCs w:val="18"/>
              </w:rPr>
            </w:pPr>
            <w:r>
              <w:rPr>
                <w:rFonts w:ascii="宋体" w:hAnsi="宋体" w:cs="宋体" w:eastAsia="宋体" w:hint="default"/>
                <w:sz w:val="18"/>
                <w:szCs w:val="18"/>
              </w:rPr>
              <w:t>控制</w:t>
            </w:r>
          </w:p>
        </w:tc>
        <w:tc>
          <w:tcPr>
            <w:tcW w:w="1045" w:type="dxa"/>
            <w:tcBorders>
              <w:top w:val="single" w:sz="4" w:space="0" w:color="5B9BD4"/>
              <w:left w:val="nil" w:sz="6" w:space="0" w:color="auto"/>
              <w:bottom w:val="nil" w:sz="6" w:space="0" w:color="auto"/>
              <w:right w:val="nil" w:sz="6" w:space="0" w:color="auto"/>
            </w:tcBorders>
            <w:shd w:val="clear" w:color="auto" w:fill="DEEAF6"/>
          </w:tcPr>
          <w:p>
            <w:pPr/>
          </w:p>
        </w:tc>
        <w:tc>
          <w:tcPr>
            <w:tcW w:w="1044"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6"/>
              <w:jc w:val="right"/>
              <w:rPr>
                <w:rFonts w:ascii="Arial" w:hAnsi="Arial" w:cs="Arial" w:eastAsia="Arial" w:hint="default"/>
                <w:sz w:val="18"/>
                <w:szCs w:val="18"/>
              </w:rPr>
            </w:pPr>
            <w:r>
              <w:rPr>
                <w:rFonts w:ascii="Arial"/>
                <w:w w:val="99"/>
                <w:sz w:val="18"/>
              </w:rPr>
              <w:t>0</w:t>
            </w:r>
            <w:r>
              <w:rPr>
                <w:rFonts w:ascii="Arial"/>
                <w:sz w:val="18"/>
              </w:rPr>
            </w:r>
          </w:p>
        </w:tc>
        <w:tc>
          <w:tcPr>
            <w:tcW w:w="1044" w:type="dxa"/>
            <w:vMerge w:val="restart"/>
            <w:tcBorders>
              <w:top w:val="single" w:sz="4" w:space="0" w:color="5B9BD4"/>
              <w:left w:val="nil" w:sz="6" w:space="0" w:color="auto"/>
              <w:right w:val="nil" w:sz="6" w:space="0" w:color="auto"/>
            </w:tcBorders>
            <w:shd w:val="clear" w:color="auto" w:fill="DEEAF6"/>
          </w:tcPr>
          <w:p>
            <w:pPr/>
          </w:p>
        </w:tc>
        <w:tc>
          <w:tcPr>
            <w:tcW w:w="1058"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40"/>
              <w:jc w:val="right"/>
              <w:rPr>
                <w:rFonts w:ascii="Arial" w:hAnsi="Arial" w:cs="Arial" w:eastAsia="Arial" w:hint="default"/>
                <w:sz w:val="18"/>
                <w:szCs w:val="18"/>
              </w:rPr>
            </w:pPr>
            <w:r>
              <w:rPr>
                <w:rFonts w:ascii="Arial"/>
                <w:w w:val="99"/>
                <w:sz w:val="18"/>
              </w:rPr>
              <w:t>0</w:t>
            </w:r>
            <w:r>
              <w:rPr>
                <w:rFonts w:ascii="Arial"/>
                <w:sz w:val="18"/>
              </w:rPr>
            </w:r>
          </w:p>
        </w:tc>
        <w:tc>
          <w:tcPr>
            <w:tcW w:w="1044" w:type="dxa"/>
            <w:vMerge w:val="restart"/>
            <w:tcBorders>
              <w:top w:val="single" w:sz="4" w:space="0" w:color="5B9BD4"/>
              <w:left w:val="nil" w:sz="6" w:space="0" w:color="auto"/>
              <w:right w:val="nil" w:sz="6" w:space="0" w:color="auto"/>
            </w:tcBorders>
            <w:shd w:val="clear" w:color="auto" w:fill="DEEAF6"/>
          </w:tcPr>
          <w:p>
            <w:pPr/>
          </w:p>
        </w:tc>
        <w:tc>
          <w:tcPr>
            <w:tcW w:w="1030"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52" w:right="0"/>
              <w:jc w:val="left"/>
              <w:rPr>
                <w:rFonts w:ascii="Arial" w:hAnsi="Arial" w:cs="Arial" w:eastAsia="Arial" w:hint="default"/>
                <w:sz w:val="18"/>
                <w:szCs w:val="18"/>
              </w:rPr>
            </w:pPr>
            <w:r>
              <w:rPr>
                <w:rFonts w:ascii="Arial"/>
                <w:sz w:val="18"/>
              </w:rPr>
              <w:t>44.2</w:t>
            </w:r>
          </w:p>
        </w:tc>
        <w:tc>
          <w:tcPr>
            <w:tcW w:w="1094" w:type="dxa"/>
            <w:vMerge w:val="restart"/>
            <w:tcBorders>
              <w:top w:val="single" w:sz="4" w:space="0" w:color="5B9BD4"/>
              <w:left w:val="nil" w:sz="6" w:space="0" w:color="auto"/>
              <w:right w:val="nil" w:sz="6" w:space="0" w:color="auto"/>
            </w:tcBorders>
            <w:shd w:val="clear" w:color="auto" w:fill="DEEAF6"/>
          </w:tcPr>
          <w:p>
            <w:pPr/>
          </w:p>
        </w:tc>
      </w:tr>
      <w:tr>
        <w:trPr>
          <w:trHeight w:val="156" w:hRule="exact"/>
        </w:trPr>
        <w:tc>
          <w:tcPr>
            <w:tcW w:w="1136"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13" w:right="39"/>
              <w:jc w:val="left"/>
              <w:rPr>
                <w:rFonts w:ascii="宋体" w:hAnsi="宋体" w:cs="宋体" w:eastAsia="宋体" w:hint="default"/>
                <w:sz w:val="18"/>
                <w:szCs w:val="18"/>
              </w:rPr>
            </w:pPr>
            <w:r>
              <w:rPr>
                <w:rFonts w:ascii="宋体" w:hAnsi="宋体" w:cs="宋体" w:eastAsia="宋体" w:hint="default"/>
                <w:sz w:val="18"/>
                <w:szCs w:val="18"/>
              </w:rPr>
              <w:t>神州通国际有 限公司</w:t>
            </w:r>
          </w:p>
        </w:tc>
        <w:tc>
          <w:tcPr>
            <w:tcW w:w="1045" w:type="dxa"/>
            <w:vMerge/>
            <w:tcBorders>
              <w:left w:val="nil" w:sz="6" w:space="0" w:color="auto"/>
              <w:right w:val="nil" w:sz="6" w:space="0" w:color="auto"/>
            </w:tcBorders>
          </w:tcPr>
          <w:p>
            <w:pPr/>
          </w:p>
        </w:tc>
        <w:tc>
          <w:tcPr>
            <w:tcW w:w="1045"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28" w:right="114"/>
              <w:jc w:val="left"/>
              <w:rPr>
                <w:rFonts w:ascii="宋体" w:hAnsi="宋体" w:cs="宋体" w:eastAsia="宋体" w:hint="default"/>
                <w:sz w:val="18"/>
                <w:szCs w:val="18"/>
              </w:rPr>
            </w:pPr>
            <w:r>
              <w:rPr>
                <w:rFonts w:ascii="宋体" w:hAnsi="宋体" w:cs="宋体" w:eastAsia="宋体" w:hint="default"/>
                <w:sz w:val="18"/>
                <w:szCs w:val="18"/>
              </w:rPr>
              <w:t>关联方资金 拆借</w:t>
            </w:r>
          </w:p>
        </w:tc>
        <w:tc>
          <w:tcPr>
            <w:tcW w:w="1044" w:type="dxa"/>
            <w:vMerge/>
            <w:tcBorders>
              <w:left w:val="nil" w:sz="6" w:space="0" w:color="auto"/>
              <w:right w:val="nil" w:sz="6" w:space="0" w:color="auto"/>
            </w:tcBorders>
          </w:tcPr>
          <w:p>
            <w:pPr/>
          </w:p>
        </w:tc>
        <w:tc>
          <w:tcPr>
            <w:tcW w:w="1044" w:type="dxa"/>
            <w:vMerge/>
            <w:tcBorders>
              <w:left w:val="nil" w:sz="6" w:space="0" w:color="auto"/>
              <w:bottom w:val="nil" w:sz="6" w:space="0" w:color="auto"/>
              <w:right w:val="nil" w:sz="6" w:space="0" w:color="auto"/>
            </w:tcBorders>
            <w:shd w:val="clear" w:color="auto" w:fill="DEEAF6"/>
          </w:tcPr>
          <w:p>
            <w:pPr/>
          </w:p>
        </w:tc>
        <w:tc>
          <w:tcPr>
            <w:tcW w:w="1058" w:type="dxa"/>
            <w:vMerge/>
            <w:tcBorders>
              <w:left w:val="nil" w:sz="6" w:space="0" w:color="auto"/>
              <w:right w:val="nil" w:sz="6" w:space="0" w:color="auto"/>
            </w:tcBorders>
          </w:tcPr>
          <w:p>
            <w:pPr/>
          </w:p>
        </w:tc>
        <w:tc>
          <w:tcPr>
            <w:tcW w:w="1044" w:type="dxa"/>
            <w:vMerge/>
            <w:tcBorders>
              <w:left w:val="nil" w:sz="6" w:space="0" w:color="auto"/>
              <w:bottom w:val="nil" w:sz="6" w:space="0" w:color="auto"/>
              <w:right w:val="nil" w:sz="6" w:space="0" w:color="auto"/>
            </w:tcBorders>
            <w:shd w:val="clear" w:color="auto" w:fill="DEEAF6"/>
          </w:tcPr>
          <w:p>
            <w:pPr/>
          </w:p>
        </w:tc>
        <w:tc>
          <w:tcPr>
            <w:tcW w:w="1030" w:type="dxa"/>
            <w:vMerge/>
            <w:tcBorders>
              <w:left w:val="nil" w:sz="6" w:space="0" w:color="auto"/>
              <w:right w:val="nil" w:sz="6" w:space="0" w:color="auto"/>
            </w:tcBorders>
          </w:tcPr>
          <w:p>
            <w:pPr/>
          </w:p>
        </w:tc>
        <w:tc>
          <w:tcPr>
            <w:tcW w:w="1094" w:type="dxa"/>
            <w:vMerge/>
            <w:tcBorders>
              <w:left w:val="nil" w:sz="6" w:space="0" w:color="auto"/>
              <w:bottom w:val="nil" w:sz="6" w:space="0" w:color="auto"/>
              <w:right w:val="nil" w:sz="6" w:space="0" w:color="auto"/>
            </w:tcBorders>
            <w:shd w:val="clear" w:color="auto" w:fill="DEEAF6"/>
          </w:tcPr>
          <w:p>
            <w:pPr/>
          </w:p>
        </w:tc>
      </w:tr>
      <w:tr>
        <w:trPr>
          <w:trHeight w:val="391" w:hRule="exact"/>
        </w:trPr>
        <w:tc>
          <w:tcPr>
            <w:tcW w:w="1136" w:type="dxa"/>
            <w:vMerge/>
            <w:tcBorders>
              <w:left w:val="nil" w:sz="6" w:space="0" w:color="auto"/>
              <w:right w:val="nil" w:sz="6" w:space="0" w:color="auto"/>
            </w:tcBorders>
            <w:shd w:val="clear" w:color="auto" w:fill="DEEAF6"/>
          </w:tcPr>
          <w:p>
            <w:pPr/>
          </w:p>
        </w:tc>
        <w:tc>
          <w:tcPr>
            <w:tcW w:w="1045" w:type="dxa"/>
            <w:vMerge/>
            <w:tcBorders>
              <w:left w:val="nil" w:sz="6" w:space="0" w:color="auto"/>
              <w:right w:val="nil" w:sz="6" w:space="0" w:color="auto"/>
            </w:tcBorders>
          </w:tcPr>
          <w:p>
            <w:pPr/>
          </w:p>
        </w:tc>
        <w:tc>
          <w:tcPr>
            <w:tcW w:w="1045" w:type="dxa"/>
            <w:vMerge/>
            <w:tcBorders>
              <w:left w:val="nil" w:sz="6" w:space="0" w:color="auto"/>
              <w:right w:val="nil" w:sz="6" w:space="0" w:color="auto"/>
            </w:tcBorders>
            <w:shd w:val="clear" w:color="auto" w:fill="DEEAF6"/>
          </w:tcPr>
          <w:p>
            <w:pPr/>
          </w:p>
        </w:tc>
        <w:tc>
          <w:tcPr>
            <w:tcW w:w="1044" w:type="dxa"/>
            <w:vMerge/>
            <w:tcBorders>
              <w:left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left="316" w:right="0"/>
              <w:jc w:val="left"/>
              <w:rPr>
                <w:rFonts w:ascii="Arial" w:hAnsi="Arial" w:cs="Arial" w:eastAsia="Arial" w:hint="default"/>
                <w:sz w:val="18"/>
                <w:szCs w:val="18"/>
              </w:rPr>
            </w:pPr>
            <w:r>
              <w:rPr>
                <w:rFonts w:ascii="Arial"/>
                <w:sz w:val="18"/>
              </w:rPr>
              <w:t>3,351.12</w:t>
            </w:r>
          </w:p>
        </w:tc>
        <w:tc>
          <w:tcPr>
            <w:tcW w:w="1058" w:type="dxa"/>
            <w:vMerge/>
            <w:tcBorders>
              <w:left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left="513" w:right="0"/>
              <w:jc w:val="left"/>
              <w:rPr>
                <w:rFonts w:ascii="Arial" w:hAnsi="Arial" w:cs="Arial" w:eastAsia="Arial" w:hint="default"/>
                <w:sz w:val="18"/>
                <w:szCs w:val="18"/>
              </w:rPr>
            </w:pPr>
            <w:r>
              <w:rPr>
                <w:rFonts w:ascii="Arial"/>
                <w:sz w:val="18"/>
              </w:rPr>
              <w:t>1.80%</w:t>
            </w:r>
          </w:p>
        </w:tc>
        <w:tc>
          <w:tcPr>
            <w:tcW w:w="1030" w:type="dxa"/>
            <w:vMerge/>
            <w:tcBorders>
              <w:left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left="381" w:right="0"/>
              <w:jc w:val="left"/>
              <w:rPr>
                <w:rFonts w:ascii="Arial" w:hAnsi="Arial" w:cs="Arial" w:eastAsia="Arial" w:hint="default"/>
                <w:sz w:val="18"/>
                <w:szCs w:val="18"/>
              </w:rPr>
            </w:pPr>
            <w:r>
              <w:rPr>
                <w:rFonts w:ascii="Arial"/>
                <w:sz w:val="18"/>
              </w:rPr>
              <w:t>3,370.01</w:t>
            </w:r>
          </w:p>
        </w:tc>
      </w:tr>
      <w:tr>
        <w:trPr>
          <w:trHeight w:val="156" w:hRule="exact"/>
        </w:trPr>
        <w:tc>
          <w:tcPr>
            <w:tcW w:w="1136" w:type="dxa"/>
            <w:vMerge/>
            <w:tcBorders>
              <w:left w:val="nil" w:sz="6" w:space="0" w:color="auto"/>
              <w:bottom w:val="nil" w:sz="6" w:space="0" w:color="auto"/>
              <w:right w:val="nil" w:sz="6" w:space="0" w:color="auto"/>
            </w:tcBorders>
            <w:shd w:val="clear" w:color="auto" w:fill="DEEAF6"/>
          </w:tcPr>
          <w:p>
            <w:pPr/>
          </w:p>
        </w:tc>
        <w:tc>
          <w:tcPr>
            <w:tcW w:w="1045" w:type="dxa"/>
            <w:vMerge/>
            <w:tcBorders>
              <w:left w:val="nil" w:sz="6" w:space="0" w:color="auto"/>
              <w:bottom w:val="nil" w:sz="6" w:space="0" w:color="auto"/>
              <w:right w:val="nil" w:sz="6" w:space="0" w:color="auto"/>
            </w:tcBorders>
          </w:tcPr>
          <w:p>
            <w:pPr/>
          </w:p>
        </w:tc>
        <w:tc>
          <w:tcPr>
            <w:tcW w:w="1045" w:type="dxa"/>
            <w:vMerge/>
            <w:tcBorders>
              <w:left w:val="nil" w:sz="6" w:space="0" w:color="auto"/>
              <w:bottom w:val="nil" w:sz="6" w:space="0" w:color="auto"/>
              <w:right w:val="nil" w:sz="6" w:space="0" w:color="auto"/>
            </w:tcBorders>
            <w:shd w:val="clear" w:color="auto" w:fill="DEEAF6"/>
          </w:tcPr>
          <w:p>
            <w:pPr/>
          </w:p>
        </w:tc>
        <w:tc>
          <w:tcPr>
            <w:tcW w:w="1044" w:type="dxa"/>
            <w:vMerge/>
            <w:tcBorders>
              <w:left w:val="nil" w:sz="6" w:space="0" w:color="auto"/>
              <w:right w:val="nil" w:sz="6" w:space="0" w:color="auto"/>
            </w:tcBorders>
          </w:tcPr>
          <w:p>
            <w:pPr/>
          </w:p>
        </w:tc>
        <w:tc>
          <w:tcPr>
            <w:tcW w:w="1044" w:type="dxa"/>
            <w:vMerge w:val="restart"/>
            <w:tcBorders>
              <w:top w:val="nil" w:sz="6" w:space="0" w:color="auto"/>
              <w:left w:val="nil" w:sz="6" w:space="0" w:color="auto"/>
              <w:right w:val="nil" w:sz="6" w:space="0" w:color="auto"/>
            </w:tcBorders>
            <w:shd w:val="clear" w:color="auto" w:fill="DEEAF6"/>
          </w:tcPr>
          <w:p>
            <w:pPr/>
          </w:p>
        </w:tc>
        <w:tc>
          <w:tcPr>
            <w:tcW w:w="1058" w:type="dxa"/>
            <w:vMerge/>
            <w:tcBorders>
              <w:left w:val="nil" w:sz="6" w:space="0" w:color="auto"/>
              <w:right w:val="nil" w:sz="6" w:space="0" w:color="auto"/>
            </w:tcBorders>
          </w:tcPr>
          <w:p>
            <w:pPr/>
          </w:p>
        </w:tc>
        <w:tc>
          <w:tcPr>
            <w:tcW w:w="1044" w:type="dxa"/>
            <w:vMerge w:val="restart"/>
            <w:tcBorders>
              <w:top w:val="nil" w:sz="6" w:space="0" w:color="auto"/>
              <w:left w:val="nil" w:sz="6" w:space="0" w:color="auto"/>
              <w:right w:val="nil" w:sz="6" w:space="0" w:color="auto"/>
            </w:tcBorders>
            <w:shd w:val="clear" w:color="auto" w:fill="DEEAF6"/>
          </w:tcPr>
          <w:p>
            <w:pPr/>
          </w:p>
        </w:tc>
        <w:tc>
          <w:tcPr>
            <w:tcW w:w="1030" w:type="dxa"/>
            <w:vMerge/>
            <w:tcBorders>
              <w:left w:val="nil" w:sz="6" w:space="0" w:color="auto"/>
              <w:right w:val="nil" w:sz="6" w:space="0" w:color="auto"/>
            </w:tcBorders>
          </w:tcPr>
          <w:p>
            <w:pPr/>
          </w:p>
        </w:tc>
        <w:tc>
          <w:tcPr>
            <w:tcW w:w="1094" w:type="dxa"/>
            <w:vMerge w:val="restart"/>
            <w:tcBorders>
              <w:top w:val="nil" w:sz="6" w:space="0" w:color="auto"/>
              <w:left w:val="nil" w:sz="6" w:space="0" w:color="auto"/>
              <w:right w:val="nil" w:sz="6" w:space="0" w:color="auto"/>
            </w:tcBorders>
            <w:shd w:val="clear" w:color="auto" w:fill="DEEAF6"/>
          </w:tcPr>
          <w:p>
            <w:pPr/>
          </w:p>
        </w:tc>
      </w:tr>
      <w:tr>
        <w:trPr>
          <w:trHeight w:val="161" w:hRule="exact"/>
        </w:trPr>
        <w:tc>
          <w:tcPr>
            <w:tcW w:w="2181" w:type="dxa"/>
            <w:gridSpan w:val="2"/>
            <w:tcBorders>
              <w:top w:val="nil" w:sz="6" w:space="0" w:color="auto"/>
              <w:left w:val="nil" w:sz="6" w:space="0" w:color="auto"/>
              <w:bottom w:val="single" w:sz="4" w:space="0" w:color="5B9BD4"/>
              <w:right w:val="nil" w:sz="6" w:space="0" w:color="auto"/>
            </w:tcBorders>
            <w:shd w:val="clear" w:color="auto" w:fill="DEEAF6"/>
          </w:tcPr>
          <w:p>
            <w:pPr/>
          </w:p>
        </w:tc>
        <w:tc>
          <w:tcPr>
            <w:tcW w:w="1045" w:type="dxa"/>
            <w:tcBorders>
              <w:top w:val="nil" w:sz="6" w:space="0" w:color="auto"/>
              <w:left w:val="nil" w:sz="6" w:space="0" w:color="auto"/>
              <w:bottom w:val="single" w:sz="4" w:space="0" w:color="5B9BD4"/>
              <w:right w:val="nil" w:sz="6" w:space="0" w:color="auto"/>
            </w:tcBorders>
            <w:shd w:val="clear" w:color="auto" w:fill="DEEAF6"/>
          </w:tcPr>
          <w:p>
            <w:pPr/>
          </w:p>
        </w:tc>
        <w:tc>
          <w:tcPr>
            <w:tcW w:w="1044" w:type="dxa"/>
            <w:vMerge/>
            <w:tcBorders>
              <w:left w:val="nil" w:sz="6" w:space="0" w:color="auto"/>
              <w:bottom w:val="single" w:sz="4" w:space="0" w:color="5B9BD4"/>
              <w:right w:val="nil" w:sz="6" w:space="0" w:color="auto"/>
            </w:tcBorders>
          </w:tcPr>
          <w:p>
            <w:pPr/>
          </w:p>
        </w:tc>
        <w:tc>
          <w:tcPr>
            <w:tcW w:w="1044" w:type="dxa"/>
            <w:vMerge/>
            <w:tcBorders>
              <w:left w:val="nil" w:sz="6" w:space="0" w:color="auto"/>
              <w:bottom w:val="single" w:sz="4" w:space="0" w:color="5B9BD4"/>
              <w:right w:val="nil" w:sz="6" w:space="0" w:color="auto"/>
            </w:tcBorders>
            <w:shd w:val="clear" w:color="auto" w:fill="DEEAF6"/>
          </w:tcPr>
          <w:p>
            <w:pPr/>
          </w:p>
        </w:tc>
        <w:tc>
          <w:tcPr>
            <w:tcW w:w="1058" w:type="dxa"/>
            <w:vMerge/>
            <w:tcBorders>
              <w:left w:val="nil" w:sz="6" w:space="0" w:color="auto"/>
              <w:bottom w:val="single" w:sz="4" w:space="0" w:color="5B9BD4"/>
              <w:right w:val="nil" w:sz="6" w:space="0" w:color="auto"/>
            </w:tcBorders>
          </w:tcPr>
          <w:p>
            <w:pPr/>
          </w:p>
        </w:tc>
        <w:tc>
          <w:tcPr>
            <w:tcW w:w="1044" w:type="dxa"/>
            <w:vMerge/>
            <w:tcBorders>
              <w:left w:val="nil" w:sz="6" w:space="0" w:color="auto"/>
              <w:bottom w:val="single" w:sz="4" w:space="0" w:color="5B9BD4"/>
              <w:right w:val="nil" w:sz="6" w:space="0" w:color="auto"/>
            </w:tcBorders>
            <w:shd w:val="clear" w:color="auto" w:fill="DEEAF6"/>
          </w:tcPr>
          <w:p>
            <w:pPr/>
          </w:p>
        </w:tc>
        <w:tc>
          <w:tcPr>
            <w:tcW w:w="1030" w:type="dxa"/>
            <w:vMerge/>
            <w:tcBorders>
              <w:left w:val="nil" w:sz="6" w:space="0" w:color="auto"/>
              <w:bottom w:val="single" w:sz="4" w:space="0" w:color="5B9BD4"/>
              <w:right w:val="nil" w:sz="6" w:space="0" w:color="auto"/>
            </w:tcBorders>
          </w:tcPr>
          <w:p>
            <w:pPr/>
          </w:p>
        </w:tc>
        <w:tc>
          <w:tcPr>
            <w:tcW w:w="1094" w:type="dxa"/>
            <w:vMerge/>
            <w:tcBorders>
              <w:left w:val="nil" w:sz="6" w:space="0" w:color="auto"/>
              <w:bottom w:val="single" w:sz="4" w:space="0" w:color="5B9BD4"/>
              <w:right w:val="nil" w:sz="6" w:space="0" w:color="auto"/>
            </w:tcBorders>
            <w:shd w:val="clear" w:color="auto" w:fill="DEEAF6"/>
          </w:tcPr>
          <w:p>
            <w:pPr/>
          </w:p>
        </w:tc>
      </w:tr>
      <w:tr>
        <w:trPr>
          <w:trHeight w:val="715" w:hRule="exact"/>
        </w:trPr>
        <w:tc>
          <w:tcPr>
            <w:tcW w:w="2181"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47"/>
              <w:ind w:left="13" w:right="186"/>
              <w:jc w:val="left"/>
              <w:rPr>
                <w:rFonts w:ascii="宋体" w:hAnsi="宋体" w:cs="宋体" w:eastAsia="宋体" w:hint="default"/>
                <w:sz w:val="18"/>
                <w:szCs w:val="18"/>
              </w:rPr>
            </w:pPr>
            <w:r>
              <w:rPr>
                <w:rFonts w:ascii="宋体" w:hAnsi="宋体" w:cs="宋体" w:eastAsia="宋体" w:hint="default"/>
                <w:sz w:val="18"/>
                <w:szCs w:val="18"/>
              </w:rPr>
              <w:t>关联债务对公司经营成果 及财务状况的影响</w:t>
            </w:r>
          </w:p>
        </w:tc>
        <w:tc>
          <w:tcPr>
            <w:tcW w:w="7359" w:type="dxa"/>
            <w:gridSpan w:val="7"/>
            <w:tcBorders>
              <w:top w:val="single" w:sz="4" w:space="0" w:color="5B9BD4"/>
              <w:left w:val="single" w:sz="11" w:space="0" w:color="DEEAF6"/>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无影响。</w:t>
            </w:r>
          </w:p>
        </w:tc>
      </w:tr>
    </w:tbl>
    <w:p>
      <w:pPr>
        <w:spacing w:line="240" w:lineRule="auto" w:before="0"/>
        <w:rPr>
          <w:rFonts w:ascii="宋体" w:hAnsi="宋体" w:cs="宋体" w:eastAsia="宋体" w:hint="default"/>
          <w:sz w:val="20"/>
          <w:szCs w:val="20"/>
        </w:rPr>
      </w:pPr>
    </w:p>
    <w:p>
      <w:pPr>
        <w:pStyle w:val="Heading2"/>
        <w:spacing w:line="240" w:lineRule="auto" w:before="73"/>
        <w:ind w:left="154" w:right="0"/>
        <w:jc w:val="left"/>
        <w:rPr>
          <w:b w:val="0"/>
          <w:bCs w:val="0"/>
        </w:rPr>
      </w:pPr>
      <w:bookmarkStart w:name="5.16.5 其他重大关联交易" w:id="140"/>
      <w:bookmarkEnd w:id="140"/>
      <w:r>
        <w:rPr>
          <w:b w:val="0"/>
          <w:bCs w:val="0"/>
        </w:rPr>
      </w:r>
      <w:r>
        <w:rPr>
          <w:rFonts w:ascii="Trebuchet MS" w:hAnsi="Trebuchet MS" w:cs="Trebuchet MS" w:eastAsia="Trebuchet MS" w:hint="default"/>
        </w:rPr>
        <w:t>5.16.5</w:t>
      </w:r>
      <w:r>
        <w:rPr>
          <w:rFonts w:ascii="Trebuchet MS" w:hAnsi="Trebuchet MS" w:cs="Trebuchet MS" w:eastAsia="Trebuchet MS" w:hint="default"/>
          <w:spacing w:val="-26"/>
        </w:rPr>
        <w:t> </w:t>
      </w:r>
      <w:r>
        <w:rPr/>
        <w:t>其他重大关联交易</w:t>
      </w:r>
      <w:r>
        <w:rPr>
          <w:b w:val="0"/>
          <w:bCs w:val="0"/>
        </w:rPr>
      </w:r>
    </w:p>
    <w:p>
      <w:pPr>
        <w:spacing w:line="240" w:lineRule="auto" w:before="9"/>
        <w:rPr>
          <w:rFonts w:ascii="Microsoft JhengHei" w:hAnsi="Microsoft JhengHei" w:cs="Microsoft JhengHei" w:eastAsia="Microsoft JhengHei"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pStyle w:val="Heading1"/>
        <w:spacing w:line="240" w:lineRule="auto" w:before="75"/>
        <w:ind w:left="154" w:right="0"/>
        <w:jc w:val="left"/>
        <w:rPr>
          <w:b w:val="0"/>
          <w:bCs w:val="0"/>
        </w:rPr>
      </w:pPr>
      <w:bookmarkStart w:name="5.17 重大合同及其履行情况" w:id="141"/>
      <w:bookmarkEnd w:id="141"/>
      <w:r>
        <w:rPr>
          <w:b w:val="0"/>
          <w:bCs w:val="0"/>
        </w:rPr>
      </w:r>
      <w:bookmarkStart w:name="_bookmark46" w:id="142"/>
      <w:bookmarkEnd w:id="142"/>
      <w:r>
        <w:rPr>
          <w:b w:val="0"/>
          <w:bCs w:val="0"/>
        </w:rPr>
      </w:r>
      <w:r>
        <w:rPr>
          <w:rFonts w:ascii="Trebuchet MS" w:hAnsi="Trebuchet MS" w:cs="Trebuchet MS" w:eastAsia="Trebuchet MS" w:hint="default"/>
        </w:rPr>
        <w:t>5.17</w:t>
      </w:r>
      <w:r>
        <w:rPr>
          <w:rFonts w:ascii="Trebuchet MS" w:hAnsi="Trebuchet MS" w:cs="Trebuchet MS" w:eastAsia="Trebuchet MS" w:hint="default"/>
          <w:spacing w:val="4"/>
        </w:rPr>
        <w:t> </w:t>
      </w:r>
      <w:r>
        <w:rPr/>
        <w:t>重大合同及其履行情况</w:t>
      </w:r>
      <w:r>
        <w:rPr>
          <w:b w:val="0"/>
          <w:bCs w:val="0"/>
        </w:rPr>
      </w:r>
    </w:p>
    <w:p>
      <w:pPr>
        <w:spacing w:line="240" w:lineRule="auto" w:before="1"/>
        <w:rPr>
          <w:rFonts w:ascii="Microsoft JhengHei" w:hAnsi="Microsoft JhengHei" w:cs="Microsoft JhengHei" w:eastAsia="Microsoft JhengHei" w:hint="default"/>
          <w:b/>
          <w:bCs/>
          <w:sz w:val="27"/>
          <w:szCs w:val="27"/>
        </w:rPr>
      </w:pPr>
    </w:p>
    <w:p>
      <w:pPr>
        <w:pStyle w:val="Heading2"/>
        <w:spacing w:line="240" w:lineRule="auto"/>
        <w:ind w:right="0"/>
        <w:jc w:val="left"/>
        <w:rPr>
          <w:b w:val="0"/>
          <w:bCs w:val="0"/>
        </w:rPr>
      </w:pPr>
      <w:bookmarkStart w:name="5.17.1 托管、承包、租赁事项情况" w:id="143"/>
      <w:bookmarkEnd w:id="143"/>
      <w:r>
        <w:rPr>
          <w:b w:val="0"/>
          <w:bCs w:val="0"/>
        </w:rPr>
      </w:r>
      <w:r>
        <w:rPr>
          <w:rFonts w:ascii="Trebuchet MS" w:hAnsi="Trebuchet MS" w:cs="Trebuchet MS" w:eastAsia="Trebuchet MS" w:hint="default"/>
        </w:rPr>
        <w:t>5.17.1</w:t>
      </w:r>
      <w:r>
        <w:rPr>
          <w:rFonts w:ascii="Trebuchet MS" w:hAnsi="Trebuchet MS" w:cs="Trebuchet MS" w:eastAsia="Trebuchet MS" w:hint="default"/>
          <w:spacing w:val="-26"/>
        </w:rPr>
        <w:t> </w:t>
      </w:r>
      <w:r>
        <w:rPr/>
        <w:t>托管、承包、租赁事项情况</w:t>
      </w:r>
      <w:r>
        <w:rPr>
          <w:b w:val="0"/>
          <w:bCs w:val="0"/>
        </w:rPr>
      </w:r>
    </w:p>
    <w:p>
      <w:pPr>
        <w:spacing w:line="240" w:lineRule="auto" w:before="8"/>
        <w:rPr>
          <w:rFonts w:ascii="Microsoft JhengHei" w:hAnsi="Microsoft JhengHei" w:cs="Microsoft JhengHei" w:eastAsia="Microsoft JhengHei" w:hint="default"/>
          <w:b/>
          <w:bCs/>
          <w:sz w:val="30"/>
          <w:szCs w:val="30"/>
        </w:rPr>
      </w:pPr>
    </w:p>
    <w:p>
      <w:pPr>
        <w:pStyle w:val="BodyText"/>
        <w:spacing w:line="240" w:lineRule="auto"/>
        <w:ind w:right="0"/>
        <w:jc w:val="left"/>
      </w:pPr>
      <w:r>
        <w:rPr/>
        <w:t>报告期内公司无重大托管、承包、租赁事项。</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pStyle w:val="Heading2"/>
        <w:spacing w:line="240" w:lineRule="auto" w:before="93"/>
        <w:ind w:left="213" w:right="1513"/>
        <w:jc w:val="left"/>
        <w:rPr>
          <w:b w:val="0"/>
          <w:bCs w:val="0"/>
        </w:rPr>
      </w:pPr>
      <w:bookmarkStart w:name="5.17.2 重大担保" w:id="144"/>
      <w:bookmarkEnd w:id="144"/>
      <w:r>
        <w:rPr>
          <w:b w:val="0"/>
          <w:bCs w:val="0"/>
        </w:rPr>
      </w:r>
      <w:r>
        <w:rPr>
          <w:rFonts w:ascii="Trebuchet MS" w:hAnsi="Trebuchet MS" w:cs="Trebuchet MS" w:eastAsia="Trebuchet MS" w:hint="default"/>
        </w:rPr>
        <w:t>5.17.2</w:t>
      </w:r>
      <w:r>
        <w:rPr>
          <w:rFonts w:ascii="Trebuchet MS" w:hAnsi="Trebuchet MS" w:cs="Trebuchet MS" w:eastAsia="Trebuchet MS" w:hint="default"/>
          <w:spacing w:val="-26"/>
        </w:rPr>
        <w:t> </w:t>
      </w:r>
      <w:r>
        <w:rPr/>
        <w:t>重大担保</w:t>
      </w:r>
      <w:r>
        <w:rPr>
          <w:b w:val="0"/>
          <w:bCs w:val="0"/>
        </w:rPr>
      </w:r>
    </w:p>
    <w:p>
      <w:pPr>
        <w:spacing w:line="240" w:lineRule="auto" w:before="9"/>
        <w:rPr>
          <w:rFonts w:ascii="Microsoft JhengHei" w:hAnsi="Microsoft JhengHei" w:cs="Microsoft JhengHei" w:eastAsia="Microsoft JhengHei" w:hint="default"/>
          <w:b/>
          <w:bCs/>
          <w:sz w:val="27"/>
          <w:szCs w:val="27"/>
        </w:rPr>
      </w:pPr>
    </w:p>
    <w:p>
      <w:pPr>
        <w:spacing w:before="0"/>
        <w:ind w:left="213" w:right="151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1"/>
          <w:szCs w:val="21"/>
        </w:rPr>
      </w:pPr>
    </w:p>
    <w:p>
      <w:pPr>
        <w:pStyle w:val="Heading5"/>
        <w:spacing w:line="240" w:lineRule="auto" w:before="0"/>
        <w:ind w:left="213" w:right="1513"/>
        <w:jc w:val="left"/>
        <w:rPr>
          <w:rFonts w:ascii="Microsoft JhengHei" w:hAnsi="Microsoft JhengHei" w:cs="Microsoft JhengHei" w:eastAsia="Microsoft JhengHei" w:hint="default"/>
          <w:b w:val="0"/>
          <w:bCs w:val="0"/>
        </w:rPr>
      </w:pPr>
      <w:bookmarkStart w:name="（1） 担保情况" w:id="145"/>
      <w:bookmarkEnd w:id="145"/>
      <w:r>
        <w:rPr>
          <w:b w:val="0"/>
          <w:bCs w:val="0"/>
        </w:rPr>
      </w:r>
      <w:r>
        <w:rPr>
          <w:rFonts w:ascii="Microsoft JhengHei" w:hAnsi="Microsoft JhengHei" w:cs="Microsoft JhengHei" w:eastAsia="Microsoft JhengHei" w:hint="default"/>
        </w:rPr>
        <w:t>（</w:t>
      </w:r>
      <w:r>
        <w:rPr>
          <w:rFonts w:ascii="Trebuchet MS" w:hAnsi="Trebuchet MS" w:cs="Trebuchet MS" w:eastAsia="Trebuchet MS" w:hint="default"/>
        </w:rPr>
        <w:t>1</w:t>
      </w:r>
      <w:r>
        <w:rPr>
          <w:rFonts w:ascii="Microsoft JhengHei" w:hAnsi="Microsoft JhengHei" w:cs="Microsoft JhengHei" w:eastAsia="Microsoft JhengHei" w:hint="default"/>
        </w:rPr>
        <w:t>）</w:t>
      </w:r>
      <w:r>
        <w:rPr>
          <w:rFonts w:ascii="Microsoft JhengHei" w:hAnsi="Microsoft JhengHei" w:cs="Microsoft JhengHei" w:eastAsia="Microsoft JhengHei" w:hint="default"/>
          <w:spacing w:val="46"/>
        </w:rPr>
        <w:t> </w:t>
      </w:r>
      <w:r>
        <w:rPr>
          <w:rFonts w:ascii="Microsoft JhengHei" w:hAnsi="Microsoft JhengHei" w:cs="Microsoft JhengHei" w:eastAsia="Microsoft JhengHei" w:hint="default"/>
        </w:rPr>
        <w:t>担保情况</w:t>
      </w:r>
      <w:r>
        <w:rPr>
          <w:rFonts w:ascii="Microsoft JhengHei" w:hAnsi="Microsoft JhengHei" w:cs="Microsoft JhengHei" w:eastAsia="Microsoft JhengHei" w:hint="default"/>
          <w:b w:val="0"/>
          <w:bCs w:val="0"/>
        </w:rPr>
      </w:r>
    </w:p>
    <w:p>
      <w:pPr>
        <w:spacing w:line="240" w:lineRule="auto" w:before="16"/>
        <w:rPr>
          <w:rFonts w:ascii="Microsoft JhengHei" w:hAnsi="Microsoft JhengHei" w:cs="Microsoft JhengHei" w:eastAsia="Microsoft JhengHei" w:hint="default"/>
          <w:b/>
          <w:bCs/>
          <w:sz w:val="17"/>
          <w:szCs w:val="17"/>
        </w:rPr>
      </w:pPr>
    </w:p>
    <w:p>
      <w:pPr>
        <w:spacing w:before="29"/>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5"/>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709"/>
        <w:gridCol w:w="923"/>
        <w:gridCol w:w="911"/>
        <w:gridCol w:w="1313"/>
        <w:gridCol w:w="1044"/>
        <w:gridCol w:w="446"/>
        <w:gridCol w:w="851"/>
        <w:gridCol w:w="805"/>
        <w:gridCol w:w="782"/>
        <w:gridCol w:w="788"/>
      </w:tblGrid>
      <w:tr>
        <w:trPr>
          <w:trHeight w:val="397" w:hRule="exact"/>
        </w:trPr>
        <w:tc>
          <w:tcPr>
            <w:tcW w:w="9574" w:type="dxa"/>
            <w:gridSpan w:val="10"/>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2537"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343" w:hRule="exact"/>
        </w:trPr>
        <w:tc>
          <w:tcPr>
            <w:tcW w:w="170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4" w:space="0" w:color="5B9BD4"/>
              <w:left w:val="nil" w:sz="6" w:space="0" w:color="auto"/>
              <w:bottom w:val="single" w:sz="4" w:space="0" w:color="5B9BD4"/>
              <w:right w:val="nil" w:sz="6" w:space="0" w:color="auto"/>
            </w:tcBorders>
          </w:tcPr>
          <w:p>
            <w:pPr>
              <w:pStyle w:val="TableParagraph"/>
              <w:spacing w:line="316" w:lineRule="auto" w:before="52"/>
              <w:ind w:left="190" w:right="191"/>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1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364" w:right="185"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313" w:type="dxa"/>
            <w:tcBorders>
              <w:top w:val="single" w:sz="4" w:space="0" w:color="5B9BD4"/>
              <w:left w:val="nil" w:sz="6" w:space="0" w:color="auto"/>
              <w:bottom w:val="single" w:sz="4" w:space="0" w:color="5B9BD4"/>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76" w:right="204" w:hanging="271"/>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04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341" w:right="161"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298" w:type="dxa"/>
            <w:gridSpan w:val="2"/>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80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2"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22" w:right="119"/>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714" w:hRule="exact"/>
        </w:trPr>
        <w:tc>
          <w:tcPr>
            <w:tcW w:w="2632"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47"/>
              <w:ind w:left="108" w:right="183"/>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Arial" w:hAnsi="Arial" w:cs="Arial" w:eastAsia="Arial" w:hint="default"/>
                <w:sz w:val="18"/>
                <w:szCs w:val="18"/>
              </w:rPr>
              <w:t>A1</w:t>
            </w:r>
            <w:r>
              <w:rPr>
                <w:rFonts w:ascii="宋体" w:hAnsi="宋体" w:cs="宋体" w:eastAsia="宋体" w:hint="default"/>
                <w:sz w:val="18"/>
                <w:szCs w:val="18"/>
              </w:rPr>
              <w:t>）</w:t>
            </w:r>
          </w:p>
        </w:tc>
        <w:tc>
          <w:tcPr>
            <w:tcW w:w="2224" w:type="dxa"/>
            <w:gridSpan w:val="2"/>
            <w:tcBorders>
              <w:top w:val="single" w:sz="4" w:space="0" w:color="5B9BD4"/>
              <w:left w:val="nil" w:sz="6" w:space="0" w:color="auto"/>
              <w:bottom w:val="single" w:sz="4" w:space="0" w:color="5B9BD4"/>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5"/>
              <w:jc w:val="right"/>
              <w:rPr>
                <w:rFonts w:ascii="Arial" w:hAnsi="Arial" w:cs="Arial" w:eastAsia="Arial" w:hint="default"/>
                <w:sz w:val="18"/>
                <w:szCs w:val="18"/>
              </w:rPr>
            </w:pPr>
            <w:r>
              <w:rPr>
                <w:rFonts w:ascii="Arial"/>
                <w:w w:val="99"/>
                <w:sz w:val="18"/>
              </w:rPr>
              <w:t>0</w:t>
            </w:r>
            <w:r>
              <w:rPr>
                <w:rFonts w:ascii="Arial"/>
                <w:sz w:val="18"/>
              </w:rPr>
            </w:r>
          </w:p>
        </w:tc>
        <w:tc>
          <w:tcPr>
            <w:tcW w:w="2342" w:type="dxa"/>
            <w:gridSpan w:val="3"/>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47"/>
              <w:ind w:left="107" w:right="251"/>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Arial" w:hAnsi="Arial" w:cs="Arial" w:eastAsia="Arial" w:hint="default"/>
                <w:sz w:val="18"/>
                <w:szCs w:val="18"/>
              </w:rPr>
              <w:t>A2</w:t>
            </w:r>
            <w:r>
              <w:rPr>
                <w:rFonts w:ascii="宋体" w:hAnsi="宋体" w:cs="宋体" w:eastAsia="宋体" w:hint="default"/>
                <w:sz w:val="18"/>
                <w:szCs w:val="18"/>
              </w:rPr>
              <w:t>）</w:t>
            </w:r>
          </w:p>
        </w:tc>
        <w:tc>
          <w:tcPr>
            <w:tcW w:w="2376" w:type="dxa"/>
            <w:gridSpan w:val="3"/>
            <w:tcBorders>
              <w:top w:val="single" w:sz="4" w:space="0" w:color="5B9BD4"/>
              <w:left w:val="nil" w:sz="6" w:space="0" w:color="auto"/>
              <w:bottom w:val="single" w:sz="4" w:space="0" w:color="5B9BD4"/>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Arial" w:hAnsi="Arial" w:cs="Arial" w:eastAsia="Arial" w:hint="default"/>
                <w:sz w:val="18"/>
                <w:szCs w:val="18"/>
              </w:rPr>
            </w:pPr>
            <w:r>
              <w:rPr>
                <w:rFonts w:ascii="Arial"/>
                <w:w w:val="99"/>
                <w:sz w:val="18"/>
              </w:rPr>
              <w:t>0</w:t>
            </w:r>
            <w:r>
              <w:rPr>
                <w:rFonts w:ascii="Arial"/>
                <w:sz w:val="18"/>
              </w:rPr>
            </w:r>
          </w:p>
        </w:tc>
      </w:tr>
      <w:tr>
        <w:trPr>
          <w:trHeight w:val="719" w:hRule="exact"/>
        </w:trPr>
        <w:tc>
          <w:tcPr>
            <w:tcW w:w="2632"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47"/>
              <w:ind w:left="108" w:right="183"/>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Arial" w:hAnsi="Arial" w:cs="Arial" w:eastAsia="Arial" w:hint="default"/>
                <w:sz w:val="18"/>
                <w:szCs w:val="18"/>
              </w:rPr>
              <w:t>A3</w:t>
            </w:r>
            <w:r>
              <w:rPr>
                <w:rFonts w:ascii="宋体" w:hAnsi="宋体" w:cs="宋体" w:eastAsia="宋体" w:hint="default"/>
                <w:sz w:val="18"/>
                <w:szCs w:val="18"/>
              </w:rPr>
              <w:t>）</w:t>
            </w:r>
          </w:p>
        </w:tc>
        <w:tc>
          <w:tcPr>
            <w:tcW w:w="2224" w:type="dxa"/>
            <w:gridSpan w:val="2"/>
            <w:tcBorders>
              <w:top w:val="single" w:sz="4" w:space="0" w:color="5B9BD4"/>
              <w:left w:val="nil" w:sz="6" w:space="0" w:color="auto"/>
              <w:bottom w:val="single" w:sz="4" w:space="0" w:color="5B9BD4"/>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5"/>
              <w:jc w:val="right"/>
              <w:rPr>
                <w:rFonts w:ascii="Arial" w:hAnsi="Arial" w:cs="Arial" w:eastAsia="Arial" w:hint="default"/>
                <w:sz w:val="18"/>
                <w:szCs w:val="18"/>
              </w:rPr>
            </w:pPr>
            <w:r>
              <w:rPr>
                <w:rFonts w:ascii="Arial"/>
                <w:w w:val="99"/>
                <w:sz w:val="18"/>
              </w:rPr>
              <w:t>0</w:t>
            </w:r>
            <w:r>
              <w:rPr>
                <w:rFonts w:ascii="Arial"/>
                <w:sz w:val="18"/>
              </w:rPr>
            </w:r>
          </w:p>
        </w:tc>
        <w:tc>
          <w:tcPr>
            <w:tcW w:w="2342" w:type="dxa"/>
            <w:gridSpan w:val="3"/>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47"/>
              <w:ind w:left="107" w:right="251"/>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Arial" w:hAnsi="Arial" w:cs="Arial" w:eastAsia="Arial" w:hint="default"/>
                <w:sz w:val="18"/>
                <w:szCs w:val="18"/>
              </w:rPr>
              <w:t>A4</w:t>
            </w:r>
            <w:r>
              <w:rPr>
                <w:rFonts w:ascii="宋体" w:hAnsi="宋体" w:cs="宋体" w:eastAsia="宋体" w:hint="default"/>
                <w:sz w:val="18"/>
                <w:szCs w:val="18"/>
              </w:rPr>
              <w:t>）</w:t>
            </w:r>
          </w:p>
        </w:tc>
        <w:tc>
          <w:tcPr>
            <w:tcW w:w="2376" w:type="dxa"/>
            <w:gridSpan w:val="3"/>
            <w:tcBorders>
              <w:top w:val="single" w:sz="4" w:space="0" w:color="5B9BD4"/>
              <w:left w:val="nil" w:sz="6" w:space="0" w:color="auto"/>
              <w:bottom w:val="single" w:sz="4" w:space="0" w:color="5B9BD4"/>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Arial" w:hAnsi="Arial" w:cs="Arial" w:eastAsia="Arial" w:hint="default"/>
                <w:sz w:val="18"/>
                <w:szCs w:val="18"/>
              </w:rPr>
            </w:pPr>
            <w:r>
              <w:rPr>
                <w:rFonts w:ascii="Arial"/>
                <w:w w:val="99"/>
                <w:sz w:val="18"/>
              </w:rPr>
              <w:t>0</w:t>
            </w:r>
            <w:r>
              <w:rPr>
                <w:rFonts w:ascii="Arial"/>
                <w:sz w:val="18"/>
              </w:rPr>
            </w:r>
          </w:p>
        </w:tc>
      </w:tr>
      <w:tr>
        <w:trPr>
          <w:trHeight w:val="391" w:hRule="exact"/>
        </w:trPr>
        <w:tc>
          <w:tcPr>
            <w:tcW w:w="9574" w:type="dxa"/>
            <w:gridSpan w:val="10"/>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344" w:hRule="exact"/>
        </w:trPr>
        <w:tc>
          <w:tcPr>
            <w:tcW w:w="170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4" w:space="0" w:color="5B9BD4"/>
              <w:left w:val="nil" w:sz="6" w:space="0" w:color="auto"/>
              <w:bottom w:val="single" w:sz="4" w:space="0" w:color="5B9BD4"/>
              <w:right w:val="nil" w:sz="6" w:space="0" w:color="auto"/>
            </w:tcBorders>
          </w:tcPr>
          <w:p>
            <w:pPr>
              <w:pStyle w:val="TableParagraph"/>
              <w:spacing w:line="319" w:lineRule="auto" w:before="52"/>
              <w:ind w:left="190" w:right="191"/>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1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364" w:right="185"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313" w:type="dxa"/>
            <w:tcBorders>
              <w:top w:val="single" w:sz="4" w:space="0" w:color="5B9BD4"/>
              <w:left w:val="nil" w:sz="6" w:space="0" w:color="auto"/>
              <w:bottom w:val="single" w:sz="4" w:space="0" w:color="5B9BD4"/>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76" w:right="204" w:hanging="271"/>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490"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05"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851"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333" w:right="155" w:hanging="180"/>
              <w:jc w:val="left"/>
              <w:rPr>
                <w:rFonts w:ascii="宋体" w:hAnsi="宋体" w:cs="宋体" w:eastAsia="宋体" w:hint="default"/>
                <w:sz w:val="18"/>
                <w:szCs w:val="18"/>
              </w:rPr>
            </w:pPr>
            <w:r>
              <w:rPr>
                <w:rFonts w:ascii="宋体" w:hAnsi="宋体" w:cs="宋体" w:eastAsia="宋体" w:hint="default"/>
                <w:sz w:val="18"/>
                <w:szCs w:val="18"/>
              </w:rPr>
              <w:t>担保类 型</w:t>
            </w:r>
          </w:p>
        </w:tc>
        <w:tc>
          <w:tcPr>
            <w:tcW w:w="80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2"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18" w:right="121"/>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123" w:right="122"/>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1026" w:hRule="exact"/>
        </w:trPr>
        <w:tc>
          <w:tcPr>
            <w:tcW w:w="170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08" w:right="159"/>
              <w:jc w:val="left"/>
              <w:rPr>
                <w:rFonts w:ascii="宋体" w:hAnsi="宋体" w:cs="宋体" w:eastAsia="宋体" w:hint="default"/>
                <w:sz w:val="18"/>
                <w:szCs w:val="18"/>
              </w:rPr>
            </w:pPr>
            <w:r>
              <w:rPr>
                <w:rFonts w:ascii="宋体" w:hAnsi="宋体" w:cs="宋体" w:eastAsia="宋体" w:hint="default"/>
                <w:sz w:val="18"/>
                <w:szCs w:val="18"/>
              </w:rPr>
              <w:t>北京酷人通讯科技 有限公司</w:t>
            </w:r>
          </w:p>
        </w:tc>
        <w:tc>
          <w:tcPr>
            <w:tcW w:w="923"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w:t>
            </w:r>
          </w:p>
          <w:p>
            <w:pPr>
              <w:pStyle w:val="TableParagraph"/>
              <w:spacing w:line="240" w:lineRule="auto" w:before="62"/>
              <w:ind w:left="107" w:right="0"/>
              <w:jc w:val="left"/>
              <w:rPr>
                <w:rFonts w:ascii="Arial" w:hAnsi="Arial" w:cs="Arial" w:eastAsia="Arial" w:hint="default"/>
                <w:sz w:val="18"/>
                <w:szCs w:val="18"/>
              </w:rPr>
            </w:pPr>
            <w:r>
              <w:rPr>
                <w:rFonts w:ascii="Arial" w:hAnsi="Arial" w:cs="Arial" w:eastAsia="Arial" w:hint="default"/>
                <w:sz w:val="18"/>
                <w:szCs w:val="18"/>
              </w:rPr>
              <w:t>02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w:hAnsi="Arial" w:cs="Arial" w:eastAsia="Arial" w:hint="default"/>
                <w:sz w:val="18"/>
                <w:szCs w:val="18"/>
              </w:rPr>
              <w:t>13</w:t>
            </w:r>
          </w:p>
          <w:p>
            <w:pPr>
              <w:pStyle w:val="TableParagraph"/>
              <w:spacing w:line="240" w:lineRule="auto" w:before="65"/>
              <w:ind w:left="10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7"/>
              <w:jc w:val="right"/>
              <w:rPr>
                <w:rFonts w:ascii="Arial" w:hAnsi="Arial" w:cs="Arial" w:eastAsia="Arial" w:hint="default"/>
                <w:sz w:val="18"/>
                <w:szCs w:val="18"/>
              </w:rPr>
            </w:pPr>
            <w:r>
              <w:rPr>
                <w:rFonts w:ascii="Arial"/>
                <w:w w:val="95"/>
                <w:sz w:val="18"/>
              </w:rPr>
              <w:t>30,000</w:t>
            </w:r>
            <w:r>
              <w:rPr>
                <w:rFonts w:ascii="Arial"/>
                <w:sz w:val="18"/>
              </w:rPr>
            </w:r>
          </w:p>
        </w:tc>
        <w:tc>
          <w:tcPr>
            <w:tcW w:w="1313" w:type="dxa"/>
            <w:tcBorders>
              <w:top w:val="single" w:sz="4" w:space="0" w:color="5B9BD4"/>
              <w:left w:val="nil" w:sz="6" w:space="0" w:color="auto"/>
              <w:bottom w:val="single" w:sz="4" w:space="0" w:color="5B9BD4"/>
              <w:right w:val="nil" w:sz="6" w:space="0" w:color="auto"/>
            </w:tcBorders>
          </w:tcPr>
          <w:p>
            <w:pPr/>
          </w:p>
        </w:tc>
        <w:tc>
          <w:tcPr>
            <w:tcW w:w="1490" w:type="dxa"/>
            <w:gridSpan w:val="2"/>
            <w:tcBorders>
              <w:top w:val="single" w:sz="4" w:space="0" w:color="5B9BD4"/>
              <w:left w:val="nil" w:sz="6" w:space="0" w:color="auto"/>
              <w:bottom w:val="single" w:sz="4" w:space="0" w:color="5B9BD4"/>
              <w:right w:val="nil" w:sz="6" w:space="0" w:color="auto"/>
            </w:tcBorders>
            <w:shd w:val="clear" w:color="auto" w:fill="DEEAF6"/>
          </w:tcPr>
          <w:p>
            <w:pPr/>
          </w:p>
        </w:tc>
        <w:tc>
          <w:tcPr>
            <w:tcW w:w="851" w:type="dxa"/>
            <w:tcBorders>
              <w:top w:val="single" w:sz="4" w:space="0" w:color="5B9BD4"/>
              <w:left w:val="nil" w:sz="6" w:space="0" w:color="auto"/>
              <w:bottom w:val="single" w:sz="4" w:space="0" w:color="5B9BD4"/>
              <w:right w:val="nil" w:sz="6" w:space="0" w:color="auto"/>
            </w:tcBorders>
          </w:tcPr>
          <w:p>
            <w:pPr/>
          </w:p>
        </w:tc>
        <w:tc>
          <w:tcPr>
            <w:tcW w:w="805" w:type="dxa"/>
            <w:tcBorders>
              <w:top w:val="single" w:sz="4" w:space="0" w:color="5B9BD4"/>
              <w:left w:val="nil" w:sz="6" w:space="0" w:color="auto"/>
              <w:bottom w:val="single" w:sz="4" w:space="0" w:color="5B9BD4"/>
              <w:right w:val="nil" w:sz="6" w:space="0" w:color="auto"/>
            </w:tcBorders>
            <w:shd w:val="clear" w:color="auto" w:fill="DEEAF6"/>
          </w:tcPr>
          <w:p>
            <w:pPr/>
          </w:p>
        </w:tc>
        <w:tc>
          <w:tcPr>
            <w:tcW w:w="782" w:type="dxa"/>
            <w:tcBorders>
              <w:top w:val="single" w:sz="4" w:space="0" w:color="5B9BD4"/>
              <w:left w:val="nil" w:sz="6" w:space="0" w:color="auto"/>
              <w:bottom w:val="single" w:sz="4" w:space="0" w:color="5B9BD4"/>
              <w:right w:val="nil" w:sz="6" w:space="0" w:color="auto"/>
            </w:tcBorders>
          </w:tcPr>
          <w:p>
            <w:pPr/>
          </w:p>
        </w:tc>
        <w:tc>
          <w:tcPr>
            <w:tcW w:w="78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1026" w:hRule="exact"/>
        </w:trPr>
        <w:tc>
          <w:tcPr>
            <w:tcW w:w="170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08" w:right="159"/>
              <w:jc w:val="left"/>
              <w:rPr>
                <w:rFonts w:ascii="宋体" w:hAnsi="宋体" w:cs="宋体" w:eastAsia="宋体" w:hint="default"/>
                <w:sz w:val="18"/>
                <w:szCs w:val="18"/>
              </w:rPr>
            </w:pPr>
            <w:r>
              <w:rPr>
                <w:rFonts w:ascii="宋体" w:hAnsi="宋体" w:cs="宋体" w:eastAsia="宋体" w:hint="default"/>
                <w:sz w:val="18"/>
                <w:szCs w:val="18"/>
              </w:rPr>
              <w:t>北京酷人通讯科技 有限公司</w:t>
            </w:r>
          </w:p>
        </w:tc>
        <w:tc>
          <w:tcPr>
            <w:tcW w:w="923"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w:t>
            </w:r>
          </w:p>
          <w:p>
            <w:pPr>
              <w:pStyle w:val="TableParagraph"/>
              <w:spacing w:line="240" w:lineRule="auto" w:before="62"/>
              <w:ind w:left="107" w:right="0"/>
              <w:jc w:val="left"/>
              <w:rPr>
                <w:rFonts w:ascii="Arial" w:hAnsi="Arial" w:cs="Arial" w:eastAsia="Arial" w:hint="default"/>
                <w:sz w:val="18"/>
                <w:szCs w:val="18"/>
              </w:rPr>
            </w:pPr>
            <w:r>
              <w:rPr>
                <w:rFonts w:ascii="Arial" w:hAnsi="Arial" w:cs="Arial" w:eastAsia="Arial" w:hint="default"/>
                <w:sz w:val="18"/>
                <w:szCs w:val="18"/>
              </w:rPr>
              <w:t>02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w:hAnsi="Arial" w:cs="Arial" w:eastAsia="Arial" w:hint="default"/>
                <w:sz w:val="18"/>
                <w:szCs w:val="18"/>
              </w:rPr>
              <w:t>13</w:t>
            </w:r>
          </w:p>
          <w:p>
            <w:pPr>
              <w:pStyle w:val="TableParagraph"/>
              <w:spacing w:line="240" w:lineRule="auto" w:before="65"/>
              <w:ind w:left="10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7"/>
              <w:jc w:val="right"/>
              <w:rPr>
                <w:rFonts w:ascii="Arial" w:hAnsi="Arial" w:cs="Arial" w:eastAsia="Arial" w:hint="default"/>
                <w:sz w:val="18"/>
                <w:szCs w:val="18"/>
              </w:rPr>
            </w:pPr>
            <w:r>
              <w:rPr>
                <w:rFonts w:ascii="Arial"/>
                <w:w w:val="95"/>
                <w:sz w:val="18"/>
              </w:rPr>
              <w:t>40,000</w:t>
            </w:r>
            <w:r>
              <w:rPr>
                <w:rFonts w:ascii="Arial"/>
                <w:sz w:val="18"/>
              </w:rPr>
            </w:r>
          </w:p>
        </w:tc>
        <w:tc>
          <w:tcPr>
            <w:tcW w:w="1313"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09</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8" w:right="0"/>
              <w:jc w:val="left"/>
              <w:rPr>
                <w:rFonts w:ascii="宋体" w:hAnsi="宋体" w:cs="宋体" w:eastAsia="宋体" w:hint="default"/>
                <w:sz w:val="18"/>
                <w:szCs w:val="18"/>
              </w:rPr>
            </w:pPr>
            <w:r>
              <w:rPr>
                <w:rFonts w:ascii="Arial" w:hAnsi="Arial" w:cs="Arial" w:eastAsia="Arial" w:hint="default"/>
                <w:sz w:val="18"/>
                <w:szCs w:val="18"/>
              </w:rPr>
              <w:t>21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90"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833" w:right="0"/>
              <w:jc w:val="left"/>
              <w:rPr>
                <w:rFonts w:ascii="Arial" w:hAnsi="Arial" w:cs="Arial" w:eastAsia="Arial" w:hint="default"/>
                <w:sz w:val="18"/>
                <w:szCs w:val="18"/>
              </w:rPr>
            </w:pPr>
            <w:r>
              <w:rPr>
                <w:rFonts w:ascii="Arial"/>
                <w:sz w:val="18"/>
              </w:rPr>
              <w:t>40,000</w:t>
            </w:r>
          </w:p>
        </w:tc>
        <w:tc>
          <w:tcPr>
            <w:tcW w:w="851"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06" w:right="202"/>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80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07"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82"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0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0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08" w:right="159"/>
              <w:jc w:val="left"/>
              <w:rPr>
                <w:rFonts w:ascii="宋体" w:hAnsi="宋体" w:cs="宋体" w:eastAsia="宋体" w:hint="default"/>
                <w:sz w:val="18"/>
                <w:szCs w:val="18"/>
              </w:rPr>
            </w:pPr>
            <w:r>
              <w:rPr>
                <w:rFonts w:ascii="宋体" w:hAnsi="宋体" w:cs="宋体" w:eastAsia="宋体" w:hint="default"/>
                <w:sz w:val="18"/>
                <w:szCs w:val="18"/>
              </w:rPr>
              <w:t>北京酷人通讯科技 有限公司</w:t>
            </w:r>
          </w:p>
        </w:tc>
        <w:tc>
          <w:tcPr>
            <w:tcW w:w="923"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w:t>
            </w:r>
          </w:p>
          <w:p>
            <w:pPr>
              <w:pStyle w:val="TableParagraph"/>
              <w:spacing w:line="240" w:lineRule="auto" w:before="62"/>
              <w:ind w:left="107" w:right="0"/>
              <w:jc w:val="left"/>
              <w:rPr>
                <w:rFonts w:ascii="Arial" w:hAnsi="Arial" w:cs="Arial" w:eastAsia="Arial" w:hint="default"/>
                <w:sz w:val="18"/>
                <w:szCs w:val="18"/>
              </w:rPr>
            </w:pPr>
            <w:r>
              <w:rPr>
                <w:rFonts w:ascii="Arial" w:hAnsi="Arial" w:cs="Arial" w:eastAsia="Arial" w:hint="default"/>
                <w:sz w:val="18"/>
                <w:szCs w:val="18"/>
              </w:rPr>
              <w:t>02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w:hAnsi="Arial" w:cs="Arial" w:eastAsia="Arial" w:hint="default"/>
                <w:sz w:val="18"/>
                <w:szCs w:val="18"/>
              </w:rPr>
              <w:t>13</w:t>
            </w:r>
          </w:p>
          <w:p>
            <w:pPr>
              <w:pStyle w:val="TableParagraph"/>
              <w:spacing w:line="240" w:lineRule="auto" w:before="65"/>
              <w:ind w:left="10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7"/>
              <w:jc w:val="right"/>
              <w:rPr>
                <w:rFonts w:ascii="Arial" w:hAnsi="Arial" w:cs="Arial" w:eastAsia="Arial" w:hint="default"/>
                <w:sz w:val="18"/>
                <w:szCs w:val="18"/>
              </w:rPr>
            </w:pPr>
            <w:r>
              <w:rPr>
                <w:rFonts w:ascii="Arial"/>
                <w:w w:val="95"/>
                <w:sz w:val="18"/>
              </w:rPr>
              <w:t>30,000</w:t>
            </w:r>
            <w:r>
              <w:rPr>
                <w:rFonts w:ascii="Arial"/>
                <w:sz w:val="18"/>
              </w:rPr>
            </w:r>
          </w:p>
        </w:tc>
        <w:tc>
          <w:tcPr>
            <w:tcW w:w="1313" w:type="dxa"/>
            <w:tcBorders>
              <w:top w:val="single" w:sz="4" w:space="0" w:color="5B9BD4"/>
              <w:left w:val="nil" w:sz="6" w:space="0" w:color="auto"/>
              <w:bottom w:val="single" w:sz="4" w:space="0" w:color="5B9BD4"/>
              <w:right w:val="nil" w:sz="6" w:space="0" w:color="auto"/>
            </w:tcBorders>
          </w:tcPr>
          <w:p>
            <w:pPr/>
          </w:p>
        </w:tc>
        <w:tc>
          <w:tcPr>
            <w:tcW w:w="1490" w:type="dxa"/>
            <w:gridSpan w:val="2"/>
            <w:tcBorders>
              <w:top w:val="single" w:sz="4" w:space="0" w:color="5B9BD4"/>
              <w:left w:val="nil" w:sz="6" w:space="0" w:color="auto"/>
              <w:bottom w:val="single" w:sz="4" w:space="0" w:color="5B9BD4"/>
              <w:right w:val="nil" w:sz="6" w:space="0" w:color="auto"/>
            </w:tcBorders>
            <w:shd w:val="clear" w:color="auto" w:fill="DEEAF6"/>
          </w:tcPr>
          <w:p>
            <w:pPr/>
          </w:p>
        </w:tc>
        <w:tc>
          <w:tcPr>
            <w:tcW w:w="851" w:type="dxa"/>
            <w:tcBorders>
              <w:top w:val="single" w:sz="4" w:space="0" w:color="5B9BD4"/>
              <w:left w:val="nil" w:sz="6" w:space="0" w:color="auto"/>
              <w:bottom w:val="single" w:sz="4" w:space="0" w:color="5B9BD4"/>
              <w:right w:val="nil" w:sz="6" w:space="0" w:color="auto"/>
            </w:tcBorders>
          </w:tcPr>
          <w:p>
            <w:pPr/>
          </w:p>
        </w:tc>
        <w:tc>
          <w:tcPr>
            <w:tcW w:w="805" w:type="dxa"/>
            <w:tcBorders>
              <w:top w:val="single" w:sz="4" w:space="0" w:color="5B9BD4"/>
              <w:left w:val="nil" w:sz="6" w:space="0" w:color="auto"/>
              <w:bottom w:val="single" w:sz="4" w:space="0" w:color="5B9BD4"/>
              <w:right w:val="nil" w:sz="6" w:space="0" w:color="auto"/>
            </w:tcBorders>
            <w:shd w:val="clear" w:color="auto" w:fill="DEEAF6"/>
          </w:tcPr>
          <w:p>
            <w:pPr/>
          </w:p>
        </w:tc>
        <w:tc>
          <w:tcPr>
            <w:tcW w:w="782" w:type="dxa"/>
            <w:tcBorders>
              <w:top w:val="single" w:sz="4" w:space="0" w:color="5B9BD4"/>
              <w:left w:val="nil" w:sz="6" w:space="0" w:color="auto"/>
              <w:bottom w:val="single" w:sz="4" w:space="0" w:color="5B9BD4"/>
              <w:right w:val="nil" w:sz="6" w:space="0" w:color="auto"/>
            </w:tcBorders>
          </w:tcPr>
          <w:p>
            <w:pPr/>
          </w:p>
        </w:tc>
        <w:tc>
          <w:tcPr>
            <w:tcW w:w="78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1026" w:hRule="exact"/>
        </w:trPr>
        <w:tc>
          <w:tcPr>
            <w:tcW w:w="170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08" w:right="159"/>
              <w:jc w:val="left"/>
              <w:rPr>
                <w:rFonts w:ascii="宋体" w:hAnsi="宋体" w:cs="宋体" w:eastAsia="宋体" w:hint="default"/>
                <w:sz w:val="18"/>
                <w:szCs w:val="18"/>
              </w:rPr>
            </w:pPr>
            <w:r>
              <w:rPr>
                <w:rFonts w:ascii="宋体" w:hAnsi="宋体" w:cs="宋体" w:eastAsia="宋体" w:hint="default"/>
                <w:sz w:val="18"/>
                <w:szCs w:val="18"/>
              </w:rPr>
              <w:t>北京酷人通讯科技 有限公司</w:t>
            </w:r>
          </w:p>
        </w:tc>
        <w:tc>
          <w:tcPr>
            <w:tcW w:w="923"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w:t>
            </w:r>
          </w:p>
          <w:p>
            <w:pPr>
              <w:pStyle w:val="TableParagraph"/>
              <w:spacing w:line="240" w:lineRule="auto" w:before="62"/>
              <w:ind w:left="107" w:right="0"/>
              <w:jc w:val="left"/>
              <w:rPr>
                <w:rFonts w:ascii="Arial" w:hAnsi="Arial" w:cs="Arial" w:eastAsia="Arial" w:hint="default"/>
                <w:sz w:val="18"/>
                <w:szCs w:val="18"/>
              </w:rPr>
            </w:pPr>
            <w:r>
              <w:rPr>
                <w:rFonts w:ascii="Arial" w:hAnsi="Arial" w:cs="Arial" w:eastAsia="Arial" w:hint="default"/>
                <w:sz w:val="18"/>
                <w:szCs w:val="18"/>
              </w:rPr>
              <w:t>02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w:hAnsi="Arial" w:cs="Arial" w:eastAsia="Arial" w:hint="default"/>
                <w:sz w:val="18"/>
                <w:szCs w:val="18"/>
              </w:rPr>
              <w:t>13</w:t>
            </w:r>
          </w:p>
          <w:p>
            <w:pPr>
              <w:pStyle w:val="TableParagraph"/>
              <w:spacing w:line="240" w:lineRule="auto" w:before="65"/>
              <w:ind w:left="10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7"/>
              <w:jc w:val="right"/>
              <w:rPr>
                <w:rFonts w:ascii="Arial" w:hAnsi="Arial" w:cs="Arial" w:eastAsia="Arial" w:hint="default"/>
                <w:sz w:val="18"/>
                <w:szCs w:val="18"/>
              </w:rPr>
            </w:pPr>
            <w:r>
              <w:rPr>
                <w:rFonts w:ascii="Arial"/>
                <w:w w:val="95"/>
                <w:sz w:val="18"/>
              </w:rPr>
              <w:t>20,000</w:t>
            </w:r>
            <w:r>
              <w:rPr>
                <w:rFonts w:ascii="Arial"/>
                <w:sz w:val="18"/>
              </w:rPr>
            </w:r>
          </w:p>
        </w:tc>
        <w:tc>
          <w:tcPr>
            <w:tcW w:w="1313"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04</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8" w:right="0"/>
              <w:jc w:val="left"/>
              <w:rPr>
                <w:rFonts w:ascii="宋体" w:hAnsi="宋体" w:cs="宋体" w:eastAsia="宋体" w:hint="default"/>
                <w:sz w:val="18"/>
                <w:szCs w:val="18"/>
              </w:rPr>
            </w:pPr>
            <w:r>
              <w:rPr>
                <w:rFonts w:ascii="Arial" w:hAnsi="Arial" w:cs="Arial" w:eastAsia="Arial" w:hint="default"/>
                <w:sz w:val="18"/>
                <w:szCs w:val="18"/>
              </w:rPr>
              <w:t>03</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90"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833" w:right="0"/>
              <w:jc w:val="left"/>
              <w:rPr>
                <w:rFonts w:ascii="Arial" w:hAnsi="Arial" w:cs="Arial" w:eastAsia="Arial" w:hint="default"/>
                <w:sz w:val="18"/>
                <w:szCs w:val="18"/>
              </w:rPr>
            </w:pPr>
            <w:r>
              <w:rPr>
                <w:rFonts w:ascii="Arial"/>
                <w:sz w:val="18"/>
              </w:rPr>
              <w:t>10,000</w:t>
            </w:r>
          </w:p>
        </w:tc>
        <w:tc>
          <w:tcPr>
            <w:tcW w:w="851"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06" w:right="202"/>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80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07"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82"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0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0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08" w:right="159"/>
              <w:jc w:val="left"/>
              <w:rPr>
                <w:rFonts w:ascii="宋体" w:hAnsi="宋体" w:cs="宋体" w:eastAsia="宋体" w:hint="default"/>
                <w:sz w:val="18"/>
                <w:szCs w:val="18"/>
              </w:rPr>
            </w:pPr>
            <w:r>
              <w:rPr>
                <w:rFonts w:ascii="宋体" w:hAnsi="宋体" w:cs="宋体" w:eastAsia="宋体" w:hint="default"/>
                <w:sz w:val="18"/>
                <w:szCs w:val="18"/>
              </w:rPr>
              <w:t>北京酷人通讯科技 有限公司</w:t>
            </w:r>
          </w:p>
        </w:tc>
        <w:tc>
          <w:tcPr>
            <w:tcW w:w="923"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w:t>
            </w:r>
          </w:p>
          <w:p>
            <w:pPr>
              <w:pStyle w:val="TableParagraph"/>
              <w:spacing w:line="240" w:lineRule="auto" w:before="62"/>
              <w:ind w:left="107" w:right="0"/>
              <w:jc w:val="left"/>
              <w:rPr>
                <w:rFonts w:ascii="Arial" w:hAnsi="Arial" w:cs="Arial" w:eastAsia="Arial" w:hint="default"/>
                <w:sz w:val="18"/>
                <w:szCs w:val="18"/>
              </w:rPr>
            </w:pPr>
            <w:r>
              <w:rPr>
                <w:rFonts w:ascii="Arial" w:hAnsi="Arial" w:cs="Arial" w:eastAsia="Arial" w:hint="default"/>
                <w:sz w:val="18"/>
                <w:szCs w:val="18"/>
              </w:rPr>
              <w:t>02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w:hAnsi="Arial" w:cs="Arial" w:eastAsia="Arial" w:hint="default"/>
                <w:sz w:val="18"/>
                <w:szCs w:val="18"/>
              </w:rPr>
              <w:t>13</w:t>
            </w:r>
          </w:p>
          <w:p>
            <w:pPr>
              <w:pStyle w:val="TableParagraph"/>
              <w:spacing w:line="240" w:lineRule="auto" w:before="65"/>
              <w:ind w:left="10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7"/>
              <w:jc w:val="right"/>
              <w:rPr>
                <w:rFonts w:ascii="Arial" w:hAnsi="Arial" w:cs="Arial" w:eastAsia="Arial" w:hint="default"/>
                <w:sz w:val="18"/>
                <w:szCs w:val="18"/>
              </w:rPr>
            </w:pPr>
            <w:r>
              <w:rPr>
                <w:rFonts w:ascii="Arial"/>
                <w:w w:val="95"/>
                <w:sz w:val="18"/>
              </w:rPr>
              <w:t>10,000</w:t>
            </w:r>
            <w:r>
              <w:rPr>
                <w:rFonts w:ascii="Arial"/>
                <w:sz w:val="18"/>
              </w:rPr>
            </w:r>
          </w:p>
        </w:tc>
        <w:tc>
          <w:tcPr>
            <w:tcW w:w="1313" w:type="dxa"/>
            <w:tcBorders>
              <w:top w:val="single" w:sz="4" w:space="0" w:color="5B9BD4"/>
              <w:left w:val="nil" w:sz="6" w:space="0" w:color="auto"/>
              <w:bottom w:val="single" w:sz="4" w:space="0" w:color="5B9BD4"/>
              <w:right w:val="nil" w:sz="6" w:space="0" w:color="auto"/>
            </w:tcBorders>
          </w:tcPr>
          <w:p>
            <w:pPr/>
          </w:p>
        </w:tc>
        <w:tc>
          <w:tcPr>
            <w:tcW w:w="1490" w:type="dxa"/>
            <w:gridSpan w:val="2"/>
            <w:tcBorders>
              <w:top w:val="single" w:sz="4" w:space="0" w:color="5B9BD4"/>
              <w:left w:val="nil" w:sz="6" w:space="0" w:color="auto"/>
              <w:bottom w:val="single" w:sz="4" w:space="0" w:color="5B9BD4"/>
              <w:right w:val="nil" w:sz="6" w:space="0" w:color="auto"/>
            </w:tcBorders>
            <w:shd w:val="clear" w:color="auto" w:fill="DEEAF6"/>
          </w:tcPr>
          <w:p>
            <w:pPr/>
          </w:p>
        </w:tc>
        <w:tc>
          <w:tcPr>
            <w:tcW w:w="851" w:type="dxa"/>
            <w:tcBorders>
              <w:top w:val="single" w:sz="4" w:space="0" w:color="5B9BD4"/>
              <w:left w:val="nil" w:sz="6" w:space="0" w:color="auto"/>
              <w:bottom w:val="single" w:sz="4" w:space="0" w:color="5B9BD4"/>
              <w:right w:val="nil" w:sz="6" w:space="0" w:color="auto"/>
            </w:tcBorders>
          </w:tcPr>
          <w:p>
            <w:pPr/>
          </w:p>
        </w:tc>
        <w:tc>
          <w:tcPr>
            <w:tcW w:w="805" w:type="dxa"/>
            <w:tcBorders>
              <w:top w:val="single" w:sz="4" w:space="0" w:color="5B9BD4"/>
              <w:left w:val="nil" w:sz="6" w:space="0" w:color="auto"/>
              <w:bottom w:val="single" w:sz="4" w:space="0" w:color="5B9BD4"/>
              <w:right w:val="nil" w:sz="6" w:space="0" w:color="auto"/>
            </w:tcBorders>
            <w:shd w:val="clear" w:color="auto" w:fill="DEEAF6"/>
          </w:tcPr>
          <w:p>
            <w:pPr/>
          </w:p>
        </w:tc>
        <w:tc>
          <w:tcPr>
            <w:tcW w:w="782" w:type="dxa"/>
            <w:tcBorders>
              <w:top w:val="single" w:sz="4" w:space="0" w:color="5B9BD4"/>
              <w:left w:val="nil" w:sz="6" w:space="0" w:color="auto"/>
              <w:bottom w:val="single" w:sz="4" w:space="0" w:color="5B9BD4"/>
              <w:right w:val="nil" w:sz="6" w:space="0" w:color="auto"/>
            </w:tcBorders>
          </w:tcPr>
          <w:p>
            <w:pPr/>
          </w:p>
        </w:tc>
        <w:tc>
          <w:tcPr>
            <w:tcW w:w="78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1027" w:hRule="exact"/>
        </w:trPr>
        <w:tc>
          <w:tcPr>
            <w:tcW w:w="170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08" w:right="159"/>
              <w:jc w:val="left"/>
              <w:rPr>
                <w:rFonts w:ascii="宋体" w:hAnsi="宋体" w:cs="宋体" w:eastAsia="宋体" w:hint="default"/>
                <w:sz w:val="18"/>
                <w:szCs w:val="18"/>
              </w:rPr>
            </w:pPr>
            <w:r>
              <w:rPr>
                <w:rFonts w:ascii="宋体" w:hAnsi="宋体" w:cs="宋体" w:eastAsia="宋体" w:hint="default"/>
                <w:sz w:val="18"/>
                <w:szCs w:val="18"/>
              </w:rPr>
              <w:t>北京酷人通讯科技 有限公司</w:t>
            </w:r>
          </w:p>
        </w:tc>
        <w:tc>
          <w:tcPr>
            <w:tcW w:w="923"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w:t>
            </w:r>
          </w:p>
          <w:p>
            <w:pPr>
              <w:pStyle w:val="TableParagraph"/>
              <w:spacing w:line="240" w:lineRule="auto" w:before="62"/>
              <w:ind w:left="107" w:right="0"/>
              <w:jc w:val="left"/>
              <w:rPr>
                <w:rFonts w:ascii="Arial" w:hAnsi="Arial" w:cs="Arial" w:eastAsia="Arial" w:hint="default"/>
                <w:sz w:val="18"/>
                <w:szCs w:val="18"/>
              </w:rPr>
            </w:pPr>
            <w:r>
              <w:rPr>
                <w:rFonts w:ascii="Arial" w:hAnsi="Arial" w:cs="Arial" w:eastAsia="Arial" w:hint="default"/>
                <w:sz w:val="18"/>
                <w:szCs w:val="18"/>
              </w:rPr>
              <w:t>02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w:hAnsi="Arial" w:cs="Arial" w:eastAsia="Arial" w:hint="default"/>
                <w:sz w:val="18"/>
                <w:szCs w:val="18"/>
              </w:rPr>
              <w:t>13</w:t>
            </w:r>
          </w:p>
          <w:p>
            <w:pPr>
              <w:pStyle w:val="TableParagraph"/>
              <w:spacing w:line="240" w:lineRule="auto" w:before="65"/>
              <w:ind w:left="10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7"/>
              <w:jc w:val="right"/>
              <w:rPr>
                <w:rFonts w:ascii="Arial" w:hAnsi="Arial" w:cs="Arial" w:eastAsia="Arial" w:hint="default"/>
                <w:sz w:val="18"/>
                <w:szCs w:val="18"/>
              </w:rPr>
            </w:pPr>
            <w:r>
              <w:rPr>
                <w:rFonts w:ascii="Arial"/>
                <w:w w:val="95"/>
                <w:sz w:val="18"/>
              </w:rPr>
              <w:t>30,000</w:t>
            </w:r>
            <w:r>
              <w:rPr>
                <w:rFonts w:ascii="Arial"/>
                <w:sz w:val="18"/>
              </w:rPr>
            </w:r>
          </w:p>
        </w:tc>
        <w:tc>
          <w:tcPr>
            <w:tcW w:w="1313" w:type="dxa"/>
            <w:tcBorders>
              <w:top w:val="single" w:sz="4" w:space="0" w:color="5B9BD4"/>
              <w:left w:val="nil" w:sz="6" w:space="0" w:color="auto"/>
              <w:bottom w:val="single" w:sz="4" w:space="0" w:color="5B9BD4"/>
              <w:right w:val="nil" w:sz="6" w:space="0" w:color="auto"/>
            </w:tcBorders>
          </w:tcPr>
          <w:p>
            <w:pPr/>
          </w:p>
        </w:tc>
        <w:tc>
          <w:tcPr>
            <w:tcW w:w="1490" w:type="dxa"/>
            <w:gridSpan w:val="2"/>
            <w:tcBorders>
              <w:top w:val="single" w:sz="4" w:space="0" w:color="5B9BD4"/>
              <w:left w:val="nil" w:sz="6" w:space="0" w:color="auto"/>
              <w:bottom w:val="single" w:sz="4" w:space="0" w:color="5B9BD4"/>
              <w:right w:val="nil" w:sz="6" w:space="0" w:color="auto"/>
            </w:tcBorders>
            <w:shd w:val="clear" w:color="auto" w:fill="DEEAF6"/>
          </w:tcPr>
          <w:p>
            <w:pPr/>
          </w:p>
        </w:tc>
        <w:tc>
          <w:tcPr>
            <w:tcW w:w="851" w:type="dxa"/>
            <w:tcBorders>
              <w:top w:val="single" w:sz="4" w:space="0" w:color="5B9BD4"/>
              <w:left w:val="nil" w:sz="6" w:space="0" w:color="auto"/>
              <w:bottom w:val="single" w:sz="4" w:space="0" w:color="5B9BD4"/>
              <w:right w:val="nil" w:sz="6" w:space="0" w:color="auto"/>
            </w:tcBorders>
          </w:tcPr>
          <w:p>
            <w:pPr/>
          </w:p>
        </w:tc>
        <w:tc>
          <w:tcPr>
            <w:tcW w:w="805" w:type="dxa"/>
            <w:tcBorders>
              <w:top w:val="single" w:sz="4" w:space="0" w:color="5B9BD4"/>
              <w:left w:val="nil" w:sz="6" w:space="0" w:color="auto"/>
              <w:bottom w:val="single" w:sz="4" w:space="0" w:color="5B9BD4"/>
              <w:right w:val="nil" w:sz="6" w:space="0" w:color="auto"/>
            </w:tcBorders>
            <w:shd w:val="clear" w:color="auto" w:fill="DEEAF6"/>
          </w:tcPr>
          <w:p>
            <w:pPr/>
          </w:p>
        </w:tc>
        <w:tc>
          <w:tcPr>
            <w:tcW w:w="782" w:type="dxa"/>
            <w:tcBorders>
              <w:top w:val="single" w:sz="4" w:space="0" w:color="5B9BD4"/>
              <w:left w:val="nil" w:sz="6" w:space="0" w:color="auto"/>
              <w:bottom w:val="single" w:sz="4" w:space="0" w:color="5B9BD4"/>
              <w:right w:val="nil" w:sz="6" w:space="0" w:color="auto"/>
            </w:tcBorders>
          </w:tcPr>
          <w:p>
            <w:pPr/>
          </w:p>
        </w:tc>
        <w:tc>
          <w:tcPr>
            <w:tcW w:w="788" w:type="dxa"/>
            <w:tcBorders>
              <w:top w:val="single" w:sz="4" w:space="0" w:color="5B9BD4"/>
              <w:left w:val="nil" w:sz="6" w:space="0" w:color="auto"/>
              <w:bottom w:val="single" w:sz="4" w:space="0" w:color="5B9BD4"/>
              <w:right w:val="nil" w:sz="6" w:space="0" w:color="auto"/>
            </w:tcBorders>
            <w:shd w:val="clear" w:color="auto" w:fill="DEEAF6"/>
          </w:tcPr>
          <w:p>
            <w:pPr/>
          </w:p>
        </w:tc>
      </w:tr>
    </w:tbl>
    <w:p>
      <w:pPr>
        <w:spacing w:after="0"/>
        <w:sectPr>
          <w:pgSz w:w="11910" w:h="16840"/>
          <w:pgMar w:header="877" w:footer="979" w:top="1100" w:bottom="116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709"/>
        <w:gridCol w:w="923"/>
        <w:gridCol w:w="911"/>
        <w:gridCol w:w="1313"/>
        <w:gridCol w:w="1490"/>
        <w:gridCol w:w="851"/>
        <w:gridCol w:w="802"/>
        <w:gridCol w:w="786"/>
        <w:gridCol w:w="788"/>
      </w:tblGrid>
      <w:tr>
        <w:trPr>
          <w:trHeight w:val="1026" w:hRule="exact"/>
        </w:trPr>
        <w:tc>
          <w:tcPr>
            <w:tcW w:w="170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108" w:right="159"/>
              <w:jc w:val="left"/>
              <w:rPr>
                <w:rFonts w:ascii="宋体" w:hAnsi="宋体" w:cs="宋体" w:eastAsia="宋体" w:hint="default"/>
                <w:sz w:val="18"/>
                <w:szCs w:val="18"/>
              </w:rPr>
            </w:pPr>
            <w:r>
              <w:rPr>
                <w:rFonts w:ascii="宋体" w:hAnsi="宋体" w:cs="宋体" w:eastAsia="宋体" w:hint="default"/>
                <w:sz w:val="18"/>
                <w:szCs w:val="18"/>
              </w:rPr>
              <w:t>北京酷人通讯科技 有限公司</w:t>
            </w:r>
          </w:p>
        </w:tc>
        <w:tc>
          <w:tcPr>
            <w:tcW w:w="923" w:type="dxa"/>
            <w:tcBorders>
              <w:top w:val="single" w:sz="4" w:space="0" w:color="5B9BD4"/>
              <w:left w:val="nil" w:sz="6" w:space="0" w:color="auto"/>
              <w:bottom w:val="single" w:sz="4" w:space="0" w:color="5B9BD4"/>
              <w:right w:val="nil" w:sz="6" w:space="0" w:color="auto"/>
            </w:tcBorders>
          </w:tcPr>
          <w:p>
            <w:pPr>
              <w:pStyle w:val="TableParagraph"/>
              <w:spacing w:line="240" w:lineRule="auto" w:before="46"/>
              <w:ind w:left="107"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w:t>
            </w:r>
          </w:p>
          <w:p>
            <w:pPr>
              <w:pStyle w:val="TableParagraph"/>
              <w:spacing w:line="240" w:lineRule="auto" w:before="63"/>
              <w:ind w:left="107" w:right="0"/>
              <w:jc w:val="left"/>
              <w:rPr>
                <w:rFonts w:ascii="Arial" w:hAnsi="Arial" w:cs="Arial" w:eastAsia="Arial" w:hint="default"/>
                <w:sz w:val="18"/>
                <w:szCs w:val="18"/>
              </w:rPr>
            </w:pPr>
            <w:r>
              <w:rPr>
                <w:rFonts w:ascii="Arial" w:hAnsi="Arial" w:cs="Arial" w:eastAsia="Arial" w:hint="default"/>
                <w:sz w:val="18"/>
                <w:szCs w:val="18"/>
              </w:rPr>
              <w:t>02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w:hAnsi="Arial" w:cs="Arial" w:eastAsia="Arial" w:hint="default"/>
                <w:sz w:val="18"/>
                <w:szCs w:val="18"/>
              </w:rPr>
              <w:t>13</w:t>
            </w:r>
          </w:p>
          <w:p>
            <w:pPr>
              <w:pStyle w:val="TableParagraph"/>
              <w:spacing w:line="240" w:lineRule="auto" w:before="65"/>
              <w:ind w:left="10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7"/>
              <w:jc w:val="right"/>
              <w:rPr>
                <w:rFonts w:ascii="Arial" w:hAnsi="Arial" w:cs="Arial" w:eastAsia="Arial" w:hint="default"/>
                <w:sz w:val="18"/>
                <w:szCs w:val="18"/>
              </w:rPr>
            </w:pPr>
            <w:r>
              <w:rPr>
                <w:rFonts w:ascii="Arial"/>
                <w:w w:val="95"/>
                <w:sz w:val="18"/>
              </w:rPr>
              <w:t>40,000</w:t>
            </w:r>
            <w:r>
              <w:rPr>
                <w:rFonts w:ascii="Arial"/>
                <w:sz w:val="18"/>
              </w:rPr>
            </w:r>
          </w:p>
        </w:tc>
        <w:tc>
          <w:tcPr>
            <w:tcW w:w="1313" w:type="dxa"/>
            <w:tcBorders>
              <w:top w:val="single" w:sz="4" w:space="0" w:color="5B9BD4"/>
              <w:left w:val="nil" w:sz="6" w:space="0" w:color="auto"/>
              <w:bottom w:val="single" w:sz="4" w:space="0" w:color="5B9BD4"/>
              <w:right w:val="nil" w:sz="6" w:space="0" w:color="auto"/>
            </w:tcBorders>
          </w:tcPr>
          <w:p>
            <w:pPr/>
          </w:p>
        </w:tc>
        <w:tc>
          <w:tcPr>
            <w:tcW w:w="1490" w:type="dxa"/>
            <w:tcBorders>
              <w:top w:val="single" w:sz="4" w:space="0" w:color="5B9BD4"/>
              <w:left w:val="nil" w:sz="6" w:space="0" w:color="auto"/>
              <w:bottom w:val="single" w:sz="4" w:space="0" w:color="5B9BD4"/>
              <w:right w:val="nil" w:sz="6" w:space="0" w:color="auto"/>
            </w:tcBorders>
            <w:shd w:val="clear" w:color="auto" w:fill="DEEAF6"/>
          </w:tcPr>
          <w:p>
            <w:pPr/>
          </w:p>
        </w:tc>
        <w:tc>
          <w:tcPr>
            <w:tcW w:w="851" w:type="dxa"/>
            <w:tcBorders>
              <w:top w:val="single" w:sz="4" w:space="0" w:color="5B9BD4"/>
              <w:left w:val="nil" w:sz="6" w:space="0" w:color="auto"/>
              <w:bottom w:val="single" w:sz="4" w:space="0" w:color="5B9BD4"/>
              <w:right w:val="nil" w:sz="6" w:space="0" w:color="auto"/>
            </w:tcBorders>
          </w:tcPr>
          <w:p>
            <w:pPr/>
          </w:p>
        </w:tc>
        <w:tc>
          <w:tcPr>
            <w:tcW w:w="802" w:type="dxa"/>
            <w:tcBorders>
              <w:top w:val="single" w:sz="4" w:space="0" w:color="5B9BD4"/>
              <w:left w:val="nil" w:sz="6" w:space="0" w:color="auto"/>
              <w:bottom w:val="single" w:sz="4" w:space="0" w:color="5B9BD4"/>
              <w:right w:val="nil" w:sz="6" w:space="0" w:color="auto"/>
            </w:tcBorders>
            <w:shd w:val="clear" w:color="auto" w:fill="DEEAF6"/>
          </w:tcPr>
          <w:p>
            <w:pPr/>
          </w:p>
        </w:tc>
        <w:tc>
          <w:tcPr>
            <w:tcW w:w="786" w:type="dxa"/>
            <w:tcBorders>
              <w:top w:val="single" w:sz="4" w:space="0" w:color="5B9BD4"/>
              <w:left w:val="nil" w:sz="6" w:space="0" w:color="auto"/>
              <w:bottom w:val="single" w:sz="4" w:space="0" w:color="5B9BD4"/>
              <w:right w:val="nil" w:sz="6" w:space="0" w:color="auto"/>
            </w:tcBorders>
          </w:tcPr>
          <w:p>
            <w:pPr/>
          </w:p>
        </w:tc>
        <w:tc>
          <w:tcPr>
            <w:tcW w:w="78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1026" w:hRule="exact"/>
        </w:trPr>
        <w:tc>
          <w:tcPr>
            <w:tcW w:w="170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108" w:right="159"/>
              <w:jc w:val="left"/>
              <w:rPr>
                <w:rFonts w:ascii="宋体" w:hAnsi="宋体" w:cs="宋体" w:eastAsia="宋体" w:hint="default"/>
                <w:sz w:val="18"/>
                <w:szCs w:val="18"/>
              </w:rPr>
            </w:pPr>
            <w:r>
              <w:rPr>
                <w:rFonts w:ascii="宋体" w:hAnsi="宋体" w:cs="宋体" w:eastAsia="宋体" w:hint="default"/>
                <w:sz w:val="18"/>
                <w:szCs w:val="18"/>
              </w:rPr>
              <w:t>北京酷人通讯科技 有限公司</w:t>
            </w:r>
          </w:p>
        </w:tc>
        <w:tc>
          <w:tcPr>
            <w:tcW w:w="923" w:type="dxa"/>
            <w:tcBorders>
              <w:top w:val="single" w:sz="4" w:space="0" w:color="5B9BD4"/>
              <w:left w:val="nil" w:sz="6" w:space="0" w:color="auto"/>
              <w:bottom w:val="single" w:sz="4" w:space="0" w:color="5B9BD4"/>
              <w:right w:val="nil" w:sz="6" w:space="0" w:color="auto"/>
            </w:tcBorders>
          </w:tcPr>
          <w:p>
            <w:pPr>
              <w:pStyle w:val="TableParagraph"/>
              <w:spacing w:line="240" w:lineRule="auto" w:before="46"/>
              <w:ind w:left="107"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w:t>
            </w:r>
          </w:p>
          <w:p>
            <w:pPr>
              <w:pStyle w:val="TableParagraph"/>
              <w:spacing w:line="240" w:lineRule="auto" w:before="64"/>
              <w:ind w:left="107" w:right="0"/>
              <w:jc w:val="left"/>
              <w:rPr>
                <w:rFonts w:ascii="Arial" w:hAnsi="Arial" w:cs="Arial" w:eastAsia="Arial" w:hint="default"/>
                <w:sz w:val="18"/>
                <w:szCs w:val="18"/>
              </w:rPr>
            </w:pPr>
            <w:r>
              <w:rPr>
                <w:rFonts w:ascii="Arial" w:hAnsi="Arial" w:cs="Arial" w:eastAsia="Arial" w:hint="default"/>
                <w:sz w:val="18"/>
                <w:szCs w:val="18"/>
              </w:rPr>
              <w:t>02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w:hAnsi="Arial" w:cs="Arial" w:eastAsia="Arial" w:hint="default"/>
                <w:sz w:val="18"/>
                <w:szCs w:val="18"/>
              </w:rPr>
              <w:t>13</w:t>
            </w:r>
          </w:p>
          <w:p>
            <w:pPr>
              <w:pStyle w:val="TableParagraph"/>
              <w:spacing w:line="240" w:lineRule="auto" w:before="65"/>
              <w:ind w:left="10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7"/>
              <w:jc w:val="right"/>
              <w:rPr>
                <w:rFonts w:ascii="Arial" w:hAnsi="Arial" w:cs="Arial" w:eastAsia="Arial" w:hint="default"/>
                <w:sz w:val="18"/>
                <w:szCs w:val="18"/>
              </w:rPr>
            </w:pPr>
            <w:r>
              <w:rPr>
                <w:rFonts w:ascii="Arial"/>
                <w:w w:val="95"/>
                <w:sz w:val="18"/>
              </w:rPr>
              <w:t>40,000</w:t>
            </w:r>
            <w:r>
              <w:rPr>
                <w:rFonts w:ascii="Arial"/>
                <w:sz w:val="18"/>
              </w:rPr>
            </w:r>
          </w:p>
        </w:tc>
        <w:tc>
          <w:tcPr>
            <w:tcW w:w="1313" w:type="dxa"/>
            <w:tcBorders>
              <w:top w:val="single" w:sz="4" w:space="0" w:color="5B9BD4"/>
              <w:left w:val="nil" w:sz="6" w:space="0" w:color="auto"/>
              <w:bottom w:val="single" w:sz="4" w:space="0" w:color="5B9BD4"/>
              <w:right w:val="nil" w:sz="6" w:space="0" w:color="auto"/>
            </w:tcBorders>
          </w:tcPr>
          <w:p>
            <w:pPr/>
          </w:p>
        </w:tc>
        <w:tc>
          <w:tcPr>
            <w:tcW w:w="1490" w:type="dxa"/>
            <w:tcBorders>
              <w:top w:val="single" w:sz="4" w:space="0" w:color="5B9BD4"/>
              <w:left w:val="nil" w:sz="6" w:space="0" w:color="auto"/>
              <w:bottom w:val="single" w:sz="4" w:space="0" w:color="5B9BD4"/>
              <w:right w:val="nil" w:sz="6" w:space="0" w:color="auto"/>
            </w:tcBorders>
            <w:shd w:val="clear" w:color="auto" w:fill="DEEAF6"/>
          </w:tcPr>
          <w:p>
            <w:pPr/>
          </w:p>
        </w:tc>
        <w:tc>
          <w:tcPr>
            <w:tcW w:w="851" w:type="dxa"/>
            <w:tcBorders>
              <w:top w:val="single" w:sz="4" w:space="0" w:color="5B9BD4"/>
              <w:left w:val="nil" w:sz="6" w:space="0" w:color="auto"/>
              <w:bottom w:val="single" w:sz="4" w:space="0" w:color="5B9BD4"/>
              <w:right w:val="nil" w:sz="6" w:space="0" w:color="auto"/>
            </w:tcBorders>
          </w:tcPr>
          <w:p>
            <w:pPr/>
          </w:p>
        </w:tc>
        <w:tc>
          <w:tcPr>
            <w:tcW w:w="802" w:type="dxa"/>
            <w:tcBorders>
              <w:top w:val="single" w:sz="4" w:space="0" w:color="5B9BD4"/>
              <w:left w:val="nil" w:sz="6" w:space="0" w:color="auto"/>
              <w:bottom w:val="single" w:sz="4" w:space="0" w:color="5B9BD4"/>
              <w:right w:val="nil" w:sz="6" w:space="0" w:color="auto"/>
            </w:tcBorders>
            <w:shd w:val="clear" w:color="auto" w:fill="DEEAF6"/>
          </w:tcPr>
          <w:p>
            <w:pPr/>
          </w:p>
        </w:tc>
        <w:tc>
          <w:tcPr>
            <w:tcW w:w="786" w:type="dxa"/>
            <w:tcBorders>
              <w:top w:val="single" w:sz="4" w:space="0" w:color="5B9BD4"/>
              <w:left w:val="nil" w:sz="6" w:space="0" w:color="auto"/>
              <w:bottom w:val="single" w:sz="4" w:space="0" w:color="5B9BD4"/>
              <w:right w:val="nil" w:sz="6" w:space="0" w:color="auto"/>
            </w:tcBorders>
          </w:tcPr>
          <w:p>
            <w:pPr/>
          </w:p>
        </w:tc>
        <w:tc>
          <w:tcPr>
            <w:tcW w:w="78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1026" w:hRule="exact"/>
        </w:trPr>
        <w:tc>
          <w:tcPr>
            <w:tcW w:w="170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108" w:right="159"/>
              <w:jc w:val="left"/>
              <w:rPr>
                <w:rFonts w:ascii="宋体" w:hAnsi="宋体" w:cs="宋体" w:eastAsia="宋体" w:hint="default"/>
                <w:sz w:val="18"/>
                <w:szCs w:val="18"/>
              </w:rPr>
            </w:pPr>
            <w:r>
              <w:rPr>
                <w:rFonts w:ascii="宋体" w:hAnsi="宋体" w:cs="宋体" w:eastAsia="宋体" w:hint="default"/>
                <w:sz w:val="18"/>
                <w:szCs w:val="18"/>
              </w:rPr>
              <w:t>深圳市酷动数码有 限公司</w:t>
            </w:r>
          </w:p>
        </w:tc>
        <w:tc>
          <w:tcPr>
            <w:tcW w:w="923" w:type="dxa"/>
            <w:tcBorders>
              <w:top w:val="single" w:sz="4" w:space="0" w:color="5B9BD4"/>
              <w:left w:val="nil" w:sz="6" w:space="0" w:color="auto"/>
              <w:bottom w:val="single" w:sz="4" w:space="0" w:color="5B9BD4"/>
              <w:right w:val="nil" w:sz="6" w:space="0" w:color="auto"/>
            </w:tcBorders>
          </w:tcPr>
          <w:p>
            <w:pPr>
              <w:pStyle w:val="TableParagraph"/>
              <w:spacing w:line="240" w:lineRule="auto" w:before="46"/>
              <w:ind w:left="107"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w:t>
            </w:r>
          </w:p>
          <w:p>
            <w:pPr>
              <w:pStyle w:val="TableParagraph"/>
              <w:spacing w:line="240" w:lineRule="auto" w:before="63"/>
              <w:ind w:left="107" w:right="0"/>
              <w:jc w:val="left"/>
              <w:rPr>
                <w:rFonts w:ascii="Arial" w:hAnsi="Arial" w:cs="Arial" w:eastAsia="Arial" w:hint="default"/>
                <w:sz w:val="18"/>
                <w:szCs w:val="18"/>
              </w:rPr>
            </w:pPr>
            <w:r>
              <w:rPr>
                <w:rFonts w:ascii="Arial" w:hAnsi="Arial" w:cs="Arial" w:eastAsia="Arial" w:hint="default"/>
                <w:sz w:val="18"/>
                <w:szCs w:val="18"/>
              </w:rPr>
              <w:t>02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w:hAnsi="Arial" w:cs="Arial" w:eastAsia="Arial" w:hint="default"/>
                <w:sz w:val="18"/>
                <w:szCs w:val="18"/>
              </w:rPr>
              <w:t>13</w:t>
            </w:r>
          </w:p>
          <w:p>
            <w:pPr>
              <w:pStyle w:val="TableParagraph"/>
              <w:spacing w:line="240" w:lineRule="auto" w:before="65"/>
              <w:ind w:left="10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7"/>
              <w:jc w:val="right"/>
              <w:rPr>
                <w:rFonts w:ascii="Arial" w:hAnsi="Arial" w:cs="Arial" w:eastAsia="Arial" w:hint="default"/>
                <w:sz w:val="18"/>
                <w:szCs w:val="18"/>
              </w:rPr>
            </w:pPr>
            <w:r>
              <w:rPr>
                <w:rFonts w:ascii="Arial"/>
                <w:w w:val="95"/>
                <w:sz w:val="18"/>
              </w:rPr>
              <w:t>40,000</w:t>
            </w:r>
            <w:r>
              <w:rPr>
                <w:rFonts w:ascii="Arial"/>
                <w:sz w:val="18"/>
              </w:rPr>
            </w:r>
          </w:p>
        </w:tc>
        <w:tc>
          <w:tcPr>
            <w:tcW w:w="1313"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07</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5"/>
              <w:ind w:left="108" w:right="0"/>
              <w:jc w:val="left"/>
              <w:rPr>
                <w:rFonts w:ascii="宋体" w:hAnsi="宋体" w:cs="宋体" w:eastAsia="宋体" w:hint="default"/>
                <w:sz w:val="18"/>
                <w:szCs w:val="18"/>
              </w:rPr>
            </w:pP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5"/>
              <w:jc w:val="right"/>
              <w:rPr>
                <w:rFonts w:ascii="Arial" w:hAnsi="Arial" w:cs="Arial" w:eastAsia="Arial" w:hint="default"/>
                <w:sz w:val="18"/>
                <w:szCs w:val="18"/>
              </w:rPr>
            </w:pPr>
            <w:r>
              <w:rPr>
                <w:rFonts w:ascii="Arial"/>
                <w:w w:val="95"/>
                <w:sz w:val="18"/>
              </w:rPr>
              <w:t>40,000</w:t>
            </w:r>
            <w:r>
              <w:rPr>
                <w:rFonts w:ascii="Arial"/>
                <w:sz w:val="18"/>
              </w:rPr>
            </w:r>
          </w:p>
        </w:tc>
        <w:tc>
          <w:tcPr>
            <w:tcW w:w="851"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106" w:right="202"/>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8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07"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86"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0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0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108" w:right="159"/>
              <w:jc w:val="left"/>
              <w:rPr>
                <w:rFonts w:ascii="宋体" w:hAnsi="宋体" w:cs="宋体" w:eastAsia="宋体" w:hint="default"/>
                <w:sz w:val="18"/>
                <w:szCs w:val="18"/>
              </w:rPr>
            </w:pPr>
            <w:r>
              <w:rPr>
                <w:rFonts w:ascii="宋体" w:hAnsi="宋体" w:cs="宋体" w:eastAsia="宋体" w:hint="default"/>
                <w:sz w:val="18"/>
                <w:szCs w:val="18"/>
              </w:rPr>
              <w:t>深圳市酷动数码有 限公司</w:t>
            </w:r>
          </w:p>
        </w:tc>
        <w:tc>
          <w:tcPr>
            <w:tcW w:w="923" w:type="dxa"/>
            <w:tcBorders>
              <w:top w:val="single" w:sz="4" w:space="0" w:color="5B9BD4"/>
              <w:left w:val="nil" w:sz="6" w:space="0" w:color="auto"/>
              <w:bottom w:val="single" w:sz="4" w:space="0" w:color="5B9BD4"/>
              <w:right w:val="nil" w:sz="6" w:space="0" w:color="auto"/>
            </w:tcBorders>
          </w:tcPr>
          <w:p>
            <w:pPr>
              <w:pStyle w:val="TableParagraph"/>
              <w:spacing w:line="240" w:lineRule="auto" w:before="46"/>
              <w:ind w:left="107"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w:t>
            </w:r>
          </w:p>
          <w:p>
            <w:pPr>
              <w:pStyle w:val="TableParagraph"/>
              <w:spacing w:line="240" w:lineRule="auto" w:before="63"/>
              <w:ind w:left="107" w:right="0"/>
              <w:jc w:val="left"/>
              <w:rPr>
                <w:rFonts w:ascii="Arial" w:hAnsi="Arial" w:cs="Arial" w:eastAsia="Arial" w:hint="default"/>
                <w:sz w:val="18"/>
                <w:szCs w:val="18"/>
              </w:rPr>
            </w:pPr>
            <w:r>
              <w:rPr>
                <w:rFonts w:ascii="Arial" w:hAnsi="Arial" w:cs="Arial" w:eastAsia="Arial" w:hint="default"/>
                <w:sz w:val="18"/>
                <w:szCs w:val="18"/>
              </w:rPr>
              <w:t>02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w:hAnsi="Arial" w:cs="Arial" w:eastAsia="Arial" w:hint="default"/>
                <w:sz w:val="18"/>
                <w:szCs w:val="18"/>
              </w:rPr>
              <w:t>13</w:t>
            </w:r>
          </w:p>
          <w:p>
            <w:pPr>
              <w:pStyle w:val="TableParagraph"/>
              <w:spacing w:line="240" w:lineRule="auto" w:before="65"/>
              <w:ind w:left="10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7"/>
              <w:jc w:val="right"/>
              <w:rPr>
                <w:rFonts w:ascii="Arial" w:hAnsi="Arial" w:cs="Arial" w:eastAsia="Arial" w:hint="default"/>
                <w:sz w:val="18"/>
                <w:szCs w:val="18"/>
              </w:rPr>
            </w:pPr>
            <w:r>
              <w:rPr>
                <w:rFonts w:ascii="Arial"/>
                <w:w w:val="95"/>
                <w:sz w:val="18"/>
              </w:rPr>
              <w:t>15,000</w:t>
            </w:r>
            <w:r>
              <w:rPr>
                <w:rFonts w:ascii="Arial"/>
                <w:sz w:val="18"/>
              </w:rPr>
            </w:r>
          </w:p>
        </w:tc>
        <w:tc>
          <w:tcPr>
            <w:tcW w:w="1313"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5"/>
              <w:ind w:left="108" w:right="0"/>
              <w:jc w:val="left"/>
              <w:rPr>
                <w:rFonts w:ascii="宋体" w:hAnsi="宋体" w:cs="宋体" w:eastAsia="宋体" w:hint="default"/>
                <w:sz w:val="18"/>
                <w:szCs w:val="18"/>
              </w:rPr>
            </w:pPr>
            <w:r>
              <w:rPr>
                <w:rFonts w:ascii="Arial" w:hAnsi="Arial" w:cs="Arial" w:eastAsia="Arial" w:hint="default"/>
                <w:sz w:val="18"/>
                <w:szCs w:val="18"/>
              </w:rPr>
              <w:t>07</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5"/>
              <w:jc w:val="right"/>
              <w:rPr>
                <w:rFonts w:ascii="Arial" w:hAnsi="Arial" w:cs="Arial" w:eastAsia="Arial" w:hint="default"/>
                <w:sz w:val="18"/>
                <w:szCs w:val="18"/>
              </w:rPr>
            </w:pPr>
            <w:r>
              <w:rPr>
                <w:rFonts w:ascii="Arial"/>
                <w:w w:val="95"/>
                <w:sz w:val="18"/>
              </w:rPr>
              <w:t>10,000</w:t>
            </w:r>
            <w:r>
              <w:rPr>
                <w:rFonts w:ascii="Arial"/>
                <w:sz w:val="18"/>
              </w:rPr>
            </w:r>
          </w:p>
        </w:tc>
        <w:tc>
          <w:tcPr>
            <w:tcW w:w="851"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106" w:right="202"/>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8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07"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86"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0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0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108" w:right="159"/>
              <w:jc w:val="left"/>
              <w:rPr>
                <w:rFonts w:ascii="宋体" w:hAnsi="宋体" w:cs="宋体" w:eastAsia="宋体" w:hint="default"/>
                <w:sz w:val="18"/>
                <w:szCs w:val="18"/>
              </w:rPr>
            </w:pPr>
            <w:r>
              <w:rPr>
                <w:rFonts w:ascii="宋体" w:hAnsi="宋体" w:cs="宋体" w:eastAsia="宋体" w:hint="default"/>
                <w:sz w:val="18"/>
                <w:szCs w:val="18"/>
              </w:rPr>
              <w:t>深圳市酷动数码有 限公司</w:t>
            </w:r>
          </w:p>
        </w:tc>
        <w:tc>
          <w:tcPr>
            <w:tcW w:w="923" w:type="dxa"/>
            <w:tcBorders>
              <w:top w:val="single" w:sz="4" w:space="0" w:color="5B9BD4"/>
              <w:left w:val="nil" w:sz="6" w:space="0" w:color="auto"/>
              <w:bottom w:val="single" w:sz="4" w:space="0" w:color="5B9BD4"/>
              <w:right w:val="nil" w:sz="6" w:space="0" w:color="auto"/>
            </w:tcBorders>
          </w:tcPr>
          <w:p>
            <w:pPr>
              <w:pStyle w:val="TableParagraph"/>
              <w:spacing w:line="240" w:lineRule="auto" w:before="46"/>
              <w:ind w:left="107"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w:t>
            </w:r>
          </w:p>
          <w:p>
            <w:pPr>
              <w:pStyle w:val="TableParagraph"/>
              <w:spacing w:line="240" w:lineRule="auto" w:before="63"/>
              <w:ind w:left="107" w:right="0"/>
              <w:jc w:val="left"/>
              <w:rPr>
                <w:rFonts w:ascii="Arial" w:hAnsi="Arial" w:cs="Arial" w:eastAsia="Arial" w:hint="default"/>
                <w:sz w:val="18"/>
                <w:szCs w:val="18"/>
              </w:rPr>
            </w:pPr>
            <w:r>
              <w:rPr>
                <w:rFonts w:ascii="Arial" w:hAnsi="Arial" w:cs="Arial" w:eastAsia="Arial" w:hint="default"/>
                <w:sz w:val="18"/>
                <w:szCs w:val="18"/>
              </w:rPr>
              <w:t>02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w:hAnsi="Arial" w:cs="Arial" w:eastAsia="Arial" w:hint="default"/>
                <w:sz w:val="18"/>
                <w:szCs w:val="18"/>
              </w:rPr>
              <w:t>13</w:t>
            </w:r>
          </w:p>
          <w:p>
            <w:pPr>
              <w:pStyle w:val="TableParagraph"/>
              <w:spacing w:line="240" w:lineRule="auto" w:before="65"/>
              <w:ind w:left="10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7"/>
              <w:jc w:val="right"/>
              <w:rPr>
                <w:rFonts w:ascii="Arial" w:hAnsi="Arial" w:cs="Arial" w:eastAsia="Arial" w:hint="default"/>
                <w:sz w:val="18"/>
                <w:szCs w:val="18"/>
              </w:rPr>
            </w:pPr>
            <w:r>
              <w:rPr>
                <w:rFonts w:ascii="Arial"/>
                <w:w w:val="95"/>
                <w:sz w:val="18"/>
              </w:rPr>
              <w:t>10,000</w:t>
            </w:r>
            <w:r>
              <w:rPr>
                <w:rFonts w:ascii="Arial"/>
                <w:sz w:val="18"/>
              </w:rPr>
            </w:r>
          </w:p>
        </w:tc>
        <w:tc>
          <w:tcPr>
            <w:tcW w:w="1313"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5"/>
              <w:ind w:left="108" w:right="0"/>
              <w:jc w:val="left"/>
              <w:rPr>
                <w:rFonts w:ascii="宋体" w:hAnsi="宋体" w:cs="宋体" w:eastAsia="宋体" w:hint="default"/>
                <w:sz w:val="18"/>
                <w:szCs w:val="18"/>
              </w:rPr>
            </w:pPr>
            <w:r>
              <w:rPr>
                <w:rFonts w:ascii="Arial" w:hAnsi="Arial" w:cs="Arial" w:eastAsia="Arial" w:hint="default"/>
                <w:sz w:val="18"/>
                <w:szCs w:val="18"/>
              </w:rPr>
              <w:t>07</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Arial" w:hAnsi="Arial" w:cs="Arial" w:eastAsia="Arial" w:hint="default"/>
                <w:sz w:val="18"/>
                <w:szCs w:val="18"/>
              </w:rPr>
            </w:pPr>
            <w:r>
              <w:rPr>
                <w:rFonts w:ascii="Arial"/>
                <w:w w:val="95"/>
                <w:sz w:val="18"/>
              </w:rPr>
              <w:t>6,000</w:t>
            </w:r>
            <w:r>
              <w:rPr>
                <w:rFonts w:ascii="Arial"/>
                <w:sz w:val="18"/>
              </w:rPr>
            </w:r>
          </w:p>
        </w:tc>
        <w:tc>
          <w:tcPr>
            <w:tcW w:w="851"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106" w:right="202"/>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8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07"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86"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0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0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108" w:right="159"/>
              <w:jc w:val="left"/>
              <w:rPr>
                <w:rFonts w:ascii="宋体" w:hAnsi="宋体" w:cs="宋体" w:eastAsia="宋体" w:hint="default"/>
                <w:sz w:val="18"/>
                <w:szCs w:val="18"/>
              </w:rPr>
            </w:pPr>
            <w:r>
              <w:rPr>
                <w:rFonts w:ascii="宋体" w:hAnsi="宋体" w:cs="宋体" w:eastAsia="宋体" w:hint="default"/>
                <w:sz w:val="18"/>
                <w:szCs w:val="18"/>
              </w:rPr>
              <w:t>深圳市酷动数码有 限公司</w:t>
            </w:r>
          </w:p>
        </w:tc>
        <w:tc>
          <w:tcPr>
            <w:tcW w:w="923" w:type="dxa"/>
            <w:tcBorders>
              <w:top w:val="single" w:sz="4" w:space="0" w:color="5B9BD4"/>
              <w:left w:val="nil" w:sz="6" w:space="0" w:color="auto"/>
              <w:bottom w:val="single" w:sz="4" w:space="0" w:color="5B9BD4"/>
              <w:right w:val="nil" w:sz="6" w:space="0" w:color="auto"/>
            </w:tcBorders>
          </w:tcPr>
          <w:p>
            <w:pPr>
              <w:pStyle w:val="TableParagraph"/>
              <w:spacing w:line="240" w:lineRule="auto" w:before="46"/>
              <w:ind w:left="107"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w:t>
            </w:r>
          </w:p>
          <w:p>
            <w:pPr>
              <w:pStyle w:val="TableParagraph"/>
              <w:spacing w:line="240" w:lineRule="auto" w:before="63"/>
              <w:ind w:left="107" w:right="0"/>
              <w:jc w:val="left"/>
              <w:rPr>
                <w:rFonts w:ascii="Arial" w:hAnsi="Arial" w:cs="Arial" w:eastAsia="Arial" w:hint="default"/>
                <w:sz w:val="18"/>
                <w:szCs w:val="18"/>
              </w:rPr>
            </w:pPr>
            <w:r>
              <w:rPr>
                <w:rFonts w:ascii="Arial" w:hAnsi="Arial" w:cs="Arial" w:eastAsia="Arial" w:hint="default"/>
                <w:sz w:val="18"/>
                <w:szCs w:val="18"/>
              </w:rPr>
              <w:t>02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w:hAnsi="Arial" w:cs="Arial" w:eastAsia="Arial" w:hint="default"/>
                <w:sz w:val="18"/>
                <w:szCs w:val="18"/>
              </w:rPr>
              <w:t>13</w:t>
            </w:r>
          </w:p>
          <w:p>
            <w:pPr>
              <w:pStyle w:val="TableParagraph"/>
              <w:spacing w:line="240" w:lineRule="auto" w:before="65"/>
              <w:ind w:left="10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7"/>
              <w:jc w:val="right"/>
              <w:rPr>
                <w:rFonts w:ascii="Arial" w:hAnsi="Arial" w:cs="Arial" w:eastAsia="Arial" w:hint="default"/>
                <w:sz w:val="18"/>
                <w:szCs w:val="18"/>
              </w:rPr>
            </w:pPr>
            <w:r>
              <w:rPr>
                <w:rFonts w:ascii="Arial"/>
                <w:w w:val="95"/>
                <w:sz w:val="18"/>
              </w:rPr>
              <w:t>30,000</w:t>
            </w:r>
            <w:r>
              <w:rPr>
                <w:rFonts w:ascii="Arial"/>
                <w:sz w:val="18"/>
              </w:rPr>
            </w:r>
          </w:p>
        </w:tc>
        <w:tc>
          <w:tcPr>
            <w:tcW w:w="1313" w:type="dxa"/>
            <w:tcBorders>
              <w:top w:val="single" w:sz="4" w:space="0" w:color="5B9BD4"/>
              <w:left w:val="nil" w:sz="6" w:space="0" w:color="auto"/>
              <w:bottom w:val="single" w:sz="4" w:space="0" w:color="5B9BD4"/>
              <w:right w:val="nil" w:sz="6" w:space="0" w:color="auto"/>
            </w:tcBorders>
          </w:tcPr>
          <w:p>
            <w:pPr/>
          </w:p>
        </w:tc>
        <w:tc>
          <w:tcPr>
            <w:tcW w:w="1490" w:type="dxa"/>
            <w:tcBorders>
              <w:top w:val="single" w:sz="4" w:space="0" w:color="5B9BD4"/>
              <w:left w:val="nil" w:sz="6" w:space="0" w:color="auto"/>
              <w:bottom w:val="single" w:sz="4" w:space="0" w:color="5B9BD4"/>
              <w:right w:val="nil" w:sz="6" w:space="0" w:color="auto"/>
            </w:tcBorders>
            <w:shd w:val="clear" w:color="auto" w:fill="DEEAF6"/>
          </w:tcPr>
          <w:p>
            <w:pPr/>
          </w:p>
        </w:tc>
        <w:tc>
          <w:tcPr>
            <w:tcW w:w="851" w:type="dxa"/>
            <w:tcBorders>
              <w:top w:val="single" w:sz="4" w:space="0" w:color="5B9BD4"/>
              <w:left w:val="nil" w:sz="6" w:space="0" w:color="auto"/>
              <w:bottom w:val="single" w:sz="4" w:space="0" w:color="5B9BD4"/>
              <w:right w:val="nil" w:sz="6" w:space="0" w:color="auto"/>
            </w:tcBorders>
          </w:tcPr>
          <w:p>
            <w:pPr/>
          </w:p>
        </w:tc>
        <w:tc>
          <w:tcPr>
            <w:tcW w:w="802" w:type="dxa"/>
            <w:tcBorders>
              <w:top w:val="single" w:sz="4" w:space="0" w:color="5B9BD4"/>
              <w:left w:val="nil" w:sz="6" w:space="0" w:color="auto"/>
              <w:bottom w:val="single" w:sz="4" w:space="0" w:color="5B9BD4"/>
              <w:right w:val="nil" w:sz="6" w:space="0" w:color="auto"/>
            </w:tcBorders>
            <w:shd w:val="clear" w:color="auto" w:fill="DEEAF6"/>
          </w:tcPr>
          <w:p>
            <w:pPr/>
          </w:p>
        </w:tc>
        <w:tc>
          <w:tcPr>
            <w:tcW w:w="786" w:type="dxa"/>
            <w:tcBorders>
              <w:top w:val="single" w:sz="4" w:space="0" w:color="5B9BD4"/>
              <w:left w:val="nil" w:sz="6" w:space="0" w:color="auto"/>
              <w:bottom w:val="single" w:sz="4" w:space="0" w:color="5B9BD4"/>
              <w:right w:val="nil" w:sz="6" w:space="0" w:color="auto"/>
            </w:tcBorders>
          </w:tcPr>
          <w:p>
            <w:pPr/>
          </w:p>
        </w:tc>
        <w:tc>
          <w:tcPr>
            <w:tcW w:w="78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1026" w:hRule="exact"/>
        </w:trPr>
        <w:tc>
          <w:tcPr>
            <w:tcW w:w="170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108" w:right="159"/>
              <w:jc w:val="left"/>
              <w:rPr>
                <w:rFonts w:ascii="宋体" w:hAnsi="宋体" w:cs="宋体" w:eastAsia="宋体" w:hint="default"/>
                <w:sz w:val="18"/>
                <w:szCs w:val="18"/>
              </w:rPr>
            </w:pPr>
            <w:r>
              <w:rPr>
                <w:rFonts w:ascii="宋体" w:hAnsi="宋体" w:cs="宋体" w:eastAsia="宋体" w:hint="default"/>
                <w:sz w:val="18"/>
                <w:szCs w:val="18"/>
              </w:rPr>
              <w:t>深圳市酷动数码有 限公司</w:t>
            </w:r>
          </w:p>
        </w:tc>
        <w:tc>
          <w:tcPr>
            <w:tcW w:w="923" w:type="dxa"/>
            <w:tcBorders>
              <w:top w:val="single" w:sz="4" w:space="0" w:color="5B9BD4"/>
              <w:left w:val="nil" w:sz="6" w:space="0" w:color="auto"/>
              <w:bottom w:val="single" w:sz="4" w:space="0" w:color="5B9BD4"/>
              <w:right w:val="nil" w:sz="6" w:space="0" w:color="auto"/>
            </w:tcBorders>
          </w:tcPr>
          <w:p>
            <w:pPr>
              <w:pStyle w:val="TableParagraph"/>
              <w:spacing w:line="240" w:lineRule="auto" w:before="46"/>
              <w:ind w:left="107"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w:t>
            </w:r>
          </w:p>
          <w:p>
            <w:pPr>
              <w:pStyle w:val="TableParagraph"/>
              <w:spacing w:line="240" w:lineRule="auto" w:before="63"/>
              <w:ind w:left="107" w:right="0"/>
              <w:jc w:val="left"/>
              <w:rPr>
                <w:rFonts w:ascii="Arial" w:hAnsi="Arial" w:cs="Arial" w:eastAsia="Arial" w:hint="default"/>
                <w:sz w:val="18"/>
                <w:szCs w:val="18"/>
              </w:rPr>
            </w:pPr>
            <w:r>
              <w:rPr>
                <w:rFonts w:ascii="Arial" w:hAnsi="Arial" w:cs="Arial" w:eastAsia="Arial" w:hint="default"/>
                <w:sz w:val="18"/>
                <w:szCs w:val="18"/>
              </w:rPr>
              <w:t>02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w:hAnsi="Arial" w:cs="Arial" w:eastAsia="Arial" w:hint="default"/>
                <w:sz w:val="18"/>
                <w:szCs w:val="18"/>
              </w:rPr>
              <w:t>13</w:t>
            </w:r>
          </w:p>
          <w:p>
            <w:pPr>
              <w:pStyle w:val="TableParagraph"/>
              <w:spacing w:line="240" w:lineRule="auto" w:before="65"/>
              <w:ind w:left="10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7"/>
              <w:jc w:val="right"/>
              <w:rPr>
                <w:rFonts w:ascii="Arial" w:hAnsi="Arial" w:cs="Arial" w:eastAsia="Arial" w:hint="default"/>
                <w:sz w:val="18"/>
                <w:szCs w:val="18"/>
              </w:rPr>
            </w:pPr>
            <w:r>
              <w:rPr>
                <w:rFonts w:ascii="Arial"/>
                <w:w w:val="95"/>
                <w:sz w:val="18"/>
              </w:rPr>
              <w:t>20,000</w:t>
            </w:r>
            <w:r>
              <w:rPr>
                <w:rFonts w:ascii="Arial"/>
                <w:sz w:val="18"/>
              </w:rPr>
            </w:r>
          </w:p>
        </w:tc>
        <w:tc>
          <w:tcPr>
            <w:tcW w:w="1313" w:type="dxa"/>
            <w:tcBorders>
              <w:top w:val="single" w:sz="4" w:space="0" w:color="5B9BD4"/>
              <w:left w:val="nil" w:sz="6" w:space="0" w:color="auto"/>
              <w:bottom w:val="single" w:sz="4" w:space="0" w:color="5B9BD4"/>
              <w:right w:val="nil" w:sz="6" w:space="0" w:color="auto"/>
            </w:tcBorders>
          </w:tcPr>
          <w:p>
            <w:pPr/>
          </w:p>
        </w:tc>
        <w:tc>
          <w:tcPr>
            <w:tcW w:w="1490" w:type="dxa"/>
            <w:tcBorders>
              <w:top w:val="single" w:sz="4" w:space="0" w:color="5B9BD4"/>
              <w:left w:val="nil" w:sz="6" w:space="0" w:color="auto"/>
              <w:bottom w:val="single" w:sz="4" w:space="0" w:color="5B9BD4"/>
              <w:right w:val="nil" w:sz="6" w:space="0" w:color="auto"/>
            </w:tcBorders>
            <w:shd w:val="clear" w:color="auto" w:fill="DEEAF6"/>
          </w:tcPr>
          <w:p>
            <w:pPr/>
          </w:p>
        </w:tc>
        <w:tc>
          <w:tcPr>
            <w:tcW w:w="851" w:type="dxa"/>
            <w:tcBorders>
              <w:top w:val="single" w:sz="4" w:space="0" w:color="5B9BD4"/>
              <w:left w:val="nil" w:sz="6" w:space="0" w:color="auto"/>
              <w:bottom w:val="single" w:sz="4" w:space="0" w:color="5B9BD4"/>
              <w:right w:val="nil" w:sz="6" w:space="0" w:color="auto"/>
            </w:tcBorders>
          </w:tcPr>
          <w:p>
            <w:pPr/>
          </w:p>
        </w:tc>
        <w:tc>
          <w:tcPr>
            <w:tcW w:w="802" w:type="dxa"/>
            <w:tcBorders>
              <w:top w:val="single" w:sz="4" w:space="0" w:color="5B9BD4"/>
              <w:left w:val="nil" w:sz="6" w:space="0" w:color="auto"/>
              <w:bottom w:val="single" w:sz="4" w:space="0" w:color="5B9BD4"/>
              <w:right w:val="nil" w:sz="6" w:space="0" w:color="auto"/>
            </w:tcBorders>
            <w:shd w:val="clear" w:color="auto" w:fill="DEEAF6"/>
          </w:tcPr>
          <w:p>
            <w:pPr/>
          </w:p>
        </w:tc>
        <w:tc>
          <w:tcPr>
            <w:tcW w:w="786" w:type="dxa"/>
            <w:tcBorders>
              <w:top w:val="single" w:sz="4" w:space="0" w:color="5B9BD4"/>
              <w:left w:val="nil" w:sz="6" w:space="0" w:color="auto"/>
              <w:bottom w:val="single" w:sz="4" w:space="0" w:color="5B9BD4"/>
              <w:right w:val="nil" w:sz="6" w:space="0" w:color="auto"/>
            </w:tcBorders>
          </w:tcPr>
          <w:p>
            <w:pPr/>
          </w:p>
        </w:tc>
        <w:tc>
          <w:tcPr>
            <w:tcW w:w="78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1026" w:hRule="exact"/>
        </w:trPr>
        <w:tc>
          <w:tcPr>
            <w:tcW w:w="170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108" w:right="159"/>
              <w:jc w:val="left"/>
              <w:rPr>
                <w:rFonts w:ascii="宋体" w:hAnsi="宋体" w:cs="宋体" w:eastAsia="宋体" w:hint="default"/>
                <w:sz w:val="18"/>
                <w:szCs w:val="18"/>
              </w:rPr>
            </w:pPr>
            <w:r>
              <w:rPr>
                <w:rFonts w:ascii="宋体" w:hAnsi="宋体" w:cs="宋体" w:eastAsia="宋体" w:hint="default"/>
                <w:sz w:val="18"/>
                <w:szCs w:val="18"/>
              </w:rPr>
              <w:t>深圳市酷动数码有 限公司</w:t>
            </w:r>
          </w:p>
        </w:tc>
        <w:tc>
          <w:tcPr>
            <w:tcW w:w="923" w:type="dxa"/>
            <w:tcBorders>
              <w:top w:val="single" w:sz="4" w:space="0" w:color="5B9BD4"/>
              <w:left w:val="nil" w:sz="6" w:space="0" w:color="auto"/>
              <w:bottom w:val="single" w:sz="4" w:space="0" w:color="5B9BD4"/>
              <w:right w:val="nil" w:sz="6" w:space="0" w:color="auto"/>
            </w:tcBorders>
          </w:tcPr>
          <w:p>
            <w:pPr>
              <w:pStyle w:val="TableParagraph"/>
              <w:spacing w:line="240" w:lineRule="auto" w:before="46"/>
              <w:ind w:left="107"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w:t>
            </w:r>
          </w:p>
          <w:p>
            <w:pPr>
              <w:pStyle w:val="TableParagraph"/>
              <w:spacing w:line="240" w:lineRule="auto" w:before="63"/>
              <w:ind w:left="107" w:right="0"/>
              <w:jc w:val="left"/>
              <w:rPr>
                <w:rFonts w:ascii="Arial" w:hAnsi="Arial" w:cs="Arial" w:eastAsia="Arial" w:hint="default"/>
                <w:sz w:val="18"/>
                <w:szCs w:val="18"/>
              </w:rPr>
            </w:pPr>
            <w:r>
              <w:rPr>
                <w:rFonts w:ascii="Arial" w:hAnsi="Arial" w:cs="Arial" w:eastAsia="Arial" w:hint="default"/>
                <w:sz w:val="18"/>
                <w:szCs w:val="18"/>
              </w:rPr>
              <w:t>02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w:hAnsi="Arial" w:cs="Arial" w:eastAsia="Arial" w:hint="default"/>
                <w:sz w:val="18"/>
                <w:szCs w:val="18"/>
              </w:rPr>
              <w:t>13</w:t>
            </w:r>
          </w:p>
          <w:p>
            <w:pPr>
              <w:pStyle w:val="TableParagraph"/>
              <w:spacing w:line="240" w:lineRule="auto" w:before="65"/>
              <w:ind w:left="10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7"/>
              <w:jc w:val="right"/>
              <w:rPr>
                <w:rFonts w:ascii="Arial" w:hAnsi="Arial" w:cs="Arial" w:eastAsia="Arial" w:hint="default"/>
                <w:sz w:val="18"/>
                <w:szCs w:val="18"/>
              </w:rPr>
            </w:pPr>
            <w:r>
              <w:rPr>
                <w:rFonts w:ascii="Arial"/>
                <w:w w:val="95"/>
                <w:sz w:val="18"/>
              </w:rPr>
              <w:t>15,000</w:t>
            </w:r>
            <w:r>
              <w:rPr>
                <w:rFonts w:ascii="Arial"/>
                <w:sz w:val="18"/>
              </w:rPr>
            </w:r>
          </w:p>
        </w:tc>
        <w:tc>
          <w:tcPr>
            <w:tcW w:w="1313" w:type="dxa"/>
            <w:tcBorders>
              <w:top w:val="single" w:sz="4" w:space="0" w:color="5B9BD4"/>
              <w:left w:val="nil" w:sz="6" w:space="0" w:color="auto"/>
              <w:bottom w:val="single" w:sz="4" w:space="0" w:color="5B9BD4"/>
              <w:right w:val="nil" w:sz="6" w:space="0" w:color="auto"/>
            </w:tcBorders>
          </w:tcPr>
          <w:p>
            <w:pPr/>
          </w:p>
        </w:tc>
        <w:tc>
          <w:tcPr>
            <w:tcW w:w="1490" w:type="dxa"/>
            <w:tcBorders>
              <w:top w:val="single" w:sz="4" w:space="0" w:color="5B9BD4"/>
              <w:left w:val="nil" w:sz="6" w:space="0" w:color="auto"/>
              <w:bottom w:val="single" w:sz="4" w:space="0" w:color="5B9BD4"/>
              <w:right w:val="nil" w:sz="6" w:space="0" w:color="auto"/>
            </w:tcBorders>
            <w:shd w:val="clear" w:color="auto" w:fill="DEEAF6"/>
          </w:tcPr>
          <w:p>
            <w:pPr/>
          </w:p>
        </w:tc>
        <w:tc>
          <w:tcPr>
            <w:tcW w:w="851" w:type="dxa"/>
            <w:tcBorders>
              <w:top w:val="single" w:sz="4" w:space="0" w:color="5B9BD4"/>
              <w:left w:val="nil" w:sz="6" w:space="0" w:color="auto"/>
              <w:bottom w:val="single" w:sz="4" w:space="0" w:color="5B9BD4"/>
              <w:right w:val="nil" w:sz="6" w:space="0" w:color="auto"/>
            </w:tcBorders>
          </w:tcPr>
          <w:p>
            <w:pPr/>
          </w:p>
        </w:tc>
        <w:tc>
          <w:tcPr>
            <w:tcW w:w="802" w:type="dxa"/>
            <w:tcBorders>
              <w:top w:val="single" w:sz="4" w:space="0" w:color="5B9BD4"/>
              <w:left w:val="nil" w:sz="6" w:space="0" w:color="auto"/>
              <w:bottom w:val="single" w:sz="4" w:space="0" w:color="5B9BD4"/>
              <w:right w:val="nil" w:sz="6" w:space="0" w:color="auto"/>
            </w:tcBorders>
            <w:shd w:val="clear" w:color="auto" w:fill="DEEAF6"/>
          </w:tcPr>
          <w:p>
            <w:pPr/>
          </w:p>
        </w:tc>
        <w:tc>
          <w:tcPr>
            <w:tcW w:w="786" w:type="dxa"/>
            <w:tcBorders>
              <w:top w:val="single" w:sz="4" w:space="0" w:color="5B9BD4"/>
              <w:left w:val="nil" w:sz="6" w:space="0" w:color="auto"/>
              <w:bottom w:val="single" w:sz="4" w:space="0" w:color="5B9BD4"/>
              <w:right w:val="nil" w:sz="6" w:space="0" w:color="auto"/>
            </w:tcBorders>
          </w:tcPr>
          <w:p>
            <w:pPr/>
          </w:p>
        </w:tc>
        <w:tc>
          <w:tcPr>
            <w:tcW w:w="78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1026" w:hRule="exact"/>
        </w:trPr>
        <w:tc>
          <w:tcPr>
            <w:tcW w:w="170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108" w:right="159"/>
              <w:jc w:val="left"/>
              <w:rPr>
                <w:rFonts w:ascii="宋体" w:hAnsi="宋体" w:cs="宋体" w:eastAsia="宋体" w:hint="default"/>
                <w:sz w:val="18"/>
                <w:szCs w:val="18"/>
              </w:rPr>
            </w:pPr>
            <w:r>
              <w:rPr>
                <w:rFonts w:ascii="宋体" w:hAnsi="宋体" w:cs="宋体" w:eastAsia="宋体" w:hint="default"/>
                <w:sz w:val="18"/>
                <w:szCs w:val="18"/>
              </w:rPr>
              <w:t>深圳市酷动数码有 限公司</w:t>
            </w:r>
          </w:p>
        </w:tc>
        <w:tc>
          <w:tcPr>
            <w:tcW w:w="923" w:type="dxa"/>
            <w:tcBorders>
              <w:top w:val="single" w:sz="4" w:space="0" w:color="5B9BD4"/>
              <w:left w:val="nil" w:sz="6" w:space="0" w:color="auto"/>
              <w:bottom w:val="single" w:sz="4" w:space="0" w:color="5B9BD4"/>
              <w:right w:val="nil" w:sz="6" w:space="0" w:color="auto"/>
            </w:tcBorders>
          </w:tcPr>
          <w:p>
            <w:pPr>
              <w:pStyle w:val="TableParagraph"/>
              <w:spacing w:line="240" w:lineRule="auto" w:before="46"/>
              <w:ind w:left="107"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w:t>
            </w:r>
          </w:p>
          <w:p>
            <w:pPr>
              <w:pStyle w:val="TableParagraph"/>
              <w:spacing w:line="240" w:lineRule="auto" w:before="63"/>
              <w:ind w:left="107" w:right="0"/>
              <w:jc w:val="left"/>
              <w:rPr>
                <w:rFonts w:ascii="Arial" w:hAnsi="Arial" w:cs="Arial" w:eastAsia="Arial" w:hint="default"/>
                <w:sz w:val="18"/>
                <w:szCs w:val="18"/>
              </w:rPr>
            </w:pPr>
            <w:r>
              <w:rPr>
                <w:rFonts w:ascii="Arial" w:hAnsi="Arial" w:cs="Arial" w:eastAsia="Arial" w:hint="default"/>
                <w:sz w:val="18"/>
                <w:szCs w:val="18"/>
              </w:rPr>
              <w:t>02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w:hAnsi="Arial" w:cs="Arial" w:eastAsia="Arial" w:hint="default"/>
                <w:sz w:val="18"/>
                <w:szCs w:val="18"/>
              </w:rPr>
              <w:t>13</w:t>
            </w:r>
          </w:p>
          <w:p>
            <w:pPr>
              <w:pStyle w:val="TableParagraph"/>
              <w:spacing w:line="240" w:lineRule="auto" w:before="65"/>
              <w:ind w:left="10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7"/>
              <w:jc w:val="right"/>
              <w:rPr>
                <w:rFonts w:ascii="Arial" w:hAnsi="Arial" w:cs="Arial" w:eastAsia="Arial" w:hint="default"/>
                <w:sz w:val="18"/>
                <w:szCs w:val="18"/>
              </w:rPr>
            </w:pPr>
            <w:r>
              <w:rPr>
                <w:rFonts w:ascii="Arial"/>
                <w:w w:val="95"/>
                <w:sz w:val="18"/>
              </w:rPr>
              <w:t>20,000</w:t>
            </w:r>
            <w:r>
              <w:rPr>
                <w:rFonts w:ascii="Arial"/>
                <w:sz w:val="18"/>
              </w:rPr>
            </w:r>
          </w:p>
        </w:tc>
        <w:tc>
          <w:tcPr>
            <w:tcW w:w="1313" w:type="dxa"/>
            <w:tcBorders>
              <w:top w:val="single" w:sz="4" w:space="0" w:color="5B9BD4"/>
              <w:left w:val="nil" w:sz="6" w:space="0" w:color="auto"/>
              <w:bottom w:val="single" w:sz="4" w:space="0" w:color="5B9BD4"/>
              <w:right w:val="nil" w:sz="6" w:space="0" w:color="auto"/>
            </w:tcBorders>
          </w:tcPr>
          <w:p>
            <w:pPr/>
          </w:p>
        </w:tc>
        <w:tc>
          <w:tcPr>
            <w:tcW w:w="1490" w:type="dxa"/>
            <w:tcBorders>
              <w:top w:val="single" w:sz="4" w:space="0" w:color="5B9BD4"/>
              <w:left w:val="nil" w:sz="6" w:space="0" w:color="auto"/>
              <w:bottom w:val="single" w:sz="4" w:space="0" w:color="5B9BD4"/>
              <w:right w:val="nil" w:sz="6" w:space="0" w:color="auto"/>
            </w:tcBorders>
            <w:shd w:val="clear" w:color="auto" w:fill="DEEAF6"/>
          </w:tcPr>
          <w:p>
            <w:pPr/>
          </w:p>
        </w:tc>
        <w:tc>
          <w:tcPr>
            <w:tcW w:w="851" w:type="dxa"/>
            <w:tcBorders>
              <w:top w:val="single" w:sz="4" w:space="0" w:color="5B9BD4"/>
              <w:left w:val="nil" w:sz="6" w:space="0" w:color="auto"/>
              <w:bottom w:val="single" w:sz="4" w:space="0" w:color="5B9BD4"/>
              <w:right w:val="nil" w:sz="6" w:space="0" w:color="auto"/>
            </w:tcBorders>
          </w:tcPr>
          <w:p>
            <w:pPr/>
          </w:p>
        </w:tc>
        <w:tc>
          <w:tcPr>
            <w:tcW w:w="802" w:type="dxa"/>
            <w:tcBorders>
              <w:top w:val="single" w:sz="4" w:space="0" w:color="5B9BD4"/>
              <w:left w:val="nil" w:sz="6" w:space="0" w:color="auto"/>
              <w:bottom w:val="single" w:sz="4" w:space="0" w:color="5B9BD4"/>
              <w:right w:val="nil" w:sz="6" w:space="0" w:color="auto"/>
            </w:tcBorders>
            <w:shd w:val="clear" w:color="auto" w:fill="DEEAF6"/>
          </w:tcPr>
          <w:p>
            <w:pPr/>
          </w:p>
        </w:tc>
        <w:tc>
          <w:tcPr>
            <w:tcW w:w="786" w:type="dxa"/>
            <w:tcBorders>
              <w:top w:val="single" w:sz="4" w:space="0" w:color="5B9BD4"/>
              <w:left w:val="nil" w:sz="6" w:space="0" w:color="auto"/>
              <w:bottom w:val="single" w:sz="4" w:space="0" w:color="5B9BD4"/>
              <w:right w:val="nil" w:sz="6" w:space="0" w:color="auto"/>
            </w:tcBorders>
          </w:tcPr>
          <w:p>
            <w:pPr/>
          </w:p>
        </w:tc>
        <w:tc>
          <w:tcPr>
            <w:tcW w:w="78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1026" w:hRule="exact"/>
        </w:trPr>
        <w:tc>
          <w:tcPr>
            <w:tcW w:w="170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108" w:right="159"/>
              <w:jc w:val="left"/>
              <w:rPr>
                <w:rFonts w:ascii="宋体" w:hAnsi="宋体" w:cs="宋体" w:eastAsia="宋体" w:hint="default"/>
                <w:sz w:val="18"/>
                <w:szCs w:val="18"/>
              </w:rPr>
            </w:pPr>
            <w:r>
              <w:rPr>
                <w:rFonts w:ascii="宋体" w:hAnsi="宋体" w:cs="宋体" w:eastAsia="宋体" w:hint="default"/>
                <w:sz w:val="18"/>
                <w:szCs w:val="18"/>
              </w:rPr>
              <w:t>深圳市酷动数码有 限公司</w:t>
            </w:r>
          </w:p>
        </w:tc>
        <w:tc>
          <w:tcPr>
            <w:tcW w:w="923" w:type="dxa"/>
            <w:tcBorders>
              <w:top w:val="single" w:sz="4" w:space="0" w:color="5B9BD4"/>
              <w:left w:val="nil" w:sz="6" w:space="0" w:color="auto"/>
              <w:bottom w:val="single" w:sz="4" w:space="0" w:color="5B9BD4"/>
              <w:right w:val="nil" w:sz="6" w:space="0" w:color="auto"/>
            </w:tcBorders>
          </w:tcPr>
          <w:p>
            <w:pPr>
              <w:pStyle w:val="TableParagraph"/>
              <w:spacing w:line="240" w:lineRule="auto" w:before="46"/>
              <w:ind w:left="107"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w:t>
            </w:r>
          </w:p>
          <w:p>
            <w:pPr>
              <w:pStyle w:val="TableParagraph"/>
              <w:spacing w:line="240" w:lineRule="auto" w:before="63"/>
              <w:ind w:left="107" w:right="0"/>
              <w:jc w:val="left"/>
              <w:rPr>
                <w:rFonts w:ascii="Arial" w:hAnsi="Arial" w:cs="Arial" w:eastAsia="Arial" w:hint="default"/>
                <w:sz w:val="18"/>
                <w:szCs w:val="18"/>
              </w:rPr>
            </w:pPr>
            <w:r>
              <w:rPr>
                <w:rFonts w:ascii="Arial" w:hAnsi="Arial" w:cs="Arial" w:eastAsia="Arial" w:hint="default"/>
                <w:sz w:val="18"/>
                <w:szCs w:val="18"/>
              </w:rPr>
              <w:t>02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w:hAnsi="Arial" w:cs="Arial" w:eastAsia="Arial" w:hint="default"/>
                <w:sz w:val="18"/>
                <w:szCs w:val="18"/>
              </w:rPr>
              <w:t>13</w:t>
            </w:r>
          </w:p>
          <w:p>
            <w:pPr>
              <w:pStyle w:val="TableParagraph"/>
              <w:spacing w:line="240" w:lineRule="auto" w:before="65"/>
              <w:ind w:left="10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7"/>
              <w:jc w:val="right"/>
              <w:rPr>
                <w:rFonts w:ascii="Arial" w:hAnsi="Arial" w:cs="Arial" w:eastAsia="Arial" w:hint="default"/>
                <w:sz w:val="18"/>
                <w:szCs w:val="18"/>
              </w:rPr>
            </w:pPr>
            <w:r>
              <w:rPr>
                <w:rFonts w:ascii="Arial"/>
                <w:w w:val="95"/>
                <w:sz w:val="18"/>
              </w:rPr>
              <w:t>20,000</w:t>
            </w:r>
            <w:r>
              <w:rPr>
                <w:rFonts w:ascii="Arial"/>
                <w:sz w:val="18"/>
              </w:rPr>
            </w:r>
          </w:p>
        </w:tc>
        <w:tc>
          <w:tcPr>
            <w:tcW w:w="1313" w:type="dxa"/>
            <w:tcBorders>
              <w:top w:val="single" w:sz="4" w:space="0" w:color="5B9BD4"/>
              <w:left w:val="nil" w:sz="6" w:space="0" w:color="auto"/>
              <w:bottom w:val="single" w:sz="4" w:space="0" w:color="5B9BD4"/>
              <w:right w:val="nil" w:sz="6" w:space="0" w:color="auto"/>
            </w:tcBorders>
          </w:tcPr>
          <w:p>
            <w:pPr/>
          </w:p>
        </w:tc>
        <w:tc>
          <w:tcPr>
            <w:tcW w:w="1490" w:type="dxa"/>
            <w:tcBorders>
              <w:top w:val="single" w:sz="4" w:space="0" w:color="5B9BD4"/>
              <w:left w:val="nil" w:sz="6" w:space="0" w:color="auto"/>
              <w:bottom w:val="single" w:sz="4" w:space="0" w:color="5B9BD4"/>
              <w:right w:val="nil" w:sz="6" w:space="0" w:color="auto"/>
            </w:tcBorders>
            <w:shd w:val="clear" w:color="auto" w:fill="DEEAF6"/>
          </w:tcPr>
          <w:p>
            <w:pPr/>
          </w:p>
        </w:tc>
        <w:tc>
          <w:tcPr>
            <w:tcW w:w="851" w:type="dxa"/>
            <w:tcBorders>
              <w:top w:val="single" w:sz="4" w:space="0" w:color="5B9BD4"/>
              <w:left w:val="nil" w:sz="6" w:space="0" w:color="auto"/>
              <w:bottom w:val="single" w:sz="4" w:space="0" w:color="5B9BD4"/>
              <w:right w:val="nil" w:sz="6" w:space="0" w:color="auto"/>
            </w:tcBorders>
          </w:tcPr>
          <w:p>
            <w:pPr/>
          </w:p>
        </w:tc>
        <w:tc>
          <w:tcPr>
            <w:tcW w:w="802" w:type="dxa"/>
            <w:tcBorders>
              <w:top w:val="single" w:sz="4" w:space="0" w:color="5B9BD4"/>
              <w:left w:val="nil" w:sz="6" w:space="0" w:color="auto"/>
              <w:bottom w:val="single" w:sz="4" w:space="0" w:color="5B9BD4"/>
              <w:right w:val="nil" w:sz="6" w:space="0" w:color="auto"/>
            </w:tcBorders>
            <w:shd w:val="clear" w:color="auto" w:fill="DEEAF6"/>
          </w:tcPr>
          <w:p>
            <w:pPr/>
          </w:p>
        </w:tc>
        <w:tc>
          <w:tcPr>
            <w:tcW w:w="786" w:type="dxa"/>
            <w:tcBorders>
              <w:top w:val="single" w:sz="4" w:space="0" w:color="5B9BD4"/>
              <w:left w:val="nil" w:sz="6" w:space="0" w:color="auto"/>
              <w:bottom w:val="single" w:sz="4" w:space="0" w:color="5B9BD4"/>
              <w:right w:val="nil" w:sz="6" w:space="0" w:color="auto"/>
            </w:tcBorders>
          </w:tcPr>
          <w:p>
            <w:pPr/>
          </w:p>
        </w:tc>
        <w:tc>
          <w:tcPr>
            <w:tcW w:w="78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1962" w:hRule="exact"/>
        </w:trPr>
        <w:tc>
          <w:tcPr>
            <w:tcW w:w="170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9" w:lineRule="auto"/>
              <w:ind w:left="108" w:right="159"/>
              <w:jc w:val="left"/>
              <w:rPr>
                <w:rFonts w:ascii="宋体" w:hAnsi="宋体" w:cs="宋体" w:eastAsia="宋体" w:hint="default"/>
                <w:sz w:val="18"/>
                <w:szCs w:val="18"/>
              </w:rPr>
            </w:pPr>
            <w:r>
              <w:rPr>
                <w:rFonts w:ascii="宋体" w:hAnsi="宋体" w:cs="宋体" w:eastAsia="宋体" w:hint="default"/>
                <w:sz w:val="18"/>
                <w:szCs w:val="18"/>
              </w:rPr>
              <w:t>深圳市酷动数码有 限公司</w:t>
            </w:r>
          </w:p>
        </w:tc>
        <w:tc>
          <w:tcPr>
            <w:tcW w:w="923"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7"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1"/>
                <w:sz w:val="18"/>
                <w:szCs w:val="18"/>
              </w:rPr>
              <w:t> </w:t>
            </w:r>
            <w:r>
              <w:rPr>
                <w:rFonts w:ascii="宋体" w:hAnsi="宋体" w:cs="宋体" w:eastAsia="宋体" w:hint="default"/>
                <w:sz w:val="18"/>
                <w:szCs w:val="18"/>
              </w:rPr>
              <w:t>年</w:t>
            </w:r>
          </w:p>
          <w:p>
            <w:pPr>
              <w:pStyle w:val="TableParagraph"/>
              <w:spacing w:line="240" w:lineRule="auto" w:before="63"/>
              <w:ind w:left="107" w:right="0"/>
              <w:jc w:val="left"/>
              <w:rPr>
                <w:rFonts w:ascii="Arial" w:hAnsi="Arial" w:cs="Arial" w:eastAsia="Arial" w:hint="default"/>
                <w:sz w:val="18"/>
                <w:szCs w:val="18"/>
              </w:rPr>
            </w:pPr>
            <w:r>
              <w:rPr>
                <w:rFonts w:ascii="Arial" w:hAnsi="Arial" w:cs="Arial" w:eastAsia="Arial" w:hint="default"/>
                <w:sz w:val="18"/>
                <w:szCs w:val="18"/>
              </w:rPr>
              <w:t>05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Arial" w:hAnsi="Arial" w:cs="Arial" w:eastAsia="Arial" w:hint="default"/>
                <w:sz w:val="18"/>
                <w:szCs w:val="18"/>
              </w:rPr>
              <w:t>23</w:t>
            </w:r>
          </w:p>
          <w:p>
            <w:pPr>
              <w:pStyle w:val="TableParagraph"/>
              <w:spacing w:line="240" w:lineRule="auto" w:before="65"/>
              <w:ind w:left="10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7"/>
              <w:jc w:val="right"/>
              <w:rPr>
                <w:rFonts w:ascii="Arial" w:hAnsi="Arial" w:cs="Arial" w:eastAsia="Arial" w:hint="default"/>
                <w:sz w:val="18"/>
                <w:szCs w:val="18"/>
              </w:rPr>
            </w:pPr>
            <w:r>
              <w:rPr>
                <w:rFonts w:ascii="Arial"/>
                <w:w w:val="95"/>
                <w:sz w:val="18"/>
              </w:rPr>
              <w:t>20,000</w:t>
            </w:r>
            <w:r>
              <w:rPr>
                <w:rFonts w:ascii="Arial"/>
                <w:sz w:val="18"/>
              </w:rPr>
            </w:r>
          </w:p>
        </w:tc>
        <w:tc>
          <w:tcPr>
            <w:tcW w:w="1313" w:type="dxa"/>
            <w:tcBorders>
              <w:top w:val="single" w:sz="4" w:space="0" w:color="5B9BD4"/>
              <w:left w:val="nil" w:sz="6" w:space="0" w:color="auto"/>
              <w:bottom w:val="single" w:sz="4" w:space="0" w:color="5B9BD4"/>
              <w:right w:val="nil" w:sz="6" w:space="0" w:color="auto"/>
            </w:tcBorders>
          </w:tcPr>
          <w:p>
            <w:pPr/>
          </w:p>
        </w:tc>
        <w:tc>
          <w:tcPr>
            <w:tcW w:w="14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Arial" w:hAnsi="Arial" w:cs="Arial" w:eastAsia="Arial" w:hint="default"/>
                <w:sz w:val="18"/>
                <w:szCs w:val="18"/>
              </w:rPr>
            </w:pPr>
            <w:r>
              <w:rPr>
                <w:rFonts w:ascii="Arial"/>
                <w:spacing w:val="-1"/>
                <w:sz w:val="18"/>
              </w:rPr>
              <w:t>20,000</w:t>
            </w:r>
          </w:p>
        </w:tc>
        <w:tc>
          <w:tcPr>
            <w:tcW w:w="851"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9" w:lineRule="auto"/>
              <w:ind w:left="106" w:right="202"/>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8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46"/>
              <w:ind w:left="107" w:right="151"/>
              <w:jc w:val="both"/>
              <w:rPr>
                <w:rFonts w:ascii="宋体" w:hAnsi="宋体" w:cs="宋体" w:eastAsia="宋体" w:hint="default"/>
                <w:sz w:val="18"/>
                <w:szCs w:val="18"/>
              </w:rPr>
            </w:pPr>
            <w:r>
              <w:rPr>
                <w:rFonts w:ascii="宋体" w:hAnsi="宋体" w:cs="宋体" w:eastAsia="宋体" w:hint="default"/>
                <w:sz w:val="18"/>
                <w:szCs w:val="18"/>
              </w:rPr>
              <w:t>采购合 同项下 的最后 付款到 期日三 年</w:t>
            </w:r>
          </w:p>
        </w:tc>
        <w:tc>
          <w:tcPr>
            <w:tcW w:w="786"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108" w:right="159"/>
              <w:jc w:val="left"/>
              <w:rPr>
                <w:rFonts w:ascii="宋体" w:hAnsi="宋体" w:cs="宋体" w:eastAsia="宋体" w:hint="default"/>
                <w:sz w:val="18"/>
                <w:szCs w:val="18"/>
              </w:rPr>
            </w:pPr>
            <w:r>
              <w:rPr>
                <w:rFonts w:ascii="宋体" w:hAnsi="宋体" w:cs="宋体" w:eastAsia="宋体" w:hint="default"/>
                <w:sz w:val="18"/>
                <w:szCs w:val="18"/>
              </w:rPr>
              <w:t>西藏酷爱通信有限 公司</w:t>
            </w:r>
          </w:p>
        </w:tc>
        <w:tc>
          <w:tcPr>
            <w:tcW w:w="923" w:type="dxa"/>
            <w:tcBorders>
              <w:top w:val="single" w:sz="4" w:space="0" w:color="5B9BD4"/>
              <w:left w:val="nil" w:sz="6" w:space="0" w:color="auto"/>
              <w:bottom w:val="single" w:sz="4" w:space="0" w:color="5B9BD4"/>
              <w:right w:val="nil" w:sz="6" w:space="0" w:color="auto"/>
            </w:tcBorders>
          </w:tcPr>
          <w:p>
            <w:pPr>
              <w:pStyle w:val="TableParagraph"/>
              <w:spacing w:line="240" w:lineRule="auto" w:before="46"/>
              <w:ind w:left="107"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w:t>
            </w:r>
          </w:p>
          <w:p>
            <w:pPr>
              <w:pStyle w:val="TableParagraph"/>
              <w:spacing w:line="240" w:lineRule="auto" w:before="64"/>
              <w:ind w:left="107" w:right="0"/>
              <w:jc w:val="left"/>
              <w:rPr>
                <w:rFonts w:ascii="Arial" w:hAnsi="Arial" w:cs="Arial" w:eastAsia="Arial" w:hint="default"/>
                <w:sz w:val="18"/>
                <w:szCs w:val="18"/>
              </w:rPr>
            </w:pPr>
            <w:r>
              <w:rPr>
                <w:rFonts w:ascii="Arial" w:hAnsi="Arial" w:cs="Arial" w:eastAsia="Arial" w:hint="default"/>
                <w:sz w:val="18"/>
                <w:szCs w:val="18"/>
              </w:rPr>
              <w:t>02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w:hAnsi="Arial" w:cs="Arial" w:eastAsia="Arial" w:hint="default"/>
                <w:sz w:val="18"/>
                <w:szCs w:val="18"/>
              </w:rPr>
              <w:t>13</w:t>
            </w:r>
          </w:p>
          <w:p>
            <w:pPr>
              <w:pStyle w:val="TableParagraph"/>
              <w:spacing w:line="240" w:lineRule="auto" w:before="65"/>
              <w:ind w:left="10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7"/>
              <w:jc w:val="right"/>
              <w:rPr>
                <w:rFonts w:ascii="Arial" w:hAnsi="Arial" w:cs="Arial" w:eastAsia="Arial" w:hint="default"/>
                <w:sz w:val="18"/>
                <w:szCs w:val="18"/>
              </w:rPr>
            </w:pPr>
            <w:r>
              <w:rPr>
                <w:rFonts w:ascii="Arial"/>
                <w:w w:val="95"/>
                <w:sz w:val="18"/>
              </w:rPr>
              <w:t>40,000</w:t>
            </w:r>
            <w:r>
              <w:rPr>
                <w:rFonts w:ascii="Arial"/>
                <w:sz w:val="18"/>
              </w:rPr>
            </w:r>
          </w:p>
        </w:tc>
        <w:tc>
          <w:tcPr>
            <w:tcW w:w="1313" w:type="dxa"/>
            <w:tcBorders>
              <w:top w:val="single" w:sz="4" w:space="0" w:color="5B9BD4"/>
              <w:left w:val="nil" w:sz="6" w:space="0" w:color="auto"/>
              <w:bottom w:val="single" w:sz="4" w:space="0" w:color="5B9BD4"/>
              <w:right w:val="nil" w:sz="6" w:space="0" w:color="auto"/>
            </w:tcBorders>
          </w:tcPr>
          <w:p>
            <w:pPr/>
          </w:p>
        </w:tc>
        <w:tc>
          <w:tcPr>
            <w:tcW w:w="1490" w:type="dxa"/>
            <w:tcBorders>
              <w:top w:val="single" w:sz="4" w:space="0" w:color="5B9BD4"/>
              <w:left w:val="nil" w:sz="6" w:space="0" w:color="auto"/>
              <w:bottom w:val="single" w:sz="4" w:space="0" w:color="5B9BD4"/>
              <w:right w:val="nil" w:sz="6" w:space="0" w:color="auto"/>
            </w:tcBorders>
            <w:shd w:val="clear" w:color="auto" w:fill="DEEAF6"/>
          </w:tcPr>
          <w:p>
            <w:pPr/>
          </w:p>
        </w:tc>
        <w:tc>
          <w:tcPr>
            <w:tcW w:w="851" w:type="dxa"/>
            <w:tcBorders>
              <w:top w:val="single" w:sz="4" w:space="0" w:color="5B9BD4"/>
              <w:left w:val="nil" w:sz="6" w:space="0" w:color="auto"/>
              <w:bottom w:val="single" w:sz="4" w:space="0" w:color="5B9BD4"/>
              <w:right w:val="nil" w:sz="6" w:space="0" w:color="auto"/>
            </w:tcBorders>
          </w:tcPr>
          <w:p>
            <w:pPr/>
          </w:p>
        </w:tc>
        <w:tc>
          <w:tcPr>
            <w:tcW w:w="802" w:type="dxa"/>
            <w:tcBorders>
              <w:top w:val="single" w:sz="4" w:space="0" w:color="5B9BD4"/>
              <w:left w:val="nil" w:sz="6" w:space="0" w:color="auto"/>
              <w:bottom w:val="single" w:sz="4" w:space="0" w:color="5B9BD4"/>
              <w:right w:val="nil" w:sz="6" w:space="0" w:color="auto"/>
            </w:tcBorders>
            <w:shd w:val="clear" w:color="auto" w:fill="DEEAF6"/>
          </w:tcPr>
          <w:p>
            <w:pPr/>
          </w:p>
        </w:tc>
        <w:tc>
          <w:tcPr>
            <w:tcW w:w="786" w:type="dxa"/>
            <w:tcBorders>
              <w:top w:val="single" w:sz="4" w:space="0" w:color="5B9BD4"/>
              <w:left w:val="nil" w:sz="6" w:space="0" w:color="auto"/>
              <w:bottom w:val="single" w:sz="4" w:space="0" w:color="5B9BD4"/>
              <w:right w:val="nil" w:sz="6" w:space="0" w:color="auto"/>
            </w:tcBorders>
          </w:tcPr>
          <w:p>
            <w:pPr/>
          </w:p>
        </w:tc>
        <w:tc>
          <w:tcPr>
            <w:tcW w:w="78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74" w:hRule="exact"/>
        </w:trPr>
        <w:tc>
          <w:tcPr>
            <w:tcW w:w="170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西藏酷爱通信有限</w:t>
            </w:r>
          </w:p>
        </w:tc>
        <w:tc>
          <w:tcPr>
            <w:tcW w:w="923" w:type="dxa"/>
            <w:tcBorders>
              <w:top w:val="single" w:sz="4" w:space="0" w:color="5B9BD4"/>
              <w:left w:val="nil" w:sz="6" w:space="0" w:color="auto"/>
              <w:bottom w:val="single" w:sz="4" w:space="0" w:color="5B9BD4"/>
              <w:right w:val="nil" w:sz="6" w:space="0" w:color="auto"/>
            </w:tcBorders>
          </w:tcPr>
          <w:p>
            <w:pPr>
              <w:pStyle w:val="TableParagraph"/>
              <w:spacing w:line="240" w:lineRule="auto" w:before="46"/>
              <w:ind w:left="107"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w:t>
            </w:r>
          </w:p>
          <w:p>
            <w:pPr>
              <w:pStyle w:val="TableParagraph"/>
              <w:spacing w:line="240" w:lineRule="auto" w:before="63"/>
              <w:ind w:left="107" w:right="0"/>
              <w:jc w:val="left"/>
              <w:rPr>
                <w:rFonts w:ascii="Arial" w:hAnsi="Arial" w:cs="Arial" w:eastAsia="Arial" w:hint="default"/>
                <w:sz w:val="18"/>
                <w:szCs w:val="18"/>
              </w:rPr>
            </w:pPr>
            <w:r>
              <w:rPr>
                <w:rFonts w:ascii="Arial" w:hAnsi="Arial" w:cs="Arial" w:eastAsia="Arial" w:hint="default"/>
                <w:sz w:val="18"/>
                <w:szCs w:val="18"/>
              </w:rPr>
              <w:t>02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w:hAnsi="Arial" w:cs="Arial" w:eastAsia="Arial" w:hint="default"/>
                <w:sz w:val="18"/>
                <w:szCs w:val="18"/>
              </w:rPr>
              <w:t>13</w:t>
            </w:r>
          </w:p>
        </w:tc>
        <w:tc>
          <w:tcPr>
            <w:tcW w:w="91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Arial" w:hAnsi="Arial" w:cs="Arial" w:eastAsia="Arial" w:hint="default"/>
                <w:sz w:val="18"/>
                <w:szCs w:val="18"/>
              </w:rPr>
            </w:pPr>
            <w:r>
              <w:rPr>
                <w:rFonts w:ascii="Arial"/>
                <w:w w:val="95"/>
                <w:sz w:val="18"/>
              </w:rPr>
              <w:t>60,000</w:t>
            </w:r>
            <w:r>
              <w:rPr>
                <w:rFonts w:ascii="Arial"/>
                <w:sz w:val="18"/>
              </w:rPr>
            </w:r>
          </w:p>
        </w:tc>
        <w:tc>
          <w:tcPr>
            <w:tcW w:w="1313" w:type="dxa"/>
            <w:tcBorders>
              <w:top w:val="single" w:sz="4" w:space="0" w:color="5B9BD4"/>
              <w:left w:val="nil" w:sz="6" w:space="0" w:color="auto"/>
              <w:bottom w:val="single" w:sz="4" w:space="0" w:color="5B9BD4"/>
              <w:right w:val="nil" w:sz="6" w:space="0" w:color="auto"/>
            </w:tcBorders>
          </w:tcPr>
          <w:p>
            <w:pPr/>
          </w:p>
        </w:tc>
        <w:tc>
          <w:tcPr>
            <w:tcW w:w="1490" w:type="dxa"/>
            <w:tcBorders>
              <w:top w:val="single" w:sz="4" w:space="0" w:color="5B9BD4"/>
              <w:left w:val="nil" w:sz="6" w:space="0" w:color="auto"/>
              <w:bottom w:val="single" w:sz="4" w:space="0" w:color="5B9BD4"/>
              <w:right w:val="nil" w:sz="6" w:space="0" w:color="auto"/>
            </w:tcBorders>
            <w:shd w:val="clear" w:color="auto" w:fill="DEEAF6"/>
          </w:tcPr>
          <w:p>
            <w:pPr/>
          </w:p>
        </w:tc>
        <w:tc>
          <w:tcPr>
            <w:tcW w:w="851" w:type="dxa"/>
            <w:tcBorders>
              <w:top w:val="single" w:sz="4" w:space="0" w:color="5B9BD4"/>
              <w:left w:val="nil" w:sz="6" w:space="0" w:color="auto"/>
              <w:bottom w:val="single" w:sz="4" w:space="0" w:color="5B9BD4"/>
              <w:right w:val="nil" w:sz="6" w:space="0" w:color="auto"/>
            </w:tcBorders>
          </w:tcPr>
          <w:p>
            <w:pPr/>
          </w:p>
        </w:tc>
        <w:tc>
          <w:tcPr>
            <w:tcW w:w="802" w:type="dxa"/>
            <w:tcBorders>
              <w:top w:val="single" w:sz="4" w:space="0" w:color="5B9BD4"/>
              <w:left w:val="nil" w:sz="6" w:space="0" w:color="auto"/>
              <w:bottom w:val="single" w:sz="4" w:space="0" w:color="5B9BD4"/>
              <w:right w:val="nil" w:sz="6" w:space="0" w:color="auto"/>
            </w:tcBorders>
            <w:shd w:val="clear" w:color="auto" w:fill="DEEAF6"/>
          </w:tcPr>
          <w:p>
            <w:pPr/>
          </w:p>
        </w:tc>
        <w:tc>
          <w:tcPr>
            <w:tcW w:w="786" w:type="dxa"/>
            <w:tcBorders>
              <w:top w:val="single" w:sz="4" w:space="0" w:color="5B9BD4"/>
              <w:left w:val="nil" w:sz="6" w:space="0" w:color="auto"/>
              <w:bottom w:val="single" w:sz="4" w:space="0" w:color="5B9BD4"/>
              <w:right w:val="nil" w:sz="6" w:space="0" w:color="auto"/>
            </w:tcBorders>
          </w:tcPr>
          <w:p>
            <w:pPr/>
          </w:p>
        </w:tc>
        <w:tc>
          <w:tcPr>
            <w:tcW w:w="788" w:type="dxa"/>
            <w:tcBorders>
              <w:top w:val="single" w:sz="4" w:space="0" w:color="5B9BD4"/>
              <w:left w:val="nil" w:sz="6" w:space="0" w:color="auto"/>
              <w:bottom w:val="single" w:sz="4" w:space="0" w:color="5B9BD4"/>
              <w:right w:val="nil" w:sz="6" w:space="0" w:color="auto"/>
            </w:tcBorders>
            <w:shd w:val="clear" w:color="auto" w:fill="DEEAF6"/>
          </w:tcPr>
          <w:p>
            <w:pPr/>
          </w:p>
        </w:tc>
      </w:tr>
    </w:tbl>
    <w:p>
      <w:pPr>
        <w:spacing w:after="0"/>
        <w:sectPr>
          <w:pgSz w:w="11910" w:h="16840"/>
          <w:pgMar w:header="877" w:footer="979" w:top="1100" w:bottom="116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709"/>
        <w:gridCol w:w="920"/>
        <w:gridCol w:w="914"/>
        <w:gridCol w:w="1313"/>
        <w:gridCol w:w="1044"/>
        <w:gridCol w:w="446"/>
        <w:gridCol w:w="607"/>
        <w:gridCol w:w="244"/>
        <w:gridCol w:w="802"/>
        <w:gridCol w:w="786"/>
        <w:gridCol w:w="788"/>
      </w:tblGrid>
      <w:tr>
        <w:trPr>
          <w:trHeight w:val="362" w:hRule="exact"/>
        </w:trPr>
        <w:tc>
          <w:tcPr>
            <w:tcW w:w="170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left="108"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20"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left="10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4" w:type="dxa"/>
            <w:tcBorders>
              <w:top w:val="single" w:sz="4" w:space="0" w:color="5B9BD4"/>
              <w:left w:val="nil" w:sz="6" w:space="0" w:color="auto"/>
              <w:bottom w:val="single" w:sz="4" w:space="0" w:color="5B9BD4"/>
              <w:right w:val="nil" w:sz="6" w:space="0" w:color="auto"/>
            </w:tcBorders>
            <w:shd w:val="clear" w:color="auto" w:fill="DEEAF6"/>
          </w:tcPr>
          <w:p>
            <w:pPr/>
          </w:p>
        </w:tc>
        <w:tc>
          <w:tcPr>
            <w:tcW w:w="1313" w:type="dxa"/>
            <w:tcBorders>
              <w:top w:val="single" w:sz="4" w:space="0" w:color="5B9BD4"/>
              <w:left w:val="nil" w:sz="6" w:space="0" w:color="auto"/>
              <w:bottom w:val="single" w:sz="4" w:space="0" w:color="5B9BD4"/>
              <w:right w:val="nil" w:sz="6" w:space="0" w:color="auto"/>
            </w:tcBorders>
          </w:tcPr>
          <w:p>
            <w:pPr/>
          </w:p>
        </w:tc>
        <w:tc>
          <w:tcPr>
            <w:tcW w:w="1490" w:type="dxa"/>
            <w:gridSpan w:val="2"/>
            <w:tcBorders>
              <w:top w:val="single" w:sz="4" w:space="0" w:color="5B9BD4"/>
              <w:left w:val="nil" w:sz="6" w:space="0" w:color="auto"/>
              <w:bottom w:val="single" w:sz="4" w:space="0" w:color="5B9BD4"/>
              <w:right w:val="nil" w:sz="6" w:space="0" w:color="auto"/>
            </w:tcBorders>
            <w:shd w:val="clear" w:color="auto" w:fill="DEEAF6"/>
          </w:tcPr>
          <w:p>
            <w:pPr/>
          </w:p>
        </w:tc>
        <w:tc>
          <w:tcPr>
            <w:tcW w:w="851" w:type="dxa"/>
            <w:gridSpan w:val="2"/>
            <w:tcBorders>
              <w:top w:val="single" w:sz="4" w:space="0" w:color="5B9BD4"/>
              <w:left w:val="nil" w:sz="6" w:space="0" w:color="auto"/>
              <w:bottom w:val="single" w:sz="4" w:space="0" w:color="5B9BD4"/>
              <w:right w:val="nil" w:sz="6" w:space="0" w:color="auto"/>
            </w:tcBorders>
          </w:tcPr>
          <w:p>
            <w:pPr/>
          </w:p>
        </w:tc>
        <w:tc>
          <w:tcPr>
            <w:tcW w:w="802" w:type="dxa"/>
            <w:tcBorders>
              <w:top w:val="single" w:sz="4" w:space="0" w:color="5B9BD4"/>
              <w:left w:val="nil" w:sz="6" w:space="0" w:color="auto"/>
              <w:bottom w:val="single" w:sz="4" w:space="0" w:color="5B9BD4"/>
              <w:right w:val="nil" w:sz="6" w:space="0" w:color="auto"/>
            </w:tcBorders>
            <w:shd w:val="clear" w:color="auto" w:fill="DEEAF6"/>
          </w:tcPr>
          <w:p>
            <w:pPr/>
          </w:p>
        </w:tc>
        <w:tc>
          <w:tcPr>
            <w:tcW w:w="786" w:type="dxa"/>
            <w:tcBorders>
              <w:top w:val="single" w:sz="4" w:space="0" w:color="5B9BD4"/>
              <w:left w:val="nil" w:sz="6" w:space="0" w:color="auto"/>
              <w:bottom w:val="single" w:sz="4" w:space="0" w:color="5B9BD4"/>
              <w:right w:val="nil" w:sz="6" w:space="0" w:color="auto"/>
            </w:tcBorders>
          </w:tcPr>
          <w:p>
            <w:pPr/>
          </w:p>
        </w:tc>
        <w:tc>
          <w:tcPr>
            <w:tcW w:w="78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1026" w:hRule="exact"/>
        </w:trPr>
        <w:tc>
          <w:tcPr>
            <w:tcW w:w="170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6" w:lineRule="auto"/>
              <w:ind w:left="108" w:right="159"/>
              <w:jc w:val="left"/>
              <w:rPr>
                <w:rFonts w:ascii="宋体" w:hAnsi="宋体" w:cs="宋体" w:eastAsia="宋体" w:hint="default"/>
                <w:sz w:val="18"/>
                <w:szCs w:val="18"/>
              </w:rPr>
            </w:pPr>
            <w:r>
              <w:rPr>
                <w:rFonts w:ascii="宋体" w:hAnsi="宋体" w:cs="宋体" w:eastAsia="宋体" w:hint="default"/>
                <w:sz w:val="18"/>
                <w:szCs w:val="18"/>
              </w:rPr>
              <w:t>西藏酷爱通信有限 公司</w:t>
            </w:r>
          </w:p>
        </w:tc>
        <w:tc>
          <w:tcPr>
            <w:tcW w:w="920" w:type="dxa"/>
            <w:tcBorders>
              <w:top w:val="single" w:sz="4" w:space="0" w:color="5B9BD4"/>
              <w:left w:val="nil" w:sz="6" w:space="0" w:color="auto"/>
              <w:bottom w:val="single" w:sz="4" w:space="0" w:color="5B9BD4"/>
              <w:right w:val="nil" w:sz="6" w:space="0" w:color="auto"/>
            </w:tcBorders>
          </w:tcPr>
          <w:p>
            <w:pPr>
              <w:pStyle w:val="TableParagraph"/>
              <w:spacing w:line="240" w:lineRule="auto" w:before="46"/>
              <w:ind w:left="107"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w:t>
            </w:r>
          </w:p>
          <w:p>
            <w:pPr>
              <w:pStyle w:val="TableParagraph"/>
              <w:spacing w:line="240" w:lineRule="auto" w:before="62"/>
              <w:ind w:left="107" w:right="0"/>
              <w:jc w:val="left"/>
              <w:rPr>
                <w:rFonts w:ascii="Arial" w:hAnsi="Arial" w:cs="Arial" w:eastAsia="Arial" w:hint="default"/>
                <w:sz w:val="18"/>
                <w:szCs w:val="18"/>
              </w:rPr>
            </w:pPr>
            <w:r>
              <w:rPr>
                <w:rFonts w:ascii="Arial" w:hAnsi="Arial" w:cs="Arial" w:eastAsia="Arial" w:hint="default"/>
                <w:sz w:val="18"/>
                <w:szCs w:val="18"/>
              </w:rPr>
              <w:t>09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w:hAnsi="Arial" w:cs="Arial" w:eastAsia="Arial" w:hint="default"/>
                <w:sz w:val="18"/>
                <w:szCs w:val="18"/>
              </w:rPr>
              <w:t>21</w:t>
            </w:r>
          </w:p>
          <w:p>
            <w:pPr>
              <w:pStyle w:val="TableParagraph"/>
              <w:spacing w:line="240" w:lineRule="auto" w:before="65"/>
              <w:ind w:left="10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7"/>
              <w:jc w:val="right"/>
              <w:rPr>
                <w:rFonts w:ascii="Arial" w:hAnsi="Arial" w:cs="Arial" w:eastAsia="Arial" w:hint="default"/>
                <w:sz w:val="18"/>
                <w:szCs w:val="18"/>
              </w:rPr>
            </w:pPr>
            <w:r>
              <w:rPr>
                <w:rFonts w:ascii="Arial"/>
                <w:w w:val="95"/>
                <w:sz w:val="18"/>
              </w:rPr>
              <w:t>40,000</w:t>
            </w:r>
            <w:r>
              <w:rPr>
                <w:rFonts w:ascii="Arial"/>
                <w:sz w:val="18"/>
              </w:rPr>
            </w:r>
          </w:p>
        </w:tc>
        <w:tc>
          <w:tcPr>
            <w:tcW w:w="1313" w:type="dxa"/>
            <w:tcBorders>
              <w:top w:val="single" w:sz="4" w:space="0" w:color="5B9BD4"/>
              <w:left w:val="nil" w:sz="6" w:space="0" w:color="auto"/>
              <w:bottom w:val="single" w:sz="4" w:space="0" w:color="5B9BD4"/>
              <w:right w:val="nil" w:sz="6" w:space="0" w:color="auto"/>
            </w:tcBorders>
          </w:tcPr>
          <w:p>
            <w:pPr/>
          </w:p>
        </w:tc>
        <w:tc>
          <w:tcPr>
            <w:tcW w:w="1490" w:type="dxa"/>
            <w:gridSpan w:val="2"/>
            <w:tcBorders>
              <w:top w:val="single" w:sz="4" w:space="0" w:color="5B9BD4"/>
              <w:left w:val="nil" w:sz="6" w:space="0" w:color="auto"/>
              <w:bottom w:val="single" w:sz="4" w:space="0" w:color="5B9BD4"/>
              <w:right w:val="nil" w:sz="6" w:space="0" w:color="auto"/>
            </w:tcBorders>
            <w:shd w:val="clear" w:color="auto" w:fill="DEEAF6"/>
          </w:tcPr>
          <w:p>
            <w:pPr/>
          </w:p>
        </w:tc>
        <w:tc>
          <w:tcPr>
            <w:tcW w:w="851" w:type="dxa"/>
            <w:gridSpan w:val="2"/>
            <w:tcBorders>
              <w:top w:val="single" w:sz="4" w:space="0" w:color="5B9BD4"/>
              <w:left w:val="nil" w:sz="6" w:space="0" w:color="auto"/>
              <w:bottom w:val="single" w:sz="4" w:space="0" w:color="5B9BD4"/>
              <w:right w:val="nil" w:sz="6" w:space="0" w:color="auto"/>
            </w:tcBorders>
          </w:tcPr>
          <w:p>
            <w:pPr/>
          </w:p>
        </w:tc>
        <w:tc>
          <w:tcPr>
            <w:tcW w:w="802" w:type="dxa"/>
            <w:tcBorders>
              <w:top w:val="single" w:sz="4" w:space="0" w:color="5B9BD4"/>
              <w:left w:val="nil" w:sz="6" w:space="0" w:color="auto"/>
              <w:bottom w:val="single" w:sz="4" w:space="0" w:color="5B9BD4"/>
              <w:right w:val="nil" w:sz="6" w:space="0" w:color="auto"/>
            </w:tcBorders>
            <w:shd w:val="clear" w:color="auto" w:fill="DEEAF6"/>
          </w:tcPr>
          <w:p>
            <w:pPr/>
          </w:p>
        </w:tc>
        <w:tc>
          <w:tcPr>
            <w:tcW w:w="786" w:type="dxa"/>
            <w:tcBorders>
              <w:top w:val="single" w:sz="4" w:space="0" w:color="5B9BD4"/>
              <w:left w:val="nil" w:sz="6" w:space="0" w:color="auto"/>
              <w:bottom w:val="single" w:sz="4" w:space="0" w:color="5B9BD4"/>
              <w:right w:val="nil" w:sz="6" w:space="0" w:color="auto"/>
            </w:tcBorders>
          </w:tcPr>
          <w:p>
            <w:pPr/>
          </w:p>
        </w:tc>
        <w:tc>
          <w:tcPr>
            <w:tcW w:w="78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1962" w:hRule="exact"/>
        </w:trPr>
        <w:tc>
          <w:tcPr>
            <w:tcW w:w="170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6" w:lineRule="auto"/>
              <w:ind w:left="108" w:right="159"/>
              <w:jc w:val="left"/>
              <w:rPr>
                <w:rFonts w:ascii="宋体" w:hAnsi="宋体" w:cs="宋体" w:eastAsia="宋体" w:hint="default"/>
                <w:sz w:val="18"/>
                <w:szCs w:val="18"/>
              </w:rPr>
            </w:pPr>
            <w:r>
              <w:rPr>
                <w:rFonts w:ascii="宋体" w:hAnsi="宋体" w:cs="宋体" w:eastAsia="宋体" w:hint="default"/>
                <w:sz w:val="18"/>
                <w:szCs w:val="18"/>
              </w:rPr>
              <w:t>西藏酷爱通信有限 公司</w:t>
            </w:r>
          </w:p>
        </w:tc>
        <w:tc>
          <w:tcPr>
            <w:tcW w:w="920"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7"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w:t>
            </w:r>
          </w:p>
          <w:p>
            <w:pPr>
              <w:pStyle w:val="TableParagraph"/>
              <w:spacing w:line="240" w:lineRule="auto" w:before="62"/>
              <w:ind w:left="107" w:right="0"/>
              <w:jc w:val="left"/>
              <w:rPr>
                <w:rFonts w:ascii="Arial" w:hAnsi="Arial" w:cs="Arial" w:eastAsia="Arial" w:hint="default"/>
                <w:sz w:val="18"/>
                <w:szCs w:val="18"/>
              </w:rPr>
            </w:pPr>
            <w:r>
              <w:rPr>
                <w:rFonts w:ascii="Arial" w:hAnsi="Arial" w:cs="Arial" w:eastAsia="Arial" w:hint="default"/>
                <w:sz w:val="18"/>
                <w:szCs w:val="18"/>
              </w:rPr>
              <w:t>02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w:hAnsi="Arial" w:cs="Arial" w:eastAsia="Arial" w:hint="default"/>
                <w:sz w:val="18"/>
                <w:szCs w:val="18"/>
              </w:rPr>
              <w:t>13</w:t>
            </w:r>
          </w:p>
          <w:p>
            <w:pPr>
              <w:pStyle w:val="TableParagraph"/>
              <w:spacing w:line="240" w:lineRule="auto" w:before="65"/>
              <w:ind w:left="10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7"/>
              <w:jc w:val="right"/>
              <w:rPr>
                <w:rFonts w:ascii="Arial" w:hAnsi="Arial" w:cs="Arial" w:eastAsia="Arial" w:hint="default"/>
                <w:sz w:val="18"/>
                <w:szCs w:val="18"/>
              </w:rPr>
            </w:pPr>
            <w:r>
              <w:rPr>
                <w:rFonts w:ascii="Arial"/>
                <w:w w:val="95"/>
                <w:sz w:val="18"/>
              </w:rPr>
              <w:t>50,000</w:t>
            </w:r>
            <w:r>
              <w:rPr>
                <w:rFonts w:ascii="Arial"/>
                <w:sz w:val="18"/>
              </w:rPr>
            </w:r>
          </w:p>
        </w:tc>
        <w:tc>
          <w:tcPr>
            <w:tcW w:w="1313" w:type="dxa"/>
            <w:tcBorders>
              <w:top w:val="single" w:sz="4" w:space="0" w:color="5B9BD4"/>
              <w:left w:val="nil" w:sz="6" w:space="0" w:color="auto"/>
              <w:bottom w:val="single" w:sz="4" w:space="0" w:color="5B9BD4"/>
              <w:right w:val="nil" w:sz="6" w:space="0" w:color="auto"/>
            </w:tcBorders>
          </w:tcPr>
          <w:p>
            <w:pPr/>
          </w:p>
        </w:tc>
        <w:tc>
          <w:tcPr>
            <w:tcW w:w="1490"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33" w:right="0"/>
              <w:jc w:val="left"/>
              <w:rPr>
                <w:rFonts w:ascii="Arial" w:hAnsi="Arial" w:cs="Arial" w:eastAsia="Arial" w:hint="default"/>
                <w:sz w:val="18"/>
                <w:szCs w:val="18"/>
              </w:rPr>
            </w:pPr>
            <w:r>
              <w:rPr>
                <w:rFonts w:ascii="Arial"/>
                <w:sz w:val="18"/>
              </w:rPr>
              <w:t>50,000</w:t>
            </w:r>
          </w:p>
        </w:tc>
        <w:tc>
          <w:tcPr>
            <w:tcW w:w="851" w:type="dxa"/>
            <w:gridSpan w:val="2"/>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6" w:lineRule="auto"/>
              <w:ind w:left="106" w:right="202"/>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8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46"/>
              <w:ind w:left="107" w:right="151"/>
              <w:jc w:val="both"/>
              <w:rPr>
                <w:rFonts w:ascii="宋体" w:hAnsi="宋体" w:cs="宋体" w:eastAsia="宋体" w:hint="default"/>
                <w:sz w:val="18"/>
                <w:szCs w:val="18"/>
              </w:rPr>
            </w:pPr>
            <w:r>
              <w:rPr>
                <w:rFonts w:ascii="宋体" w:hAnsi="宋体" w:cs="宋体" w:eastAsia="宋体" w:hint="default"/>
                <w:sz w:val="18"/>
                <w:szCs w:val="18"/>
              </w:rPr>
              <w:t>采购合 同项下 的最后 付款到 期日三 年</w:t>
            </w:r>
          </w:p>
        </w:tc>
        <w:tc>
          <w:tcPr>
            <w:tcW w:w="786"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62" w:hRule="exact"/>
        </w:trPr>
        <w:tc>
          <w:tcPr>
            <w:tcW w:w="170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6" w:lineRule="auto"/>
              <w:ind w:left="108" w:right="159"/>
              <w:jc w:val="left"/>
              <w:rPr>
                <w:rFonts w:ascii="宋体" w:hAnsi="宋体" w:cs="宋体" w:eastAsia="宋体" w:hint="default"/>
                <w:sz w:val="18"/>
                <w:szCs w:val="18"/>
              </w:rPr>
            </w:pPr>
            <w:r>
              <w:rPr>
                <w:rFonts w:ascii="宋体" w:hAnsi="宋体" w:cs="宋体" w:eastAsia="宋体" w:hint="default"/>
                <w:sz w:val="18"/>
                <w:szCs w:val="18"/>
              </w:rPr>
              <w:t>西藏酷爱通信有限 公司</w:t>
            </w:r>
          </w:p>
        </w:tc>
        <w:tc>
          <w:tcPr>
            <w:tcW w:w="920"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7"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w:t>
            </w:r>
          </w:p>
          <w:p>
            <w:pPr>
              <w:pStyle w:val="TableParagraph"/>
              <w:spacing w:line="240" w:lineRule="auto" w:before="62"/>
              <w:ind w:left="107" w:right="0"/>
              <w:jc w:val="left"/>
              <w:rPr>
                <w:rFonts w:ascii="Arial" w:hAnsi="Arial" w:cs="Arial" w:eastAsia="Arial" w:hint="default"/>
                <w:sz w:val="18"/>
                <w:szCs w:val="18"/>
              </w:rPr>
            </w:pPr>
            <w:r>
              <w:rPr>
                <w:rFonts w:ascii="Arial" w:hAnsi="Arial" w:cs="Arial" w:eastAsia="Arial" w:hint="default"/>
                <w:sz w:val="18"/>
                <w:szCs w:val="18"/>
              </w:rPr>
              <w:t>09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w:hAnsi="Arial" w:cs="Arial" w:eastAsia="Arial" w:hint="default"/>
                <w:sz w:val="18"/>
                <w:szCs w:val="18"/>
              </w:rPr>
              <w:t>21</w:t>
            </w:r>
          </w:p>
          <w:p>
            <w:pPr>
              <w:pStyle w:val="TableParagraph"/>
              <w:spacing w:line="240" w:lineRule="auto" w:before="65"/>
              <w:ind w:left="10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7"/>
              <w:jc w:val="right"/>
              <w:rPr>
                <w:rFonts w:ascii="Arial" w:hAnsi="Arial" w:cs="Arial" w:eastAsia="Arial" w:hint="default"/>
                <w:sz w:val="18"/>
                <w:szCs w:val="18"/>
              </w:rPr>
            </w:pPr>
            <w:r>
              <w:rPr>
                <w:rFonts w:ascii="Arial"/>
                <w:w w:val="95"/>
                <w:sz w:val="18"/>
              </w:rPr>
              <w:t>50,000</w:t>
            </w:r>
            <w:r>
              <w:rPr>
                <w:rFonts w:ascii="Arial"/>
                <w:sz w:val="18"/>
              </w:rPr>
            </w:r>
          </w:p>
        </w:tc>
        <w:tc>
          <w:tcPr>
            <w:tcW w:w="1313" w:type="dxa"/>
            <w:tcBorders>
              <w:top w:val="single" w:sz="4" w:space="0" w:color="5B9BD4"/>
              <w:left w:val="nil" w:sz="6" w:space="0" w:color="auto"/>
              <w:bottom w:val="single" w:sz="4" w:space="0" w:color="5B9BD4"/>
              <w:right w:val="nil" w:sz="6" w:space="0" w:color="auto"/>
            </w:tcBorders>
          </w:tcPr>
          <w:p>
            <w:pPr/>
          </w:p>
        </w:tc>
        <w:tc>
          <w:tcPr>
            <w:tcW w:w="1490"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33" w:right="0"/>
              <w:jc w:val="left"/>
              <w:rPr>
                <w:rFonts w:ascii="Arial" w:hAnsi="Arial" w:cs="Arial" w:eastAsia="Arial" w:hint="default"/>
                <w:sz w:val="18"/>
                <w:szCs w:val="18"/>
              </w:rPr>
            </w:pPr>
            <w:r>
              <w:rPr>
                <w:rFonts w:ascii="Arial"/>
                <w:sz w:val="18"/>
              </w:rPr>
              <w:t>50,000</w:t>
            </w:r>
          </w:p>
        </w:tc>
        <w:tc>
          <w:tcPr>
            <w:tcW w:w="851" w:type="dxa"/>
            <w:gridSpan w:val="2"/>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6" w:lineRule="auto"/>
              <w:ind w:left="106" w:right="202"/>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8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46"/>
              <w:ind w:left="107" w:right="151"/>
              <w:jc w:val="both"/>
              <w:rPr>
                <w:rFonts w:ascii="宋体" w:hAnsi="宋体" w:cs="宋体" w:eastAsia="宋体" w:hint="default"/>
                <w:sz w:val="18"/>
                <w:szCs w:val="18"/>
              </w:rPr>
            </w:pPr>
            <w:r>
              <w:rPr>
                <w:rFonts w:ascii="宋体" w:hAnsi="宋体" w:cs="宋体" w:eastAsia="宋体" w:hint="default"/>
                <w:sz w:val="18"/>
                <w:szCs w:val="18"/>
              </w:rPr>
              <w:t>采购合 同项下 的最后 付款到 期日三 年</w:t>
            </w:r>
          </w:p>
        </w:tc>
        <w:tc>
          <w:tcPr>
            <w:tcW w:w="786"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46"/>
              <w:ind w:left="108" w:right="159"/>
              <w:jc w:val="left"/>
              <w:rPr>
                <w:rFonts w:ascii="宋体" w:hAnsi="宋体" w:cs="宋体" w:eastAsia="宋体" w:hint="default"/>
                <w:sz w:val="18"/>
                <w:szCs w:val="18"/>
              </w:rPr>
            </w:pPr>
            <w:r>
              <w:rPr>
                <w:rFonts w:ascii="宋体" w:hAnsi="宋体" w:cs="宋体" w:eastAsia="宋体" w:hint="default"/>
                <w:sz w:val="18"/>
                <w:szCs w:val="18"/>
              </w:rPr>
              <w:t>爱施德（香港）有 限公司</w:t>
            </w:r>
          </w:p>
        </w:tc>
        <w:tc>
          <w:tcPr>
            <w:tcW w:w="920"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w:t>
            </w:r>
          </w:p>
          <w:p>
            <w:pPr>
              <w:pStyle w:val="TableParagraph"/>
              <w:spacing w:line="240" w:lineRule="auto" w:before="63"/>
              <w:ind w:left="1" w:right="0"/>
              <w:jc w:val="center"/>
              <w:rPr>
                <w:rFonts w:ascii="Arial" w:hAnsi="Arial" w:cs="Arial" w:eastAsia="Arial" w:hint="default"/>
                <w:sz w:val="18"/>
                <w:szCs w:val="18"/>
              </w:rPr>
            </w:pPr>
            <w:r>
              <w:rPr>
                <w:rFonts w:ascii="Arial" w:hAnsi="Arial" w:cs="Arial" w:eastAsia="Arial" w:hint="default"/>
                <w:sz w:val="18"/>
                <w:szCs w:val="18"/>
              </w:rPr>
              <w:t>02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w:hAnsi="Arial" w:cs="Arial" w:eastAsia="Arial" w:hint="default"/>
                <w:sz w:val="18"/>
                <w:szCs w:val="18"/>
              </w:rPr>
              <w:t>13</w:t>
            </w:r>
          </w:p>
          <w:p>
            <w:pPr>
              <w:pStyle w:val="TableParagraph"/>
              <w:spacing w:line="240" w:lineRule="auto" w:before="65"/>
              <w:ind w:left="1"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914"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33" w:right="0"/>
              <w:jc w:val="left"/>
              <w:rPr>
                <w:rFonts w:ascii="Arial" w:hAnsi="Arial" w:cs="Arial" w:eastAsia="Arial" w:hint="default"/>
                <w:sz w:val="18"/>
                <w:szCs w:val="18"/>
              </w:rPr>
            </w:pPr>
            <w:r>
              <w:rPr>
                <w:rFonts w:ascii="Arial"/>
                <w:sz w:val="18"/>
              </w:rPr>
              <w:t>180,000</w:t>
            </w:r>
          </w:p>
        </w:tc>
        <w:tc>
          <w:tcPr>
            <w:tcW w:w="1313" w:type="dxa"/>
            <w:tcBorders>
              <w:top w:val="single" w:sz="4" w:space="0" w:color="5B9BD4"/>
              <w:left w:val="nil" w:sz="6" w:space="0" w:color="auto"/>
              <w:bottom w:val="single" w:sz="4" w:space="0" w:color="5B9BD4"/>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06</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8" w:right="0"/>
              <w:jc w:val="left"/>
              <w:rPr>
                <w:rFonts w:ascii="宋体" w:hAnsi="宋体" w:cs="宋体" w:eastAsia="宋体" w:hint="default"/>
                <w:sz w:val="18"/>
                <w:szCs w:val="18"/>
              </w:rPr>
            </w:pPr>
            <w:r>
              <w:rPr>
                <w:rFonts w:ascii="Arial" w:hAnsi="Arial" w:cs="Arial" w:eastAsia="Arial" w:hint="default"/>
                <w:sz w:val="18"/>
                <w:szCs w:val="18"/>
              </w:rPr>
              <w:t>20</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90"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833" w:right="0"/>
              <w:jc w:val="left"/>
              <w:rPr>
                <w:rFonts w:ascii="Arial" w:hAnsi="Arial" w:cs="Arial" w:eastAsia="Arial" w:hint="default"/>
                <w:sz w:val="18"/>
                <w:szCs w:val="18"/>
              </w:rPr>
            </w:pPr>
            <w:r>
              <w:rPr>
                <w:rFonts w:ascii="Arial"/>
                <w:sz w:val="18"/>
              </w:rPr>
              <w:t>25,500</w:t>
            </w:r>
          </w:p>
        </w:tc>
        <w:tc>
          <w:tcPr>
            <w:tcW w:w="851" w:type="dxa"/>
            <w:gridSpan w:val="2"/>
            <w:tcBorders>
              <w:top w:val="single" w:sz="4" w:space="0" w:color="5B9BD4"/>
              <w:left w:val="nil" w:sz="6" w:space="0" w:color="auto"/>
              <w:bottom w:val="single" w:sz="4" w:space="0" w:color="5B9BD4"/>
              <w:right w:val="nil" w:sz="6" w:space="0" w:color="auto"/>
            </w:tcBorders>
          </w:tcPr>
          <w:p>
            <w:pPr>
              <w:pStyle w:val="TableParagraph"/>
              <w:spacing w:line="316" w:lineRule="auto" w:before="46"/>
              <w:ind w:left="106" w:right="202"/>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8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86"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46"/>
              <w:ind w:left="108" w:right="159"/>
              <w:jc w:val="left"/>
              <w:rPr>
                <w:rFonts w:ascii="宋体" w:hAnsi="宋体" w:cs="宋体" w:eastAsia="宋体" w:hint="default"/>
                <w:sz w:val="18"/>
                <w:szCs w:val="18"/>
              </w:rPr>
            </w:pPr>
            <w:r>
              <w:rPr>
                <w:rFonts w:ascii="宋体" w:hAnsi="宋体" w:cs="宋体" w:eastAsia="宋体" w:hint="default"/>
                <w:sz w:val="18"/>
                <w:szCs w:val="18"/>
              </w:rPr>
              <w:t>爱施德（香港）有 限公司</w:t>
            </w:r>
          </w:p>
        </w:tc>
        <w:tc>
          <w:tcPr>
            <w:tcW w:w="920" w:type="dxa"/>
            <w:vMerge/>
            <w:tcBorders>
              <w:left w:val="nil" w:sz="6" w:space="0" w:color="auto"/>
              <w:right w:val="nil" w:sz="6" w:space="0" w:color="auto"/>
            </w:tcBorders>
          </w:tcPr>
          <w:p>
            <w:pPr/>
          </w:p>
        </w:tc>
        <w:tc>
          <w:tcPr>
            <w:tcW w:w="914" w:type="dxa"/>
            <w:vMerge/>
            <w:tcBorders>
              <w:left w:val="nil" w:sz="6" w:space="0" w:color="auto"/>
              <w:right w:val="nil" w:sz="6" w:space="0" w:color="auto"/>
            </w:tcBorders>
            <w:shd w:val="clear" w:color="auto" w:fill="DEEAF6"/>
          </w:tcPr>
          <w:p>
            <w:pPr/>
          </w:p>
        </w:tc>
        <w:tc>
          <w:tcPr>
            <w:tcW w:w="1313" w:type="dxa"/>
            <w:tcBorders>
              <w:top w:val="single" w:sz="4" w:space="0" w:color="5B9BD4"/>
              <w:left w:val="nil" w:sz="6" w:space="0" w:color="auto"/>
              <w:bottom w:val="single" w:sz="4" w:space="0" w:color="5B9BD4"/>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07</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8" w:right="0"/>
              <w:jc w:val="left"/>
              <w:rPr>
                <w:rFonts w:ascii="宋体" w:hAnsi="宋体" w:cs="宋体" w:eastAsia="宋体" w:hint="default"/>
                <w:sz w:val="18"/>
                <w:szCs w:val="18"/>
              </w:rPr>
            </w:pPr>
            <w:r>
              <w:rPr>
                <w:rFonts w:ascii="Arial" w:hAnsi="Arial" w:cs="Arial" w:eastAsia="Arial" w:hint="default"/>
                <w:sz w:val="18"/>
                <w:szCs w:val="18"/>
              </w:rPr>
              <w:t>09</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90"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833" w:right="0"/>
              <w:jc w:val="left"/>
              <w:rPr>
                <w:rFonts w:ascii="Arial" w:hAnsi="Arial" w:cs="Arial" w:eastAsia="Arial" w:hint="default"/>
                <w:sz w:val="18"/>
                <w:szCs w:val="18"/>
              </w:rPr>
            </w:pPr>
            <w:r>
              <w:rPr>
                <w:rFonts w:ascii="Arial"/>
                <w:sz w:val="18"/>
              </w:rPr>
              <w:t>20,000</w:t>
            </w:r>
          </w:p>
        </w:tc>
        <w:tc>
          <w:tcPr>
            <w:tcW w:w="851" w:type="dxa"/>
            <w:gridSpan w:val="2"/>
            <w:tcBorders>
              <w:top w:val="single" w:sz="4" w:space="0" w:color="5B9BD4"/>
              <w:left w:val="nil" w:sz="6" w:space="0" w:color="auto"/>
              <w:bottom w:val="single" w:sz="4" w:space="0" w:color="5B9BD4"/>
              <w:right w:val="nil" w:sz="6" w:space="0" w:color="auto"/>
            </w:tcBorders>
          </w:tcPr>
          <w:p>
            <w:pPr>
              <w:pStyle w:val="TableParagraph"/>
              <w:spacing w:line="316" w:lineRule="auto" w:before="46"/>
              <w:ind w:left="106" w:right="202"/>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8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86"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47"/>
              <w:ind w:left="108" w:right="159"/>
              <w:jc w:val="left"/>
              <w:rPr>
                <w:rFonts w:ascii="宋体" w:hAnsi="宋体" w:cs="宋体" w:eastAsia="宋体" w:hint="default"/>
                <w:sz w:val="18"/>
                <w:szCs w:val="18"/>
              </w:rPr>
            </w:pPr>
            <w:r>
              <w:rPr>
                <w:rFonts w:ascii="宋体" w:hAnsi="宋体" w:cs="宋体" w:eastAsia="宋体" w:hint="default"/>
                <w:sz w:val="18"/>
                <w:szCs w:val="18"/>
              </w:rPr>
              <w:t>爱施德（香港）有 限公司</w:t>
            </w:r>
          </w:p>
        </w:tc>
        <w:tc>
          <w:tcPr>
            <w:tcW w:w="920" w:type="dxa"/>
            <w:vMerge/>
            <w:tcBorders>
              <w:left w:val="nil" w:sz="6" w:space="0" w:color="auto"/>
              <w:right w:val="nil" w:sz="6" w:space="0" w:color="auto"/>
            </w:tcBorders>
          </w:tcPr>
          <w:p>
            <w:pPr/>
          </w:p>
        </w:tc>
        <w:tc>
          <w:tcPr>
            <w:tcW w:w="914" w:type="dxa"/>
            <w:vMerge/>
            <w:tcBorders>
              <w:left w:val="nil" w:sz="6" w:space="0" w:color="auto"/>
              <w:right w:val="nil" w:sz="6" w:space="0" w:color="auto"/>
            </w:tcBorders>
            <w:shd w:val="clear" w:color="auto" w:fill="DEEAF6"/>
          </w:tcPr>
          <w:p>
            <w:pPr/>
          </w:p>
        </w:tc>
        <w:tc>
          <w:tcPr>
            <w:tcW w:w="1313"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08"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09</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8" w:right="0"/>
              <w:jc w:val="left"/>
              <w:rPr>
                <w:rFonts w:ascii="宋体" w:hAnsi="宋体" w:cs="宋体" w:eastAsia="宋体" w:hint="default"/>
                <w:sz w:val="18"/>
                <w:szCs w:val="18"/>
              </w:rPr>
            </w:pPr>
            <w:r>
              <w:rPr>
                <w:rFonts w:ascii="Arial" w:hAnsi="Arial" w:cs="Arial" w:eastAsia="Arial" w:hint="default"/>
                <w:sz w:val="18"/>
                <w:szCs w:val="18"/>
              </w:rPr>
              <w:t>30</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90"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833" w:right="0"/>
              <w:jc w:val="left"/>
              <w:rPr>
                <w:rFonts w:ascii="Arial" w:hAnsi="Arial" w:cs="Arial" w:eastAsia="Arial" w:hint="default"/>
                <w:sz w:val="18"/>
                <w:szCs w:val="18"/>
              </w:rPr>
            </w:pPr>
            <w:r>
              <w:rPr>
                <w:rFonts w:ascii="Arial"/>
                <w:sz w:val="18"/>
              </w:rPr>
              <w:t>50,000</w:t>
            </w:r>
          </w:p>
        </w:tc>
        <w:tc>
          <w:tcPr>
            <w:tcW w:w="851" w:type="dxa"/>
            <w:gridSpan w:val="2"/>
            <w:tcBorders>
              <w:top w:val="single" w:sz="4" w:space="0" w:color="5B9BD4"/>
              <w:left w:val="nil" w:sz="6" w:space="0" w:color="auto"/>
              <w:bottom w:val="single" w:sz="4" w:space="0" w:color="5B9BD4"/>
              <w:right w:val="nil" w:sz="6" w:space="0" w:color="auto"/>
            </w:tcBorders>
          </w:tcPr>
          <w:p>
            <w:pPr>
              <w:pStyle w:val="TableParagraph"/>
              <w:spacing w:line="316" w:lineRule="auto" w:before="47"/>
              <w:ind w:left="106" w:right="202"/>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8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86"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46"/>
              <w:ind w:left="108" w:right="159"/>
              <w:jc w:val="left"/>
              <w:rPr>
                <w:rFonts w:ascii="宋体" w:hAnsi="宋体" w:cs="宋体" w:eastAsia="宋体" w:hint="default"/>
                <w:sz w:val="18"/>
                <w:szCs w:val="18"/>
              </w:rPr>
            </w:pPr>
            <w:r>
              <w:rPr>
                <w:rFonts w:ascii="宋体" w:hAnsi="宋体" w:cs="宋体" w:eastAsia="宋体" w:hint="default"/>
                <w:sz w:val="18"/>
                <w:szCs w:val="18"/>
              </w:rPr>
              <w:t>爱施德（香港）有 限公司</w:t>
            </w:r>
          </w:p>
        </w:tc>
        <w:tc>
          <w:tcPr>
            <w:tcW w:w="920" w:type="dxa"/>
            <w:vMerge/>
            <w:tcBorders>
              <w:left w:val="nil" w:sz="6" w:space="0" w:color="auto"/>
              <w:bottom w:val="single" w:sz="4" w:space="0" w:color="5B9BD4"/>
              <w:right w:val="nil" w:sz="6" w:space="0" w:color="auto"/>
            </w:tcBorders>
          </w:tcPr>
          <w:p>
            <w:pPr/>
          </w:p>
        </w:tc>
        <w:tc>
          <w:tcPr>
            <w:tcW w:w="914" w:type="dxa"/>
            <w:vMerge/>
            <w:tcBorders>
              <w:left w:val="nil" w:sz="6" w:space="0" w:color="auto"/>
              <w:bottom w:val="single" w:sz="4" w:space="0" w:color="5B9BD4"/>
              <w:right w:val="nil" w:sz="6" w:space="0" w:color="auto"/>
            </w:tcBorders>
            <w:shd w:val="clear" w:color="auto" w:fill="DEEAF6"/>
          </w:tcPr>
          <w:p>
            <w:pPr/>
          </w:p>
        </w:tc>
        <w:tc>
          <w:tcPr>
            <w:tcW w:w="1313" w:type="dxa"/>
            <w:tcBorders>
              <w:top w:val="single" w:sz="4" w:space="0" w:color="5B9BD4"/>
              <w:left w:val="nil" w:sz="6" w:space="0" w:color="auto"/>
              <w:bottom w:val="single" w:sz="4" w:space="0" w:color="5B9BD4"/>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8" w:right="0"/>
              <w:jc w:val="left"/>
              <w:rPr>
                <w:rFonts w:ascii="宋体" w:hAnsi="宋体" w:cs="宋体" w:eastAsia="宋体" w:hint="default"/>
                <w:sz w:val="18"/>
                <w:szCs w:val="18"/>
              </w:rPr>
            </w:pPr>
            <w:r>
              <w:rPr>
                <w:rFonts w:ascii="Arial" w:hAnsi="Arial" w:cs="Arial" w:eastAsia="Arial" w:hint="default"/>
                <w:sz w:val="18"/>
                <w:szCs w:val="18"/>
              </w:rPr>
              <w:t>28</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90"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833" w:right="0"/>
              <w:jc w:val="left"/>
              <w:rPr>
                <w:rFonts w:ascii="Arial" w:hAnsi="Arial" w:cs="Arial" w:eastAsia="Arial" w:hint="default"/>
                <w:sz w:val="18"/>
                <w:szCs w:val="18"/>
              </w:rPr>
            </w:pPr>
            <w:r>
              <w:rPr>
                <w:rFonts w:ascii="Arial"/>
                <w:sz w:val="18"/>
              </w:rPr>
              <w:t>35,700</w:t>
            </w:r>
          </w:p>
        </w:tc>
        <w:tc>
          <w:tcPr>
            <w:tcW w:w="851" w:type="dxa"/>
            <w:gridSpan w:val="2"/>
            <w:tcBorders>
              <w:top w:val="single" w:sz="4" w:space="0" w:color="5B9BD4"/>
              <w:left w:val="nil" w:sz="6" w:space="0" w:color="auto"/>
              <w:bottom w:val="single" w:sz="4" w:space="0" w:color="5B9BD4"/>
              <w:right w:val="nil" w:sz="6" w:space="0" w:color="auto"/>
            </w:tcBorders>
          </w:tcPr>
          <w:p>
            <w:pPr>
              <w:pStyle w:val="TableParagraph"/>
              <w:spacing w:line="316" w:lineRule="auto" w:before="46"/>
              <w:ind w:left="106" w:right="202"/>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8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86"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6" w:lineRule="auto"/>
              <w:ind w:left="108" w:right="159"/>
              <w:jc w:val="left"/>
              <w:rPr>
                <w:rFonts w:ascii="宋体" w:hAnsi="宋体" w:cs="宋体" w:eastAsia="宋体" w:hint="default"/>
                <w:sz w:val="18"/>
                <w:szCs w:val="18"/>
              </w:rPr>
            </w:pPr>
            <w:r>
              <w:rPr>
                <w:rFonts w:ascii="宋体" w:hAnsi="宋体" w:cs="宋体" w:eastAsia="宋体" w:hint="default"/>
                <w:sz w:val="18"/>
                <w:szCs w:val="18"/>
              </w:rPr>
              <w:t>深圳市彩梦科技有 限公司</w:t>
            </w:r>
          </w:p>
        </w:tc>
        <w:tc>
          <w:tcPr>
            <w:tcW w:w="920" w:type="dxa"/>
            <w:tcBorders>
              <w:top w:val="single" w:sz="4" w:space="0" w:color="5B9BD4"/>
              <w:left w:val="nil" w:sz="6" w:space="0" w:color="auto"/>
              <w:bottom w:val="single" w:sz="4" w:space="0" w:color="5B9BD4"/>
              <w:right w:val="nil" w:sz="6" w:space="0" w:color="auto"/>
            </w:tcBorders>
          </w:tcPr>
          <w:p>
            <w:pPr>
              <w:pStyle w:val="TableParagraph"/>
              <w:spacing w:line="240" w:lineRule="auto" w:before="46"/>
              <w:ind w:left="107"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w:t>
            </w:r>
          </w:p>
          <w:p>
            <w:pPr>
              <w:pStyle w:val="TableParagraph"/>
              <w:spacing w:line="240" w:lineRule="auto" w:before="62"/>
              <w:ind w:left="107" w:right="0"/>
              <w:jc w:val="left"/>
              <w:rPr>
                <w:rFonts w:ascii="Arial" w:hAnsi="Arial" w:cs="Arial" w:eastAsia="Arial" w:hint="default"/>
                <w:sz w:val="18"/>
                <w:szCs w:val="18"/>
              </w:rPr>
            </w:pPr>
            <w:r>
              <w:rPr>
                <w:rFonts w:ascii="Arial" w:hAnsi="Arial" w:cs="Arial" w:eastAsia="Arial" w:hint="default"/>
                <w:sz w:val="18"/>
                <w:szCs w:val="18"/>
              </w:rPr>
              <w:t>02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w:hAnsi="Arial" w:cs="Arial" w:eastAsia="Arial" w:hint="default"/>
                <w:sz w:val="18"/>
                <w:szCs w:val="18"/>
              </w:rPr>
              <w:t>13</w:t>
            </w:r>
          </w:p>
          <w:p>
            <w:pPr>
              <w:pStyle w:val="TableParagraph"/>
              <w:spacing w:line="240" w:lineRule="auto" w:before="65"/>
              <w:ind w:left="10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7"/>
              <w:jc w:val="right"/>
              <w:rPr>
                <w:rFonts w:ascii="Arial" w:hAnsi="Arial" w:cs="Arial" w:eastAsia="Arial" w:hint="default"/>
                <w:sz w:val="18"/>
                <w:szCs w:val="18"/>
              </w:rPr>
            </w:pPr>
            <w:r>
              <w:rPr>
                <w:rFonts w:ascii="Arial"/>
                <w:w w:val="95"/>
                <w:sz w:val="18"/>
              </w:rPr>
              <w:t>5,000</w:t>
            </w:r>
            <w:r>
              <w:rPr>
                <w:rFonts w:ascii="Arial"/>
                <w:sz w:val="18"/>
              </w:rPr>
            </w:r>
          </w:p>
        </w:tc>
        <w:tc>
          <w:tcPr>
            <w:tcW w:w="1313" w:type="dxa"/>
            <w:tcBorders>
              <w:top w:val="single" w:sz="4" w:space="0" w:color="5B9BD4"/>
              <w:left w:val="nil" w:sz="6" w:space="0" w:color="auto"/>
              <w:bottom w:val="single" w:sz="4" w:space="0" w:color="5B9BD4"/>
              <w:right w:val="nil" w:sz="6" w:space="0" w:color="auto"/>
            </w:tcBorders>
          </w:tcPr>
          <w:p>
            <w:pPr/>
          </w:p>
        </w:tc>
        <w:tc>
          <w:tcPr>
            <w:tcW w:w="1490" w:type="dxa"/>
            <w:gridSpan w:val="2"/>
            <w:tcBorders>
              <w:top w:val="single" w:sz="4" w:space="0" w:color="5B9BD4"/>
              <w:left w:val="nil" w:sz="6" w:space="0" w:color="auto"/>
              <w:bottom w:val="single" w:sz="4" w:space="0" w:color="5B9BD4"/>
              <w:right w:val="nil" w:sz="6" w:space="0" w:color="auto"/>
            </w:tcBorders>
            <w:shd w:val="clear" w:color="auto" w:fill="DEEAF6"/>
          </w:tcPr>
          <w:p>
            <w:pPr/>
          </w:p>
        </w:tc>
        <w:tc>
          <w:tcPr>
            <w:tcW w:w="851" w:type="dxa"/>
            <w:gridSpan w:val="2"/>
            <w:tcBorders>
              <w:top w:val="single" w:sz="4" w:space="0" w:color="5B9BD4"/>
              <w:left w:val="nil" w:sz="6" w:space="0" w:color="auto"/>
              <w:bottom w:val="single" w:sz="4" w:space="0" w:color="5B9BD4"/>
              <w:right w:val="nil" w:sz="6" w:space="0" w:color="auto"/>
            </w:tcBorders>
          </w:tcPr>
          <w:p>
            <w:pPr/>
          </w:p>
        </w:tc>
        <w:tc>
          <w:tcPr>
            <w:tcW w:w="802" w:type="dxa"/>
            <w:tcBorders>
              <w:top w:val="single" w:sz="4" w:space="0" w:color="5B9BD4"/>
              <w:left w:val="nil" w:sz="6" w:space="0" w:color="auto"/>
              <w:bottom w:val="single" w:sz="4" w:space="0" w:color="5B9BD4"/>
              <w:right w:val="nil" w:sz="6" w:space="0" w:color="auto"/>
            </w:tcBorders>
            <w:shd w:val="clear" w:color="auto" w:fill="DEEAF6"/>
          </w:tcPr>
          <w:p>
            <w:pPr/>
          </w:p>
        </w:tc>
        <w:tc>
          <w:tcPr>
            <w:tcW w:w="786" w:type="dxa"/>
            <w:tcBorders>
              <w:top w:val="single" w:sz="4" w:space="0" w:color="5B9BD4"/>
              <w:left w:val="nil" w:sz="6" w:space="0" w:color="auto"/>
              <w:bottom w:val="single" w:sz="4" w:space="0" w:color="5B9BD4"/>
              <w:right w:val="nil" w:sz="6" w:space="0" w:color="auto"/>
            </w:tcBorders>
          </w:tcPr>
          <w:p>
            <w:pPr/>
          </w:p>
        </w:tc>
        <w:tc>
          <w:tcPr>
            <w:tcW w:w="78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1026" w:hRule="exact"/>
        </w:trPr>
        <w:tc>
          <w:tcPr>
            <w:tcW w:w="170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6" w:lineRule="auto"/>
              <w:ind w:left="108" w:right="159"/>
              <w:jc w:val="left"/>
              <w:rPr>
                <w:rFonts w:ascii="宋体" w:hAnsi="宋体" w:cs="宋体" w:eastAsia="宋体" w:hint="default"/>
                <w:sz w:val="18"/>
                <w:szCs w:val="18"/>
              </w:rPr>
            </w:pPr>
            <w:r>
              <w:rPr>
                <w:rFonts w:ascii="宋体" w:hAnsi="宋体" w:cs="宋体" w:eastAsia="宋体" w:hint="default"/>
                <w:sz w:val="18"/>
                <w:szCs w:val="18"/>
              </w:rPr>
              <w:t>深圳市彩梦科技有 限公司</w:t>
            </w:r>
          </w:p>
        </w:tc>
        <w:tc>
          <w:tcPr>
            <w:tcW w:w="920" w:type="dxa"/>
            <w:tcBorders>
              <w:top w:val="single" w:sz="4" w:space="0" w:color="5B9BD4"/>
              <w:left w:val="nil" w:sz="6" w:space="0" w:color="auto"/>
              <w:bottom w:val="single" w:sz="4" w:space="0" w:color="5B9BD4"/>
              <w:right w:val="nil" w:sz="6" w:space="0" w:color="auto"/>
            </w:tcBorders>
          </w:tcPr>
          <w:p>
            <w:pPr>
              <w:pStyle w:val="TableParagraph"/>
              <w:spacing w:line="240" w:lineRule="auto" w:before="46"/>
              <w:ind w:left="107"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w:t>
            </w:r>
          </w:p>
          <w:p>
            <w:pPr>
              <w:pStyle w:val="TableParagraph"/>
              <w:spacing w:line="240" w:lineRule="auto" w:before="62"/>
              <w:ind w:left="107" w:right="0"/>
              <w:jc w:val="left"/>
              <w:rPr>
                <w:rFonts w:ascii="Arial" w:hAnsi="Arial" w:cs="Arial" w:eastAsia="Arial" w:hint="default"/>
                <w:sz w:val="18"/>
                <w:szCs w:val="18"/>
              </w:rPr>
            </w:pPr>
            <w:r>
              <w:rPr>
                <w:rFonts w:ascii="Arial" w:hAnsi="Arial" w:cs="Arial" w:eastAsia="Arial" w:hint="default"/>
                <w:sz w:val="18"/>
                <w:szCs w:val="18"/>
              </w:rPr>
              <w:t>02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w:hAnsi="Arial" w:cs="Arial" w:eastAsia="Arial" w:hint="default"/>
                <w:sz w:val="18"/>
                <w:szCs w:val="18"/>
              </w:rPr>
              <w:t>13</w:t>
            </w:r>
          </w:p>
          <w:p>
            <w:pPr>
              <w:pStyle w:val="TableParagraph"/>
              <w:spacing w:line="240" w:lineRule="auto" w:before="65"/>
              <w:ind w:left="10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7"/>
              <w:jc w:val="right"/>
              <w:rPr>
                <w:rFonts w:ascii="Arial" w:hAnsi="Arial" w:cs="Arial" w:eastAsia="Arial" w:hint="default"/>
                <w:sz w:val="18"/>
                <w:szCs w:val="18"/>
              </w:rPr>
            </w:pPr>
            <w:r>
              <w:rPr>
                <w:rFonts w:ascii="Arial"/>
                <w:w w:val="95"/>
                <w:sz w:val="18"/>
              </w:rPr>
              <w:t>2,000</w:t>
            </w:r>
            <w:r>
              <w:rPr>
                <w:rFonts w:ascii="Arial"/>
                <w:sz w:val="18"/>
              </w:rPr>
            </w:r>
          </w:p>
        </w:tc>
        <w:tc>
          <w:tcPr>
            <w:tcW w:w="1313" w:type="dxa"/>
            <w:tcBorders>
              <w:top w:val="single" w:sz="4" w:space="0" w:color="5B9BD4"/>
              <w:left w:val="nil" w:sz="6" w:space="0" w:color="auto"/>
              <w:bottom w:val="single" w:sz="4" w:space="0" w:color="5B9BD4"/>
              <w:right w:val="nil" w:sz="6" w:space="0" w:color="auto"/>
            </w:tcBorders>
          </w:tcPr>
          <w:p>
            <w:pPr/>
          </w:p>
        </w:tc>
        <w:tc>
          <w:tcPr>
            <w:tcW w:w="1490" w:type="dxa"/>
            <w:gridSpan w:val="2"/>
            <w:tcBorders>
              <w:top w:val="single" w:sz="4" w:space="0" w:color="5B9BD4"/>
              <w:left w:val="nil" w:sz="6" w:space="0" w:color="auto"/>
              <w:bottom w:val="single" w:sz="4" w:space="0" w:color="5B9BD4"/>
              <w:right w:val="nil" w:sz="6" w:space="0" w:color="auto"/>
            </w:tcBorders>
            <w:shd w:val="clear" w:color="auto" w:fill="DEEAF6"/>
          </w:tcPr>
          <w:p>
            <w:pPr/>
          </w:p>
        </w:tc>
        <w:tc>
          <w:tcPr>
            <w:tcW w:w="851" w:type="dxa"/>
            <w:gridSpan w:val="2"/>
            <w:tcBorders>
              <w:top w:val="single" w:sz="4" w:space="0" w:color="5B9BD4"/>
              <w:left w:val="nil" w:sz="6" w:space="0" w:color="auto"/>
              <w:bottom w:val="single" w:sz="4" w:space="0" w:color="5B9BD4"/>
              <w:right w:val="nil" w:sz="6" w:space="0" w:color="auto"/>
            </w:tcBorders>
          </w:tcPr>
          <w:p>
            <w:pPr/>
          </w:p>
        </w:tc>
        <w:tc>
          <w:tcPr>
            <w:tcW w:w="802" w:type="dxa"/>
            <w:tcBorders>
              <w:top w:val="single" w:sz="4" w:space="0" w:color="5B9BD4"/>
              <w:left w:val="nil" w:sz="6" w:space="0" w:color="auto"/>
              <w:bottom w:val="single" w:sz="4" w:space="0" w:color="5B9BD4"/>
              <w:right w:val="nil" w:sz="6" w:space="0" w:color="auto"/>
            </w:tcBorders>
            <w:shd w:val="clear" w:color="auto" w:fill="DEEAF6"/>
          </w:tcPr>
          <w:p>
            <w:pPr/>
          </w:p>
        </w:tc>
        <w:tc>
          <w:tcPr>
            <w:tcW w:w="786" w:type="dxa"/>
            <w:tcBorders>
              <w:top w:val="single" w:sz="4" w:space="0" w:color="5B9BD4"/>
              <w:left w:val="nil" w:sz="6" w:space="0" w:color="auto"/>
              <w:bottom w:val="single" w:sz="4" w:space="0" w:color="5B9BD4"/>
              <w:right w:val="nil" w:sz="6" w:space="0" w:color="auto"/>
            </w:tcBorders>
          </w:tcPr>
          <w:p>
            <w:pPr/>
          </w:p>
        </w:tc>
        <w:tc>
          <w:tcPr>
            <w:tcW w:w="78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714" w:hRule="exact"/>
        </w:trPr>
        <w:tc>
          <w:tcPr>
            <w:tcW w:w="2629"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46"/>
              <w:ind w:left="108" w:right="180"/>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Arial" w:hAnsi="Arial" w:cs="Arial" w:eastAsia="Arial" w:hint="default"/>
                <w:sz w:val="18"/>
                <w:szCs w:val="18"/>
              </w:rPr>
              <w:t>B1</w:t>
            </w:r>
            <w:r>
              <w:rPr>
                <w:rFonts w:ascii="宋体" w:hAnsi="宋体" w:cs="宋体" w:eastAsia="宋体" w:hint="default"/>
                <w:sz w:val="18"/>
                <w:szCs w:val="18"/>
              </w:rPr>
              <w:t>）</w:t>
            </w:r>
          </w:p>
        </w:tc>
        <w:tc>
          <w:tcPr>
            <w:tcW w:w="2227" w:type="dxa"/>
            <w:gridSpan w:val="2"/>
            <w:tcBorders>
              <w:top w:val="single" w:sz="4" w:space="0" w:color="5B9BD4"/>
              <w:left w:val="nil" w:sz="6" w:space="0" w:color="auto"/>
              <w:bottom w:val="single" w:sz="4" w:space="0" w:color="5B9BD4"/>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471" w:right="0"/>
              <w:jc w:val="left"/>
              <w:rPr>
                <w:rFonts w:ascii="Arial" w:hAnsi="Arial" w:cs="Arial" w:eastAsia="Arial" w:hint="default"/>
                <w:sz w:val="18"/>
                <w:szCs w:val="18"/>
              </w:rPr>
            </w:pPr>
            <w:r>
              <w:rPr>
                <w:rFonts w:ascii="Arial"/>
                <w:sz w:val="18"/>
              </w:rPr>
              <w:t>857,000</w:t>
            </w:r>
          </w:p>
        </w:tc>
        <w:tc>
          <w:tcPr>
            <w:tcW w:w="2342" w:type="dxa"/>
            <w:gridSpan w:val="4"/>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46"/>
              <w:ind w:left="107" w:right="251"/>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Arial" w:hAnsi="Arial" w:cs="Arial" w:eastAsia="Arial" w:hint="default"/>
                <w:sz w:val="18"/>
                <w:szCs w:val="18"/>
              </w:rPr>
              <w:t>B2</w:t>
            </w:r>
            <w:r>
              <w:rPr>
                <w:rFonts w:ascii="宋体" w:hAnsi="宋体" w:cs="宋体" w:eastAsia="宋体" w:hint="default"/>
                <w:sz w:val="18"/>
                <w:szCs w:val="18"/>
              </w:rPr>
              <w:t>）</w:t>
            </w:r>
          </w:p>
        </w:tc>
        <w:tc>
          <w:tcPr>
            <w:tcW w:w="2376" w:type="dxa"/>
            <w:gridSpan w:val="3"/>
            <w:tcBorders>
              <w:top w:val="single" w:sz="4" w:space="0" w:color="5B9BD4"/>
              <w:left w:val="nil" w:sz="6" w:space="0" w:color="auto"/>
              <w:bottom w:val="single" w:sz="4" w:space="0" w:color="5B9BD4"/>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4"/>
              <w:jc w:val="right"/>
              <w:rPr>
                <w:rFonts w:ascii="Arial" w:hAnsi="Arial" w:cs="Arial" w:eastAsia="Arial" w:hint="default"/>
                <w:sz w:val="18"/>
                <w:szCs w:val="18"/>
              </w:rPr>
            </w:pPr>
            <w:r>
              <w:rPr>
                <w:rFonts w:ascii="Arial"/>
                <w:spacing w:val="-1"/>
                <w:sz w:val="18"/>
              </w:rPr>
              <w:t>357,200</w:t>
            </w:r>
          </w:p>
        </w:tc>
      </w:tr>
      <w:tr>
        <w:trPr>
          <w:trHeight w:val="719" w:hRule="exact"/>
        </w:trPr>
        <w:tc>
          <w:tcPr>
            <w:tcW w:w="2629"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46"/>
              <w:ind w:left="108" w:right="180"/>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Arial" w:hAnsi="Arial" w:cs="Arial" w:eastAsia="Arial" w:hint="default"/>
                <w:sz w:val="18"/>
                <w:szCs w:val="18"/>
              </w:rPr>
              <w:t>B3</w:t>
            </w:r>
            <w:r>
              <w:rPr>
                <w:rFonts w:ascii="宋体" w:hAnsi="宋体" w:cs="宋体" w:eastAsia="宋体" w:hint="default"/>
                <w:sz w:val="18"/>
                <w:szCs w:val="18"/>
              </w:rPr>
              <w:t>）</w:t>
            </w:r>
          </w:p>
        </w:tc>
        <w:tc>
          <w:tcPr>
            <w:tcW w:w="2227" w:type="dxa"/>
            <w:gridSpan w:val="2"/>
            <w:tcBorders>
              <w:top w:val="single" w:sz="4" w:space="0" w:color="5B9BD4"/>
              <w:left w:val="nil" w:sz="6" w:space="0" w:color="auto"/>
              <w:bottom w:val="single" w:sz="4" w:space="0" w:color="5B9BD4"/>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471" w:right="0"/>
              <w:jc w:val="left"/>
              <w:rPr>
                <w:rFonts w:ascii="Arial" w:hAnsi="Arial" w:cs="Arial" w:eastAsia="Arial" w:hint="default"/>
                <w:sz w:val="18"/>
                <w:szCs w:val="18"/>
              </w:rPr>
            </w:pPr>
            <w:r>
              <w:rPr>
                <w:rFonts w:ascii="Arial"/>
                <w:sz w:val="18"/>
              </w:rPr>
              <w:t>857,000</w:t>
            </w:r>
          </w:p>
        </w:tc>
        <w:tc>
          <w:tcPr>
            <w:tcW w:w="2342" w:type="dxa"/>
            <w:gridSpan w:val="4"/>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46"/>
              <w:ind w:left="107" w:right="251"/>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Arial" w:hAnsi="Arial" w:cs="Arial" w:eastAsia="Arial" w:hint="default"/>
                <w:sz w:val="18"/>
                <w:szCs w:val="18"/>
              </w:rPr>
              <w:t>B4</w:t>
            </w:r>
            <w:r>
              <w:rPr>
                <w:rFonts w:ascii="宋体" w:hAnsi="宋体" w:cs="宋体" w:eastAsia="宋体" w:hint="default"/>
                <w:sz w:val="18"/>
                <w:szCs w:val="18"/>
              </w:rPr>
              <w:t>）</w:t>
            </w:r>
          </w:p>
        </w:tc>
        <w:tc>
          <w:tcPr>
            <w:tcW w:w="2376" w:type="dxa"/>
            <w:gridSpan w:val="3"/>
            <w:tcBorders>
              <w:top w:val="single" w:sz="4" w:space="0" w:color="5B9BD4"/>
              <w:left w:val="nil" w:sz="6" w:space="0" w:color="auto"/>
              <w:bottom w:val="single" w:sz="4" w:space="0" w:color="5B9BD4"/>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4"/>
              <w:jc w:val="right"/>
              <w:rPr>
                <w:rFonts w:ascii="Arial" w:hAnsi="Arial" w:cs="Arial" w:eastAsia="Arial" w:hint="default"/>
                <w:sz w:val="18"/>
                <w:szCs w:val="18"/>
              </w:rPr>
            </w:pPr>
            <w:r>
              <w:rPr>
                <w:rFonts w:ascii="Arial"/>
                <w:spacing w:val="-1"/>
                <w:sz w:val="18"/>
              </w:rPr>
              <w:t>357,200</w:t>
            </w:r>
          </w:p>
        </w:tc>
      </w:tr>
      <w:tr>
        <w:trPr>
          <w:trHeight w:val="392" w:hRule="exact"/>
        </w:trPr>
        <w:tc>
          <w:tcPr>
            <w:tcW w:w="9574" w:type="dxa"/>
            <w:gridSpan w:val="11"/>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343" w:hRule="exact"/>
        </w:trPr>
        <w:tc>
          <w:tcPr>
            <w:tcW w:w="170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314"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tcBorders>
              <w:top w:val="single" w:sz="4" w:space="0" w:color="5B9BD4"/>
              <w:left w:val="nil" w:sz="6" w:space="0" w:color="auto"/>
              <w:bottom w:val="single" w:sz="4" w:space="0" w:color="5B9BD4"/>
              <w:right w:val="nil" w:sz="6" w:space="0" w:color="auto"/>
            </w:tcBorders>
          </w:tcPr>
          <w:p>
            <w:pPr>
              <w:pStyle w:val="TableParagraph"/>
              <w:spacing w:line="319" w:lineRule="auto" w:before="51"/>
              <w:ind w:left="187" w:right="190"/>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364" w:right="187"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313" w:type="dxa"/>
            <w:tcBorders>
              <w:top w:val="single" w:sz="4" w:space="0" w:color="5B9BD4"/>
              <w:left w:val="nil" w:sz="6" w:space="0" w:color="auto"/>
              <w:bottom w:val="single" w:sz="4" w:space="0" w:color="5B9BD4"/>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76" w:right="204" w:hanging="271"/>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04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341" w:right="161"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54" w:type="dxa"/>
            <w:gridSpan w:val="2"/>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66"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6"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52"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6"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22" w:right="121"/>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23" w:right="122"/>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402" w:hRule="exact"/>
        </w:trPr>
        <w:tc>
          <w:tcPr>
            <w:tcW w:w="170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left="108" w:right="0"/>
              <w:jc w:val="left"/>
              <w:rPr>
                <w:rFonts w:ascii="Arial" w:hAnsi="Arial" w:cs="Arial" w:eastAsia="Arial" w:hint="default"/>
                <w:sz w:val="18"/>
                <w:szCs w:val="18"/>
              </w:rPr>
            </w:pPr>
            <w:r>
              <w:rPr>
                <w:rFonts w:ascii="Arial"/>
                <w:w w:val="99"/>
                <w:sz w:val="18"/>
              </w:rPr>
              <w:t>-</w:t>
            </w:r>
            <w:r>
              <w:rPr>
                <w:rFonts w:ascii="Arial"/>
                <w:sz w:val="18"/>
              </w:rPr>
            </w:r>
          </w:p>
        </w:tc>
        <w:tc>
          <w:tcPr>
            <w:tcW w:w="920"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left="107" w:right="0"/>
              <w:jc w:val="left"/>
              <w:rPr>
                <w:rFonts w:ascii="Arial" w:hAnsi="Arial" w:cs="Arial" w:eastAsia="Arial" w:hint="default"/>
                <w:sz w:val="18"/>
                <w:szCs w:val="18"/>
              </w:rPr>
            </w:pPr>
            <w:r>
              <w:rPr>
                <w:rFonts w:ascii="Arial"/>
                <w:w w:val="99"/>
                <w:sz w:val="18"/>
              </w:rPr>
              <w:t>-</w:t>
            </w:r>
            <w:r>
              <w:rPr>
                <w:rFonts w:ascii="Arial"/>
                <w:sz w:val="18"/>
              </w:rPr>
            </w:r>
          </w:p>
        </w:tc>
        <w:tc>
          <w:tcPr>
            <w:tcW w:w="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07"/>
              <w:jc w:val="right"/>
              <w:rPr>
                <w:rFonts w:ascii="Arial" w:hAnsi="Arial" w:cs="Arial" w:eastAsia="Arial" w:hint="default"/>
                <w:sz w:val="18"/>
                <w:szCs w:val="18"/>
              </w:rPr>
            </w:pPr>
            <w:r>
              <w:rPr>
                <w:rFonts w:ascii="Arial"/>
                <w:w w:val="99"/>
                <w:sz w:val="18"/>
              </w:rPr>
              <w:t>-</w:t>
            </w:r>
            <w:r>
              <w:rPr>
                <w:rFonts w:ascii="Arial"/>
                <w:sz w:val="18"/>
              </w:rPr>
            </w:r>
          </w:p>
        </w:tc>
        <w:tc>
          <w:tcPr>
            <w:tcW w:w="1313"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106"/>
              <w:jc w:val="right"/>
              <w:rPr>
                <w:rFonts w:ascii="Arial" w:hAnsi="Arial" w:cs="Arial" w:eastAsia="Arial" w:hint="default"/>
                <w:sz w:val="18"/>
                <w:szCs w:val="18"/>
              </w:rPr>
            </w:pPr>
            <w:r>
              <w:rPr>
                <w:rFonts w:ascii="Arial"/>
                <w:w w:val="99"/>
                <w:sz w:val="18"/>
              </w:rPr>
              <w:t>-</w:t>
            </w:r>
            <w:r>
              <w:rPr>
                <w:rFonts w:ascii="Arial"/>
                <w:sz w:val="18"/>
              </w:rPr>
            </w:r>
          </w:p>
        </w:tc>
        <w:tc>
          <w:tcPr>
            <w:tcW w:w="104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06"/>
              <w:jc w:val="right"/>
              <w:rPr>
                <w:rFonts w:ascii="Arial" w:hAnsi="Arial" w:cs="Arial" w:eastAsia="Arial" w:hint="default"/>
                <w:sz w:val="18"/>
                <w:szCs w:val="18"/>
              </w:rPr>
            </w:pPr>
            <w:r>
              <w:rPr>
                <w:rFonts w:ascii="Arial"/>
                <w:w w:val="99"/>
                <w:sz w:val="18"/>
              </w:rPr>
              <w:t>-</w:t>
            </w:r>
            <w:r>
              <w:rPr>
                <w:rFonts w:ascii="Arial"/>
                <w:sz w:val="18"/>
              </w:rPr>
            </w:r>
          </w:p>
        </w:tc>
        <w:tc>
          <w:tcPr>
            <w:tcW w:w="1054" w:type="dxa"/>
            <w:gridSpan w:val="2"/>
            <w:tcBorders>
              <w:top w:val="single" w:sz="4" w:space="0" w:color="5B9BD4"/>
              <w:left w:val="nil" w:sz="6" w:space="0" w:color="auto"/>
              <w:bottom w:val="single" w:sz="4" w:space="0" w:color="5B9BD4"/>
              <w:right w:val="nil" w:sz="6" w:space="0" w:color="auto"/>
            </w:tcBorders>
          </w:tcPr>
          <w:p>
            <w:pPr>
              <w:pStyle w:val="TableParagraph"/>
              <w:spacing w:line="240" w:lineRule="auto" w:before="88"/>
              <w:ind w:left="107" w:right="0"/>
              <w:jc w:val="left"/>
              <w:rPr>
                <w:rFonts w:ascii="Arial" w:hAnsi="Arial" w:cs="Arial" w:eastAsia="Arial" w:hint="default"/>
                <w:sz w:val="18"/>
                <w:szCs w:val="18"/>
              </w:rPr>
            </w:pPr>
            <w:r>
              <w:rPr>
                <w:rFonts w:ascii="Arial"/>
                <w:w w:val="99"/>
                <w:sz w:val="18"/>
              </w:rPr>
              <w:t>-</w:t>
            </w:r>
            <w:r>
              <w:rPr>
                <w:rFonts w:ascii="Arial"/>
                <w:sz w:val="18"/>
              </w:rPr>
            </w:r>
          </w:p>
        </w:tc>
        <w:tc>
          <w:tcPr>
            <w:tcW w:w="1046"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left="107" w:right="0"/>
              <w:jc w:val="left"/>
              <w:rPr>
                <w:rFonts w:ascii="Arial" w:hAnsi="Arial" w:cs="Arial" w:eastAsia="Arial" w:hint="default"/>
                <w:sz w:val="18"/>
                <w:szCs w:val="18"/>
              </w:rPr>
            </w:pPr>
            <w:r>
              <w:rPr>
                <w:rFonts w:ascii="Arial"/>
                <w:w w:val="99"/>
                <w:sz w:val="18"/>
              </w:rPr>
              <w:t>-</w:t>
            </w:r>
            <w:r>
              <w:rPr>
                <w:rFonts w:ascii="Arial"/>
                <w:sz w:val="18"/>
              </w:rPr>
            </w:r>
          </w:p>
        </w:tc>
        <w:tc>
          <w:tcPr>
            <w:tcW w:w="786"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left="108" w:right="0"/>
              <w:jc w:val="left"/>
              <w:rPr>
                <w:rFonts w:ascii="Arial" w:hAnsi="Arial" w:cs="Arial" w:eastAsia="Arial" w:hint="default"/>
                <w:sz w:val="18"/>
                <w:szCs w:val="18"/>
              </w:rPr>
            </w:pPr>
            <w:r>
              <w:rPr>
                <w:rFonts w:ascii="Arial"/>
                <w:w w:val="99"/>
                <w:sz w:val="18"/>
              </w:rPr>
              <w:t>-</w:t>
            </w:r>
            <w:r>
              <w:rPr>
                <w:rFonts w:ascii="Arial"/>
                <w:sz w:val="18"/>
              </w:rPr>
            </w:r>
          </w:p>
        </w:tc>
        <w:tc>
          <w:tcPr>
            <w:tcW w:w="7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left="107" w:right="0"/>
              <w:jc w:val="lef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left"/>
        <w:rPr>
          <w:rFonts w:ascii="Arial" w:hAnsi="Arial" w:cs="Arial" w:eastAsia="Arial" w:hint="default"/>
          <w:sz w:val="18"/>
          <w:szCs w:val="18"/>
        </w:rPr>
        <w:sectPr>
          <w:pgSz w:w="11910" w:h="16840"/>
          <w:pgMar w:header="877" w:footer="979" w:top="1100" w:bottom="116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2632"/>
        <w:gridCol w:w="2224"/>
        <w:gridCol w:w="2098"/>
        <w:gridCol w:w="2620"/>
      </w:tblGrid>
      <w:tr>
        <w:trPr>
          <w:trHeight w:val="714" w:hRule="exact"/>
        </w:trPr>
        <w:tc>
          <w:tcPr>
            <w:tcW w:w="263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46"/>
              <w:ind w:left="108" w:right="183"/>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Arial" w:hAnsi="Arial" w:cs="Arial" w:eastAsia="Arial" w:hint="default"/>
                <w:sz w:val="18"/>
                <w:szCs w:val="18"/>
              </w:rPr>
              <w:t>C1</w:t>
            </w:r>
            <w:r>
              <w:rPr>
                <w:rFonts w:ascii="宋体" w:hAnsi="宋体" w:cs="宋体" w:eastAsia="宋体" w:hint="default"/>
                <w:sz w:val="18"/>
                <w:szCs w:val="18"/>
              </w:rPr>
              <w:t>）</w:t>
            </w:r>
          </w:p>
        </w:tc>
        <w:tc>
          <w:tcPr>
            <w:tcW w:w="2224" w:type="dxa"/>
            <w:tcBorders>
              <w:top w:val="single" w:sz="4" w:space="0" w:color="5B9BD4"/>
              <w:left w:val="nil" w:sz="6" w:space="0" w:color="auto"/>
              <w:bottom w:val="single" w:sz="4" w:space="0" w:color="5B9BD4"/>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Arial" w:hAnsi="Arial" w:cs="Arial" w:eastAsia="Arial" w:hint="default"/>
                <w:sz w:val="18"/>
                <w:szCs w:val="18"/>
              </w:rPr>
            </w:pPr>
            <w:r>
              <w:rPr>
                <w:rFonts w:ascii="Arial"/>
                <w:w w:val="99"/>
                <w:sz w:val="18"/>
              </w:rPr>
              <w:t>0</w:t>
            </w:r>
            <w:r>
              <w:rPr>
                <w:rFonts w:ascii="Arial"/>
                <w:sz w:val="18"/>
              </w:rPr>
            </w:r>
          </w:p>
        </w:tc>
        <w:tc>
          <w:tcPr>
            <w:tcW w:w="209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46"/>
              <w:ind w:left="108" w:right="121"/>
              <w:jc w:val="left"/>
              <w:rPr>
                <w:rFonts w:ascii="宋体" w:hAnsi="宋体" w:cs="宋体" w:eastAsia="宋体" w:hint="default"/>
                <w:sz w:val="18"/>
                <w:szCs w:val="18"/>
              </w:rPr>
            </w:pPr>
            <w:r>
              <w:rPr>
                <w:rFonts w:ascii="宋体" w:hAnsi="宋体" w:cs="宋体" w:eastAsia="宋体" w:hint="default"/>
                <w:sz w:val="18"/>
                <w:szCs w:val="18"/>
              </w:rPr>
              <w:t>报告期内对子公司担保 </w:t>
            </w:r>
            <w:r>
              <w:rPr>
                <w:rFonts w:ascii="宋体" w:hAnsi="宋体" w:cs="宋体" w:eastAsia="宋体" w:hint="default"/>
                <w:spacing w:val="-1"/>
                <w:sz w:val="18"/>
                <w:szCs w:val="18"/>
              </w:rPr>
              <w:t>实际发生额合计（</w:t>
            </w:r>
            <w:r>
              <w:rPr>
                <w:rFonts w:ascii="Arial" w:hAnsi="Arial" w:cs="Arial" w:eastAsia="Arial" w:hint="default"/>
                <w:spacing w:val="-1"/>
                <w:sz w:val="18"/>
                <w:szCs w:val="18"/>
              </w:rPr>
              <w:t>C2</w:t>
            </w:r>
            <w:r>
              <w:rPr>
                <w:rFonts w:ascii="宋体" w:hAnsi="宋体" w:cs="宋体" w:eastAsia="宋体" w:hint="default"/>
                <w:spacing w:val="-1"/>
                <w:sz w:val="18"/>
                <w:szCs w:val="18"/>
              </w:rPr>
              <w:t>）</w:t>
            </w:r>
          </w:p>
        </w:tc>
        <w:tc>
          <w:tcPr>
            <w:tcW w:w="2620" w:type="dxa"/>
            <w:tcBorders>
              <w:top w:val="single" w:sz="4" w:space="0" w:color="5B9BD4"/>
              <w:left w:val="nil" w:sz="6" w:space="0" w:color="auto"/>
              <w:bottom w:val="single" w:sz="4" w:space="0" w:color="5B9BD4"/>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Arial" w:hAnsi="Arial" w:cs="Arial" w:eastAsia="Arial" w:hint="default"/>
                <w:sz w:val="18"/>
                <w:szCs w:val="18"/>
              </w:rPr>
            </w:pPr>
            <w:r>
              <w:rPr>
                <w:rFonts w:ascii="Arial"/>
                <w:w w:val="99"/>
                <w:sz w:val="18"/>
              </w:rPr>
              <w:t>0</w:t>
            </w:r>
            <w:r>
              <w:rPr>
                <w:rFonts w:ascii="Arial"/>
                <w:sz w:val="18"/>
              </w:rPr>
            </w:r>
          </w:p>
        </w:tc>
      </w:tr>
      <w:tr>
        <w:trPr>
          <w:trHeight w:val="719" w:hRule="exact"/>
        </w:trPr>
        <w:tc>
          <w:tcPr>
            <w:tcW w:w="263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46"/>
              <w:ind w:left="108" w:right="183"/>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Arial" w:hAnsi="Arial" w:cs="Arial" w:eastAsia="Arial" w:hint="default"/>
                <w:sz w:val="18"/>
                <w:szCs w:val="18"/>
              </w:rPr>
              <w:t>C3</w:t>
            </w:r>
            <w:r>
              <w:rPr>
                <w:rFonts w:ascii="宋体" w:hAnsi="宋体" w:cs="宋体" w:eastAsia="宋体" w:hint="default"/>
                <w:sz w:val="18"/>
                <w:szCs w:val="18"/>
              </w:rPr>
              <w:t>）</w:t>
            </w:r>
          </w:p>
        </w:tc>
        <w:tc>
          <w:tcPr>
            <w:tcW w:w="2224" w:type="dxa"/>
            <w:tcBorders>
              <w:top w:val="single" w:sz="4" w:space="0" w:color="5B9BD4"/>
              <w:left w:val="nil" w:sz="6" w:space="0" w:color="auto"/>
              <w:bottom w:val="single" w:sz="4" w:space="0" w:color="5B9BD4"/>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Arial" w:hAnsi="Arial" w:cs="Arial" w:eastAsia="Arial" w:hint="default"/>
                <w:sz w:val="18"/>
                <w:szCs w:val="18"/>
              </w:rPr>
            </w:pPr>
            <w:r>
              <w:rPr>
                <w:rFonts w:ascii="Arial"/>
                <w:w w:val="99"/>
                <w:sz w:val="18"/>
              </w:rPr>
              <w:t>0</w:t>
            </w:r>
            <w:r>
              <w:rPr>
                <w:rFonts w:ascii="Arial"/>
                <w:sz w:val="18"/>
              </w:rPr>
            </w:r>
          </w:p>
        </w:tc>
        <w:tc>
          <w:tcPr>
            <w:tcW w:w="209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46"/>
              <w:ind w:left="108" w:right="187"/>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Arial" w:hAnsi="Arial" w:cs="Arial" w:eastAsia="Arial" w:hint="default"/>
                <w:sz w:val="18"/>
                <w:szCs w:val="18"/>
              </w:rPr>
              <w:t>C4</w:t>
            </w:r>
            <w:r>
              <w:rPr>
                <w:rFonts w:ascii="宋体" w:hAnsi="宋体" w:cs="宋体" w:eastAsia="宋体" w:hint="default"/>
                <w:sz w:val="18"/>
                <w:szCs w:val="18"/>
              </w:rPr>
              <w:t>）</w:t>
            </w:r>
          </w:p>
        </w:tc>
        <w:tc>
          <w:tcPr>
            <w:tcW w:w="2620" w:type="dxa"/>
            <w:tcBorders>
              <w:top w:val="single" w:sz="4" w:space="0" w:color="5B9BD4"/>
              <w:left w:val="nil" w:sz="6" w:space="0" w:color="auto"/>
              <w:bottom w:val="single" w:sz="4" w:space="0" w:color="5B9BD4"/>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Arial" w:hAnsi="Arial" w:cs="Arial" w:eastAsia="Arial" w:hint="default"/>
                <w:sz w:val="18"/>
                <w:szCs w:val="18"/>
              </w:rPr>
            </w:pPr>
            <w:r>
              <w:rPr>
                <w:rFonts w:ascii="Arial"/>
                <w:w w:val="99"/>
                <w:sz w:val="18"/>
              </w:rPr>
              <w:t>0</w:t>
            </w:r>
            <w:r>
              <w:rPr>
                <w:rFonts w:ascii="Arial"/>
                <w:sz w:val="18"/>
              </w:rPr>
            </w:r>
          </w:p>
        </w:tc>
      </w:tr>
      <w:tr>
        <w:trPr>
          <w:trHeight w:val="392" w:hRule="exact"/>
        </w:trPr>
        <w:tc>
          <w:tcPr>
            <w:tcW w:w="9574" w:type="dxa"/>
            <w:gridSpan w:val="4"/>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1"/>
              <w:ind w:left="108"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3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A1+B1+C1</w:t>
            </w:r>
            <w:r>
              <w:rPr>
                <w:rFonts w:ascii="宋体" w:hAnsi="宋体" w:cs="宋体" w:eastAsia="宋体" w:hint="default"/>
                <w:sz w:val="18"/>
                <w:szCs w:val="18"/>
              </w:rPr>
              <w:t>）</w:t>
            </w:r>
          </w:p>
        </w:tc>
        <w:tc>
          <w:tcPr>
            <w:tcW w:w="2224"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Arial" w:hAnsi="Arial" w:cs="Arial" w:eastAsia="Arial" w:hint="default"/>
                <w:sz w:val="18"/>
                <w:szCs w:val="18"/>
              </w:rPr>
            </w:pPr>
            <w:r>
              <w:rPr>
                <w:rFonts w:ascii="Arial"/>
                <w:w w:val="95"/>
                <w:sz w:val="18"/>
              </w:rPr>
              <w:t>857,000</w:t>
            </w:r>
            <w:r>
              <w:rPr>
                <w:rFonts w:ascii="Arial"/>
                <w:sz w:val="18"/>
              </w:rPr>
            </w:r>
          </w:p>
        </w:tc>
        <w:tc>
          <w:tcPr>
            <w:tcW w:w="209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51"/>
              <w:ind w:left="108" w:right="187"/>
              <w:jc w:val="left"/>
              <w:rPr>
                <w:rFonts w:ascii="宋体" w:hAnsi="宋体" w:cs="宋体" w:eastAsia="宋体" w:hint="default"/>
                <w:sz w:val="18"/>
                <w:szCs w:val="18"/>
              </w:rPr>
            </w:pPr>
            <w:r>
              <w:rPr>
                <w:rFonts w:ascii="宋体" w:hAnsi="宋体" w:cs="宋体" w:eastAsia="宋体" w:hint="default"/>
                <w:sz w:val="18"/>
                <w:szCs w:val="18"/>
              </w:rPr>
              <w:t>报告期内担保实际发生 </w:t>
            </w:r>
            <w:r>
              <w:rPr>
                <w:rFonts w:ascii="宋体" w:hAnsi="宋体" w:cs="宋体" w:eastAsia="宋体" w:hint="default"/>
                <w:spacing w:val="-1"/>
                <w:sz w:val="18"/>
                <w:szCs w:val="18"/>
              </w:rPr>
              <w:t>额合计（</w:t>
            </w:r>
            <w:r>
              <w:rPr>
                <w:rFonts w:ascii="Arial" w:hAnsi="Arial" w:cs="Arial" w:eastAsia="Arial" w:hint="default"/>
                <w:spacing w:val="-1"/>
                <w:sz w:val="18"/>
                <w:szCs w:val="18"/>
              </w:rPr>
              <w:t>A2+B2+C2</w:t>
            </w:r>
            <w:r>
              <w:rPr>
                <w:rFonts w:ascii="宋体" w:hAnsi="宋体" w:cs="宋体" w:eastAsia="宋体" w:hint="default"/>
                <w:spacing w:val="-1"/>
                <w:sz w:val="18"/>
                <w:szCs w:val="18"/>
              </w:rPr>
              <w:t>）</w:t>
            </w:r>
          </w:p>
        </w:tc>
        <w:tc>
          <w:tcPr>
            <w:tcW w:w="2620"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Arial" w:hAnsi="Arial" w:cs="Arial" w:eastAsia="Arial" w:hint="default"/>
                <w:sz w:val="18"/>
                <w:szCs w:val="18"/>
              </w:rPr>
            </w:pPr>
            <w:r>
              <w:rPr>
                <w:rFonts w:ascii="Arial"/>
                <w:spacing w:val="-1"/>
                <w:sz w:val="18"/>
              </w:rPr>
              <w:t>357,200</w:t>
            </w:r>
          </w:p>
        </w:tc>
      </w:tr>
      <w:tr>
        <w:trPr>
          <w:trHeight w:val="714" w:hRule="exact"/>
        </w:trPr>
        <w:tc>
          <w:tcPr>
            <w:tcW w:w="263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46"/>
              <w:ind w:left="108" w:right="183"/>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Arial" w:hAnsi="Arial" w:cs="Arial" w:eastAsia="Arial" w:hint="default"/>
                <w:sz w:val="18"/>
                <w:szCs w:val="18"/>
              </w:rPr>
              <w:t>A3+B3+C3</w:t>
            </w:r>
            <w:r>
              <w:rPr>
                <w:rFonts w:ascii="宋体" w:hAnsi="宋体" w:cs="宋体" w:eastAsia="宋体" w:hint="default"/>
                <w:sz w:val="18"/>
                <w:szCs w:val="18"/>
              </w:rPr>
              <w:t>）</w:t>
            </w:r>
          </w:p>
        </w:tc>
        <w:tc>
          <w:tcPr>
            <w:tcW w:w="2224" w:type="dxa"/>
            <w:tcBorders>
              <w:top w:val="single" w:sz="4" w:space="0" w:color="5B9BD4"/>
              <w:left w:val="nil" w:sz="6" w:space="0" w:color="auto"/>
              <w:bottom w:val="single" w:sz="4" w:space="0" w:color="5B9BD4"/>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Arial" w:hAnsi="Arial" w:cs="Arial" w:eastAsia="Arial" w:hint="default"/>
                <w:sz w:val="18"/>
                <w:szCs w:val="18"/>
              </w:rPr>
            </w:pPr>
            <w:r>
              <w:rPr>
                <w:rFonts w:ascii="Arial"/>
                <w:w w:val="95"/>
                <w:sz w:val="18"/>
              </w:rPr>
              <w:t>857,000</w:t>
            </w:r>
            <w:r>
              <w:rPr>
                <w:rFonts w:ascii="Arial"/>
                <w:sz w:val="18"/>
              </w:rPr>
            </w:r>
          </w:p>
        </w:tc>
        <w:tc>
          <w:tcPr>
            <w:tcW w:w="209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46"/>
              <w:ind w:left="108" w:right="187"/>
              <w:jc w:val="left"/>
              <w:rPr>
                <w:rFonts w:ascii="宋体" w:hAnsi="宋体" w:cs="宋体" w:eastAsia="宋体" w:hint="default"/>
                <w:sz w:val="18"/>
                <w:szCs w:val="18"/>
              </w:rPr>
            </w:pPr>
            <w:r>
              <w:rPr>
                <w:rFonts w:ascii="宋体" w:hAnsi="宋体" w:cs="宋体" w:eastAsia="宋体" w:hint="default"/>
                <w:sz w:val="18"/>
                <w:szCs w:val="18"/>
              </w:rPr>
              <w:t>报告期末实际担保余额 合计（</w:t>
            </w:r>
            <w:r>
              <w:rPr>
                <w:rFonts w:ascii="Arial" w:hAnsi="Arial" w:cs="Arial" w:eastAsia="Arial" w:hint="default"/>
                <w:sz w:val="18"/>
                <w:szCs w:val="18"/>
              </w:rPr>
              <w:t>A4+B4+C4</w:t>
            </w:r>
            <w:r>
              <w:rPr>
                <w:rFonts w:ascii="宋体" w:hAnsi="宋体" w:cs="宋体" w:eastAsia="宋体" w:hint="default"/>
                <w:sz w:val="18"/>
                <w:szCs w:val="18"/>
              </w:rPr>
              <w:t>）</w:t>
            </w:r>
          </w:p>
        </w:tc>
        <w:tc>
          <w:tcPr>
            <w:tcW w:w="2620" w:type="dxa"/>
            <w:tcBorders>
              <w:top w:val="single" w:sz="4" w:space="0" w:color="5B9BD4"/>
              <w:left w:val="nil" w:sz="6" w:space="0" w:color="auto"/>
              <w:bottom w:val="single" w:sz="4" w:space="0" w:color="5B9BD4"/>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Arial" w:hAnsi="Arial" w:cs="Arial" w:eastAsia="Arial" w:hint="default"/>
                <w:sz w:val="18"/>
                <w:szCs w:val="18"/>
              </w:rPr>
            </w:pPr>
            <w:r>
              <w:rPr>
                <w:rFonts w:ascii="Arial"/>
                <w:spacing w:val="-1"/>
                <w:sz w:val="18"/>
              </w:rPr>
              <w:t>357,200</w:t>
            </w:r>
          </w:p>
        </w:tc>
      </w:tr>
      <w:tr>
        <w:trPr>
          <w:trHeight w:val="407" w:hRule="exact"/>
        </w:trPr>
        <w:tc>
          <w:tcPr>
            <w:tcW w:w="4856"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28"/>
                <w:sz w:val="18"/>
                <w:szCs w:val="18"/>
              </w:rPr>
              <w:t> </w:t>
            </w:r>
            <w:r>
              <w:rPr>
                <w:rFonts w:ascii="Arial" w:hAnsi="Arial" w:cs="Arial" w:eastAsia="Arial" w:hint="default"/>
                <w:sz w:val="18"/>
                <w:szCs w:val="18"/>
              </w:rPr>
              <w:t>A4+B4+C4</w:t>
            </w:r>
            <w:r>
              <w:rPr>
                <w:rFonts w:ascii="宋体" w:hAnsi="宋体" w:cs="宋体" w:eastAsia="宋体" w:hint="default"/>
                <w:sz w:val="18"/>
                <w:szCs w:val="18"/>
              </w:rPr>
              <w:t>）占公司净资产的比例</w:t>
            </w:r>
          </w:p>
        </w:tc>
        <w:tc>
          <w:tcPr>
            <w:tcW w:w="4718" w:type="dxa"/>
            <w:gridSpan w:val="2"/>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104"/>
              <w:jc w:val="right"/>
              <w:rPr>
                <w:rFonts w:ascii="Arial" w:hAnsi="Arial" w:cs="Arial" w:eastAsia="Arial" w:hint="default"/>
                <w:sz w:val="18"/>
                <w:szCs w:val="18"/>
              </w:rPr>
            </w:pPr>
            <w:r>
              <w:rPr>
                <w:rFonts w:ascii="Arial"/>
                <w:w w:val="95"/>
                <w:sz w:val="18"/>
              </w:rPr>
              <w:t>79.94%</w:t>
            </w:r>
            <w:r>
              <w:rPr>
                <w:rFonts w:ascii="Arial"/>
                <w:sz w:val="18"/>
              </w:rPr>
            </w:r>
          </w:p>
        </w:tc>
      </w:tr>
      <w:tr>
        <w:trPr>
          <w:trHeight w:val="392" w:hRule="exact"/>
        </w:trPr>
        <w:tc>
          <w:tcPr>
            <w:tcW w:w="9574" w:type="dxa"/>
            <w:gridSpan w:val="4"/>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1"/>
              <w:ind w:left="108"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56"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Arial" w:hAnsi="Arial" w:cs="Arial" w:eastAsia="Arial" w:hint="default"/>
                <w:sz w:val="18"/>
                <w:szCs w:val="18"/>
              </w:rPr>
              <w:t>D</w:t>
            </w:r>
            <w:r>
              <w:rPr>
                <w:rFonts w:ascii="宋体" w:hAnsi="宋体" w:cs="宋体" w:eastAsia="宋体" w:hint="default"/>
                <w:sz w:val="18"/>
                <w:szCs w:val="18"/>
              </w:rPr>
              <w:t>）</w:t>
            </w:r>
          </w:p>
        </w:tc>
        <w:tc>
          <w:tcPr>
            <w:tcW w:w="4718" w:type="dxa"/>
            <w:gridSpan w:val="2"/>
            <w:tcBorders>
              <w:top w:val="single" w:sz="4" w:space="0" w:color="5B9BD4"/>
              <w:left w:val="nil" w:sz="6" w:space="0" w:color="auto"/>
              <w:bottom w:val="single" w:sz="4" w:space="0" w:color="5B9BD4"/>
              <w:right w:val="nil" w:sz="6" w:space="0" w:color="auto"/>
            </w:tcBorders>
          </w:tcPr>
          <w:p>
            <w:pPr>
              <w:pStyle w:val="TableParagraph"/>
              <w:spacing w:line="240" w:lineRule="auto" w:before="92"/>
              <w:ind w:right="104"/>
              <w:jc w:val="right"/>
              <w:rPr>
                <w:rFonts w:ascii="Arial" w:hAnsi="Arial" w:cs="Arial" w:eastAsia="Arial" w:hint="default"/>
                <w:sz w:val="18"/>
                <w:szCs w:val="18"/>
              </w:rPr>
            </w:pPr>
            <w:r>
              <w:rPr>
                <w:rFonts w:ascii="Arial"/>
                <w:w w:val="99"/>
                <w:sz w:val="18"/>
              </w:rPr>
              <w:t>0</w:t>
            </w:r>
            <w:r>
              <w:rPr>
                <w:rFonts w:ascii="Arial"/>
                <w:sz w:val="18"/>
              </w:rPr>
            </w:r>
          </w:p>
        </w:tc>
      </w:tr>
      <w:tr>
        <w:trPr>
          <w:trHeight w:val="714" w:hRule="exact"/>
        </w:trPr>
        <w:tc>
          <w:tcPr>
            <w:tcW w:w="4856"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2" w:lineRule="auto" w:before="46"/>
              <w:ind w:left="108" w:right="221"/>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67"/>
                <w:sz w:val="18"/>
                <w:szCs w:val="18"/>
              </w:rPr>
              <w:t> </w:t>
            </w:r>
            <w:r>
              <w:rPr>
                <w:rFonts w:ascii="Arial" w:hAnsi="Arial" w:cs="Arial" w:eastAsia="Arial" w:hint="default"/>
                <w:sz w:val="18"/>
                <w:szCs w:val="18"/>
              </w:rPr>
              <w:t>70%</w:t>
            </w:r>
            <w:r>
              <w:rPr>
                <w:rFonts w:ascii="宋体" w:hAnsi="宋体" w:cs="宋体" w:eastAsia="宋体" w:hint="default"/>
                <w:sz w:val="18"/>
                <w:szCs w:val="18"/>
              </w:rPr>
              <w:t>的被担保对象提供的债 务担保金额（</w:t>
            </w:r>
            <w:r>
              <w:rPr>
                <w:rFonts w:ascii="Arial" w:hAnsi="Arial" w:cs="Arial" w:eastAsia="Arial" w:hint="default"/>
                <w:sz w:val="18"/>
                <w:szCs w:val="18"/>
              </w:rPr>
              <w:t>E</w:t>
            </w:r>
            <w:r>
              <w:rPr>
                <w:rFonts w:ascii="宋体" w:hAnsi="宋体" w:cs="宋体" w:eastAsia="宋体" w:hint="default"/>
                <w:sz w:val="18"/>
                <w:szCs w:val="18"/>
              </w:rPr>
              <w:t>）</w:t>
            </w:r>
          </w:p>
        </w:tc>
        <w:tc>
          <w:tcPr>
            <w:tcW w:w="4718" w:type="dxa"/>
            <w:gridSpan w:val="2"/>
            <w:tcBorders>
              <w:top w:val="single" w:sz="4" w:space="0" w:color="5B9BD4"/>
              <w:left w:val="nil" w:sz="6" w:space="0" w:color="auto"/>
              <w:bottom w:val="single" w:sz="4" w:space="0" w:color="5B9BD4"/>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4"/>
              <w:jc w:val="right"/>
              <w:rPr>
                <w:rFonts w:ascii="Arial" w:hAnsi="Arial" w:cs="Arial" w:eastAsia="Arial" w:hint="default"/>
                <w:sz w:val="18"/>
                <w:szCs w:val="18"/>
              </w:rPr>
            </w:pPr>
            <w:r>
              <w:rPr>
                <w:rFonts w:ascii="Arial"/>
                <w:spacing w:val="-1"/>
                <w:sz w:val="18"/>
              </w:rPr>
              <w:t>257,200</w:t>
            </w:r>
          </w:p>
        </w:tc>
      </w:tr>
      <w:tr>
        <w:trPr>
          <w:trHeight w:val="402" w:hRule="exact"/>
        </w:trPr>
        <w:tc>
          <w:tcPr>
            <w:tcW w:w="4856"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w w:val="95"/>
                <w:sz w:val="18"/>
                <w:szCs w:val="18"/>
              </w:rPr>
              <w:t>担保总额超过净资产</w:t>
            </w:r>
            <w:r>
              <w:rPr>
                <w:rFonts w:ascii="宋体" w:hAnsi="宋体" w:cs="宋体" w:eastAsia="宋体" w:hint="default"/>
                <w:spacing w:val="80"/>
                <w:w w:val="95"/>
                <w:sz w:val="18"/>
                <w:szCs w:val="18"/>
              </w:rPr>
              <w:t> </w:t>
            </w:r>
            <w:r>
              <w:rPr>
                <w:rFonts w:ascii="Arial" w:hAnsi="Arial" w:cs="Arial" w:eastAsia="Arial" w:hint="default"/>
                <w:w w:val="95"/>
                <w:sz w:val="18"/>
                <w:szCs w:val="18"/>
              </w:rPr>
              <w:t>50%</w:t>
            </w:r>
            <w:r>
              <w:rPr>
                <w:rFonts w:ascii="宋体" w:hAnsi="宋体" w:cs="宋体" w:eastAsia="宋体" w:hint="default"/>
                <w:w w:val="95"/>
                <w:sz w:val="18"/>
                <w:szCs w:val="18"/>
              </w:rPr>
              <w:t>部分的金额（</w:t>
            </w:r>
            <w:r>
              <w:rPr>
                <w:rFonts w:ascii="Arial" w:hAnsi="Arial" w:cs="Arial" w:eastAsia="Arial" w:hint="default"/>
                <w:w w:val="95"/>
                <w:sz w:val="18"/>
                <w:szCs w:val="18"/>
              </w:rPr>
              <w:t>F</w:t>
            </w:r>
            <w:r>
              <w:rPr>
                <w:rFonts w:ascii="宋体" w:hAnsi="宋体" w:cs="宋体" w:eastAsia="宋体" w:hint="default"/>
                <w:w w:val="95"/>
                <w:sz w:val="18"/>
                <w:szCs w:val="18"/>
              </w:rPr>
              <w:t>）</w:t>
            </w:r>
          </w:p>
        </w:tc>
        <w:tc>
          <w:tcPr>
            <w:tcW w:w="4718" w:type="dxa"/>
            <w:gridSpan w:val="2"/>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104"/>
              <w:jc w:val="right"/>
              <w:rPr>
                <w:rFonts w:ascii="Arial" w:hAnsi="Arial" w:cs="Arial" w:eastAsia="Arial" w:hint="default"/>
                <w:sz w:val="18"/>
                <w:szCs w:val="18"/>
              </w:rPr>
            </w:pPr>
            <w:r>
              <w:rPr>
                <w:rFonts w:ascii="Arial"/>
                <w:w w:val="99"/>
                <w:sz w:val="18"/>
              </w:rPr>
              <w:t>0</w:t>
            </w:r>
            <w:r>
              <w:rPr>
                <w:rFonts w:ascii="Arial"/>
                <w:sz w:val="18"/>
              </w:rPr>
            </w:r>
          </w:p>
        </w:tc>
      </w:tr>
      <w:tr>
        <w:trPr>
          <w:trHeight w:val="402" w:hRule="exact"/>
        </w:trPr>
        <w:tc>
          <w:tcPr>
            <w:tcW w:w="4856"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Arial" w:hAnsi="Arial" w:cs="Arial" w:eastAsia="Arial" w:hint="default"/>
                <w:sz w:val="18"/>
                <w:szCs w:val="18"/>
              </w:rPr>
              <w:t>D+E+F</w:t>
            </w:r>
            <w:r>
              <w:rPr>
                <w:rFonts w:ascii="宋体" w:hAnsi="宋体" w:cs="宋体" w:eastAsia="宋体" w:hint="default"/>
                <w:sz w:val="18"/>
                <w:szCs w:val="18"/>
              </w:rPr>
              <w:t>）</w:t>
            </w:r>
          </w:p>
        </w:tc>
        <w:tc>
          <w:tcPr>
            <w:tcW w:w="4718" w:type="dxa"/>
            <w:gridSpan w:val="2"/>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104"/>
              <w:jc w:val="right"/>
              <w:rPr>
                <w:rFonts w:ascii="Arial" w:hAnsi="Arial" w:cs="Arial" w:eastAsia="Arial" w:hint="default"/>
                <w:sz w:val="18"/>
                <w:szCs w:val="18"/>
              </w:rPr>
            </w:pPr>
            <w:r>
              <w:rPr>
                <w:rFonts w:ascii="Arial"/>
                <w:spacing w:val="-1"/>
                <w:sz w:val="18"/>
              </w:rPr>
              <w:t>257,200</w:t>
            </w:r>
          </w:p>
        </w:tc>
      </w:tr>
      <w:tr>
        <w:trPr>
          <w:trHeight w:val="714" w:hRule="exact"/>
        </w:trPr>
        <w:tc>
          <w:tcPr>
            <w:tcW w:w="4856"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46"/>
              <w:ind w:left="108" w:right="106"/>
              <w:jc w:val="left"/>
              <w:rPr>
                <w:rFonts w:ascii="宋体" w:hAnsi="宋体" w:cs="宋体" w:eastAsia="宋体" w:hint="default"/>
                <w:sz w:val="18"/>
                <w:szCs w:val="18"/>
              </w:rPr>
            </w:pPr>
            <w:r>
              <w:rPr>
                <w:rFonts w:ascii="宋体" w:hAnsi="宋体" w:cs="宋体" w:eastAsia="宋体" w:hint="default"/>
                <w:spacing w:val="-2"/>
                <w:sz w:val="18"/>
                <w:szCs w:val="18"/>
              </w:rPr>
              <w:t>对未到期担保，报告期内已发生担保责任或可能承担连带清</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偿责任的情况说明（如有）</w:t>
            </w:r>
          </w:p>
        </w:tc>
        <w:tc>
          <w:tcPr>
            <w:tcW w:w="4718" w:type="dxa"/>
            <w:gridSpan w:val="2"/>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56"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8" w:type="dxa"/>
            <w:gridSpan w:val="2"/>
            <w:tcBorders>
              <w:top w:val="single" w:sz="4" w:space="0" w:color="5B9BD4"/>
              <w:left w:val="nil" w:sz="6" w:space="0" w:color="auto"/>
              <w:bottom w:val="single" w:sz="4" w:space="0" w:color="5B9BD4"/>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1"/>
        <w:rPr>
          <w:rFonts w:ascii="Times New Roman" w:hAnsi="Times New Roman" w:cs="Times New Roman" w:eastAsia="Times New Roman" w:hint="default"/>
          <w:sz w:val="22"/>
          <w:szCs w:val="22"/>
        </w:rPr>
      </w:pPr>
    </w:p>
    <w:p>
      <w:pPr>
        <w:pStyle w:val="Heading5"/>
        <w:spacing w:line="317" w:lineRule="exact" w:before="0"/>
        <w:ind w:left="214" w:right="1513"/>
        <w:jc w:val="left"/>
        <w:rPr>
          <w:rFonts w:ascii="Microsoft JhengHei" w:hAnsi="Microsoft JhengHei" w:cs="Microsoft JhengHei" w:eastAsia="Microsoft JhengHei" w:hint="default"/>
          <w:b w:val="0"/>
          <w:bCs w:val="0"/>
        </w:rPr>
      </w:pPr>
      <w:bookmarkStart w:name="（2） 违规对外担保情况" w:id="146"/>
      <w:bookmarkEnd w:id="146"/>
      <w:r>
        <w:rPr>
          <w:b w:val="0"/>
          <w:bCs w:val="0"/>
        </w:rPr>
      </w:r>
      <w:r>
        <w:rPr>
          <w:rFonts w:ascii="Microsoft JhengHei" w:hAnsi="Microsoft JhengHei" w:cs="Microsoft JhengHei" w:eastAsia="Microsoft JhengHei" w:hint="default"/>
        </w:rPr>
        <w:t>（</w:t>
      </w:r>
      <w:r>
        <w:rPr>
          <w:rFonts w:ascii="Trebuchet MS" w:hAnsi="Trebuchet MS" w:cs="Trebuchet MS" w:eastAsia="Trebuchet MS" w:hint="default"/>
        </w:rPr>
        <w:t>2</w:t>
      </w:r>
      <w:r>
        <w:rPr>
          <w:rFonts w:ascii="Microsoft JhengHei" w:hAnsi="Microsoft JhengHei" w:cs="Microsoft JhengHei" w:eastAsia="Microsoft JhengHei" w:hint="default"/>
        </w:rPr>
        <w:t>）</w:t>
      </w:r>
      <w:r>
        <w:rPr>
          <w:rFonts w:ascii="Microsoft JhengHei" w:hAnsi="Microsoft JhengHei" w:cs="Microsoft JhengHei" w:eastAsia="Microsoft JhengHei" w:hint="default"/>
          <w:spacing w:val="47"/>
        </w:rPr>
        <w:t> </w:t>
      </w:r>
      <w:r>
        <w:rPr>
          <w:rFonts w:ascii="Microsoft JhengHei" w:hAnsi="Microsoft JhengHei" w:cs="Microsoft JhengHei" w:eastAsia="Microsoft JhengHei" w:hint="default"/>
        </w:rPr>
        <w:t>违规对外担保情况</w:t>
      </w:r>
      <w:r>
        <w:rPr>
          <w:rFonts w:ascii="Microsoft JhengHei" w:hAnsi="Microsoft JhengHei" w:cs="Microsoft JhengHei" w:eastAsia="Microsoft JhengHei" w:hint="default"/>
          <w:b w:val="0"/>
          <w:bCs w:val="0"/>
        </w:rPr>
      </w:r>
    </w:p>
    <w:p>
      <w:pPr>
        <w:spacing w:line="240" w:lineRule="auto" w:before="9"/>
        <w:rPr>
          <w:rFonts w:ascii="Microsoft JhengHei" w:hAnsi="Microsoft JhengHei" w:cs="Microsoft JhengHei" w:eastAsia="Microsoft JhengHei" w:hint="default"/>
          <w:b/>
          <w:bCs/>
          <w:sz w:val="19"/>
          <w:szCs w:val="19"/>
        </w:rPr>
      </w:pPr>
    </w:p>
    <w:p>
      <w:pPr>
        <w:spacing w:before="0"/>
        <w:ind w:left="213" w:right="151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left="213" w:right="1513"/>
        <w:jc w:val="left"/>
        <w:rPr>
          <w:b w:val="0"/>
          <w:bCs w:val="0"/>
        </w:rPr>
      </w:pPr>
      <w:bookmarkStart w:name="5.17.3 委托他人进行现金资产管理情况" w:id="147"/>
      <w:bookmarkEnd w:id="147"/>
      <w:r>
        <w:rPr>
          <w:b w:val="0"/>
          <w:bCs w:val="0"/>
        </w:rPr>
      </w:r>
      <w:r>
        <w:rPr>
          <w:rFonts w:ascii="Trebuchet MS" w:hAnsi="Trebuchet MS" w:cs="Trebuchet MS" w:eastAsia="Trebuchet MS" w:hint="default"/>
        </w:rPr>
        <w:t>5.17.3</w:t>
      </w:r>
      <w:r>
        <w:rPr>
          <w:rFonts w:ascii="Trebuchet MS" w:hAnsi="Trebuchet MS" w:cs="Trebuchet MS" w:eastAsia="Trebuchet MS" w:hint="default"/>
          <w:spacing w:val="-26"/>
        </w:rPr>
        <w:t> </w:t>
      </w:r>
      <w:r>
        <w:rPr/>
        <w:t>委托他人进行现金资产管理情况</w:t>
      </w:r>
      <w:r>
        <w:rPr>
          <w:b w:val="0"/>
          <w:bCs w:val="0"/>
        </w:rPr>
      </w:r>
    </w:p>
    <w:p>
      <w:pPr>
        <w:spacing w:line="240" w:lineRule="auto" w:before="2"/>
        <w:rPr>
          <w:rFonts w:ascii="Microsoft JhengHei" w:hAnsi="Microsoft JhengHei" w:cs="Microsoft JhengHei" w:eastAsia="Microsoft JhengHei" w:hint="default"/>
          <w:b/>
          <w:bCs/>
          <w:sz w:val="22"/>
          <w:szCs w:val="22"/>
        </w:rPr>
      </w:pPr>
    </w:p>
    <w:p>
      <w:pPr>
        <w:pStyle w:val="Heading5"/>
        <w:spacing w:line="240" w:lineRule="auto" w:before="0"/>
        <w:ind w:left="213" w:right="1513"/>
        <w:jc w:val="left"/>
        <w:rPr>
          <w:rFonts w:ascii="Microsoft JhengHei" w:hAnsi="Microsoft JhengHei" w:cs="Microsoft JhengHei" w:eastAsia="Microsoft JhengHei" w:hint="default"/>
          <w:b w:val="0"/>
          <w:bCs w:val="0"/>
        </w:rPr>
      </w:pPr>
      <w:bookmarkStart w:name="（1） 委托理财情况" w:id="148"/>
      <w:bookmarkEnd w:id="148"/>
      <w:r>
        <w:rPr>
          <w:b w:val="0"/>
          <w:bCs w:val="0"/>
        </w:rPr>
      </w:r>
      <w:r>
        <w:rPr>
          <w:rFonts w:ascii="Microsoft JhengHei" w:hAnsi="Microsoft JhengHei" w:cs="Microsoft JhengHei" w:eastAsia="Microsoft JhengHei" w:hint="default"/>
        </w:rPr>
        <w:t>（</w:t>
      </w:r>
      <w:r>
        <w:rPr>
          <w:rFonts w:ascii="Trebuchet MS" w:hAnsi="Trebuchet MS" w:cs="Trebuchet MS" w:eastAsia="Trebuchet MS" w:hint="default"/>
        </w:rPr>
        <w:t>1</w:t>
      </w:r>
      <w:r>
        <w:rPr>
          <w:rFonts w:ascii="Microsoft JhengHei" w:hAnsi="Microsoft JhengHei" w:cs="Microsoft JhengHei" w:eastAsia="Microsoft JhengHei" w:hint="default"/>
        </w:rPr>
        <w:t>）</w:t>
      </w:r>
      <w:r>
        <w:rPr>
          <w:rFonts w:ascii="Microsoft JhengHei" w:hAnsi="Microsoft JhengHei" w:cs="Microsoft JhengHei" w:eastAsia="Microsoft JhengHei" w:hint="default"/>
          <w:spacing w:val="47"/>
        </w:rPr>
        <w:t> </w:t>
      </w:r>
      <w:r>
        <w:rPr>
          <w:rFonts w:ascii="Microsoft JhengHei" w:hAnsi="Microsoft JhengHei" w:cs="Microsoft JhengHei" w:eastAsia="Microsoft JhengHei" w:hint="default"/>
        </w:rPr>
        <w:t>委托理财情况</w:t>
      </w:r>
      <w:r>
        <w:rPr>
          <w:rFonts w:ascii="Microsoft JhengHei" w:hAnsi="Microsoft JhengHei" w:cs="Microsoft JhengHei" w:eastAsia="Microsoft JhengHei" w:hint="default"/>
          <w:b w:val="0"/>
          <w:bCs w:val="0"/>
        </w:rPr>
      </w:r>
    </w:p>
    <w:p>
      <w:pPr>
        <w:spacing w:line="240" w:lineRule="auto" w:before="14"/>
        <w:rPr>
          <w:rFonts w:ascii="Microsoft JhengHei" w:hAnsi="Microsoft JhengHei" w:cs="Microsoft JhengHei" w:eastAsia="Microsoft JhengHei" w:hint="default"/>
          <w:b/>
          <w:bCs/>
          <w:sz w:val="17"/>
          <w:szCs w:val="17"/>
        </w:rPr>
      </w:pPr>
    </w:p>
    <w:p>
      <w:pPr>
        <w:spacing w:before="29"/>
        <w:ind w:left="213" w:right="151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222" w:type="dxa"/>
        <w:tblLayout w:type="fixed"/>
        <w:tblCellMar>
          <w:top w:w="0" w:type="dxa"/>
          <w:left w:w="0" w:type="dxa"/>
          <w:bottom w:w="0" w:type="dxa"/>
          <w:right w:w="0" w:type="dxa"/>
        </w:tblCellMar>
        <w:tblLook w:val="01E0"/>
      </w:tblPr>
      <w:tblGrid>
        <w:gridCol w:w="780"/>
        <w:gridCol w:w="853"/>
        <w:gridCol w:w="838"/>
        <w:gridCol w:w="875"/>
        <w:gridCol w:w="785"/>
        <w:gridCol w:w="825"/>
        <w:gridCol w:w="788"/>
        <w:gridCol w:w="811"/>
        <w:gridCol w:w="783"/>
        <w:gridCol w:w="830"/>
        <w:gridCol w:w="790"/>
        <w:gridCol w:w="585"/>
      </w:tblGrid>
      <w:tr>
        <w:trPr>
          <w:trHeight w:val="161" w:hRule="exact"/>
        </w:trPr>
        <w:tc>
          <w:tcPr>
            <w:tcW w:w="1632" w:type="dxa"/>
            <w:gridSpan w:val="2"/>
            <w:vMerge w:val="restart"/>
            <w:tcBorders>
              <w:top w:val="single" w:sz="4" w:space="0" w:color="5B9BD4"/>
              <w:left w:val="nil" w:sz="6" w:space="0" w:color="auto"/>
              <w:right w:val="nil" w:sz="6" w:space="0" w:color="auto"/>
            </w:tcBorders>
            <w:shd w:val="clear" w:color="auto" w:fill="DEEAF6"/>
          </w:tcPr>
          <w:p>
            <w:pPr/>
          </w:p>
        </w:tc>
        <w:tc>
          <w:tcPr>
            <w:tcW w:w="838" w:type="dxa"/>
            <w:vMerge w:val="restart"/>
            <w:tcBorders>
              <w:top w:val="single" w:sz="4" w:space="0" w:color="5B9BD4"/>
              <w:left w:val="nil" w:sz="6" w:space="0" w:color="auto"/>
              <w:right w:val="nil" w:sz="6" w:space="0" w:color="auto"/>
            </w:tcBorders>
            <w:shd w:val="clear" w:color="auto" w:fill="DEEAF6"/>
          </w:tcPr>
          <w:p>
            <w:pPr/>
          </w:p>
        </w:tc>
        <w:tc>
          <w:tcPr>
            <w:tcW w:w="875" w:type="dxa"/>
            <w:vMerge w:val="restart"/>
            <w:tcBorders>
              <w:top w:val="single" w:sz="4" w:space="0" w:color="5B9BD4"/>
              <w:left w:val="nil" w:sz="6" w:space="0" w:color="auto"/>
              <w:right w:val="nil" w:sz="6" w:space="0" w:color="auto"/>
            </w:tcBorders>
            <w:shd w:val="clear" w:color="auto" w:fill="DEEAF6"/>
          </w:tcPr>
          <w:p>
            <w:pPr/>
          </w:p>
        </w:tc>
        <w:tc>
          <w:tcPr>
            <w:tcW w:w="1610" w:type="dxa"/>
            <w:gridSpan w:val="2"/>
            <w:vMerge w:val="restart"/>
            <w:tcBorders>
              <w:top w:val="single" w:sz="4" w:space="0" w:color="5B9BD4"/>
              <w:left w:val="nil" w:sz="6" w:space="0" w:color="auto"/>
              <w:right w:val="nil" w:sz="6" w:space="0" w:color="auto"/>
            </w:tcBorders>
            <w:shd w:val="clear" w:color="auto" w:fill="DEEAF6"/>
          </w:tcPr>
          <w:p>
            <w:pPr/>
          </w:p>
        </w:tc>
        <w:tc>
          <w:tcPr>
            <w:tcW w:w="788" w:type="dxa"/>
            <w:vMerge w:val="restart"/>
            <w:tcBorders>
              <w:top w:val="single" w:sz="4" w:space="0" w:color="5B9BD4"/>
              <w:left w:val="nil" w:sz="6" w:space="0" w:color="auto"/>
              <w:right w:val="nil" w:sz="6" w:space="0" w:color="auto"/>
            </w:tcBorders>
            <w:shd w:val="clear" w:color="auto" w:fill="DEEAF6"/>
          </w:tcPr>
          <w:p>
            <w:pPr/>
          </w:p>
        </w:tc>
        <w:tc>
          <w:tcPr>
            <w:tcW w:w="1595" w:type="dxa"/>
            <w:gridSpan w:val="2"/>
            <w:tcBorders>
              <w:top w:val="single" w:sz="4" w:space="0" w:color="5B9BD4"/>
              <w:left w:val="nil" w:sz="6" w:space="0" w:color="auto"/>
              <w:bottom w:val="nil" w:sz="6" w:space="0" w:color="auto"/>
              <w:right w:val="nil" w:sz="6" w:space="0" w:color="auto"/>
            </w:tcBorders>
            <w:shd w:val="clear" w:color="auto" w:fill="DEEAF6"/>
          </w:tcPr>
          <w:p>
            <w:pPr/>
          </w:p>
        </w:tc>
        <w:tc>
          <w:tcPr>
            <w:tcW w:w="830" w:type="dxa"/>
            <w:vMerge w:val="restart"/>
            <w:tcBorders>
              <w:top w:val="single" w:sz="4" w:space="0" w:color="5B9BD4"/>
              <w:left w:val="nil" w:sz="6" w:space="0" w:color="auto"/>
              <w:right w:val="nil" w:sz="6" w:space="0" w:color="auto"/>
            </w:tcBorders>
            <w:shd w:val="clear" w:color="auto" w:fill="DEEAF6"/>
          </w:tcPr>
          <w:p>
            <w:pPr/>
          </w:p>
        </w:tc>
        <w:tc>
          <w:tcPr>
            <w:tcW w:w="790" w:type="dxa"/>
            <w:tcBorders>
              <w:top w:val="single" w:sz="4" w:space="0" w:color="5B9BD4"/>
              <w:left w:val="nil" w:sz="6" w:space="0" w:color="auto"/>
              <w:bottom w:val="nil" w:sz="6" w:space="0" w:color="auto"/>
              <w:right w:val="nil" w:sz="6" w:space="0" w:color="auto"/>
            </w:tcBorders>
            <w:shd w:val="clear" w:color="auto" w:fill="DEEAF6"/>
          </w:tcPr>
          <w:p>
            <w:pPr/>
          </w:p>
        </w:tc>
        <w:tc>
          <w:tcPr>
            <w:tcW w:w="585" w:type="dxa"/>
            <w:vMerge w:val="restart"/>
            <w:tcBorders>
              <w:top w:val="single" w:sz="4" w:space="0" w:color="5B9BD4"/>
              <w:left w:val="nil" w:sz="6" w:space="0" w:color="auto"/>
              <w:right w:val="nil" w:sz="6" w:space="0" w:color="auto"/>
            </w:tcBorders>
            <w:shd w:val="clear" w:color="auto" w:fill="DEEAF6"/>
          </w:tcPr>
          <w:p>
            <w:pPr>
              <w:pStyle w:val="TableParagraph"/>
              <w:spacing w:line="319" w:lineRule="auto" w:before="46"/>
              <w:ind w:left="28" w:right="14"/>
              <w:jc w:val="both"/>
              <w:rPr>
                <w:rFonts w:ascii="宋体" w:hAnsi="宋体" w:cs="宋体" w:eastAsia="宋体" w:hint="default"/>
                <w:sz w:val="18"/>
                <w:szCs w:val="18"/>
              </w:rPr>
            </w:pPr>
            <w:r>
              <w:rPr>
                <w:rFonts w:ascii="宋体" w:hAnsi="宋体" w:cs="宋体" w:eastAsia="宋体" w:hint="default"/>
                <w:sz w:val="18"/>
                <w:szCs w:val="18"/>
              </w:rPr>
              <w:t>报告期 损益实 际收回 情况</w:t>
            </w:r>
          </w:p>
        </w:tc>
      </w:tr>
      <w:tr>
        <w:trPr>
          <w:trHeight w:val="156" w:hRule="exact"/>
        </w:trPr>
        <w:tc>
          <w:tcPr>
            <w:tcW w:w="1632" w:type="dxa"/>
            <w:gridSpan w:val="2"/>
            <w:vMerge/>
            <w:tcBorders>
              <w:left w:val="nil" w:sz="6" w:space="0" w:color="auto"/>
              <w:bottom w:val="nil" w:sz="6" w:space="0" w:color="auto"/>
              <w:right w:val="nil" w:sz="6" w:space="0" w:color="auto"/>
            </w:tcBorders>
            <w:shd w:val="clear" w:color="auto" w:fill="DEEAF6"/>
          </w:tcPr>
          <w:p>
            <w:pPr/>
          </w:p>
        </w:tc>
        <w:tc>
          <w:tcPr>
            <w:tcW w:w="838" w:type="dxa"/>
            <w:vMerge/>
            <w:tcBorders>
              <w:left w:val="nil" w:sz="6" w:space="0" w:color="auto"/>
              <w:right w:val="nil" w:sz="6" w:space="0" w:color="auto"/>
            </w:tcBorders>
            <w:shd w:val="clear" w:color="auto" w:fill="DEEAF6"/>
          </w:tcPr>
          <w:p>
            <w:pPr/>
          </w:p>
        </w:tc>
        <w:tc>
          <w:tcPr>
            <w:tcW w:w="875" w:type="dxa"/>
            <w:vMerge/>
            <w:tcBorders>
              <w:left w:val="nil" w:sz="6" w:space="0" w:color="auto"/>
              <w:bottom w:val="nil" w:sz="6" w:space="0" w:color="auto"/>
              <w:right w:val="nil" w:sz="6" w:space="0" w:color="auto"/>
            </w:tcBorders>
            <w:shd w:val="clear" w:color="auto" w:fill="DEEAF6"/>
          </w:tcPr>
          <w:p>
            <w:pPr/>
          </w:p>
        </w:tc>
        <w:tc>
          <w:tcPr>
            <w:tcW w:w="1610" w:type="dxa"/>
            <w:gridSpan w:val="2"/>
            <w:vMerge/>
            <w:tcBorders>
              <w:left w:val="nil" w:sz="6" w:space="0" w:color="auto"/>
              <w:right w:val="nil" w:sz="6" w:space="0" w:color="auto"/>
            </w:tcBorders>
            <w:shd w:val="clear" w:color="auto" w:fill="DEEAF6"/>
          </w:tcPr>
          <w:p>
            <w:pPr/>
          </w:p>
        </w:tc>
        <w:tc>
          <w:tcPr>
            <w:tcW w:w="788" w:type="dxa"/>
            <w:vMerge/>
            <w:tcBorders>
              <w:left w:val="nil" w:sz="6" w:space="0" w:color="auto"/>
              <w:bottom w:val="nil" w:sz="6" w:space="0" w:color="auto"/>
              <w:right w:val="nil" w:sz="6" w:space="0" w:color="auto"/>
            </w:tcBorders>
            <w:shd w:val="clear" w:color="auto" w:fill="DEEAF6"/>
          </w:tcPr>
          <w:p>
            <w:pPr/>
          </w:p>
        </w:tc>
        <w:tc>
          <w:tcPr>
            <w:tcW w:w="811" w:type="dxa"/>
            <w:vMerge w:val="restart"/>
            <w:tcBorders>
              <w:top w:val="nil" w:sz="6" w:space="0" w:color="auto"/>
              <w:left w:val="nil" w:sz="6" w:space="0" w:color="auto"/>
              <w:right w:val="nil" w:sz="6" w:space="0" w:color="auto"/>
            </w:tcBorders>
            <w:shd w:val="clear" w:color="auto" w:fill="DEEAF6"/>
          </w:tcPr>
          <w:p>
            <w:pPr>
              <w:pStyle w:val="TableParagraph"/>
              <w:spacing w:line="319" w:lineRule="auto" w:before="46"/>
              <w:ind w:left="41" w:right="47"/>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783"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34" w:right="27"/>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34"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30" w:type="dxa"/>
            <w:vMerge/>
            <w:tcBorders>
              <w:left w:val="nil" w:sz="6" w:space="0" w:color="auto"/>
              <w:right w:val="nil" w:sz="6" w:space="0" w:color="auto"/>
            </w:tcBorders>
            <w:shd w:val="clear" w:color="auto" w:fill="DEEAF6"/>
          </w:tcPr>
          <w:p>
            <w:pPr/>
          </w:p>
        </w:tc>
        <w:tc>
          <w:tcPr>
            <w:tcW w:w="790" w:type="dxa"/>
            <w:vMerge w:val="restart"/>
            <w:tcBorders>
              <w:top w:val="nil" w:sz="6" w:space="0" w:color="auto"/>
              <w:left w:val="nil" w:sz="6" w:space="0" w:color="auto"/>
              <w:right w:val="nil" w:sz="6" w:space="0" w:color="auto"/>
            </w:tcBorders>
            <w:shd w:val="clear" w:color="auto" w:fill="DEEAF6"/>
          </w:tcPr>
          <w:p>
            <w:pPr>
              <w:pStyle w:val="TableParagraph"/>
              <w:spacing w:line="319" w:lineRule="auto" w:before="46"/>
              <w:ind w:left="27" w:right="41"/>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c>
          <w:tcPr>
            <w:tcW w:w="585" w:type="dxa"/>
            <w:vMerge/>
            <w:tcBorders>
              <w:left w:val="nil" w:sz="6" w:space="0" w:color="auto"/>
              <w:right w:val="nil" w:sz="6" w:space="0" w:color="auto"/>
            </w:tcBorders>
            <w:shd w:val="clear" w:color="auto" w:fill="DEEAF6"/>
          </w:tcPr>
          <w:p>
            <w:pPr/>
          </w:p>
        </w:tc>
      </w:tr>
      <w:tr>
        <w:trPr>
          <w:trHeight w:val="156" w:hRule="exact"/>
        </w:trPr>
        <w:tc>
          <w:tcPr>
            <w:tcW w:w="780" w:type="dxa"/>
            <w:vMerge w:val="restart"/>
            <w:tcBorders>
              <w:top w:val="nil" w:sz="6" w:space="0" w:color="auto"/>
              <w:left w:val="nil" w:sz="6" w:space="0" w:color="auto"/>
              <w:right w:val="nil" w:sz="6" w:space="0" w:color="auto"/>
            </w:tcBorders>
            <w:shd w:val="clear" w:color="auto" w:fill="DEEAF6"/>
          </w:tcPr>
          <w:p>
            <w:pPr>
              <w:pStyle w:val="TableParagraph"/>
              <w:spacing w:line="319" w:lineRule="auto" w:before="46"/>
              <w:ind w:left="295" w:right="31"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853" w:type="dxa"/>
            <w:vMerge w:val="restart"/>
            <w:tcBorders>
              <w:top w:val="nil" w:sz="6" w:space="0" w:color="auto"/>
              <w:left w:val="nil" w:sz="6" w:space="0" w:color="auto"/>
              <w:right w:val="nil" w:sz="6" w:space="0" w:color="auto"/>
            </w:tcBorders>
            <w:shd w:val="clear" w:color="auto" w:fill="DEEAF6"/>
          </w:tcPr>
          <w:p>
            <w:pPr>
              <w:pStyle w:val="TableParagraph"/>
              <w:spacing w:line="319" w:lineRule="auto" w:before="46"/>
              <w:ind w:left="242" w:right="68"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38" w:type="dxa"/>
            <w:vMerge/>
            <w:tcBorders>
              <w:left w:val="nil" w:sz="6" w:space="0" w:color="auto"/>
              <w:bottom w:val="nil" w:sz="6" w:space="0" w:color="auto"/>
              <w:right w:val="nil" w:sz="6" w:space="0" w:color="auto"/>
            </w:tcBorders>
            <w:shd w:val="clear" w:color="auto" w:fill="DEEAF6"/>
          </w:tcPr>
          <w:p>
            <w:pPr/>
          </w:p>
        </w:tc>
        <w:tc>
          <w:tcPr>
            <w:tcW w:w="875" w:type="dxa"/>
            <w:vMerge w:val="restart"/>
            <w:tcBorders>
              <w:top w:val="nil" w:sz="6" w:space="0" w:color="auto"/>
              <w:left w:val="nil" w:sz="6" w:space="0" w:color="auto"/>
              <w:right w:val="nil" w:sz="6" w:space="0" w:color="auto"/>
            </w:tcBorders>
            <w:shd w:val="clear" w:color="auto" w:fill="DEEAF6"/>
          </w:tcPr>
          <w:p>
            <w:pPr>
              <w:pStyle w:val="TableParagraph"/>
              <w:spacing w:line="319" w:lineRule="auto" w:before="46"/>
              <w:ind w:left="243" w:right="89"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1610" w:type="dxa"/>
            <w:gridSpan w:val="2"/>
            <w:vMerge/>
            <w:tcBorders>
              <w:left w:val="nil" w:sz="6" w:space="0" w:color="auto"/>
              <w:bottom w:val="nil" w:sz="6" w:space="0" w:color="auto"/>
              <w:right w:val="nil" w:sz="6" w:space="0" w:color="auto"/>
            </w:tcBorders>
            <w:shd w:val="clear" w:color="auto" w:fill="DEEAF6"/>
          </w:tcPr>
          <w:p>
            <w:pPr/>
          </w:p>
        </w:tc>
        <w:tc>
          <w:tcPr>
            <w:tcW w:w="788" w:type="dxa"/>
            <w:vMerge w:val="restart"/>
            <w:tcBorders>
              <w:top w:val="nil" w:sz="6" w:space="0" w:color="auto"/>
              <w:left w:val="nil" w:sz="6" w:space="0" w:color="auto"/>
              <w:right w:val="nil" w:sz="6" w:space="0" w:color="auto"/>
            </w:tcBorders>
            <w:shd w:val="clear" w:color="auto" w:fill="DEEAF6"/>
          </w:tcPr>
          <w:p>
            <w:pPr>
              <w:pStyle w:val="TableParagraph"/>
              <w:spacing w:line="319" w:lineRule="auto" w:before="46"/>
              <w:ind w:left="207" w:right="38"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811" w:type="dxa"/>
            <w:vMerge/>
            <w:tcBorders>
              <w:left w:val="nil" w:sz="6" w:space="0" w:color="auto"/>
              <w:right w:val="nil" w:sz="6" w:space="0" w:color="auto"/>
            </w:tcBorders>
            <w:shd w:val="clear" w:color="auto" w:fill="DEEAF6"/>
          </w:tcPr>
          <w:p>
            <w:pPr/>
          </w:p>
        </w:tc>
        <w:tc>
          <w:tcPr>
            <w:tcW w:w="783" w:type="dxa"/>
            <w:vMerge/>
            <w:tcBorders>
              <w:left w:val="nil" w:sz="6" w:space="0" w:color="auto"/>
              <w:right w:val="nil" w:sz="6" w:space="0" w:color="auto"/>
            </w:tcBorders>
            <w:shd w:val="clear" w:color="auto" w:fill="DEEAF6"/>
          </w:tcPr>
          <w:p>
            <w:pPr/>
          </w:p>
        </w:tc>
        <w:tc>
          <w:tcPr>
            <w:tcW w:w="830" w:type="dxa"/>
            <w:vMerge/>
            <w:tcBorders>
              <w:left w:val="nil" w:sz="6" w:space="0" w:color="auto"/>
              <w:bottom w:val="nil" w:sz="6" w:space="0" w:color="auto"/>
              <w:right w:val="nil" w:sz="6" w:space="0" w:color="auto"/>
            </w:tcBorders>
            <w:shd w:val="clear" w:color="auto" w:fill="DEEAF6"/>
          </w:tcPr>
          <w:p>
            <w:pPr/>
          </w:p>
        </w:tc>
        <w:tc>
          <w:tcPr>
            <w:tcW w:w="790" w:type="dxa"/>
            <w:vMerge/>
            <w:tcBorders>
              <w:left w:val="nil" w:sz="6" w:space="0" w:color="auto"/>
              <w:right w:val="nil" w:sz="6" w:space="0" w:color="auto"/>
            </w:tcBorders>
            <w:shd w:val="clear" w:color="auto" w:fill="DEEAF6"/>
          </w:tcPr>
          <w:p>
            <w:pPr/>
          </w:p>
        </w:tc>
        <w:tc>
          <w:tcPr>
            <w:tcW w:w="585" w:type="dxa"/>
            <w:vMerge/>
            <w:tcBorders>
              <w:left w:val="nil" w:sz="6" w:space="0" w:color="auto"/>
              <w:right w:val="nil" w:sz="6" w:space="0" w:color="auto"/>
            </w:tcBorders>
            <w:shd w:val="clear" w:color="auto" w:fill="DEEAF6"/>
          </w:tcPr>
          <w:p>
            <w:pPr/>
          </w:p>
        </w:tc>
      </w:tr>
      <w:tr>
        <w:trPr>
          <w:trHeight w:val="392" w:hRule="exact"/>
        </w:trPr>
        <w:tc>
          <w:tcPr>
            <w:tcW w:w="780" w:type="dxa"/>
            <w:vMerge/>
            <w:tcBorders>
              <w:left w:val="nil" w:sz="6" w:space="0" w:color="auto"/>
              <w:right w:val="nil" w:sz="6" w:space="0" w:color="auto"/>
            </w:tcBorders>
            <w:shd w:val="clear" w:color="auto" w:fill="DEEAF6"/>
          </w:tcPr>
          <w:p>
            <w:pPr/>
          </w:p>
        </w:tc>
        <w:tc>
          <w:tcPr>
            <w:tcW w:w="853" w:type="dxa"/>
            <w:vMerge/>
            <w:tcBorders>
              <w:left w:val="nil" w:sz="6" w:space="0" w:color="auto"/>
              <w:right w:val="nil" w:sz="6" w:space="0" w:color="auto"/>
            </w:tcBorders>
            <w:shd w:val="clear" w:color="auto" w:fill="DEEAF6"/>
          </w:tcPr>
          <w:p>
            <w:pPr/>
          </w:p>
        </w:tc>
        <w:tc>
          <w:tcPr>
            <w:tcW w:w="838"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45"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875" w:type="dxa"/>
            <w:vMerge/>
            <w:tcBorders>
              <w:left w:val="nil" w:sz="6" w:space="0" w:color="auto"/>
              <w:right w:val="nil" w:sz="6" w:space="0" w:color="auto"/>
            </w:tcBorders>
            <w:shd w:val="clear" w:color="auto" w:fill="DEEAF6"/>
          </w:tcPr>
          <w:p>
            <w:pPr/>
          </w:p>
        </w:tc>
        <w:tc>
          <w:tcPr>
            <w:tcW w:w="785"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825"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48"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788" w:type="dxa"/>
            <w:vMerge/>
            <w:tcBorders>
              <w:left w:val="nil" w:sz="6" w:space="0" w:color="auto"/>
              <w:right w:val="nil" w:sz="6" w:space="0" w:color="auto"/>
            </w:tcBorders>
            <w:shd w:val="clear" w:color="auto" w:fill="DEEAF6"/>
          </w:tcPr>
          <w:p>
            <w:pPr/>
          </w:p>
        </w:tc>
        <w:tc>
          <w:tcPr>
            <w:tcW w:w="811" w:type="dxa"/>
            <w:vMerge/>
            <w:tcBorders>
              <w:left w:val="nil" w:sz="6" w:space="0" w:color="auto"/>
              <w:right w:val="nil" w:sz="6" w:space="0" w:color="auto"/>
            </w:tcBorders>
            <w:shd w:val="clear" w:color="auto" w:fill="DEEAF6"/>
          </w:tcPr>
          <w:p>
            <w:pPr/>
          </w:p>
        </w:tc>
        <w:tc>
          <w:tcPr>
            <w:tcW w:w="783" w:type="dxa"/>
            <w:vMerge/>
            <w:tcBorders>
              <w:left w:val="nil" w:sz="6" w:space="0" w:color="auto"/>
              <w:right w:val="nil" w:sz="6" w:space="0" w:color="auto"/>
            </w:tcBorders>
            <w:shd w:val="clear" w:color="auto" w:fill="DEEAF6"/>
          </w:tcPr>
          <w:p>
            <w:pPr/>
          </w:p>
        </w:tc>
        <w:tc>
          <w:tcPr>
            <w:tcW w:w="830"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55" w:right="0"/>
              <w:jc w:val="left"/>
              <w:rPr>
                <w:rFonts w:ascii="宋体" w:hAnsi="宋体" w:cs="宋体" w:eastAsia="宋体" w:hint="default"/>
                <w:sz w:val="18"/>
                <w:szCs w:val="18"/>
              </w:rPr>
            </w:pPr>
            <w:r>
              <w:rPr>
                <w:rFonts w:ascii="宋体" w:hAnsi="宋体" w:cs="宋体" w:eastAsia="宋体" w:hint="default"/>
                <w:sz w:val="18"/>
                <w:szCs w:val="18"/>
              </w:rPr>
              <w:t>预计收益</w:t>
            </w:r>
          </w:p>
        </w:tc>
        <w:tc>
          <w:tcPr>
            <w:tcW w:w="790" w:type="dxa"/>
            <w:vMerge/>
            <w:tcBorders>
              <w:left w:val="nil" w:sz="6" w:space="0" w:color="auto"/>
              <w:right w:val="nil" w:sz="6" w:space="0" w:color="auto"/>
            </w:tcBorders>
            <w:shd w:val="clear" w:color="auto" w:fill="DEEAF6"/>
          </w:tcPr>
          <w:p>
            <w:pPr/>
          </w:p>
        </w:tc>
        <w:tc>
          <w:tcPr>
            <w:tcW w:w="585" w:type="dxa"/>
            <w:vMerge/>
            <w:tcBorders>
              <w:left w:val="nil" w:sz="6" w:space="0" w:color="auto"/>
              <w:right w:val="nil" w:sz="6" w:space="0" w:color="auto"/>
            </w:tcBorders>
            <w:shd w:val="clear" w:color="auto" w:fill="DEEAF6"/>
          </w:tcPr>
          <w:p>
            <w:pPr/>
          </w:p>
        </w:tc>
      </w:tr>
      <w:tr>
        <w:trPr>
          <w:trHeight w:val="156" w:hRule="exact"/>
        </w:trPr>
        <w:tc>
          <w:tcPr>
            <w:tcW w:w="780" w:type="dxa"/>
            <w:vMerge/>
            <w:tcBorders>
              <w:left w:val="nil" w:sz="6" w:space="0" w:color="auto"/>
              <w:bottom w:val="nil" w:sz="6" w:space="0" w:color="auto"/>
              <w:right w:val="nil" w:sz="6" w:space="0" w:color="auto"/>
            </w:tcBorders>
            <w:shd w:val="clear" w:color="auto" w:fill="DEEAF6"/>
          </w:tcPr>
          <w:p>
            <w:pPr/>
          </w:p>
        </w:tc>
        <w:tc>
          <w:tcPr>
            <w:tcW w:w="853" w:type="dxa"/>
            <w:vMerge/>
            <w:tcBorders>
              <w:left w:val="nil" w:sz="6" w:space="0" w:color="auto"/>
              <w:bottom w:val="nil" w:sz="6" w:space="0" w:color="auto"/>
              <w:right w:val="nil" w:sz="6" w:space="0" w:color="auto"/>
            </w:tcBorders>
            <w:shd w:val="clear" w:color="auto" w:fill="DEEAF6"/>
          </w:tcPr>
          <w:p>
            <w:pPr/>
          </w:p>
        </w:tc>
        <w:tc>
          <w:tcPr>
            <w:tcW w:w="838" w:type="dxa"/>
            <w:vMerge w:val="restart"/>
            <w:tcBorders>
              <w:top w:val="nil" w:sz="6" w:space="0" w:color="auto"/>
              <w:left w:val="nil" w:sz="6" w:space="0" w:color="auto"/>
              <w:right w:val="nil" w:sz="6" w:space="0" w:color="auto"/>
            </w:tcBorders>
            <w:shd w:val="clear" w:color="auto" w:fill="DEEAF6"/>
          </w:tcPr>
          <w:p>
            <w:pPr/>
          </w:p>
        </w:tc>
        <w:tc>
          <w:tcPr>
            <w:tcW w:w="875" w:type="dxa"/>
            <w:vMerge/>
            <w:tcBorders>
              <w:left w:val="nil" w:sz="6" w:space="0" w:color="auto"/>
              <w:bottom w:val="nil" w:sz="6" w:space="0" w:color="auto"/>
              <w:right w:val="nil" w:sz="6" w:space="0" w:color="auto"/>
            </w:tcBorders>
            <w:shd w:val="clear" w:color="auto" w:fill="DEEAF6"/>
          </w:tcPr>
          <w:p>
            <w:pPr/>
          </w:p>
        </w:tc>
        <w:tc>
          <w:tcPr>
            <w:tcW w:w="1610" w:type="dxa"/>
            <w:gridSpan w:val="2"/>
            <w:vMerge w:val="restart"/>
            <w:tcBorders>
              <w:top w:val="nil" w:sz="6" w:space="0" w:color="auto"/>
              <w:left w:val="nil" w:sz="6" w:space="0" w:color="auto"/>
              <w:right w:val="nil" w:sz="6" w:space="0" w:color="auto"/>
            </w:tcBorders>
            <w:shd w:val="clear" w:color="auto" w:fill="DEEAF6"/>
          </w:tcPr>
          <w:p>
            <w:pPr/>
          </w:p>
        </w:tc>
        <w:tc>
          <w:tcPr>
            <w:tcW w:w="788" w:type="dxa"/>
            <w:vMerge/>
            <w:tcBorders>
              <w:left w:val="nil" w:sz="6" w:space="0" w:color="auto"/>
              <w:bottom w:val="nil" w:sz="6" w:space="0" w:color="auto"/>
              <w:right w:val="nil" w:sz="6" w:space="0" w:color="auto"/>
            </w:tcBorders>
            <w:shd w:val="clear" w:color="auto" w:fill="DEEAF6"/>
          </w:tcPr>
          <w:p>
            <w:pPr/>
          </w:p>
        </w:tc>
        <w:tc>
          <w:tcPr>
            <w:tcW w:w="811" w:type="dxa"/>
            <w:vMerge/>
            <w:tcBorders>
              <w:left w:val="nil" w:sz="6" w:space="0" w:color="auto"/>
              <w:right w:val="nil" w:sz="6" w:space="0" w:color="auto"/>
            </w:tcBorders>
            <w:shd w:val="clear" w:color="auto" w:fill="DEEAF6"/>
          </w:tcPr>
          <w:p>
            <w:pPr/>
          </w:p>
        </w:tc>
        <w:tc>
          <w:tcPr>
            <w:tcW w:w="783" w:type="dxa"/>
            <w:vMerge/>
            <w:tcBorders>
              <w:left w:val="nil" w:sz="6" w:space="0" w:color="auto"/>
              <w:right w:val="nil" w:sz="6" w:space="0" w:color="auto"/>
            </w:tcBorders>
            <w:shd w:val="clear" w:color="auto" w:fill="DEEAF6"/>
          </w:tcPr>
          <w:p>
            <w:pPr/>
          </w:p>
        </w:tc>
        <w:tc>
          <w:tcPr>
            <w:tcW w:w="830" w:type="dxa"/>
            <w:vMerge w:val="restart"/>
            <w:tcBorders>
              <w:top w:val="nil" w:sz="6" w:space="0" w:color="auto"/>
              <w:left w:val="nil" w:sz="6" w:space="0" w:color="auto"/>
              <w:right w:val="nil" w:sz="6" w:space="0" w:color="auto"/>
            </w:tcBorders>
            <w:shd w:val="clear" w:color="auto" w:fill="DEEAF6"/>
          </w:tcPr>
          <w:p>
            <w:pPr/>
          </w:p>
        </w:tc>
        <w:tc>
          <w:tcPr>
            <w:tcW w:w="790" w:type="dxa"/>
            <w:vMerge/>
            <w:tcBorders>
              <w:left w:val="nil" w:sz="6" w:space="0" w:color="auto"/>
              <w:right w:val="nil" w:sz="6" w:space="0" w:color="auto"/>
            </w:tcBorders>
            <w:shd w:val="clear" w:color="auto" w:fill="DEEAF6"/>
          </w:tcPr>
          <w:p>
            <w:pPr/>
          </w:p>
        </w:tc>
        <w:tc>
          <w:tcPr>
            <w:tcW w:w="585" w:type="dxa"/>
            <w:vMerge/>
            <w:tcBorders>
              <w:left w:val="nil" w:sz="6" w:space="0" w:color="auto"/>
              <w:right w:val="nil" w:sz="6" w:space="0" w:color="auto"/>
            </w:tcBorders>
            <w:shd w:val="clear" w:color="auto" w:fill="DEEAF6"/>
          </w:tcPr>
          <w:p>
            <w:pPr/>
          </w:p>
        </w:tc>
      </w:tr>
      <w:tr>
        <w:trPr>
          <w:trHeight w:val="156" w:hRule="exact"/>
        </w:trPr>
        <w:tc>
          <w:tcPr>
            <w:tcW w:w="1632" w:type="dxa"/>
            <w:gridSpan w:val="2"/>
            <w:vMerge w:val="restart"/>
            <w:tcBorders>
              <w:top w:val="nil" w:sz="6" w:space="0" w:color="auto"/>
              <w:left w:val="nil" w:sz="6" w:space="0" w:color="auto"/>
              <w:right w:val="nil" w:sz="6" w:space="0" w:color="auto"/>
            </w:tcBorders>
            <w:shd w:val="clear" w:color="auto" w:fill="DEEAF6"/>
          </w:tcPr>
          <w:p>
            <w:pPr/>
          </w:p>
        </w:tc>
        <w:tc>
          <w:tcPr>
            <w:tcW w:w="838" w:type="dxa"/>
            <w:vMerge/>
            <w:tcBorders>
              <w:left w:val="nil" w:sz="6" w:space="0" w:color="auto"/>
              <w:right w:val="nil" w:sz="6" w:space="0" w:color="auto"/>
            </w:tcBorders>
            <w:shd w:val="clear" w:color="auto" w:fill="DEEAF6"/>
          </w:tcPr>
          <w:p>
            <w:pPr/>
          </w:p>
        </w:tc>
        <w:tc>
          <w:tcPr>
            <w:tcW w:w="875" w:type="dxa"/>
            <w:vMerge w:val="restart"/>
            <w:tcBorders>
              <w:top w:val="nil" w:sz="6" w:space="0" w:color="auto"/>
              <w:left w:val="nil" w:sz="6" w:space="0" w:color="auto"/>
              <w:right w:val="nil" w:sz="6" w:space="0" w:color="auto"/>
            </w:tcBorders>
            <w:shd w:val="clear" w:color="auto" w:fill="DEEAF6"/>
          </w:tcPr>
          <w:p>
            <w:pPr/>
          </w:p>
        </w:tc>
        <w:tc>
          <w:tcPr>
            <w:tcW w:w="1610" w:type="dxa"/>
            <w:gridSpan w:val="2"/>
            <w:vMerge/>
            <w:tcBorders>
              <w:left w:val="nil" w:sz="6" w:space="0" w:color="auto"/>
              <w:right w:val="nil" w:sz="6" w:space="0" w:color="auto"/>
            </w:tcBorders>
            <w:shd w:val="clear" w:color="auto" w:fill="DEEAF6"/>
          </w:tcPr>
          <w:p>
            <w:pPr/>
          </w:p>
        </w:tc>
        <w:tc>
          <w:tcPr>
            <w:tcW w:w="788" w:type="dxa"/>
            <w:vMerge w:val="restart"/>
            <w:tcBorders>
              <w:top w:val="nil" w:sz="6" w:space="0" w:color="auto"/>
              <w:left w:val="nil" w:sz="6" w:space="0" w:color="auto"/>
              <w:right w:val="nil" w:sz="6" w:space="0" w:color="auto"/>
            </w:tcBorders>
            <w:shd w:val="clear" w:color="auto" w:fill="DEEAF6"/>
          </w:tcPr>
          <w:p>
            <w:pPr/>
          </w:p>
        </w:tc>
        <w:tc>
          <w:tcPr>
            <w:tcW w:w="811" w:type="dxa"/>
            <w:vMerge/>
            <w:tcBorders>
              <w:left w:val="nil" w:sz="6" w:space="0" w:color="auto"/>
              <w:bottom w:val="nil" w:sz="6" w:space="0" w:color="auto"/>
              <w:right w:val="nil" w:sz="6" w:space="0" w:color="auto"/>
            </w:tcBorders>
            <w:shd w:val="clear" w:color="auto" w:fill="DEEAF6"/>
          </w:tcPr>
          <w:p>
            <w:pPr/>
          </w:p>
        </w:tc>
        <w:tc>
          <w:tcPr>
            <w:tcW w:w="783" w:type="dxa"/>
            <w:vMerge/>
            <w:tcBorders>
              <w:left w:val="nil" w:sz="6" w:space="0" w:color="auto"/>
              <w:bottom w:val="nil" w:sz="6" w:space="0" w:color="auto"/>
              <w:right w:val="nil" w:sz="6" w:space="0" w:color="auto"/>
            </w:tcBorders>
            <w:shd w:val="clear" w:color="auto" w:fill="DEEAF6"/>
          </w:tcPr>
          <w:p>
            <w:pPr/>
          </w:p>
        </w:tc>
        <w:tc>
          <w:tcPr>
            <w:tcW w:w="830" w:type="dxa"/>
            <w:vMerge/>
            <w:tcBorders>
              <w:left w:val="nil" w:sz="6" w:space="0" w:color="auto"/>
              <w:right w:val="nil" w:sz="6" w:space="0" w:color="auto"/>
            </w:tcBorders>
            <w:shd w:val="clear" w:color="auto" w:fill="DEEAF6"/>
          </w:tcPr>
          <w:p>
            <w:pPr/>
          </w:p>
        </w:tc>
        <w:tc>
          <w:tcPr>
            <w:tcW w:w="790" w:type="dxa"/>
            <w:vMerge/>
            <w:tcBorders>
              <w:left w:val="nil" w:sz="6" w:space="0" w:color="auto"/>
              <w:bottom w:val="nil" w:sz="6" w:space="0" w:color="auto"/>
              <w:right w:val="nil" w:sz="6" w:space="0" w:color="auto"/>
            </w:tcBorders>
            <w:shd w:val="clear" w:color="auto" w:fill="DEEAF6"/>
          </w:tcPr>
          <w:p>
            <w:pPr/>
          </w:p>
        </w:tc>
        <w:tc>
          <w:tcPr>
            <w:tcW w:w="585" w:type="dxa"/>
            <w:vMerge/>
            <w:tcBorders>
              <w:left w:val="nil" w:sz="6" w:space="0" w:color="auto"/>
              <w:right w:val="nil" w:sz="6" w:space="0" w:color="auto"/>
            </w:tcBorders>
            <w:shd w:val="clear" w:color="auto" w:fill="DEEAF6"/>
          </w:tcPr>
          <w:p>
            <w:pPr/>
          </w:p>
        </w:tc>
      </w:tr>
      <w:tr>
        <w:trPr>
          <w:trHeight w:val="161" w:hRule="exact"/>
        </w:trPr>
        <w:tc>
          <w:tcPr>
            <w:tcW w:w="1632" w:type="dxa"/>
            <w:gridSpan w:val="2"/>
            <w:vMerge/>
            <w:tcBorders>
              <w:left w:val="nil" w:sz="6" w:space="0" w:color="auto"/>
              <w:bottom w:val="single" w:sz="4" w:space="0" w:color="5B9BD4"/>
              <w:right w:val="nil" w:sz="6" w:space="0" w:color="auto"/>
            </w:tcBorders>
            <w:shd w:val="clear" w:color="auto" w:fill="DEEAF6"/>
          </w:tcPr>
          <w:p>
            <w:pPr/>
          </w:p>
        </w:tc>
        <w:tc>
          <w:tcPr>
            <w:tcW w:w="838" w:type="dxa"/>
            <w:vMerge/>
            <w:tcBorders>
              <w:left w:val="nil" w:sz="6" w:space="0" w:color="auto"/>
              <w:bottom w:val="single" w:sz="4" w:space="0" w:color="5B9BD4"/>
              <w:right w:val="nil" w:sz="6" w:space="0" w:color="auto"/>
            </w:tcBorders>
            <w:shd w:val="clear" w:color="auto" w:fill="DEEAF6"/>
          </w:tcPr>
          <w:p>
            <w:pPr/>
          </w:p>
        </w:tc>
        <w:tc>
          <w:tcPr>
            <w:tcW w:w="875" w:type="dxa"/>
            <w:vMerge/>
            <w:tcBorders>
              <w:left w:val="nil" w:sz="6" w:space="0" w:color="auto"/>
              <w:bottom w:val="single" w:sz="4" w:space="0" w:color="5B9BD4"/>
              <w:right w:val="nil" w:sz="6" w:space="0" w:color="auto"/>
            </w:tcBorders>
            <w:shd w:val="clear" w:color="auto" w:fill="DEEAF6"/>
          </w:tcPr>
          <w:p>
            <w:pPr/>
          </w:p>
        </w:tc>
        <w:tc>
          <w:tcPr>
            <w:tcW w:w="1610" w:type="dxa"/>
            <w:gridSpan w:val="2"/>
            <w:vMerge/>
            <w:tcBorders>
              <w:left w:val="nil" w:sz="6" w:space="0" w:color="auto"/>
              <w:bottom w:val="single" w:sz="4" w:space="0" w:color="5B9BD4"/>
              <w:right w:val="nil" w:sz="6" w:space="0" w:color="auto"/>
            </w:tcBorders>
            <w:shd w:val="clear" w:color="auto" w:fill="DEEAF6"/>
          </w:tcPr>
          <w:p>
            <w:pPr/>
          </w:p>
        </w:tc>
        <w:tc>
          <w:tcPr>
            <w:tcW w:w="788" w:type="dxa"/>
            <w:vMerge/>
            <w:tcBorders>
              <w:left w:val="nil" w:sz="6" w:space="0" w:color="auto"/>
              <w:bottom w:val="single" w:sz="4" w:space="0" w:color="5B9BD4"/>
              <w:right w:val="nil" w:sz="6" w:space="0" w:color="auto"/>
            </w:tcBorders>
            <w:shd w:val="clear" w:color="auto" w:fill="DEEAF6"/>
          </w:tcPr>
          <w:p>
            <w:pPr/>
          </w:p>
        </w:tc>
        <w:tc>
          <w:tcPr>
            <w:tcW w:w="1595" w:type="dxa"/>
            <w:gridSpan w:val="2"/>
            <w:tcBorders>
              <w:top w:val="nil" w:sz="6" w:space="0" w:color="auto"/>
              <w:left w:val="nil" w:sz="6" w:space="0" w:color="auto"/>
              <w:bottom w:val="single" w:sz="4" w:space="0" w:color="5B9BD4"/>
              <w:right w:val="nil" w:sz="6" w:space="0" w:color="auto"/>
            </w:tcBorders>
            <w:shd w:val="clear" w:color="auto" w:fill="DEEAF6"/>
          </w:tcPr>
          <w:p>
            <w:pPr/>
          </w:p>
        </w:tc>
        <w:tc>
          <w:tcPr>
            <w:tcW w:w="830" w:type="dxa"/>
            <w:vMerge/>
            <w:tcBorders>
              <w:left w:val="nil" w:sz="6" w:space="0" w:color="auto"/>
              <w:bottom w:val="single" w:sz="4" w:space="0" w:color="5B9BD4"/>
              <w:right w:val="nil" w:sz="6" w:space="0" w:color="auto"/>
            </w:tcBorders>
            <w:shd w:val="clear" w:color="auto" w:fill="DEEAF6"/>
          </w:tcPr>
          <w:p>
            <w:pPr/>
          </w:p>
        </w:tc>
        <w:tc>
          <w:tcPr>
            <w:tcW w:w="790" w:type="dxa"/>
            <w:tcBorders>
              <w:top w:val="nil" w:sz="6" w:space="0" w:color="auto"/>
              <w:left w:val="nil" w:sz="6" w:space="0" w:color="auto"/>
              <w:bottom w:val="single" w:sz="4" w:space="0" w:color="5B9BD4"/>
              <w:right w:val="nil" w:sz="6" w:space="0" w:color="auto"/>
            </w:tcBorders>
            <w:shd w:val="clear" w:color="auto" w:fill="DEEAF6"/>
          </w:tcPr>
          <w:p>
            <w:pPr/>
          </w:p>
        </w:tc>
        <w:tc>
          <w:tcPr>
            <w:tcW w:w="585" w:type="dxa"/>
            <w:vMerge/>
            <w:tcBorders>
              <w:left w:val="nil" w:sz="6" w:space="0" w:color="auto"/>
              <w:bottom w:val="single" w:sz="4" w:space="0" w:color="5B9BD4"/>
              <w:right w:val="nil" w:sz="6" w:space="0" w:color="auto"/>
            </w:tcBorders>
            <w:shd w:val="clear" w:color="auto" w:fill="DEEAF6"/>
          </w:tcPr>
          <w:p>
            <w:pPr/>
          </w:p>
        </w:tc>
      </w:tr>
      <w:tr>
        <w:trPr>
          <w:trHeight w:val="317" w:hRule="exact"/>
        </w:trPr>
        <w:tc>
          <w:tcPr>
            <w:tcW w:w="780" w:type="dxa"/>
            <w:tcBorders>
              <w:top w:val="single" w:sz="4" w:space="0" w:color="5B9BD4"/>
              <w:left w:val="nil" w:sz="6" w:space="0" w:color="auto"/>
              <w:bottom w:val="nil" w:sz="6" w:space="0" w:color="auto"/>
              <w:right w:val="nil" w:sz="6" w:space="0" w:color="auto"/>
            </w:tcBorders>
            <w:shd w:val="clear" w:color="auto" w:fill="DEEAF6"/>
          </w:tcPr>
          <w:p>
            <w:pPr/>
          </w:p>
        </w:tc>
        <w:tc>
          <w:tcPr>
            <w:tcW w:w="853"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vMerge w:val="restart"/>
            <w:tcBorders>
              <w:top w:val="single" w:sz="4" w:space="0" w:color="5B9BD4"/>
              <w:left w:val="nil" w:sz="6" w:space="0" w:color="auto"/>
              <w:right w:val="nil" w:sz="6" w:space="0" w:color="auto"/>
            </w:tcBorders>
            <w:shd w:val="clear" w:color="auto" w:fill="DEEAF6"/>
          </w:tcPr>
          <w:p>
            <w:pPr/>
          </w:p>
        </w:tc>
        <w:tc>
          <w:tcPr>
            <w:tcW w:w="875"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84" w:right="0"/>
              <w:jc w:val="left"/>
              <w:rPr>
                <w:rFonts w:ascii="Arial" w:hAnsi="Arial" w:cs="Arial" w:eastAsia="Arial" w:hint="default"/>
                <w:sz w:val="18"/>
                <w:szCs w:val="18"/>
              </w:rPr>
            </w:pPr>
            <w:r>
              <w:rPr>
                <w:rFonts w:ascii="Arial"/>
                <w:sz w:val="18"/>
              </w:rPr>
              <w:t>70,000</w:t>
            </w:r>
          </w:p>
        </w:tc>
        <w:tc>
          <w:tcPr>
            <w:tcW w:w="785" w:type="dxa"/>
            <w:tcBorders>
              <w:top w:val="single" w:sz="4" w:space="0" w:color="5B9BD4"/>
              <w:left w:val="nil" w:sz="6" w:space="0" w:color="auto"/>
              <w:bottom w:val="nil" w:sz="6" w:space="0" w:color="auto"/>
              <w:right w:val="nil" w:sz="6" w:space="0" w:color="auto"/>
            </w:tcBorders>
            <w:shd w:val="clear" w:color="auto" w:fill="DEEAF6"/>
          </w:tcPr>
          <w:p>
            <w:pPr/>
          </w:p>
        </w:tc>
        <w:tc>
          <w:tcPr>
            <w:tcW w:w="825" w:type="dxa"/>
            <w:vMerge w:val="restart"/>
            <w:tcBorders>
              <w:top w:val="single" w:sz="4" w:space="0" w:color="5B9BD4"/>
              <w:left w:val="nil" w:sz="6" w:space="0" w:color="auto"/>
              <w:right w:val="single" w:sz="12" w:space="0" w:color="DEEAF6"/>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5"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w:t>
            </w:r>
          </w:p>
          <w:p>
            <w:pPr>
              <w:pStyle w:val="TableParagraph"/>
              <w:spacing w:line="240" w:lineRule="auto" w:before="63"/>
              <w:ind w:left="35"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w:hAnsi="Arial" w:cs="Arial" w:eastAsia="Arial" w:hint="default"/>
                <w:sz w:val="18"/>
                <w:szCs w:val="18"/>
              </w:rPr>
              <w:t>31</w:t>
            </w:r>
          </w:p>
          <w:p>
            <w:pPr>
              <w:pStyle w:val="TableParagraph"/>
              <w:spacing w:line="240" w:lineRule="auto" w:before="65"/>
              <w:ind w:left="3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vMerge w:val="restart"/>
            <w:tcBorders>
              <w:top w:val="single" w:sz="4" w:space="0" w:color="5B9BD4"/>
              <w:left w:val="nil" w:sz="6" w:space="0" w:color="auto"/>
              <w:right w:val="nil" w:sz="6" w:space="0" w:color="auto"/>
            </w:tcBorders>
            <w:shd w:val="clear" w:color="auto" w:fill="DEEAF6"/>
          </w:tcPr>
          <w:p>
            <w:pPr>
              <w:pStyle w:val="TableParagraph"/>
              <w:spacing w:line="319" w:lineRule="auto" w:before="46"/>
              <w:ind w:left="14" w:right="51"/>
              <w:jc w:val="both"/>
              <w:rPr>
                <w:rFonts w:ascii="宋体" w:hAnsi="宋体" w:cs="宋体" w:eastAsia="宋体" w:hint="default"/>
                <w:sz w:val="18"/>
                <w:szCs w:val="18"/>
              </w:rPr>
            </w:pPr>
            <w:r>
              <w:rPr>
                <w:rFonts w:ascii="宋体" w:hAnsi="宋体" w:cs="宋体" w:eastAsia="宋体" w:hint="default"/>
                <w:sz w:val="18"/>
                <w:szCs w:val="18"/>
              </w:rPr>
              <w:t>以交易日 官网公布 的当日年 化理财收 益率为准</w:t>
            </w:r>
          </w:p>
        </w:tc>
        <w:tc>
          <w:tcPr>
            <w:tcW w:w="811" w:type="dxa"/>
            <w:vMerge w:val="restart"/>
            <w:tcBorders>
              <w:top w:val="single" w:sz="4" w:space="0" w:color="5B9BD4"/>
              <w:left w:val="single" w:sz="12" w:space="0" w:color="DEEAF6"/>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12" w:right="0"/>
              <w:jc w:val="left"/>
              <w:rPr>
                <w:rFonts w:ascii="Arial" w:hAnsi="Arial" w:cs="Arial" w:eastAsia="Arial" w:hint="default"/>
                <w:sz w:val="18"/>
                <w:szCs w:val="18"/>
              </w:rPr>
            </w:pPr>
            <w:r>
              <w:rPr>
                <w:rFonts w:ascii="Arial"/>
                <w:sz w:val="18"/>
              </w:rPr>
              <w:t>70,000</w:t>
            </w:r>
          </w:p>
        </w:tc>
        <w:tc>
          <w:tcPr>
            <w:tcW w:w="783" w:type="dxa"/>
            <w:vMerge w:val="restart"/>
            <w:tcBorders>
              <w:top w:val="single" w:sz="4" w:space="0" w:color="5B9BD4"/>
              <w:left w:val="nil" w:sz="6" w:space="0" w:color="auto"/>
              <w:right w:val="nil" w:sz="6" w:space="0" w:color="auto"/>
            </w:tcBorders>
            <w:shd w:val="clear" w:color="auto" w:fill="DEEAF6"/>
          </w:tcPr>
          <w:p>
            <w:pPr/>
          </w:p>
        </w:tc>
        <w:tc>
          <w:tcPr>
            <w:tcW w:w="830"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40" w:right="0"/>
              <w:jc w:val="left"/>
              <w:rPr>
                <w:rFonts w:ascii="Arial" w:hAnsi="Arial" w:cs="Arial" w:eastAsia="Arial" w:hint="default"/>
                <w:sz w:val="18"/>
                <w:szCs w:val="18"/>
              </w:rPr>
            </w:pPr>
            <w:r>
              <w:rPr>
                <w:rFonts w:ascii="Arial"/>
                <w:sz w:val="18"/>
              </w:rPr>
              <w:t>460.82</w:t>
            </w:r>
          </w:p>
        </w:tc>
        <w:tc>
          <w:tcPr>
            <w:tcW w:w="790" w:type="dxa"/>
            <w:vMerge w:val="restart"/>
            <w:tcBorders>
              <w:top w:val="single" w:sz="4" w:space="0" w:color="5B9BD4"/>
              <w:left w:val="nil" w:sz="6" w:space="0" w:color="auto"/>
              <w:right w:val="nil" w:sz="6" w:space="0" w:color="auto"/>
            </w:tcBorders>
            <w:shd w:val="clear" w:color="auto" w:fill="DEEAF6"/>
          </w:tcPr>
          <w:p>
            <w:pPr/>
          </w:p>
        </w:tc>
        <w:tc>
          <w:tcPr>
            <w:tcW w:w="585"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360" w:lineRule="auto" w:before="123"/>
              <w:ind w:left="27" w:right="15"/>
              <w:jc w:val="left"/>
              <w:rPr>
                <w:rFonts w:ascii="Arial" w:hAnsi="Arial" w:cs="Arial" w:eastAsia="Arial" w:hint="default"/>
                <w:sz w:val="18"/>
                <w:szCs w:val="18"/>
              </w:rPr>
            </w:pPr>
            <w:r>
              <w:rPr>
                <w:rFonts w:ascii="宋体" w:hAnsi="宋体" w:cs="宋体" w:eastAsia="宋体" w:hint="default"/>
                <w:sz w:val="18"/>
                <w:szCs w:val="18"/>
              </w:rPr>
              <w:t>已到账 </w:t>
            </w:r>
            <w:r>
              <w:rPr>
                <w:rFonts w:ascii="Arial" w:hAnsi="Arial" w:cs="Arial" w:eastAsia="Arial" w:hint="default"/>
                <w:sz w:val="18"/>
                <w:szCs w:val="18"/>
              </w:rPr>
              <w:t>460.8</w:t>
            </w:r>
          </w:p>
          <w:p>
            <w:pPr>
              <w:pStyle w:val="TableParagraph"/>
              <w:spacing w:line="213" w:lineRule="exact"/>
              <w:ind w:left="27"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7"/>
                <w:sz w:val="18"/>
                <w:szCs w:val="18"/>
              </w:rPr>
              <w:t> </w:t>
            </w:r>
            <w:r>
              <w:rPr>
                <w:rFonts w:ascii="宋体" w:hAnsi="宋体" w:cs="宋体" w:eastAsia="宋体" w:hint="default"/>
                <w:sz w:val="18"/>
                <w:szCs w:val="18"/>
              </w:rPr>
              <w:t>万元</w:t>
            </w:r>
          </w:p>
        </w:tc>
      </w:tr>
      <w:tr>
        <w:trPr>
          <w:trHeight w:val="156" w:hRule="exact"/>
        </w:trPr>
        <w:tc>
          <w:tcPr>
            <w:tcW w:w="780" w:type="dxa"/>
            <w:vMerge w:val="restart"/>
            <w:tcBorders>
              <w:top w:val="nil" w:sz="6" w:space="0" w:color="auto"/>
              <w:left w:val="nil" w:sz="6" w:space="0" w:color="auto"/>
              <w:right w:val="nil" w:sz="6" w:space="0" w:color="auto"/>
            </w:tcBorders>
            <w:shd w:val="clear" w:color="auto" w:fill="DEEAF6"/>
          </w:tcPr>
          <w:p>
            <w:pPr>
              <w:pStyle w:val="TableParagraph"/>
              <w:spacing w:line="319" w:lineRule="auto" w:before="47"/>
              <w:ind w:left="13" w:right="43"/>
              <w:jc w:val="both"/>
              <w:rPr>
                <w:rFonts w:ascii="宋体" w:hAnsi="宋体" w:cs="宋体" w:eastAsia="宋体" w:hint="default"/>
                <w:sz w:val="18"/>
                <w:szCs w:val="18"/>
              </w:rPr>
            </w:pPr>
            <w:r>
              <w:rPr>
                <w:rFonts w:ascii="宋体" w:hAnsi="宋体" w:cs="宋体" w:eastAsia="宋体" w:hint="default"/>
                <w:sz w:val="18"/>
                <w:szCs w:val="18"/>
              </w:rPr>
              <w:t>广发银行 城市广场 支行</w:t>
            </w:r>
          </w:p>
        </w:tc>
        <w:tc>
          <w:tcPr>
            <w:tcW w:w="853" w:type="dxa"/>
            <w:vMerge/>
            <w:tcBorders>
              <w:left w:val="nil" w:sz="6" w:space="0" w:color="auto"/>
              <w:right w:val="nil" w:sz="6" w:space="0" w:color="auto"/>
            </w:tcBorders>
          </w:tcPr>
          <w:p>
            <w:pPr/>
          </w:p>
        </w:tc>
        <w:tc>
          <w:tcPr>
            <w:tcW w:w="838" w:type="dxa"/>
            <w:vMerge/>
            <w:tcBorders>
              <w:left w:val="nil" w:sz="6" w:space="0" w:color="auto"/>
              <w:bottom w:val="nil" w:sz="6" w:space="0" w:color="auto"/>
              <w:right w:val="nil" w:sz="6" w:space="0" w:color="auto"/>
            </w:tcBorders>
            <w:shd w:val="clear" w:color="auto" w:fill="DEEAF6"/>
          </w:tcPr>
          <w:p>
            <w:pPr/>
          </w:p>
        </w:tc>
        <w:tc>
          <w:tcPr>
            <w:tcW w:w="875" w:type="dxa"/>
            <w:vMerge/>
            <w:tcBorders>
              <w:left w:val="nil" w:sz="6" w:space="0" w:color="auto"/>
              <w:right w:val="nil" w:sz="6" w:space="0" w:color="auto"/>
            </w:tcBorders>
          </w:tcPr>
          <w:p>
            <w:pPr/>
          </w:p>
        </w:tc>
        <w:tc>
          <w:tcPr>
            <w:tcW w:w="785" w:type="dxa"/>
            <w:vMerge w:val="restart"/>
            <w:tcBorders>
              <w:top w:val="nil" w:sz="6" w:space="0" w:color="auto"/>
              <w:left w:val="nil" w:sz="6" w:space="0" w:color="auto"/>
              <w:right w:val="nil" w:sz="6" w:space="0" w:color="auto"/>
            </w:tcBorders>
            <w:shd w:val="clear" w:color="auto" w:fill="DEEAF6"/>
          </w:tcPr>
          <w:p>
            <w:pPr>
              <w:pStyle w:val="TableParagraph"/>
              <w:spacing w:line="240" w:lineRule="auto" w:before="47"/>
              <w:ind w:left="14"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w:t>
            </w:r>
          </w:p>
          <w:p>
            <w:pPr>
              <w:pStyle w:val="TableParagraph"/>
              <w:spacing w:line="240" w:lineRule="auto" w:before="63"/>
              <w:ind w:left="14" w:right="0"/>
              <w:jc w:val="left"/>
              <w:rPr>
                <w:rFonts w:ascii="Arial" w:hAnsi="Arial" w:cs="Arial" w:eastAsia="Arial" w:hint="default"/>
                <w:sz w:val="18"/>
                <w:szCs w:val="18"/>
              </w:rPr>
            </w:pPr>
            <w:r>
              <w:rPr>
                <w:rFonts w:ascii="Arial" w:hAnsi="Arial" w:cs="Arial" w:eastAsia="Arial" w:hint="default"/>
                <w:sz w:val="18"/>
                <w:szCs w:val="18"/>
              </w:rPr>
              <w:t>03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w:hAnsi="Arial" w:cs="Arial" w:eastAsia="Arial" w:hint="default"/>
                <w:sz w:val="18"/>
                <w:szCs w:val="18"/>
              </w:rPr>
              <w:t>25</w:t>
            </w:r>
          </w:p>
          <w:p>
            <w:pPr>
              <w:pStyle w:val="TableParagraph"/>
              <w:spacing w:line="240" w:lineRule="auto" w:before="65"/>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25" w:type="dxa"/>
            <w:vMerge/>
            <w:tcBorders>
              <w:left w:val="nil" w:sz="6" w:space="0" w:color="auto"/>
              <w:right w:val="single" w:sz="12" w:space="0" w:color="DEEAF6"/>
            </w:tcBorders>
          </w:tcPr>
          <w:p>
            <w:pPr/>
          </w:p>
        </w:tc>
        <w:tc>
          <w:tcPr>
            <w:tcW w:w="788" w:type="dxa"/>
            <w:vMerge/>
            <w:tcBorders>
              <w:left w:val="nil" w:sz="6" w:space="0" w:color="auto"/>
              <w:right w:val="nil" w:sz="6" w:space="0" w:color="auto"/>
            </w:tcBorders>
            <w:shd w:val="clear" w:color="auto" w:fill="DEEAF6"/>
          </w:tcPr>
          <w:p>
            <w:pPr/>
          </w:p>
        </w:tc>
        <w:tc>
          <w:tcPr>
            <w:tcW w:w="811" w:type="dxa"/>
            <w:vMerge/>
            <w:tcBorders>
              <w:left w:val="single" w:sz="12" w:space="0" w:color="DEEAF6"/>
              <w:right w:val="nil" w:sz="6" w:space="0" w:color="auto"/>
            </w:tcBorders>
          </w:tcPr>
          <w:p>
            <w:pPr/>
          </w:p>
        </w:tc>
        <w:tc>
          <w:tcPr>
            <w:tcW w:w="783" w:type="dxa"/>
            <w:vMerge/>
            <w:tcBorders>
              <w:left w:val="nil" w:sz="6" w:space="0" w:color="auto"/>
              <w:right w:val="nil" w:sz="6" w:space="0" w:color="auto"/>
            </w:tcBorders>
            <w:shd w:val="clear" w:color="auto" w:fill="DEEAF6"/>
          </w:tcPr>
          <w:p>
            <w:pPr/>
          </w:p>
        </w:tc>
        <w:tc>
          <w:tcPr>
            <w:tcW w:w="830" w:type="dxa"/>
            <w:vMerge/>
            <w:tcBorders>
              <w:left w:val="nil" w:sz="6" w:space="0" w:color="auto"/>
              <w:right w:val="nil" w:sz="6" w:space="0" w:color="auto"/>
            </w:tcBorders>
          </w:tcPr>
          <w:p>
            <w:pPr/>
          </w:p>
        </w:tc>
        <w:tc>
          <w:tcPr>
            <w:tcW w:w="790" w:type="dxa"/>
            <w:vMerge/>
            <w:tcBorders>
              <w:left w:val="nil" w:sz="6" w:space="0" w:color="auto"/>
              <w:right w:val="nil" w:sz="6" w:space="0" w:color="auto"/>
            </w:tcBorders>
            <w:shd w:val="clear" w:color="auto" w:fill="DEEAF6"/>
          </w:tcPr>
          <w:p>
            <w:pPr/>
          </w:p>
        </w:tc>
        <w:tc>
          <w:tcPr>
            <w:tcW w:w="585" w:type="dxa"/>
            <w:vMerge/>
            <w:tcBorders>
              <w:left w:val="nil" w:sz="6" w:space="0" w:color="auto"/>
              <w:right w:val="nil" w:sz="6" w:space="0" w:color="auto"/>
            </w:tcBorders>
          </w:tcPr>
          <w:p>
            <w:pPr/>
          </w:p>
        </w:tc>
      </w:tr>
      <w:tr>
        <w:trPr>
          <w:trHeight w:val="156" w:hRule="exact"/>
        </w:trPr>
        <w:tc>
          <w:tcPr>
            <w:tcW w:w="780" w:type="dxa"/>
            <w:vMerge/>
            <w:tcBorders>
              <w:left w:val="nil" w:sz="6" w:space="0" w:color="auto"/>
              <w:right w:val="nil" w:sz="6" w:space="0" w:color="auto"/>
            </w:tcBorders>
            <w:shd w:val="clear" w:color="auto" w:fill="DEEAF6"/>
          </w:tcPr>
          <w:p>
            <w:pPr/>
          </w:p>
        </w:tc>
        <w:tc>
          <w:tcPr>
            <w:tcW w:w="853" w:type="dxa"/>
            <w:vMerge/>
            <w:tcBorders>
              <w:left w:val="nil" w:sz="6" w:space="0" w:color="auto"/>
              <w:right w:val="nil" w:sz="6" w:space="0" w:color="auto"/>
            </w:tcBorders>
          </w:tcPr>
          <w:p>
            <w:pPr/>
          </w:p>
        </w:tc>
        <w:tc>
          <w:tcPr>
            <w:tcW w:w="838" w:type="dxa"/>
            <w:vMerge w:val="restart"/>
            <w:tcBorders>
              <w:top w:val="nil" w:sz="6" w:space="0" w:color="auto"/>
              <w:left w:val="nil" w:sz="6" w:space="0" w:color="auto"/>
              <w:right w:val="nil" w:sz="6" w:space="0" w:color="auto"/>
            </w:tcBorders>
            <w:shd w:val="clear" w:color="auto" w:fill="DEEAF6"/>
          </w:tcPr>
          <w:p>
            <w:pPr>
              <w:pStyle w:val="TableParagraph"/>
              <w:spacing w:line="319" w:lineRule="auto" w:before="46"/>
              <w:ind w:left="13" w:right="102"/>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5" w:type="dxa"/>
            <w:vMerge/>
            <w:tcBorders>
              <w:left w:val="nil" w:sz="6" w:space="0" w:color="auto"/>
              <w:right w:val="nil" w:sz="6" w:space="0" w:color="auto"/>
            </w:tcBorders>
          </w:tcPr>
          <w:p>
            <w:pPr/>
          </w:p>
        </w:tc>
        <w:tc>
          <w:tcPr>
            <w:tcW w:w="785" w:type="dxa"/>
            <w:vMerge/>
            <w:tcBorders>
              <w:left w:val="nil" w:sz="6" w:space="0" w:color="auto"/>
              <w:right w:val="nil" w:sz="6" w:space="0" w:color="auto"/>
            </w:tcBorders>
            <w:shd w:val="clear" w:color="auto" w:fill="DEEAF6"/>
          </w:tcPr>
          <w:p>
            <w:pPr/>
          </w:p>
        </w:tc>
        <w:tc>
          <w:tcPr>
            <w:tcW w:w="825" w:type="dxa"/>
            <w:vMerge/>
            <w:tcBorders>
              <w:left w:val="nil" w:sz="6" w:space="0" w:color="auto"/>
              <w:right w:val="single" w:sz="12" w:space="0" w:color="DEEAF6"/>
            </w:tcBorders>
          </w:tcPr>
          <w:p>
            <w:pPr/>
          </w:p>
        </w:tc>
        <w:tc>
          <w:tcPr>
            <w:tcW w:w="788" w:type="dxa"/>
            <w:vMerge/>
            <w:tcBorders>
              <w:left w:val="nil" w:sz="6" w:space="0" w:color="auto"/>
              <w:right w:val="nil" w:sz="6" w:space="0" w:color="auto"/>
            </w:tcBorders>
            <w:shd w:val="clear" w:color="auto" w:fill="DEEAF6"/>
          </w:tcPr>
          <w:p>
            <w:pPr/>
          </w:p>
        </w:tc>
        <w:tc>
          <w:tcPr>
            <w:tcW w:w="811" w:type="dxa"/>
            <w:vMerge/>
            <w:tcBorders>
              <w:left w:val="single" w:sz="12" w:space="0" w:color="DEEAF6"/>
              <w:right w:val="nil" w:sz="6" w:space="0" w:color="auto"/>
            </w:tcBorders>
          </w:tcPr>
          <w:p>
            <w:pPr/>
          </w:p>
        </w:tc>
        <w:tc>
          <w:tcPr>
            <w:tcW w:w="783" w:type="dxa"/>
            <w:vMerge/>
            <w:tcBorders>
              <w:left w:val="nil" w:sz="6" w:space="0" w:color="auto"/>
              <w:bottom w:val="nil" w:sz="6" w:space="0" w:color="auto"/>
              <w:right w:val="nil" w:sz="6" w:space="0" w:color="auto"/>
            </w:tcBorders>
            <w:shd w:val="clear" w:color="auto" w:fill="DEEAF6"/>
          </w:tcPr>
          <w:p>
            <w:pPr/>
          </w:p>
        </w:tc>
        <w:tc>
          <w:tcPr>
            <w:tcW w:w="830" w:type="dxa"/>
            <w:vMerge/>
            <w:tcBorders>
              <w:left w:val="nil" w:sz="6" w:space="0" w:color="auto"/>
              <w:right w:val="nil" w:sz="6" w:space="0" w:color="auto"/>
            </w:tcBorders>
          </w:tcPr>
          <w:p>
            <w:pPr/>
          </w:p>
        </w:tc>
        <w:tc>
          <w:tcPr>
            <w:tcW w:w="790" w:type="dxa"/>
            <w:vMerge/>
            <w:tcBorders>
              <w:left w:val="nil" w:sz="6" w:space="0" w:color="auto"/>
              <w:bottom w:val="nil" w:sz="6" w:space="0" w:color="auto"/>
              <w:right w:val="nil" w:sz="6" w:space="0" w:color="auto"/>
            </w:tcBorders>
            <w:shd w:val="clear" w:color="auto" w:fill="DEEAF6"/>
          </w:tcPr>
          <w:p>
            <w:pPr/>
          </w:p>
        </w:tc>
        <w:tc>
          <w:tcPr>
            <w:tcW w:w="585" w:type="dxa"/>
            <w:vMerge/>
            <w:tcBorders>
              <w:left w:val="nil" w:sz="6" w:space="0" w:color="auto"/>
              <w:right w:val="nil" w:sz="6" w:space="0" w:color="auto"/>
            </w:tcBorders>
          </w:tcPr>
          <w:p>
            <w:pPr/>
          </w:p>
        </w:tc>
      </w:tr>
      <w:tr>
        <w:trPr>
          <w:trHeight w:val="392" w:hRule="exact"/>
        </w:trPr>
        <w:tc>
          <w:tcPr>
            <w:tcW w:w="780" w:type="dxa"/>
            <w:vMerge/>
            <w:tcBorders>
              <w:left w:val="nil" w:sz="6" w:space="0" w:color="auto"/>
              <w:right w:val="nil" w:sz="6" w:space="0" w:color="auto"/>
            </w:tcBorders>
            <w:shd w:val="clear" w:color="auto" w:fill="DEEAF6"/>
          </w:tcPr>
          <w:p>
            <w:pPr/>
          </w:p>
        </w:tc>
        <w:tc>
          <w:tcPr>
            <w:tcW w:w="853" w:type="dxa"/>
            <w:vMerge/>
            <w:tcBorders>
              <w:left w:val="nil" w:sz="6" w:space="0" w:color="auto"/>
              <w:right w:val="nil" w:sz="6" w:space="0" w:color="auto"/>
            </w:tcBorders>
          </w:tcPr>
          <w:p>
            <w:pPr/>
          </w:p>
        </w:tc>
        <w:tc>
          <w:tcPr>
            <w:tcW w:w="838" w:type="dxa"/>
            <w:vMerge/>
            <w:tcBorders>
              <w:left w:val="nil" w:sz="6" w:space="0" w:color="auto"/>
              <w:right w:val="nil" w:sz="6" w:space="0" w:color="auto"/>
            </w:tcBorders>
            <w:shd w:val="clear" w:color="auto" w:fill="DEEAF6"/>
          </w:tcPr>
          <w:p>
            <w:pPr/>
          </w:p>
        </w:tc>
        <w:tc>
          <w:tcPr>
            <w:tcW w:w="875" w:type="dxa"/>
            <w:vMerge/>
            <w:tcBorders>
              <w:left w:val="nil" w:sz="6" w:space="0" w:color="auto"/>
              <w:right w:val="nil" w:sz="6" w:space="0" w:color="auto"/>
            </w:tcBorders>
          </w:tcPr>
          <w:p>
            <w:pPr/>
          </w:p>
        </w:tc>
        <w:tc>
          <w:tcPr>
            <w:tcW w:w="785" w:type="dxa"/>
            <w:vMerge/>
            <w:tcBorders>
              <w:left w:val="nil" w:sz="6" w:space="0" w:color="auto"/>
              <w:right w:val="nil" w:sz="6" w:space="0" w:color="auto"/>
            </w:tcBorders>
            <w:shd w:val="clear" w:color="auto" w:fill="DEEAF6"/>
          </w:tcPr>
          <w:p>
            <w:pPr/>
          </w:p>
        </w:tc>
        <w:tc>
          <w:tcPr>
            <w:tcW w:w="825" w:type="dxa"/>
            <w:vMerge/>
            <w:tcBorders>
              <w:left w:val="nil" w:sz="6" w:space="0" w:color="auto"/>
              <w:right w:val="single" w:sz="12" w:space="0" w:color="DEEAF6"/>
            </w:tcBorders>
          </w:tcPr>
          <w:p>
            <w:pPr/>
          </w:p>
        </w:tc>
        <w:tc>
          <w:tcPr>
            <w:tcW w:w="788" w:type="dxa"/>
            <w:vMerge/>
            <w:tcBorders>
              <w:left w:val="nil" w:sz="6" w:space="0" w:color="auto"/>
              <w:right w:val="nil" w:sz="6" w:space="0" w:color="auto"/>
            </w:tcBorders>
            <w:shd w:val="clear" w:color="auto" w:fill="DEEAF6"/>
          </w:tcPr>
          <w:p>
            <w:pPr/>
          </w:p>
        </w:tc>
        <w:tc>
          <w:tcPr>
            <w:tcW w:w="811" w:type="dxa"/>
            <w:vMerge/>
            <w:tcBorders>
              <w:left w:val="single" w:sz="12" w:space="0" w:color="DEEAF6"/>
              <w:right w:val="nil" w:sz="6" w:space="0" w:color="auto"/>
            </w:tcBorders>
          </w:tcPr>
          <w:p>
            <w:pPr/>
          </w:p>
        </w:tc>
        <w:tc>
          <w:tcPr>
            <w:tcW w:w="783" w:type="dxa"/>
            <w:tcBorders>
              <w:top w:val="nil" w:sz="6" w:space="0" w:color="auto"/>
              <w:left w:val="nil" w:sz="6" w:space="0" w:color="auto"/>
              <w:bottom w:val="nil" w:sz="6" w:space="0" w:color="auto"/>
              <w:right w:val="nil" w:sz="6" w:space="0" w:color="auto"/>
            </w:tcBorders>
            <w:shd w:val="clear" w:color="auto" w:fill="DEEAF6"/>
          </w:tcPr>
          <w:p>
            <w:pPr/>
          </w:p>
        </w:tc>
        <w:tc>
          <w:tcPr>
            <w:tcW w:w="830" w:type="dxa"/>
            <w:vMerge/>
            <w:tcBorders>
              <w:left w:val="nil" w:sz="6" w:space="0" w:color="auto"/>
              <w:right w:val="nil" w:sz="6" w:space="0" w:color="auto"/>
            </w:tcBorders>
          </w:tcPr>
          <w:p>
            <w:pPr/>
          </w:p>
        </w:tc>
        <w:tc>
          <w:tcPr>
            <w:tcW w:w="790"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left="212" w:right="0"/>
              <w:jc w:val="left"/>
              <w:rPr>
                <w:rFonts w:ascii="Arial" w:hAnsi="Arial" w:cs="Arial" w:eastAsia="Arial" w:hint="default"/>
                <w:sz w:val="18"/>
                <w:szCs w:val="18"/>
              </w:rPr>
            </w:pPr>
            <w:r>
              <w:rPr>
                <w:rFonts w:ascii="Arial"/>
                <w:sz w:val="18"/>
              </w:rPr>
              <w:t>460.82</w:t>
            </w:r>
          </w:p>
        </w:tc>
        <w:tc>
          <w:tcPr>
            <w:tcW w:w="585" w:type="dxa"/>
            <w:vMerge/>
            <w:tcBorders>
              <w:left w:val="nil" w:sz="6" w:space="0" w:color="auto"/>
              <w:right w:val="nil" w:sz="6" w:space="0" w:color="auto"/>
            </w:tcBorders>
          </w:tcPr>
          <w:p>
            <w:pPr/>
          </w:p>
        </w:tc>
      </w:tr>
      <w:tr>
        <w:trPr>
          <w:trHeight w:val="156" w:hRule="exact"/>
        </w:trPr>
        <w:tc>
          <w:tcPr>
            <w:tcW w:w="780" w:type="dxa"/>
            <w:vMerge/>
            <w:tcBorders>
              <w:left w:val="nil" w:sz="6" w:space="0" w:color="auto"/>
              <w:right w:val="nil" w:sz="6" w:space="0" w:color="auto"/>
            </w:tcBorders>
            <w:shd w:val="clear" w:color="auto" w:fill="DEEAF6"/>
          </w:tcPr>
          <w:p>
            <w:pPr/>
          </w:p>
        </w:tc>
        <w:tc>
          <w:tcPr>
            <w:tcW w:w="853" w:type="dxa"/>
            <w:vMerge/>
            <w:tcBorders>
              <w:left w:val="nil" w:sz="6" w:space="0" w:color="auto"/>
              <w:right w:val="nil" w:sz="6" w:space="0" w:color="auto"/>
            </w:tcBorders>
          </w:tcPr>
          <w:p>
            <w:pPr/>
          </w:p>
        </w:tc>
        <w:tc>
          <w:tcPr>
            <w:tcW w:w="838" w:type="dxa"/>
            <w:vMerge/>
            <w:tcBorders>
              <w:left w:val="nil" w:sz="6" w:space="0" w:color="auto"/>
              <w:bottom w:val="nil" w:sz="6" w:space="0" w:color="auto"/>
              <w:right w:val="nil" w:sz="6" w:space="0" w:color="auto"/>
            </w:tcBorders>
            <w:shd w:val="clear" w:color="auto" w:fill="DEEAF6"/>
          </w:tcPr>
          <w:p>
            <w:pPr/>
          </w:p>
        </w:tc>
        <w:tc>
          <w:tcPr>
            <w:tcW w:w="875" w:type="dxa"/>
            <w:vMerge/>
            <w:tcBorders>
              <w:left w:val="nil" w:sz="6" w:space="0" w:color="auto"/>
              <w:right w:val="nil" w:sz="6" w:space="0" w:color="auto"/>
            </w:tcBorders>
          </w:tcPr>
          <w:p>
            <w:pPr/>
          </w:p>
        </w:tc>
        <w:tc>
          <w:tcPr>
            <w:tcW w:w="785" w:type="dxa"/>
            <w:vMerge/>
            <w:tcBorders>
              <w:left w:val="nil" w:sz="6" w:space="0" w:color="auto"/>
              <w:right w:val="nil" w:sz="6" w:space="0" w:color="auto"/>
            </w:tcBorders>
            <w:shd w:val="clear" w:color="auto" w:fill="DEEAF6"/>
          </w:tcPr>
          <w:p>
            <w:pPr/>
          </w:p>
        </w:tc>
        <w:tc>
          <w:tcPr>
            <w:tcW w:w="825" w:type="dxa"/>
            <w:vMerge/>
            <w:tcBorders>
              <w:left w:val="nil" w:sz="6" w:space="0" w:color="auto"/>
              <w:right w:val="single" w:sz="12" w:space="0" w:color="DEEAF6"/>
            </w:tcBorders>
          </w:tcPr>
          <w:p>
            <w:pPr/>
          </w:p>
        </w:tc>
        <w:tc>
          <w:tcPr>
            <w:tcW w:w="788" w:type="dxa"/>
            <w:vMerge/>
            <w:tcBorders>
              <w:left w:val="nil" w:sz="6" w:space="0" w:color="auto"/>
              <w:right w:val="nil" w:sz="6" w:space="0" w:color="auto"/>
            </w:tcBorders>
            <w:shd w:val="clear" w:color="auto" w:fill="DEEAF6"/>
          </w:tcPr>
          <w:p>
            <w:pPr/>
          </w:p>
        </w:tc>
        <w:tc>
          <w:tcPr>
            <w:tcW w:w="811" w:type="dxa"/>
            <w:vMerge/>
            <w:tcBorders>
              <w:left w:val="single" w:sz="12" w:space="0" w:color="DEEAF6"/>
              <w:right w:val="nil" w:sz="6" w:space="0" w:color="auto"/>
            </w:tcBorders>
          </w:tcPr>
          <w:p>
            <w:pPr/>
          </w:p>
        </w:tc>
        <w:tc>
          <w:tcPr>
            <w:tcW w:w="783" w:type="dxa"/>
            <w:vMerge w:val="restart"/>
            <w:tcBorders>
              <w:top w:val="nil" w:sz="6" w:space="0" w:color="auto"/>
              <w:left w:val="nil" w:sz="6" w:space="0" w:color="auto"/>
              <w:right w:val="nil" w:sz="6" w:space="0" w:color="auto"/>
            </w:tcBorders>
            <w:shd w:val="clear" w:color="auto" w:fill="DEEAF6"/>
          </w:tcPr>
          <w:p>
            <w:pPr/>
          </w:p>
        </w:tc>
        <w:tc>
          <w:tcPr>
            <w:tcW w:w="830" w:type="dxa"/>
            <w:vMerge/>
            <w:tcBorders>
              <w:left w:val="nil" w:sz="6" w:space="0" w:color="auto"/>
              <w:right w:val="nil" w:sz="6" w:space="0" w:color="auto"/>
            </w:tcBorders>
          </w:tcPr>
          <w:p>
            <w:pPr/>
          </w:p>
        </w:tc>
        <w:tc>
          <w:tcPr>
            <w:tcW w:w="790" w:type="dxa"/>
            <w:vMerge w:val="restart"/>
            <w:tcBorders>
              <w:top w:val="nil" w:sz="6" w:space="0" w:color="auto"/>
              <w:left w:val="nil" w:sz="6" w:space="0" w:color="auto"/>
              <w:right w:val="nil" w:sz="6" w:space="0" w:color="auto"/>
            </w:tcBorders>
            <w:shd w:val="clear" w:color="auto" w:fill="DEEAF6"/>
          </w:tcPr>
          <w:p>
            <w:pPr/>
          </w:p>
        </w:tc>
        <w:tc>
          <w:tcPr>
            <w:tcW w:w="585" w:type="dxa"/>
            <w:vMerge/>
            <w:tcBorders>
              <w:left w:val="nil" w:sz="6" w:space="0" w:color="auto"/>
              <w:right w:val="nil" w:sz="6" w:space="0" w:color="auto"/>
            </w:tcBorders>
          </w:tcPr>
          <w:p>
            <w:pPr/>
          </w:p>
        </w:tc>
      </w:tr>
      <w:tr>
        <w:trPr>
          <w:trHeight w:val="156" w:hRule="exact"/>
        </w:trPr>
        <w:tc>
          <w:tcPr>
            <w:tcW w:w="780" w:type="dxa"/>
            <w:vMerge/>
            <w:tcBorders>
              <w:left w:val="nil" w:sz="6" w:space="0" w:color="auto"/>
              <w:bottom w:val="nil" w:sz="6" w:space="0" w:color="auto"/>
              <w:right w:val="nil" w:sz="6" w:space="0" w:color="auto"/>
            </w:tcBorders>
            <w:shd w:val="clear" w:color="auto" w:fill="DEEAF6"/>
          </w:tcPr>
          <w:p>
            <w:pPr/>
          </w:p>
        </w:tc>
        <w:tc>
          <w:tcPr>
            <w:tcW w:w="853" w:type="dxa"/>
            <w:vMerge/>
            <w:tcBorders>
              <w:left w:val="nil" w:sz="6" w:space="0" w:color="auto"/>
              <w:right w:val="nil" w:sz="6" w:space="0" w:color="auto"/>
            </w:tcBorders>
          </w:tcPr>
          <w:p>
            <w:pPr/>
          </w:p>
        </w:tc>
        <w:tc>
          <w:tcPr>
            <w:tcW w:w="838" w:type="dxa"/>
            <w:vMerge w:val="restart"/>
            <w:tcBorders>
              <w:top w:val="nil" w:sz="6" w:space="0" w:color="auto"/>
              <w:left w:val="nil" w:sz="6" w:space="0" w:color="auto"/>
              <w:right w:val="nil" w:sz="6" w:space="0" w:color="auto"/>
            </w:tcBorders>
            <w:shd w:val="clear" w:color="auto" w:fill="DEEAF6"/>
          </w:tcPr>
          <w:p>
            <w:pPr/>
          </w:p>
        </w:tc>
        <w:tc>
          <w:tcPr>
            <w:tcW w:w="875" w:type="dxa"/>
            <w:vMerge/>
            <w:tcBorders>
              <w:left w:val="nil" w:sz="6" w:space="0" w:color="auto"/>
              <w:right w:val="nil" w:sz="6" w:space="0" w:color="auto"/>
            </w:tcBorders>
          </w:tcPr>
          <w:p>
            <w:pPr/>
          </w:p>
        </w:tc>
        <w:tc>
          <w:tcPr>
            <w:tcW w:w="785" w:type="dxa"/>
            <w:vMerge/>
            <w:tcBorders>
              <w:left w:val="nil" w:sz="6" w:space="0" w:color="auto"/>
              <w:bottom w:val="nil" w:sz="6" w:space="0" w:color="auto"/>
              <w:right w:val="nil" w:sz="6" w:space="0" w:color="auto"/>
            </w:tcBorders>
            <w:shd w:val="clear" w:color="auto" w:fill="DEEAF6"/>
          </w:tcPr>
          <w:p>
            <w:pPr/>
          </w:p>
        </w:tc>
        <w:tc>
          <w:tcPr>
            <w:tcW w:w="825" w:type="dxa"/>
            <w:vMerge/>
            <w:tcBorders>
              <w:left w:val="nil" w:sz="6" w:space="0" w:color="auto"/>
              <w:right w:val="single" w:sz="12" w:space="0" w:color="DEEAF6"/>
            </w:tcBorders>
          </w:tcPr>
          <w:p>
            <w:pPr/>
          </w:p>
        </w:tc>
        <w:tc>
          <w:tcPr>
            <w:tcW w:w="788" w:type="dxa"/>
            <w:vMerge/>
            <w:tcBorders>
              <w:left w:val="nil" w:sz="6" w:space="0" w:color="auto"/>
              <w:right w:val="nil" w:sz="6" w:space="0" w:color="auto"/>
            </w:tcBorders>
            <w:shd w:val="clear" w:color="auto" w:fill="DEEAF6"/>
          </w:tcPr>
          <w:p>
            <w:pPr/>
          </w:p>
        </w:tc>
        <w:tc>
          <w:tcPr>
            <w:tcW w:w="811" w:type="dxa"/>
            <w:vMerge/>
            <w:tcBorders>
              <w:left w:val="single" w:sz="12" w:space="0" w:color="DEEAF6"/>
              <w:right w:val="nil" w:sz="6" w:space="0" w:color="auto"/>
            </w:tcBorders>
          </w:tcPr>
          <w:p>
            <w:pPr/>
          </w:p>
        </w:tc>
        <w:tc>
          <w:tcPr>
            <w:tcW w:w="783" w:type="dxa"/>
            <w:vMerge/>
            <w:tcBorders>
              <w:left w:val="nil" w:sz="6" w:space="0" w:color="auto"/>
              <w:right w:val="nil" w:sz="6" w:space="0" w:color="auto"/>
            </w:tcBorders>
            <w:shd w:val="clear" w:color="auto" w:fill="DEEAF6"/>
          </w:tcPr>
          <w:p>
            <w:pPr/>
          </w:p>
        </w:tc>
        <w:tc>
          <w:tcPr>
            <w:tcW w:w="830" w:type="dxa"/>
            <w:vMerge/>
            <w:tcBorders>
              <w:left w:val="nil" w:sz="6" w:space="0" w:color="auto"/>
              <w:right w:val="nil" w:sz="6" w:space="0" w:color="auto"/>
            </w:tcBorders>
          </w:tcPr>
          <w:p>
            <w:pPr/>
          </w:p>
        </w:tc>
        <w:tc>
          <w:tcPr>
            <w:tcW w:w="790" w:type="dxa"/>
            <w:vMerge/>
            <w:tcBorders>
              <w:left w:val="nil" w:sz="6" w:space="0" w:color="auto"/>
              <w:right w:val="nil" w:sz="6" w:space="0" w:color="auto"/>
            </w:tcBorders>
            <w:shd w:val="clear" w:color="auto" w:fill="DEEAF6"/>
          </w:tcPr>
          <w:p>
            <w:pPr/>
          </w:p>
        </w:tc>
        <w:tc>
          <w:tcPr>
            <w:tcW w:w="585" w:type="dxa"/>
            <w:vMerge/>
            <w:tcBorders>
              <w:left w:val="nil" w:sz="6" w:space="0" w:color="auto"/>
              <w:right w:val="nil" w:sz="6" w:space="0" w:color="auto"/>
            </w:tcBorders>
          </w:tcPr>
          <w:p>
            <w:pPr/>
          </w:p>
        </w:tc>
      </w:tr>
      <w:tr>
        <w:trPr>
          <w:trHeight w:val="317" w:hRule="exact"/>
        </w:trPr>
        <w:tc>
          <w:tcPr>
            <w:tcW w:w="780" w:type="dxa"/>
            <w:tcBorders>
              <w:top w:val="nil" w:sz="6" w:space="0" w:color="auto"/>
              <w:left w:val="nil" w:sz="6" w:space="0" w:color="auto"/>
              <w:bottom w:val="single" w:sz="4" w:space="0" w:color="5B9BD4"/>
              <w:right w:val="nil" w:sz="6" w:space="0" w:color="auto"/>
            </w:tcBorders>
            <w:shd w:val="clear" w:color="auto" w:fill="DEEAF6"/>
          </w:tcPr>
          <w:p>
            <w:pPr/>
          </w:p>
        </w:tc>
        <w:tc>
          <w:tcPr>
            <w:tcW w:w="853" w:type="dxa"/>
            <w:vMerge/>
            <w:tcBorders>
              <w:left w:val="nil" w:sz="6" w:space="0" w:color="auto"/>
              <w:bottom w:val="single" w:sz="4" w:space="0" w:color="5B9BD4"/>
              <w:right w:val="nil" w:sz="6" w:space="0" w:color="auto"/>
            </w:tcBorders>
          </w:tcPr>
          <w:p>
            <w:pPr/>
          </w:p>
        </w:tc>
        <w:tc>
          <w:tcPr>
            <w:tcW w:w="838" w:type="dxa"/>
            <w:vMerge/>
            <w:tcBorders>
              <w:left w:val="nil" w:sz="6" w:space="0" w:color="auto"/>
              <w:bottom w:val="single" w:sz="4" w:space="0" w:color="5B9BD4"/>
              <w:right w:val="nil" w:sz="6" w:space="0" w:color="auto"/>
            </w:tcBorders>
            <w:shd w:val="clear" w:color="auto" w:fill="DEEAF6"/>
          </w:tcPr>
          <w:p>
            <w:pPr/>
          </w:p>
        </w:tc>
        <w:tc>
          <w:tcPr>
            <w:tcW w:w="875" w:type="dxa"/>
            <w:vMerge/>
            <w:tcBorders>
              <w:left w:val="nil" w:sz="6" w:space="0" w:color="auto"/>
              <w:bottom w:val="single" w:sz="4" w:space="0" w:color="5B9BD4"/>
              <w:right w:val="nil" w:sz="6" w:space="0" w:color="auto"/>
            </w:tcBorders>
          </w:tcPr>
          <w:p>
            <w:pPr/>
          </w:p>
        </w:tc>
        <w:tc>
          <w:tcPr>
            <w:tcW w:w="785" w:type="dxa"/>
            <w:tcBorders>
              <w:top w:val="nil" w:sz="6" w:space="0" w:color="auto"/>
              <w:left w:val="nil" w:sz="6" w:space="0" w:color="auto"/>
              <w:bottom w:val="single" w:sz="4" w:space="0" w:color="5B9BD4"/>
              <w:right w:val="nil" w:sz="6" w:space="0" w:color="auto"/>
            </w:tcBorders>
            <w:shd w:val="clear" w:color="auto" w:fill="DEEAF6"/>
          </w:tcPr>
          <w:p>
            <w:pPr/>
          </w:p>
        </w:tc>
        <w:tc>
          <w:tcPr>
            <w:tcW w:w="825" w:type="dxa"/>
            <w:vMerge/>
            <w:tcBorders>
              <w:left w:val="nil" w:sz="6" w:space="0" w:color="auto"/>
              <w:bottom w:val="single" w:sz="4" w:space="0" w:color="5B9BD4"/>
              <w:right w:val="single" w:sz="12" w:space="0" w:color="DEEAF6"/>
            </w:tcBorders>
          </w:tcPr>
          <w:p>
            <w:pPr/>
          </w:p>
        </w:tc>
        <w:tc>
          <w:tcPr>
            <w:tcW w:w="788" w:type="dxa"/>
            <w:vMerge/>
            <w:tcBorders>
              <w:left w:val="nil" w:sz="6" w:space="0" w:color="auto"/>
              <w:bottom w:val="single" w:sz="4" w:space="0" w:color="5B9BD4"/>
              <w:right w:val="nil" w:sz="6" w:space="0" w:color="auto"/>
            </w:tcBorders>
            <w:shd w:val="clear" w:color="auto" w:fill="DEEAF6"/>
          </w:tcPr>
          <w:p>
            <w:pPr/>
          </w:p>
        </w:tc>
        <w:tc>
          <w:tcPr>
            <w:tcW w:w="811" w:type="dxa"/>
            <w:vMerge/>
            <w:tcBorders>
              <w:left w:val="single" w:sz="12" w:space="0" w:color="DEEAF6"/>
              <w:bottom w:val="single" w:sz="4" w:space="0" w:color="5B9BD4"/>
              <w:right w:val="nil" w:sz="6" w:space="0" w:color="auto"/>
            </w:tcBorders>
          </w:tcPr>
          <w:p>
            <w:pPr/>
          </w:p>
        </w:tc>
        <w:tc>
          <w:tcPr>
            <w:tcW w:w="783" w:type="dxa"/>
            <w:vMerge/>
            <w:tcBorders>
              <w:left w:val="nil" w:sz="6" w:space="0" w:color="auto"/>
              <w:bottom w:val="single" w:sz="4" w:space="0" w:color="5B9BD4"/>
              <w:right w:val="nil" w:sz="6" w:space="0" w:color="auto"/>
            </w:tcBorders>
            <w:shd w:val="clear" w:color="auto" w:fill="DEEAF6"/>
          </w:tcPr>
          <w:p>
            <w:pPr/>
          </w:p>
        </w:tc>
        <w:tc>
          <w:tcPr>
            <w:tcW w:w="830" w:type="dxa"/>
            <w:vMerge/>
            <w:tcBorders>
              <w:left w:val="nil" w:sz="6" w:space="0" w:color="auto"/>
              <w:bottom w:val="single" w:sz="4" w:space="0" w:color="5B9BD4"/>
              <w:right w:val="nil" w:sz="6" w:space="0" w:color="auto"/>
            </w:tcBorders>
          </w:tcPr>
          <w:p>
            <w:pPr/>
          </w:p>
        </w:tc>
        <w:tc>
          <w:tcPr>
            <w:tcW w:w="790" w:type="dxa"/>
            <w:vMerge/>
            <w:tcBorders>
              <w:left w:val="nil" w:sz="6" w:space="0" w:color="auto"/>
              <w:bottom w:val="single" w:sz="4" w:space="0" w:color="5B9BD4"/>
              <w:right w:val="nil" w:sz="6" w:space="0" w:color="auto"/>
            </w:tcBorders>
            <w:shd w:val="clear" w:color="auto" w:fill="DEEAF6"/>
          </w:tcPr>
          <w:p>
            <w:pPr/>
          </w:p>
        </w:tc>
        <w:tc>
          <w:tcPr>
            <w:tcW w:w="585" w:type="dxa"/>
            <w:vMerge/>
            <w:tcBorders>
              <w:left w:val="nil" w:sz="6" w:space="0" w:color="auto"/>
              <w:bottom w:val="single" w:sz="4" w:space="0" w:color="5B9BD4"/>
              <w:right w:val="nil" w:sz="6" w:space="0" w:color="auto"/>
            </w:tcBorders>
          </w:tcPr>
          <w:p>
            <w:pPr/>
          </w:p>
        </w:tc>
      </w:tr>
    </w:tbl>
    <w:p>
      <w:pPr>
        <w:spacing w:after="0"/>
        <w:sectPr>
          <w:pgSz w:w="11910" w:h="16840"/>
          <w:pgMar w:header="877" w:footer="979" w:top="1100" w:bottom="1160" w:left="920" w:right="0"/>
        </w:sectPr>
      </w:pPr>
    </w:p>
    <w:p>
      <w:pPr>
        <w:spacing w:line="240" w:lineRule="auto" w:before="6"/>
        <w:rPr>
          <w:rFonts w:ascii="宋体" w:hAnsi="宋体" w:cs="宋体" w:eastAsia="宋体" w:hint="default"/>
          <w:sz w:val="24"/>
          <w:szCs w:val="24"/>
        </w:rPr>
      </w:pPr>
    </w:p>
    <w:tbl>
      <w:tblPr>
        <w:tblW w:w="0" w:type="auto"/>
        <w:jc w:val="left"/>
        <w:tblInd w:w="162" w:type="dxa"/>
        <w:tblLayout w:type="fixed"/>
        <w:tblCellMar>
          <w:top w:w="0" w:type="dxa"/>
          <w:left w:w="0" w:type="dxa"/>
          <w:bottom w:w="0" w:type="dxa"/>
          <w:right w:w="0" w:type="dxa"/>
        </w:tblCellMar>
        <w:tblLook w:val="01E0"/>
      </w:tblPr>
      <w:tblGrid>
        <w:gridCol w:w="773"/>
        <w:gridCol w:w="860"/>
        <w:gridCol w:w="810"/>
        <w:gridCol w:w="889"/>
        <w:gridCol w:w="806"/>
        <w:gridCol w:w="804"/>
        <w:gridCol w:w="803"/>
        <w:gridCol w:w="804"/>
        <w:gridCol w:w="804"/>
        <w:gridCol w:w="802"/>
        <w:gridCol w:w="804"/>
        <w:gridCol w:w="599"/>
      </w:tblGrid>
      <w:tr>
        <w:trPr>
          <w:trHeight w:val="317" w:hRule="exact"/>
        </w:trPr>
        <w:tc>
          <w:tcPr>
            <w:tcW w:w="773" w:type="dxa"/>
            <w:tcBorders>
              <w:top w:val="single" w:sz="4" w:space="0" w:color="5B9BD4"/>
              <w:left w:val="nil" w:sz="6" w:space="0" w:color="auto"/>
              <w:bottom w:val="nil" w:sz="6" w:space="0" w:color="auto"/>
              <w:right w:val="nil" w:sz="6" w:space="0" w:color="auto"/>
            </w:tcBorders>
            <w:shd w:val="clear" w:color="auto" w:fill="DEEAF6"/>
          </w:tcPr>
          <w:p>
            <w:pPr/>
          </w:p>
        </w:tc>
        <w:tc>
          <w:tcPr>
            <w:tcW w:w="860"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vMerge w:val="restart"/>
            <w:tcBorders>
              <w:top w:val="single" w:sz="4" w:space="0" w:color="5B9BD4"/>
              <w:left w:val="nil" w:sz="6" w:space="0" w:color="auto"/>
              <w:right w:val="nil" w:sz="6" w:space="0" w:color="auto"/>
            </w:tcBorders>
            <w:shd w:val="clear" w:color="auto" w:fill="DEEAF6"/>
          </w:tcPr>
          <w:p>
            <w:pPr/>
          </w:p>
        </w:tc>
        <w:tc>
          <w:tcPr>
            <w:tcW w:w="889"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12" w:right="0"/>
              <w:jc w:val="left"/>
              <w:rPr>
                <w:rFonts w:ascii="Arial" w:hAnsi="Arial" w:cs="Arial" w:eastAsia="Arial" w:hint="default"/>
                <w:sz w:val="18"/>
                <w:szCs w:val="18"/>
              </w:rPr>
            </w:pPr>
            <w:r>
              <w:rPr>
                <w:rFonts w:ascii="Arial"/>
                <w:sz w:val="18"/>
              </w:rPr>
              <w:t>1,900</w:t>
            </w:r>
          </w:p>
        </w:tc>
        <w:tc>
          <w:tcPr>
            <w:tcW w:w="806"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8"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w:t>
            </w:r>
          </w:p>
          <w:p>
            <w:pPr>
              <w:pStyle w:val="TableParagraph"/>
              <w:spacing w:line="240" w:lineRule="auto" w:before="63"/>
              <w:ind w:left="28" w:right="0"/>
              <w:jc w:val="left"/>
              <w:rPr>
                <w:rFonts w:ascii="Arial" w:hAnsi="Arial" w:cs="Arial" w:eastAsia="Arial" w:hint="default"/>
                <w:sz w:val="18"/>
                <w:szCs w:val="18"/>
              </w:rPr>
            </w:pPr>
            <w:r>
              <w:rPr>
                <w:rFonts w:ascii="Arial" w:hAnsi="Arial" w:cs="Arial" w:eastAsia="Arial" w:hint="default"/>
                <w:sz w:val="18"/>
                <w:szCs w:val="18"/>
              </w:rPr>
              <w:t>01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w:hAnsi="Arial" w:cs="Arial" w:eastAsia="Arial" w:hint="default"/>
                <w:sz w:val="18"/>
                <w:szCs w:val="18"/>
              </w:rPr>
              <w:t>05</w:t>
            </w:r>
          </w:p>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8"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w:t>
            </w:r>
          </w:p>
          <w:p>
            <w:pPr>
              <w:pStyle w:val="TableParagraph"/>
              <w:spacing w:line="240" w:lineRule="auto" w:before="63"/>
              <w:ind w:left="28"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w:hAnsi="Arial" w:cs="Arial" w:eastAsia="Arial" w:hint="default"/>
                <w:sz w:val="18"/>
                <w:szCs w:val="18"/>
              </w:rPr>
              <w:t>31</w:t>
            </w:r>
          </w:p>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vMerge w:val="restart"/>
            <w:tcBorders>
              <w:top w:val="single" w:sz="4" w:space="0" w:color="5B9BD4"/>
              <w:left w:val="nil" w:sz="6" w:space="0" w:color="auto"/>
              <w:right w:val="nil" w:sz="6" w:space="0" w:color="auto"/>
            </w:tcBorders>
            <w:shd w:val="clear" w:color="auto" w:fill="DEEAF6"/>
          </w:tcPr>
          <w:p>
            <w:pPr>
              <w:pStyle w:val="TableParagraph"/>
              <w:spacing w:line="319" w:lineRule="auto" w:before="46"/>
              <w:ind w:left="28" w:right="53"/>
              <w:jc w:val="both"/>
              <w:rPr>
                <w:rFonts w:ascii="宋体" w:hAnsi="宋体" w:cs="宋体" w:eastAsia="宋体" w:hint="default"/>
                <w:sz w:val="18"/>
                <w:szCs w:val="18"/>
              </w:rPr>
            </w:pPr>
            <w:r>
              <w:rPr>
                <w:rFonts w:ascii="宋体" w:hAnsi="宋体" w:cs="宋体" w:eastAsia="宋体" w:hint="default"/>
                <w:sz w:val="18"/>
                <w:szCs w:val="18"/>
              </w:rPr>
              <w:t>以交易日 官网公布 的当日年 化理财收 益率为准</w:t>
            </w:r>
          </w:p>
        </w:tc>
        <w:tc>
          <w:tcPr>
            <w:tcW w:w="804"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26" w:right="0"/>
              <w:jc w:val="left"/>
              <w:rPr>
                <w:rFonts w:ascii="Arial" w:hAnsi="Arial" w:cs="Arial" w:eastAsia="Arial" w:hint="default"/>
                <w:sz w:val="18"/>
                <w:szCs w:val="18"/>
              </w:rPr>
            </w:pPr>
            <w:r>
              <w:rPr>
                <w:rFonts w:ascii="Arial"/>
                <w:sz w:val="18"/>
              </w:rPr>
              <w:t>1,900</w:t>
            </w:r>
          </w:p>
        </w:tc>
        <w:tc>
          <w:tcPr>
            <w:tcW w:w="804" w:type="dxa"/>
            <w:vMerge w:val="restart"/>
            <w:tcBorders>
              <w:top w:val="single" w:sz="4" w:space="0" w:color="5B9BD4"/>
              <w:left w:val="nil" w:sz="6" w:space="0" w:color="auto"/>
              <w:right w:val="nil" w:sz="6" w:space="0" w:color="auto"/>
            </w:tcBorders>
            <w:shd w:val="clear" w:color="auto" w:fill="DEEAF6"/>
          </w:tcPr>
          <w:p>
            <w:pPr/>
          </w:p>
        </w:tc>
        <w:tc>
          <w:tcPr>
            <w:tcW w:w="802"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25" w:right="0"/>
              <w:jc w:val="left"/>
              <w:rPr>
                <w:rFonts w:ascii="Arial" w:hAnsi="Arial" w:cs="Arial" w:eastAsia="Arial" w:hint="default"/>
                <w:sz w:val="18"/>
                <w:szCs w:val="18"/>
              </w:rPr>
            </w:pPr>
            <w:r>
              <w:rPr>
                <w:rFonts w:ascii="Arial"/>
                <w:sz w:val="18"/>
              </w:rPr>
              <w:t>35.44</w:t>
            </w:r>
          </w:p>
        </w:tc>
        <w:tc>
          <w:tcPr>
            <w:tcW w:w="804"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26" w:right="0"/>
              <w:jc w:val="left"/>
              <w:rPr>
                <w:rFonts w:ascii="Arial" w:hAnsi="Arial" w:cs="Arial" w:eastAsia="Arial" w:hint="default"/>
                <w:sz w:val="18"/>
                <w:szCs w:val="18"/>
              </w:rPr>
            </w:pPr>
            <w:r>
              <w:rPr>
                <w:rFonts w:ascii="Arial"/>
                <w:sz w:val="18"/>
              </w:rPr>
              <w:t>35.44</w:t>
            </w:r>
          </w:p>
        </w:tc>
        <w:tc>
          <w:tcPr>
            <w:tcW w:w="599"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360" w:lineRule="auto" w:before="123"/>
              <w:ind w:left="27" w:right="29"/>
              <w:jc w:val="left"/>
              <w:rPr>
                <w:rFonts w:ascii="Arial" w:hAnsi="Arial" w:cs="Arial" w:eastAsia="Arial" w:hint="default"/>
                <w:sz w:val="18"/>
                <w:szCs w:val="18"/>
              </w:rPr>
            </w:pPr>
            <w:r>
              <w:rPr>
                <w:rFonts w:ascii="宋体" w:hAnsi="宋体" w:cs="宋体" w:eastAsia="宋体" w:hint="default"/>
                <w:sz w:val="18"/>
                <w:szCs w:val="18"/>
              </w:rPr>
              <w:t>已到账 </w:t>
            </w:r>
            <w:r>
              <w:rPr>
                <w:rFonts w:ascii="Arial" w:hAnsi="Arial" w:cs="Arial" w:eastAsia="Arial" w:hint="default"/>
                <w:sz w:val="18"/>
                <w:szCs w:val="18"/>
              </w:rPr>
              <w:t>35.44</w:t>
            </w:r>
          </w:p>
          <w:p>
            <w:pPr>
              <w:pStyle w:val="TableParagraph"/>
              <w:spacing w:line="200" w:lineRule="exact"/>
              <w:ind w:left="27"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156" w:hRule="exact"/>
        </w:trPr>
        <w:tc>
          <w:tcPr>
            <w:tcW w:w="773" w:type="dxa"/>
            <w:vMerge w:val="restart"/>
            <w:tcBorders>
              <w:top w:val="nil" w:sz="6" w:space="0" w:color="auto"/>
              <w:left w:val="nil" w:sz="6" w:space="0" w:color="auto"/>
              <w:right w:val="nil" w:sz="6" w:space="0" w:color="auto"/>
            </w:tcBorders>
            <w:shd w:val="clear" w:color="auto" w:fill="DEEAF6"/>
          </w:tcPr>
          <w:p>
            <w:pPr>
              <w:pStyle w:val="TableParagraph"/>
              <w:spacing w:line="319" w:lineRule="auto" w:before="46"/>
              <w:ind w:left="13" w:right="36"/>
              <w:jc w:val="both"/>
              <w:rPr>
                <w:rFonts w:ascii="宋体" w:hAnsi="宋体" w:cs="宋体" w:eastAsia="宋体" w:hint="default"/>
                <w:sz w:val="18"/>
                <w:szCs w:val="18"/>
              </w:rPr>
            </w:pPr>
            <w:r>
              <w:rPr>
                <w:rFonts w:ascii="宋体" w:hAnsi="宋体" w:cs="宋体" w:eastAsia="宋体" w:hint="default"/>
                <w:sz w:val="18"/>
                <w:szCs w:val="18"/>
              </w:rPr>
              <w:t>招商银行 车公庙支 行</w:t>
            </w:r>
          </w:p>
        </w:tc>
        <w:tc>
          <w:tcPr>
            <w:tcW w:w="860" w:type="dxa"/>
            <w:vMerge/>
            <w:tcBorders>
              <w:left w:val="nil" w:sz="6" w:space="0" w:color="auto"/>
              <w:right w:val="nil" w:sz="6" w:space="0" w:color="auto"/>
            </w:tcBorders>
          </w:tcPr>
          <w:p>
            <w:pPr/>
          </w:p>
        </w:tc>
        <w:tc>
          <w:tcPr>
            <w:tcW w:w="810" w:type="dxa"/>
            <w:vMerge/>
            <w:tcBorders>
              <w:left w:val="nil" w:sz="6" w:space="0" w:color="auto"/>
              <w:bottom w:val="nil" w:sz="6" w:space="0" w:color="auto"/>
              <w:right w:val="nil" w:sz="6" w:space="0" w:color="auto"/>
            </w:tcBorders>
            <w:shd w:val="clear" w:color="auto" w:fill="DEEAF6"/>
          </w:tcPr>
          <w:p>
            <w:pPr/>
          </w:p>
        </w:tc>
        <w:tc>
          <w:tcPr>
            <w:tcW w:w="889" w:type="dxa"/>
            <w:vMerge/>
            <w:tcBorders>
              <w:left w:val="nil" w:sz="6" w:space="0" w:color="auto"/>
              <w:right w:val="nil" w:sz="6" w:space="0" w:color="auto"/>
            </w:tcBorders>
          </w:tcPr>
          <w:p>
            <w:pPr/>
          </w:p>
        </w:tc>
        <w:tc>
          <w:tcPr>
            <w:tcW w:w="806" w:type="dxa"/>
            <w:vMerge/>
            <w:tcBorders>
              <w:left w:val="nil" w:sz="6" w:space="0" w:color="auto"/>
              <w:right w:val="nil" w:sz="6" w:space="0" w:color="auto"/>
            </w:tcBorders>
            <w:shd w:val="clear" w:color="auto" w:fill="DEEAF6"/>
          </w:tcPr>
          <w:p>
            <w:pPr/>
          </w:p>
        </w:tc>
        <w:tc>
          <w:tcPr>
            <w:tcW w:w="804" w:type="dxa"/>
            <w:vMerge/>
            <w:tcBorders>
              <w:left w:val="nil" w:sz="6" w:space="0" w:color="auto"/>
              <w:right w:val="nil" w:sz="6" w:space="0" w:color="auto"/>
            </w:tcBorders>
          </w:tcPr>
          <w:p>
            <w:pPr/>
          </w:p>
        </w:tc>
        <w:tc>
          <w:tcPr>
            <w:tcW w:w="803" w:type="dxa"/>
            <w:vMerge/>
            <w:tcBorders>
              <w:left w:val="nil" w:sz="6" w:space="0" w:color="auto"/>
              <w:right w:val="nil" w:sz="6" w:space="0" w:color="auto"/>
            </w:tcBorders>
            <w:shd w:val="clear" w:color="auto" w:fill="DEEAF6"/>
          </w:tcPr>
          <w:p>
            <w:pPr/>
          </w:p>
        </w:tc>
        <w:tc>
          <w:tcPr>
            <w:tcW w:w="804" w:type="dxa"/>
            <w:vMerge/>
            <w:tcBorders>
              <w:left w:val="nil" w:sz="6" w:space="0" w:color="auto"/>
              <w:right w:val="nil" w:sz="6" w:space="0" w:color="auto"/>
            </w:tcBorders>
          </w:tcPr>
          <w:p>
            <w:pPr/>
          </w:p>
        </w:tc>
        <w:tc>
          <w:tcPr>
            <w:tcW w:w="804" w:type="dxa"/>
            <w:vMerge/>
            <w:tcBorders>
              <w:left w:val="nil" w:sz="6" w:space="0" w:color="auto"/>
              <w:right w:val="nil" w:sz="6" w:space="0" w:color="auto"/>
            </w:tcBorders>
            <w:shd w:val="clear" w:color="auto" w:fill="DEEAF6"/>
          </w:tcPr>
          <w:p>
            <w:pPr/>
          </w:p>
        </w:tc>
        <w:tc>
          <w:tcPr>
            <w:tcW w:w="802" w:type="dxa"/>
            <w:vMerge/>
            <w:tcBorders>
              <w:left w:val="nil" w:sz="6" w:space="0" w:color="auto"/>
              <w:right w:val="nil" w:sz="6" w:space="0" w:color="auto"/>
            </w:tcBorders>
          </w:tcPr>
          <w:p>
            <w:pPr/>
          </w:p>
        </w:tc>
        <w:tc>
          <w:tcPr>
            <w:tcW w:w="804" w:type="dxa"/>
            <w:vMerge/>
            <w:tcBorders>
              <w:left w:val="nil" w:sz="6" w:space="0" w:color="auto"/>
              <w:right w:val="nil" w:sz="6" w:space="0" w:color="auto"/>
            </w:tcBorders>
            <w:shd w:val="clear" w:color="auto" w:fill="DEEAF6"/>
          </w:tcPr>
          <w:p>
            <w:pPr/>
          </w:p>
        </w:tc>
        <w:tc>
          <w:tcPr>
            <w:tcW w:w="599" w:type="dxa"/>
            <w:vMerge/>
            <w:tcBorders>
              <w:left w:val="nil" w:sz="6" w:space="0" w:color="auto"/>
              <w:right w:val="nil" w:sz="6" w:space="0" w:color="auto"/>
            </w:tcBorders>
          </w:tcPr>
          <w:p>
            <w:pPr/>
          </w:p>
        </w:tc>
      </w:tr>
      <w:tr>
        <w:trPr>
          <w:trHeight w:val="704" w:hRule="exact"/>
        </w:trPr>
        <w:tc>
          <w:tcPr>
            <w:tcW w:w="773" w:type="dxa"/>
            <w:vMerge/>
            <w:tcBorders>
              <w:left w:val="nil" w:sz="6" w:space="0" w:color="auto"/>
              <w:right w:val="nil" w:sz="6" w:space="0" w:color="auto"/>
            </w:tcBorders>
            <w:shd w:val="clear" w:color="auto" w:fill="DEEAF6"/>
          </w:tcPr>
          <w:p>
            <w:pPr/>
          </w:p>
        </w:tc>
        <w:tc>
          <w:tcPr>
            <w:tcW w:w="860" w:type="dxa"/>
            <w:vMerge/>
            <w:tcBorders>
              <w:left w:val="nil" w:sz="6" w:space="0" w:color="auto"/>
              <w:right w:val="nil" w:sz="6" w:space="0" w:color="auto"/>
            </w:tcBorders>
          </w:tcPr>
          <w:p>
            <w:pPr/>
          </w:p>
        </w:tc>
        <w:tc>
          <w:tcPr>
            <w:tcW w:w="810" w:type="dxa"/>
            <w:tcBorders>
              <w:top w:val="nil" w:sz="6" w:space="0" w:color="auto"/>
              <w:left w:val="nil" w:sz="6" w:space="0" w:color="auto"/>
              <w:bottom w:val="nil" w:sz="6" w:space="0" w:color="auto"/>
              <w:right w:val="nil" w:sz="6" w:space="0" w:color="auto"/>
            </w:tcBorders>
            <w:shd w:val="clear" w:color="auto" w:fill="DEEAF6"/>
          </w:tcPr>
          <w:p>
            <w:pPr>
              <w:pStyle w:val="TableParagraph"/>
              <w:spacing w:line="319" w:lineRule="auto" w:before="46"/>
              <w:ind w:left="13" w:right="74"/>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89" w:type="dxa"/>
            <w:vMerge/>
            <w:tcBorders>
              <w:left w:val="nil" w:sz="6" w:space="0" w:color="auto"/>
              <w:right w:val="nil" w:sz="6" w:space="0" w:color="auto"/>
            </w:tcBorders>
          </w:tcPr>
          <w:p>
            <w:pPr/>
          </w:p>
        </w:tc>
        <w:tc>
          <w:tcPr>
            <w:tcW w:w="806" w:type="dxa"/>
            <w:vMerge/>
            <w:tcBorders>
              <w:left w:val="nil" w:sz="6" w:space="0" w:color="auto"/>
              <w:right w:val="nil" w:sz="6" w:space="0" w:color="auto"/>
            </w:tcBorders>
            <w:shd w:val="clear" w:color="auto" w:fill="DEEAF6"/>
          </w:tcPr>
          <w:p>
            <w:pPr/>
          </w:p>
        </w:tc>
        <w:tc>
          <w:tcPr>
            <w:tcW w:w="804" w:type="dxa"/>
            <w:vMerge/>
            <w:tcBorders>
              <w:left w:val="nil" w:sz="6" w:space="0" w:color="auto"/>
              <w:right w:val="nil" w:sz="6" w:space="0" w:color="auto"/>
            </w:tcBorders>
          </w:tcPr>
          <w:p>
            <w:pPr/>
          </w:p>
        </w:tc>
        <w:tc>
          <w:tcPr>
            <w:tcW w:w="803" w:type="dxa"/>
            <w:vMerge/>
            <w:tcBorders>
              <w:left w:val="nil" w:sz="6" w:space="0" w:color="auto"/>
              <w:right w:val="nil" w:sz="6" w:space="0" w:color="auto"/>
            </w:tcBorders>
            <w:shd w:val="clear" w:color="auto" w:fill="DEEAF6"/>
          </w:tcPr>
          <w:p>
            <w:pPr/>
          </w:p>
        </w:tc>
        <w:tc>
          <w:tcPr>
            <w:tcW w:w="804" w:type="dxa"/>
            <w:vMerge/>
            <w:tcBorders>
              <w:left w:val="nil" w:sz="6" w:space="0" w:color="auto"/>
              <w:right w:val="nil" w:sz="6" w:space="0" w:color="auto"/>
            </w:tcBorders>
          </w:tcPr>
          <w:p>
            <w:pPr/>
          </w:p>
        </w:tc>
        <w:tc>
          <w:tcPr>
            <w:tcW w:w="804" w:type="dxa"/>
            <w:vMerge/>
            <w:tcBorders>
              <w:left w:val="nil" w:sz="6" w:space="0" w:color="auto"/>
              <w:right w:val="nil" w:sz="6" w:space="0" w:color="auto"/>
            </w:tcBorders>
            <w:shd w:val="clear" w:color="auto" w:fill="DEEAF6"/>
          </w:tcPr>
          <w:p>
            <w:pPr/>
          </w:p>
        </w:tc>
        <w:tc>
          <w:tcPr>
            <w:tcW w:w="802" w:type="dxa"/>
            <w:vMerge/>
            <w:tcBorders>
              <w:left w:val="nil" w:sz="6" w:space="0" w:color="auto"/>
              <w:right w:val="nil" w:sz="6" w:space="0" w:color="auto"/>
            </w:tcBorders>
          </w:tcPr>
          <w:p>
            <w:pPr/>
          </w:p>
        </w:tc>
        <w:tc>
          <w:tcPr>
            <w:tcW w:w="804" w:type="dxa"/>
            <w:vMerge/>
            <w:tcBorders>
              <w:left w:val="nil" w:sz="6" w:space="0" w:color="auto"/>
              <w:right w:val="nil" w:sz="6" w:space="0" w:color="auto"/>
            </w:tcBorders>
            <w:shd w:val="clear" w:color="auto" w:fill="DEEAF6"/>
          </w:tcPr>
          <w:p>
            <w:pPr/>
          </w:p>
        </w:tc>
        <w:tc>
          <w:tcPr>
            <w:tcW w:w="599" w:type="dxa"/>
            <w:vMerge/>
            <w:tcBorders>
              <w:left w:val="nil" w:sz="6" w:space="0" w:color="auto"/>
              <w:right w:val="nil" w:sz="6" w:space="0" w:color="auto"/>
            </w:tcBorders>
          </w:tcPr>
          <w:p>
            <w:pPr/>
          </w:p>
        </w:tc>
      </w:tr>
      <w:tr>
        <w:trPr>
          <w:trHeight w:val="156" w:hRule="exact"/>
        </w:trPr>
        <w:tc>
          <w:tcPr>
            <w:tcW w:w="773" w:type="dxa"/>
            <w:vMerge/>
            <w:tcBorders>
              <w:left w:val="nil" w:sz="6" w:space="0" w:color="auto"/>
              <w:bottom w:val="nil" w:sz="6" w:space="0" w:color="auto"/>
              <w:right w:val="nil" w:sz="6" w:space="0" w:color="auto"/>
            </w:tcBorders>
            <w:shd w:val="clear" w:color="auto" w:fill="DEEAF6"/>
          </w:tcPr>
          <w:p>
            <w:pPr/>
          </w:p>
        </w:tc>
        <w:tc>
          <w:tcPr>
            <w:tcW w:w="860" w:type="dxa"/>
            <w:vMerge/>
            <w:tcBorders>
              <w:left w:val="nil" w:sz="6" w:space="0" w:color="auto"/>
              <w:right w:val="nil" w:sz="6" w:space="0" w:color="auto"/>
            </w:tcBorders>
          </w:tcPr>
          <w:p>
            <w:pPr/>
          </w:p>
        </w:tc>
        <w:tc>
          <w:tcPr>
            <w:tcW w:w="810" w:type="dxa"/>
            <w:vMerge w:val="restart"/>
            <w:tcBorders>
              <w:top w:val="nil" w:sz="6" w:space="0" w:color="auto"/>
              <w:left w:val="nil" w:sz="6" w:space="0" w:color="auto"/>
              <w:right w:val="nil" w:sz="6" w:space="0" w:color="auto"/>
            </w:tcBorders>
            <w:shd w:val="clear" w:color="auto" w:fill="DEEAF6"/>
          </w:tcPr>
          <w:p>
            <w:pPr/>
          </w:p>
        </w:tc>
        <w:tc>
          <w:tcPr>
            <w:tcW w:w="889" w:type="dxa"/>
            <w:vMerge/>
            <w:tcBorders>
              <w:left w:val="nil" w:sz="6" w:space="0" w:color="auto"/>
              <w:right w:val="nil" w:sz="6" w:space="0" w:color="auto"/>
            </w:tcBorders>
          </w:tcPr>
          <w:p>
            <w:pPr/>
          </w:p>
        </w:tc>
        <w:tc>
          <w:tcPr>
            <w:tcW w:w="806" w:type="dxa"/>
            <w:vMerge/>
            <w:tcBorders>
              <w:left w:val="nil" w:sz="6" w:space="0" w:color="auto"/>
              <w:right w:val="nil" w:sz="6" w:space="0" w:color="auto"/>
            </w:tcBorders>
            <w:shd w:val="clear" w:color="auto" w:fill="DEEAF6"/>
          </w:tcPr>
          <w:p>
            <w:pPr/>
          </w:p>
        </w:tc>
        <w:tc>
          <w:tcPr>
            <w:tcW w:w="804" w:type="dxa"/>
            <w:vMerge/>
            <w:tcBorders>
              <w:left w:val="nil" w:sz="6" w:space="0" w:color="auto"/>
              <w:right w:val="nil" w:sz="6" w:space="0" w:color="auto"/>
            </w:tcBorders>
          </w:tcPr>
          <w:p>
            <w:pPr/>
          </w:p>
        </w:tc>
        <w:tc>
          <w:tcPr>
            <w:tcW w:w="803" w:type="dxa"/>
            <w:vMerge/>
            <w:tcBorders>
              <w:left w:val="nil" w:sz="6" w:space="0" w:color="auto"/>
              <w:right w:val="nil" w:sz="6" w:space="0" w:color="auto"/>
            </w:tcBorders>
            <w:shd w:val="clear" w:color="auto" w:fill="DEEAF6"/>
          </w:tcPr>
          <w:p>
            <w:pPr/>
          </w:p>
        </w:tc>
        <w:tc>
          <w:tcPr>
            <w:tcW w:w="804" w:type="dxa"/>
            <w:vMerge/>
            <w:tcBorders>
              <w:left w:val="nil" w:sz="6" w:space="0" w:color="auto"/>
              <w:right w:val="nil" w:sz="6" w:space="0" w:color="auto"/>
            </w:tcBorders>
          </w:tcPr>
          <w:p>
            <w:pPr/>
          </w:p>
        </w:tc>
        <w:tc>
          <w:tcPr>
            <w:tcW w:w="804" w:type="dxa"/>
            <w:vMerge/>
            <w:tcBorders>
              <w:left w:val="nil" w:sz="6" w:space="0" w:color="auto"/>
              <w:right w:val="nil" w:sz="6" w:space="0" w:color="auto"/>
            </w:tcBorders>
            <w:shd w:val="clear" w:color="auto" w:fill="DEEAF6"/>
          </w:tcPr>
          <w:p>
            <w:pPr/>
          </w:p>
        </w:tc>
        <w:tc>
          <w:tcPr>
            <w:tcW w:w="802" w:type="dxa"/>
            <w:vMerge/>
            <w:tcBorders>
              <w:left w:val="nil" w:sz="6" w:space="0" w:color="auto"/>
              <w:right w:val="nil" w:sz="6" w:space="0" w:color="auto"/>
            </w:tcBorders>
          </w:tcPr>
          <w:p>
            <w:pPr/>
          </w:p>
        </w:tc>
        <w:tc>
          <w:tcPr>
            <w:tcW w:w="804" w:type="dxa"/>
            <w:vMerge/>
            <w:tcBorders>
              <w:left w:val="nil" w:sz="6" w:space="0" w:color="auto"/>
              <w:right w:val="nil" w:sz="6" w:space="0" w:color="auto"/>
            </w:tcBorders>
            <w:shd w:val="clear" w:color="auto" w:fill="DEEAF6"/>
          </w:tcPr>
          <w:p>
            <w:pPr/>
          </w:p>
        </w:tc>
        <w:tc>
          <w:tcPr>
            <w:tcW w:w="599" w:type="dxa"/>
            <w:vMerge/>
            <w:tcBorders>
              <w:left w:val="nil" w:sz="6" w:space="0" w:color="auto"/>
              <w:right w:val="nil" w:sz="6" w:space="0" w:color="auto"/>
            </w:tcBorders>
          </w:tcPr>
          <w:p>
            <w:pPr/>
          </w:p>
        </w:tc>
      </w:tr>
      <w:tr>
        <w:trPr>
          <w:trHeight w:val="317" w:hRule="exact"/>
        </w:trPr>
        <w:tc>
          <w:tcPr>
            <w:tcW w:w="773" w:type="dxa"/>
            <w:tcBorders>
              <w:top w:val="nil" w:sz="6" w:space="0" w:color="auto"/>
              <w:left w:val="nil" w:sz="6" w:space="0" w:color="auto"/>
              <w:bottom w:val="single" w:sz="4" w:space="0" w:color="5B9BD4"/>
              <w:right w:val="nil" w:sz="6" w:space="0" w:color="auto"/>
            </w:tcBorders>
            <w:shd w:val="clear" w:color="auto" w:fill="DEEAF6"/>
          </w:tcPr>
          <w:p>
            <w:pPr/>
          </w:p>
        </w:tc>
        <w:tc>
          <w:tcPr>
            <w:tcW w:w="860" w:type="dxa"/>
            <w:vMerge/>
            <w:tcBorders>
              <w:left w:val="nil" w:sz="6" w:space="0" w:color="auto"/>
              <w:bottom w:val="single" w:sz="4" w:space="0" w:color="5B9BD4"/>
              <w:right w:val="nil" w:sz="6" w:space="0" w:color="auto"/>
            </w:tcBorders>
          </w:tcPr>
          <w:p>
            <w:pPr/>
          </w:p>
        </w:tc>
        <w:tc>
          <w:tcPr>
            <w:tcW w:w="810" w:type="dxa"/>
            <w:vMerge/>
            <w:tcBorders>
              <w:left w:val="nil" w:sz="6" w:space="0" w:color="auto"/>
              <w:bottom w:val="single" w:sz="4" w:space="0" w:color="5B9BD4"/>
              <w:right w:val="nil" w:sz="6" w:space="0" w:color="auto"/>
            </w:tcBorders>
            <w:shd w:val="clear" w:color="auto" w:fill="DEEAF6"/>
          </w:tcPr>
          <w:p>
            <w:pPr/>
          </w:p>
        </w:tc>
        <w:tc>
          <w:tcPr>
            <w:tcW w:w="889" w:type="dxa"/>
            <w:vMerge/>
            <w:tcBorders>
              <w:left w:val="nil" w:sz="6" w:space="0" w:color="auto"/>
              <w:bottom w:val="single" w:sz="4" w:space="0" w:color="5B9BD4"/>
              <w:right w:val="nil" w:sz="6" w:space="0" w:color="auto"/>
            </w:tcBorders>
          </w:tcPr>
          <w:p>
            <w:pPr/>
          </w:p>
        </w:tc>
        <w:tc>
          <w:tcPr>
            <w:tcW w:w="806" w:type="dxa"/>
            <w:vMerge/>
            <w:tcBorders>
              <w:left w:val="nil" w:sz="6" w:space="0" w:color="auto"/>
              <w:bottom w:val="single" w:sz="4" w:space="0" w:color="5B9BD4"/>
              <w:right w:val="nil" w:sz="6" w:space="0" w:color="auto"/>
            </w:tcBorders>
            <w:shd w:val="clear" w:color="auto" w:fill="DEEAF6"/>
          </w:tcPr>
          <w:p>
            <w:pPr/>
          </w:p>
        </w:tc>
        <w:tc>
          <w:tcPr>
            <w:tcW w:w="804" w:type="dxa"/>
            <w:vMerge/>
            <w:tcBorders>
              <w:left w:val="nil" w:sz="6" w:space="0" w:color="auto"/>
              <w:bottom w:val="single" w:sz="4" w:space="0" w:color="5B9BD4"/>
              <w:right w:val="nil" w:sz="6" w:space="0" w:color="auto"/>
            </w:tcBorders>
          </w:tcPr>
          <w:p>
            <w:pPr/>
          </w:p>
        </w:tc>
        <w:tc>
          <w:tcPr>
            <w:tcW w:w="803" w:type="dxa"/>
            <w:vMerge/>
            <w:tcBorders>
              <w:left w:val="nil" w:sz="6" w:space="0" w:color="auto"/>
              <w:bottom w:val="single" w:sz="4" w:space="0" w:color="5B9BD4"/>
              <w:right w:val="nil" w:sz="6" w:space="0" w:color="auto"/>
            </w:tcBorders>
            <w:shd w:val="clear" w:color="auto" w:fill="DEEAF6"/>
          </w:tcPr>
          <w:p>
            <w:pPr/>
          </w:p>
        </w:tc>
        <w:tc>
          <w:tcPr>
            <w:tcW w:w="804" w:type="dxa"/>
            <w:vMerge/>
            <w:tcBorders>
              <w:left w:val="nil" w:sz="6" w:space="0" w:color="auto"/>
              <w:bottom w:val="single" w:sz="4" w:space="0" w:color="5B9BD4"/>
              <w:right w:val="nil" w:sz="6" w:space="0" w:color="auto"/>
            </w:tcBorders>
          </w:tcPr>
          <w:p>
            <w:pPr/>
          </w:p>
        </w:tc>
        <w:tc>
          <w:tcPr>
            <w:tcW w:w="804" w:type="dxa"/>
            <w:vMerge/>
            <w:tcBorders>
              <w:left w:val="nil" w:sz="6" w:space="0" w:color="auto"/>
              <w:bottom w:val="single" w:sz="4" w:space="0" w:color="5B9BD4"/>
              <w:right w:val="nil" w:sz="6" w:space="0" w:color="auto"/>
            </w:tcBorders>
            <w:shd w:val="clear" w:color="auto" w:fill="DEEAF6"/>
          </w:tcPr>
          <w:p>
            <w:pPr/>
          </w:p>
        </w:tc>
        <w:tc>
          <w:tcPr>
            <w:tcW w:w="802" w:type="dxa"/>
            <w:vMerge/>
            <w:tcBorders>
              <w:left w:val="nil" w:sz="6" w:space="0" w:color="auto"/>
              <w:bottom w:val="single" w:sz="4" w:space="0" w:color="5B9BD4"/>
              <w:right w:val="nil" w:sz="6" w:space="0" w:color="auto"/>
            </w:tcBorders>
          </w:tcPr>
          <w:p>
            <w:pPr/>
          </w:p>
        </w:tc>
        <w:tc>
          <w:tcPr>
            <w:tcW w:w="804" w:type="dxa"/>
            <w:vMerge/>
            <w:tcBorders>
              <w:left w:val="nil" w:sz="6" w:space="0" w:color="auto"/>
              <w:bottom w:val="single" w:sz="4" w:space="0" w:color="5B9BD4"/>
              <w:right w:val="nil" w:sz="6" w:space="0" w:color="auto"/>
            </w:tcBorders>
            <w:shd w:val="clear" w:color="auto" w:fill="DEEAF6"/>
          </w:tcPr>
          <w:p>
            <w:pPr/>
          </w:p>
        </w:tc>
        <w:tc>
          <w:tcPr>
            <w:tcW w:w="599" w:type="dxa"/>
            <w:vMerge/>
            <w:tcBorders>
              <w:left w:val="nil" w:sz="6" w:space="0" w:color="auto"/>
              <w:bottom w:val="single" w:sz="4" w:space="0" w:color="5B9BD4"/>
              <w:right w:val="nil" w:sz="6" w:space="0" w:color="auto"/>
            </w:tcBorders>
          </w:tcPr>
          <w:p>
            <w:pPr/>
          </w:p>
        </w:tc>
      </w:tr>
      <w:tr>
        <w:trPr>
          <w:trHeight w:val="402" w:hRule="exact"/>
        </w:trPr>
        <w:tc>
          <w:tcPr>
            <w:tcW w:w="2442" w:type="dxa"/>
            <w:gridSpan w:val="3"/>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89"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88"/>
              <w:ind w:left="298" w:right="0"/>
              <w:jc w:val="left"/>
              <w:rPr>
                <w:rFonts w:ascii="Arial" w:hAnsi="Arial" w:cs="Arial" w:eastAsia="Arial" w:hint="default"/>
                <w:sz w:val="18"/>
                <w:szCs w:val="18"/>
              </w:rPr>
            </w:pPr>
            <w:r>
              <w:rPr>
                <w:rFonts w:ascii="Arial"/>
                <w:sz w:val="18"/>
              </w:rPr>
              <w:t>71,900</w:t>
            </w:r>
          </w:p>
        </w:tc>
        <w:tc>
          <w:tcPr>
            <w:tcW w:w="80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0"/>
              <w:jc w:val="center"/>
              <w:rPr>
                <w:rFonts w:ascii="Arial" w:hAnsi="Arial" w:cs="Arial" w:eastAsia="Arial" w:hint="default"/>
                <w:sz w:val="18"/>
                <w:szCs w:val="18"/>
              </w:rPr>
            </w:pPr>
            <w:r>
              <w:rPr>
                <w:rFonts w:ascii="Arial"/>
                <w:sz w:val="18"/>
              </w:rPr>
              <w:t>--</w:t>
            </w:r>
          </w:p>
        </w:tc>
        <w:tc>
          <w:tcPr>
            <w:tcW w:w="804"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0"/>
              <w:jc w:val="center"/>
              <w:rPr>
                <w:rFonts w:ascii="Arial" w:hAnsi="Arial" w:cs="Arial" w:eastAsia="Arial" w:hint="default"/>
                <w:sz w:val="18"/>
                <w:szCs w:val="18"/>
              </w:rPr>
            </w:pPr>
            <w:r>
              <w:rPr>
                <w:rFonts w:ascii="Arial"/>
                <w:sz w:val="18"/>
              </w:rPr>
              <w:t>--</w:t>
            </w:r>
          </w:p>
        </w:tc>
        <w:tc>
          <w:tcPr>
            <w:tcW w:w="80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left="1" w:right="0"/>
              <w:jc w:val="center"/>
              <w:rPr>
                <w:rFonts w:ascii="Arial" w:hAnsi="Arial" w:cs="Arial" w:eastAsia="Arial" w:hint="default"/>
                <w:sz w:val="18"/>
                <w:szCs w:val="18"/>
              </w:rPr>
            </w:pPr>
            <w:r>
              <w:rPr>
                <w:rFonts w:ascii="Arial"/>
                <w:sz w:val="18"/>
              </w:rPr>
              <w:t>--</w:t>
            </w:r>
          </w:p>
        </w:tc>
        <w:tc>
          <w:tcPr>
            <w:tcW w:w="804"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left="226" w:right="0"/>
              <w:jc w:val="left"/>
              <w:rPr>
                <w:rFonts w:ascii="Arial" w:hAnsi="Arial" w:cs="Arial" w:eastAsia="Arial" w:hint="default"/>
                <w:sz w:val="18"/>
                <w:szCs w:val="18"/>
              </w:rPr>
            </w:pPr>
            <w:r>
              <w:rPr>
                <w:rFonts w:ascii="Arial"/>
                <w:sz w:val="18"/>
              </w:rPr>
              <w:t>71,900</w:t>
            </w:r>
          </w:p>
        </w:tc>
        <w:tc>
          <w:tcPr>
            <w:tcW w:w="804" w:type="dxa"/>
            <w:tcBorders>
              <w:top w:val="single" w:sz="4" w:space="0" w:color="5B9BD4"/>
              <w:left w:val="nil" w:sz="6" w:space="0" w:color="auto"/>
              <w:bottom w:val="single" w:sz="4" w:space="0" w:color="5B9BD4"/>
              <w:right w:val="nil" w:sz="6" w:space="0" w:color="auto"/>
            </w:tcBorders>
            <w:shd w:val="clear" w:color="auto" w:fill="DEEAF6"/>
          </w:tcPr>
          <w:p>
            <w:pPr/>
          </w:p>
        </w:tc>
        <w:tc>
          <w:tcPr>
            <w:tcW w:w="802"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left="225" w:right="0"/>
              <w:jc w:val="left"/>
              <w:rPr>
                <w:rFonts w:ascii="Arial" w:hAnsi="Arial" w:cs="Arial" w:eastAsia="Arial" w:hint="default"/>
                <w:sz w:val="18"/>
                <w:szCs w:val="18"/>
              </w:rPr>
            </w:pPr>
            <w:r>
              <w:rPr>
                <w:rFonts w:ascii="Arial"/>
                <w:sz w:val="18"/>
              </w:rPr>
              <w:t>496.26</w:t>
            </w:r>
          </w:p>
        </w:tc>
        <w:tc>
          <w:tcPr>
            <w:tcW w:w="80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left="226" w:right="0"/>
              <w:jc w:val="left"/>
              <w:rPr>
                <w:rFonts w:ascii="Arial" w:hAnsi="Arial" w:cs="Arial" w:eastAsia="Arial" w:hint="default"/>
                <w:sz w:val="18"/>
                <w:szCs w:val="18"/>
              </w:rPr>
            </w:pPr>
            <w:r>
              <w:rPr>
                <w:rFonts w:ascii="Arial"/>
                <w:sz w:val="18"/>
              </w:rPr>
              <w:t>496.26</w:t>
            </w:r>
          </w:p>
        </w:tc>
        <w:tc>
          <w:tcPr>
            <w:tcW w:w="599"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1"/>
              <w:jc w:val="center"/>
              <w:rPr>
                <w:rFonts w:ascii="Arial" w:hAnsi="Arial" w:cs="Arial" w:eastAsia="Arial" w:hint="default"/>
                <w:sz w:val="18"/>
                <w:szCs w:val="18"/>
              </w:rPr>
            </w:pPr>
            <w:r>
              <w:rPr>
                <w:rFonts w:ascii="Arial"/>
                <w:sz w:val="18"/>
              </w:rPr>
              <w:t>--</w:t>
            </w:r>
          </w:p>
        </w:tc>
      </w:tr>
      <w:tr>
        <w:trPr>
          <w:trHeight w:val="402" w:hRule="exact"/>
        </w:trPr>
        <w:tc>
          <w:tcPr>
            <w:tcW w:w="2442" w:type="dxa"/>
            <w:gridSpan w:val="3"/>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7114" w:type="dxa"/>
            <w:gridSpan w:val="9"/>
            <w:tcBorders>
              <w:top w:val="single" w:sz="4" w:space="0" w:color="5B9BD4"/>
              <w:left w:val="single" w:sz="11" w:space="0" w:color="DEEAF6"/>
              <w:bottom w:val="single" w:sz="4" w:space="0" w:color="5B9BD4"/>
              <w:right w:val="nil" w:sz="6" w:space="0" w:color="auto"/>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闲置自有资金</w:t>
            </w:r>
          </w:p>
        </w:tc>
      </w:tr>
      <w:tr>
        <w:trPr>
          <w:trHeight w:val="714" w:hRule="exact"/>
        </w:trPr>
        <w:tc>
          <w:tcPr>
            <w:tcW w:w="2442" w:type="dxa"/>
            <w:gridSpan w:val="3"/>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46"/>
              <w:ind w:left="13" w:right="86"/>
              <w:jc w:val="left"/>
              <w:rPr>
                <w:rFonts w:ascii="宋体" w:hAnsi="宋体" w:cs="宋体" w:eastAsia="宋体" w:hint="default"/>
                <w:sz w:val="18"/>
                <w:szCs w:val="18"/>
              </w:rPr>
            </w:pPr>
            <w:r>
              <w:rPr>
                <w:rFonts w:ascii="宋体" w:hAnsi="宋体" w:cs="宋体" w:eastAsia="宋体" w:hint="default"/>
                <w:sz w:val="18"/>
                <w:szCs w:val="18"/>
              </w:rPr>
              <w:t>逾期未收回的本金和收益累计 金额</w:t>
            </w:r>
          </w:p>
        </w:tc>
        <w:tc>
          <w:tcPr>
            <w:tcW w:w="7114" w:type="dxa"/>
            <w:gridSpan w:val="9"/>
            <w:tcBorders>
              <w:top w:val="single" w:sz="4" w:space="0" w:color="5B9BD4"/>
              <w:left w:val="single" w:sz="11" w:space="0" w:color="DEEAF6"/>
              <w:bottom w:val="single" w:sz="4" w:space="0" w:color="5B9BD4"/>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5"/>
              <w:jc w:val="right"/>
              <w:rPr>
                <w:rFonts w:ascii="Arial" w:hAnsi="Arial" w:cs="Arial" w:eastAsia="Arial" w:hint="default"/>
                <w:sz w:val="18"/>
                <w:szCs w:val="18"/>
              </w:rPr>
            </w:pPr>
            <w:r>
              <w:rPr>
                <w:rFonts w:ascii="Arial"/>
                <w:w w:val="99"/>
                <w:sz w:val="18"/>
              </w:rPr>
              <w:t>0</w:t>
            </w:r>
            <w:r>
              <w:rPr>
                <w:rFonts w:ascii="Arial"/>
                <w:sz w:val="18"/>
              </w:rPr>
            </w:r>
          </w:p>
        </w:tc>
      </w:tr>
      <w:tr>
        <w:trPr>
          <w:trHeight w:val="402" w:hRule="exact"/>
        </w:trPr>
        <w:tc>
          <w:tcPr>
            <w:tcW w:w="2442" w:type="dxa"/>
            <w:gridSpan w:val="3"/>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7114" w:type="dxa"/>
            <w:gridSpan w:val="9"/>
            <w:tcBorders>
              <w:top w:val="single" w:sz="4" w:space="0" w:color="5B9BD4"/>
              <w:left w:val="single" w:sz="11" w:space="0" w:color="DEEAF6"/>
              <w:bottom w:val="single" w:sz="4" w:space="0" w:color="5B9BD4"/>
              <w:right w:val="nil" w:sz="6" w:space="0" w:color="auto"/>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442" w:type="dxa"/>
            <w:gridSpan w:val="3"/>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46"/>
              <w:ind w:left="13" w:right="86"/>
              <w:jc w:val="left"/>
              <w:rPr>
                <w:rFonts w:ascii="Arial" w:hAnsi="Arial" w:cs="Arial" w:eastAsia="Arial" w:hint="default"/>
                <w:sz w:val="18"/>
                <w:szCs w:val="18"/>
              </w:rPr>
            </w:pPr>
            <w:r>
              <w:rPr>
                <w:rFonts w:ascii="宋体" w:hAnsi="宋体" w:cs="宋体" w:eastAsia="宋体" w:hint="default"/>
                <w:sz w:val="18"/>
                <w:szCs w:val="18"/>
              </w:rPr>
              <w:t>委托理财审批董事会公告披露 日期（如有</w:t>
            </w:r>
            <w:r>
              <w:rPr>
                <w:rFonts w:ascii="Arial" w:hAnsi="Arial" w:cs="Arial" w:eastAsia="Arial" w:hint="default"/>
                <w:sz w:val="18"/>
                <w:szCs w:val="18"/>
              </w:rPr>
              <w:t>)</w:t>
            </w:r>
          </w:p>
        </w:tc>
        <w:tc>
          <w:tcPr>
            <w:tcW w:w="7114" w:type="dxa"/>
            <w:gridSpan w:val="9"/>
            <w:tcBorders>
              <w:top w:val="single" w:sz="4" w:space="0" w:color="5B9BD4"/>
              <w:left w:val="single" w:sz="11" w:space="0" w:color="DEEAF6"/>
              <w:bottom w:val="single" w:sz="4" w:space="0" w:color="5B9BD4"/>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02</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17</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714" w:hRule="exact"/>
        </w:trPr>
        <w:tc>
          <w:tcPr>
            <w:tcW w:w="2442" w:type="dxa"/>
            <w:gridSpan w:val="3"/>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46"/>
              <w:ind w:left="13" w:right="86"/>
              <w:jc w:val="left"/>
              <w:rPr>
                <w:rFonts w:ascii="Arial" w:hAnsi="Arial" w:cs="Arial" w:eastAsia="Arial" w:hint="default"/>
                <w:sz w:val="18"/>
                <w:szCs w:val="18"/>
              </w:rPr>
            </w:pPr>
            <w:r>
              <w:rPr>
                <w:rFonts w:ascii="宋体" w:hAnsi="宋体" w:cs="宋体" w:eastAsia="宋体" w:hint="default"/>
                <w:sz w:val="18"/>
                <w:szCs w:val="18"/>
              </w:rPr>
              <w:t>委托理财审批股东会公告披露 日期（如有</w:t>
            </w:r>
            <w:r>
              <w:rPr>
                <w:rFonts w:ascii="Arial" w:hAnsi="Arial" w:cs="Arial" w:eastAsia="Arial" w:hint="default"/>
                <w:sz w:val="18"/>
                <w:szCs w:val="18"/>
              </w:rPr>
              <w:t>)</w:t>
            </w:r>
          </w:p>
        </w:tc>
        <w:tc>
          <w:tcPr>
            <w:tcW w:w="7114" w:type="dxa"/>
            <w:gridSpan w:val="9"/>
            <w:tcBorders>
              <w:top w:val="single" w:sz="4" w:space="0" w:color="5B9BD4"/>
              <w:left w:val="single" w:sz="11" w:space="0" w:color="DEEAF6"/>
              <w:bottom w:val="single" w:sz="4" w:space="0" w:color="5B9BD4"/>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03</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02" w:hRule="exact"/>
        </w:trPr>
        <w:tc>
          <w:tcPr>
            <w:tcW w:w="2442" w:type="dxa"/>
            <w:gridSpan w:val="3"/>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未来是否还有委托理财计划</w:t>
            </w:r>
          </w:p>
        </w:tc>
        <w:tc>
          <w:tcPr>
            <w:tcW w:w="7114" w:type="dxa"/>
            <w:gridSpan w:val="9"/>
            <w:tcBorders>
              <w:top w:val="single" w:sz="4" w:space="0" w:color="5B9BD4"/>
              <w:left w:val="single" w:sz="11" w:space="0" w:color="DEEAF6"/>
              <w:bottom w:val="single" w:sz="4" w:space="0" w:color="5B9BD4"/>
              <w:right w:val="nil" w:sz="6" w:space="0" w:color="auto"/>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有</w:t>
            </w:r>
          </w:p>
        </w:tc>
      </w:tr>
    </w:tbl>
    <w:p>
      <w:pPr>
        <w:spacing w:line="240" w:lineRule="auto" w:before="2"/>
        <w:rPr>
          <w:rFonts w:ascii="宋体" w:hAnsi="宋体" w:cs="宋体" w:eastAsia="宋体" w:hint="default"/>
          <w:sz w:val="20"/>
          <w:szCs w:val="20"/>
        </w:rPr>
      </w:pPr>
    </w:p>
    <w:p>
      <w:pPr>
        <w:pStyle w:val="Heading5"/>
        <w:spacing w:line="317" w:lineRule="exact" w:before="0"/>
        <w:ind w:left="154" w:right="0"/>
        <w:jc w:val="left"/>
        <w:rPr>
          <w:rFonts w:ascii="Microsoft JhengHei" w:hAnsi="Microsoft JhengHei" w:cs="Microsoft JhengHei" w:eastAsia="Microsoft JhengHei" w:hint="default"/>
          <w:b w:val="0"/>
          <w:bCs w:val="0"/>
        </w:rPr>
      </w:pPr>
      <w:bookmarkStart w:name="（2） 委托贷款情况" w:id="149"/>
      <w:bookmarkEnd w:id="149"/>
      <w:r>
        <w:rPr>
          <w:b w:val="0"/>
          <w:bCs w:val="0"/>
        </w:rPr>
      </w:r>
      <w:r>
        <w:rPr>
          <w:rFonts w:ascii="Microsoft JhengHei" w:hAnsi="Microsoft JhengHei" w:cs="Microsoft JhengHei" w:eastAsia="Microsoft JhengHei" w:hint="default"/>
        </w:rPr>
        <w:t>（</w:t>
      </w:r>
      <w:r>
        <w:rPr>
          <w:rFonts w:ascii="Trebuchet MS" w:hAnsi="Trebuchet MS" w:cs="Trebuchet MS" w:eastAsia="Trebuchet MS" w:hint="default"/>
        </w:rPr>
        <w:t>2</w:t>
      </w:r>
      <w:r>
        <w:rPr>
          <w:rFonts w:ascii="Microsoft JhengHei" w:hAnsi="Microsoft JhengHei" w:cs="Microsoft JhengHei" w:eastAsia="Microsoft JhengHei" w:hint="default"/>
        </w:rPr>
        <w:t>）</w:t>
      </w:r>
      <w:r>
        <w:rPr>
          <w:rFonts w:ascii="Microsoft JhengHei" w:hAnsi="Microsoft JhengHei" w:cs="Microsoft JhengHei" w:eastAsia="Microsoft JhengHei" w:hint="default"/>
          <w:spacing w:val="47"/>
        </w:rPr>
        <w:t> </w:t>
      </w:r>
      <w:r>
        <w:rPr>
          <w:rFonts w:ascii="Microsoft JhengHei" w:hAnsi="Microsoft JhengHei" w:cs="Microsoft JhengHei" w:eastAsia="Microsoft JhengHei" w:hint="default"/>
        </w:rPr>
        <w:t>委托贷款情况</w:t>
      </w:r>
      <w:r>
        <w:rPr>
          <w:rFonts w:ascii="Microsoft JhengHei" w:hAnsi="Microsoft JhengHei" w:cs="Microsoft JhengHei" w:eastAsia="Microsoft JhengHei" w:hint="default"/>
          <w:b w:val="0"/>
          <w:bCs w:val="0"/>
        </w:rPr>
      </w:r>
    </w:p>
    <w:p>
      <w:pPr>
        <w:spacing w:line="240" w:lineRule="auto" w:before="9"/>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0"/>
        <w:jc w:val="left"/>
        <w:rPr>
          <w:b w:val="0"/>
          <w:bCs w:val="0"/>
        </w:rPr>
      </w:pPr>
      <w:bookmarkStart w:name="5.17.4 其他重大合同" w:id="150"/>
      <w:bookmarkEnd w:id="150"/>
      <w:r>
        <w:rPr>
          <w:b w:val="0"/>
          <w:bCs w:val="0"/>
        </w:rPr>
      </w:r>
      <w:r>
        <w:rPr>
          <w:rFonts w:ascii="Trebuchet MS" w:hAnsi="Trebuchet MS" w:cs="Trebuchet MS" w:eastAsia="Trebuchet MS" w:hint="default"/>
        </w:rPr>
        <w:t>5.17.4</w:t>
      </w:r>
      <w:r>
        <w:rPr>
          <w:rFonts w:ascii="Trebuchet MS" w:hAnsi="Trebuchet MS" w:cs="Trebuchet MS" w:eastAsia="Trebuchet MS" w:hint="default"/>
          <w:spacing w:val="-26"/>
        </w:rPr>
        <w:t> </w:t>
      </w:r>
      <w:r>
        <w:rPr/>
        <w:t>其他重大合同</w:t>
      </w:r>
      <w:r>
        <w:rPr>
          <w:b w:val="0"/>
          <w:bCs w:val="0"/>
        </w:rPr>
      </w:r>
    </w:p>
    <w:p>
      <w:pPr>
        <w:spacing w:line="240" w:lineRule="auto" w:before="8"/>
        <w:rPr>
          <w:rFonts w:ascii="Microsoft JhengHei" w:hAnsi="Microsoft JhengHei" w:cs="Microsoft JhengHei" w:eastAsia="Microsoft JhengHei"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pStyle w:val="Heading1"/>
        <w:spacing w:line="240" w:lineRule="auto" w:before="76"/>
        <w:ind w:right="0"/>
        <w:jc w:val="left"/>
        <w:rPr>
          <w:b w:val="0"/>
          <w:bCs w:val="0"/>
        </w:rPr>
      </w:pPr>
      <w:bookmarkStart w:name="5.18 其他重大事项的说明" w:id="151"/>
      <w:bookmarkEnd w:id="151"/>
      <w:r>
        <w:rPr>
          <w:b w:val="0"/>
          <w:bCs w:val="0"/>
        </w:rPr>
      </w:r>
      <w:bookmarkStart w:name="_bookmark47" w:id="152"/>
      <w:bookmarkEnd w:id="152"/>
      <w:r>
        <w:rPr>
          <w:b w:val="0"/>
          <w:bCs w:val="0"/>
        </w:rPr>
      </w:r>
      <w:r>
        <w:rPr>
          <w:rFonts w:ascii="Trebuchet MS" w:hAnsi="Trebuchet MS" w:cs="Trebuchet MS" w:eastAsia="Trebuchet MS" w:hint="default"/>
        </w:rPr>
        <w:t>5.18</w:t>
      </w:r>
      <w:r>
        <w:rPr>
          <w:rFonts w:ascii="Trebuchet MS" w:hAnsi="Trebuchet MS" w:cs="Trebuchet MS" w:eastAsia="Trebuchet MS" w:hint="default"/>
          <w:spacing w:val="4"/>
        </w:rPr>
        <w:t> </w:t>
      </w:r>
      <w:r>
        <w:rPr/>
        <w:t>其他重大事项的说明</w:t>
      </w:r>
      <w:r>
        <w:rPr>
          <w:b w:val="0"/>
          <w:bCs w:val="0"/>
        </w:rPr>
      </w:r>
    </w:p>
    <w:p>
      <w:pPr>
        <w:pStyle w:val="BodyText"/>
        <w:spacing w:line="393" w:lineRule="auto" w:before="194"/>
        <w:ind w:right="1127" w:firstLine="420"/>
        <w:jc w:val="both"/>
      </w:pPr>
      <w:r>
        <w:rPr>
          <w:rFonts w:ascii="Arial" w:hAnsi="Arial" w:cs="Arial" w:eastAsia="Arial" w:hint="default"/>
          <w:spacing w:val="-3"/>
        </w:rPr>
        <w:t>1</w:t>
      </w:r>
      <w:r>
        <w:rPr>
          <w:spacing w:val="-3"/>
        </w:rPr>
        <w:t>、</w:t>
      </w:r>
      <w:r>
        <w:rPr>
          <w:rFonts w:ascii="Arial" w:hAnsi="Arial" w:cs="Arial" w:eastAsia="Arial" w:hint="default"/>
          <w:spacing w:val="-3"/>
        </w:rPr>
        <w:t>2015</w:t>
      </w:r>
      <w:r>
        <w:rPr>
          <w:spacing w:val="-3"/>
        </w:rPr>
        <w:t>年</w:t>
      </w:r>
      <w:r>
        <w:rPr>
          <w:rFonts w:ascii="Arial" w:hAnsi="Arial" w:cs="Arial" w:eastAsia="Arial" w:hint="default"/>
          <w:spacing w:val="-3"/>
        </w:rPr>
        <w:t>7</w:t>
      </w:r>
      <w:r>
        <w:rPr>
          <w:spacing w:val="-3"/>
        </w:rPr>
        <w:t>月</w:t>
      </w:r>
      <w:r>
        <w:rPr>
          <w:rFonts w:ascii="Arial" w:hAnsi="Arial" w:cs="Arial" w:eastAsia="Arial" w:hint="default"/>
          <w:spacing w:val="-3"/>
        </w:rPr>
        <w:t>27</w:t>
      </w:r>
      <w:r>
        <w:rPr>
          <w:spacing w:val="-3"/>
        </w:rPr>
        <w:t>日，公司召开了第三届董事会第二十七次（临时）会议、第三届监事会第二十次（临</w:t>
      </w:r>
      <w:r>
        <w:rPr/>
        <w:t> 时）会议审议通过了《公司非公开发行股票方案的议案》等相关事项。</w:t>
      </w:r>
      <w:r>
        <w:rPr>
          <w:rFonts w:ascii="Arial" w:hAnsi="Arial" w:cs="Arial" w:eastAsia="Arial" w:hint="default"/>
        </w:rPr>
        <w:t>2015</w:t>
      </w:r>
      <w:r>
        <w:rPr/>
        <w:t>年</w:t>
      </w:r>
      <w:r>
        <w:rPr>
          <w:rFonts w:ascii="Arial" w:hAnsi="Arial" w:cs="Arial" w:eastAsia="Arial" w:hint="default"/>
        </w:rPr>
        <w:t>9</w:t>
      </w:r>
      <w:r>
        <w:rPr/>
        <w:t>月</w:t>
      </w:r>
      <w:r>
        <w:rPr>
          <w:rFonts w:ascii="Arial" w:hAnsi="Arial" w:cs="Arial" w:eastAsia="Arial" w:hint="default"/>
        </w:rPr>
        <w:t>14</w:t>
      </w:r>
      <w:r>
        <w:rPr/>
        <w:t>日召开第三届董事会 第二十九次（临时）会议、第三届监事会第二十二次（临时）会议、</w:t>
      </w:r>
      <w:r>
        <w:rPr>
          <w:rFonts w:ascii="Arial" w:hAnsi="Arial" w:cs="Arial" w:eastAsia="Arial" w:hint="default"/>
        </w:rPr>
        <w:t>2015</w:t>
      </w:r>
      <w:r>
        <w:rPr/>
        <w:t>年</w:t>
      </w:r>
      <w:r>
        <w:rPr>
          <w:rFonts w:ascii="Arial" w:hAnsi="Arial" w:cs="Arial" w:eastAsia="Arial" w:hint="default"/>
        </w:rPr>
        <w:t>10</w:t>
      </w:r>
      <w:r>
        <w:rPr/>
        <w:t>月</w:t>
      </w:r>
      <w:r>
        <w:rPr>
          <w:rFonts w:ascii="Arial" w:hAnsi="Arial" w:cs="Arial" w:eastAsia="Arial" w:hint="default"/>
        </w:rPr>
        <w:t>13</w:t>
      </w:r>
      <w:r>
        <w:rPr/>
        <w:t>日召开</w:t>
      </w:r>
      <w:r>
        <w:rPr>
          <w:rFonts w:ascii="Arial" w:hAnsi="Arial" w:cs="Arial" w:eastAsia="Arial" w:hint="default"/>
        </w:rPr>
        <w:t>2015</w:t>
      </w:r>
      <w:r>
        <w:rPr/>
        <w:t>年第三次</w:t>
      </w:r>
      <w:r>
        <w:rPr>
          <w:spacing w:val="-67"/>
        </w:rPr>
        <w:t> </w:t>
      </w:r>
      <w:r>
        <w:rPr>
          <w:spacing w:val="-1"/>
        </w:rPr>
        <w:t>临时股东大会审议通过了《关于修订公司非公开发行股票方案的议案》等相关事项，对本次非公开发行的</w:t>
      </w:r>
      <w:r>
        <w:rPr>
          <w:spacing w:val="-83"/>
        </w:rPr>
        <w:t> </w:t>
      </w:r>
      <w:r>
        <w:rPr>
          <w:spacing w:val="-83"/>
        </w:rPr>
      </w:r>
      <w:r>
        <w:rPr>
          <w:spacing w:val="-1"/>
        </w:rPr>
        <w:t>定价基准日、发行价格、发行数量和募集资金金额等进行了修订。修订后的非公开发行方案如下：本次非</w:t>
      </w:r>
      <w:r>
        <w:rPr>
          <w:spacing w:val="-86"/>
        </w:rPr>
        <w:t> </w:t>
      </w:r>
      <w:r>
        <w:rPr>
          <w:spacing w:val="-86"/>
        </w:rPr>
      </w:r>
      <w:r>
        <w:rPr>
          <w:spacing w:val="-1"/>
        </w:rPr>
        <w:t>公开发行股票的发行对象为先锋创业有限公司、唐进波和新余爱乐投资管理中心（有限合伙）。发行对象</w:t>
      </w:r>
      <w:r>
        <w:rPr>
          <w:spacing w:val="-86"/>
        </w:rPr>
        <w:t> </w:t>
      </w:r>
      <w:r>
        <w:rPr>
          <w:spacing w:val="-86"/>
        </w:rPr>
      </w:r>
      <w:r>
        <w:rPr>
          <w:spacing w:val="-1"/>
        </w:rPr>
        <w:t>认购本次发行的股票自发行结束之日起</w:t>
      </w:r>
      <w:r>
        <w:rPr>
          <w:rFonts w:ascii="Arial" w:hAnsi="Arial" w:cs="Arial" w:eastAsia="Arial" w:hint="default"/>
          <w:spacing w:val="-1"/>
        </w:rPr>
        <w:t>36</w:t>
      </w:r>
      <w:r>
        <w:rPr>
          <w:spacing w:val="-1"/>
        </w:rPr>
        <w:t>个月内不得转让。本次非公开发行股票的定价基准日为本次董事</w:t>
      </w:r>
      <w:r>
        <w:rPr/>
        <w:t> </w:t>
      </w:r>
      <w:r>
        <w:rPr>
          <w:spacing w:val="2"/>
        </w:rPr>
        <w:t>会会议决议公告日，即</w:t>
      </w:r>
      <w:r>
        <w:rPr>
          <w:rFonts w:ascii="Arial" w:hAnsi="Arial" w:cs="Arial" w:eastAsia="Arial" w:hint="default"/>
          <w:spacing w:val="2"/>
        </w:rPr>
        <w:t>2015</w:t>
      </w:r>
      <w:r>
        <w:rPr>
          <w:spacing w:val="2"/>
        </w:rPr>
        <w:t>年</w:t>
      </w:r>
      <w:r>
        <w:rPr>
          <w:rFonts w:ascii="Arial" w:hAnsi="Arial" w:cs="Arial" w:eastAsia="Arial" w:hint="default"/>
          <w:spacing w:val="2"/>
        </w:rPr>
        <w:t>9</w:t>
      </w:r>
      <w:r>
        <w:rPr>
          <w:spacing w:val="2"/>
        </w:rPr>
        <w:t>月</w:t>
      </w:r>
      <w:r>
        <w:rPr>
          <w:rFonts w:ascii="Arial" w:hAnsi="Arial" w:cs="Arial" w:eastAsia="Arial" w:hint="default"/>
          <w:spacing w:val="2"/>
        </w:rPr>
        <w:t>16</w:t>
      </w:r>
      <w:r>
        <w:rPr>
          <w:spacing w:val="2"/>
        </w:rPr>
        <w:t>日。本次非公开发行股票的数量为</w:t>
      </w:r>
      <w:r>
        <w:rPr>
          <w:rFonts w:ascii="Arial" w:hAnsi="Arial" w:cs="Arial" w:eastAsia="Arial" w:hint="default"/>
          <w:spacing w:val="2"/>
        </w:rPr>
        <w:t>4,135</w:t>
      </w:r>
      <w:r>
        <w:rPr>
          <w:spacing w:val="2"/>
        </w:rPr>
        <w:t>万股，发行价格为</w:t>
      </w:r>
      <w:r>
        <w:rPr>
          <w:rFonts w:ascii="Arial" w:hAnsi="Arial" w:cs="Arial" w:eastAsia="Arial" w:hint="default"/>
          <w:spacing w:val="2"/>
        </w:rPr>
        <w:t>9.664</w:t>
      </w:r>
      <w:r>
        <w:rPr>
          <w:spacing w:val="2"/>
        </w:rPr>
        <w:t>元</w:t>
      </w:r>
      <w:r>
        <w:rPr>
          <w:rFonts w:ascii="Arial" w:hAnsi="Arial" w:cs="Arial" w:eastAsia="Arial" w:hint="default"/>
          <w:spacing w:val="2"/>
        </w:rPr>
        <w:t>/</w:t>
      </w:r>
      <w:r>
        <w:rPr>
          <w:rFonts w:ascii="Arial" w:hAnsi="Arial" w:cs="Arial" w:eastAsia="Arial" w:hint="default"/>
          <w:spacing w:val="-30"/>
        </w:rPr>
        <w:t> </w:t>
      </w:r>
      <w:r>
        <w:rPr/>
        <w:t>股。发行对象以现金方式认购。本次发行预计募集资金总额</w:t>
      </w:r>
      <w:r>
        <w:rPr>
          <w:rFonts w:ascii="Arial" w:hAnsi="Arial" w:cs="Arial" w:eastAsia="Arial" w:hint="default"/>
        </w:rPr>
        <w:t>39,960.64</w:t>
      </w:r>
      <w:r>
        <w:rPr/>
        <w:t>万元，扣除发行费用后的募集资金</w:t>
      </w:r>
      <w:r>
        <w:rPr>
          <w:spacing w:val="-24"/>
        </w:rPr>
        <w:t> </w:t>
      </w:r>
      <w:r>
        <w:rPr/>
        <w:t>净额将全部用于补充公司流动资金。</w:t>
      </w:r>
      <w:r>
        <w:rPr>
          <w:rFonts w:ascii="Arial" w:hAnsi="Arial" w:cs="Arial" w:eastAsia="Arial" w:hint="default"/>
        </w:rPr>
        <w:t>2015</w:t>
      </w:r>
      <w:r>
        <w:rPr/>
        <w:t>年</w:t>
      </w:r>
      <w:r>
        <w:rPr>
          <w:rFonts w:ascii="Arial" w:hAnsi="Arial" w:cs="Arial" w:eastAsia="Arial" w:hint="default"/>
        </w:rPr>
        <w:t>11</w:t>
      </w:r>
      <w:r>
        <w:rPr/>
        <w:t>月</w:t>
      </w:r>
      <w:r>
        <w:rPr>
          <w:rFonts w:ascii="Arial" w:hAnsi="Arial" w:cs="Arial" w:eastAsia="Arial" w:hint="default"/>
        </w:rPr>
        <w:t>12</w:t>
      </w:r>
      <w:r>
        <w:rPr/>
        <w:t>日，公司收到中国证券监督管理委员会出具的《中国</w:t>
      </w:r>
      <w:r>
        <w:rPr>
          <w:spacing w:val="-25"/>
        </w:rPr>
        <w:t> </w:t>
      </w:r>
      <w:r>
        <w:rPr>
          <w:spacing w:val="-25"/>
        </w:rPr>
      </w:r>
      <w:r>
        <w:rPr>
          <w:spacing w:val="-2"/>
        </w:rPr>
        <w:t>证监会行政许可申请受理通知书》（</w:t>
      </w:r>
      <w:r>
        <w:rPr>
          <w:rFonts w:ascii="Arial" w:hAnsi="Arial" w:cs="Arial" w:eastAsia="Arial" w:hint="default"/>
          <w:spacing w:val="-2"/>
        </w:rPr>
        <w:t>153191</w:t>
      </w:r>
      <w:r>
        <w:rPr>
          <w:spacing w:val="-2"/>
        </w:rPr>
        <w:t>号）。</w:t>
      </w:r>
      <w:r>
        <w:rPr>
          <w:rFonts w:ascii="Arial" w:hAnsi="Arial" w:cs="Arial" w:eastAsia="Arial" w:hint="default"/>
          <w:spacing w:val="-2"/>
        </w:rPr>
        <w:t>2016</w:t>
      </w:r>
      <w:r>
        <w:rPr>
          <w:spacing w:val="-2"/>
        </w:rPr>
        <w:t>年</w:t>
      </w:r>
      <w:r>
        <w:rPr>
          <w:rFonts w:ascii="Arial" w:hAnsi="Arial" w:cs="Arial" w:eastAsia="Arial" w:hint="default"/>
          <w:spacing w:val="-2"/>
        </w:rPr>
        <w:t>1</w:t>
      </w:r>
      <w:r>
        <w:rPr>
          <w:spacing w:val="-2"/>
        </w:rPr>
        <w:t>月</w:t>
      </w:r>
      <w:r>
        <w:rPr>
          <w:rFonts w:ascii="Arial" w:hAnsi="Arial" w:cs="Arial" w:eastAsia="Arial" w:hint="default"/>
          <w:spacing w:val="-2"/>
        </w:rPr>
        <w:t>29</w:t>
      </w:r>
      <w:r>
        <w:rPr>
          <w:spacing w:val="-2"/>
        </w:rPr>
        <w:t>日，公司本次非公开发行股票的申请获得</w:t>
      </w:r>
    </w:p>
    <w:p>
      <w:pPr>
        <w:spacing w:after="0" w:line="393" w:lineRule="auto"/>
        <w:jc w:val="both"/>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240" w:lineRule="auto" w:before="18"/>
        <w:ind w:right="0"/>
        <w:jc w:val="both"/>
      </w:pPr>
      <w:r>
        <w:rPr/>
        <w:t>中国证券监督管理委员会发行审核委员会审核通过。</w:t>
      </w:r>
    </w:p>
    <w:p>
      <w:pPr>
        <w:spacing w:line="240" w:lineRule="auto" w:before="10"/>
        <w:rPr>
          <w:rFonts w:ascii="宋体" w:hAnsi="宋体" w:cs="宋体" w:eastAsia="宋体" w:hint="default"/>
          <w:sz w:val="14"/>
          <w:szCs w:val="14"/>
        </w:rPr>
      </w:pPr>
    </w:p>
    <w:p>
      <w:pPr>
        <w:pStyle w:val="BodyText"/>
        <w:spacing w:line="240" w:lineRule="auto"/>
        <w:ind w:left="573" w:right="0"/>
        <w:jc w:val="left"/>
      </w:pPr>
      <w:r>
        <w:rPr/>
        <w:t>详</w:t>
      </w:r>
      <w:r>
        <w:rPr>
          <w:spacing w:val="-34"/>
        </w:rPr>
        <w:t> </w:t>
      </w:r>
      <w:r>
        <w:rPr/>
        <w:t>见</w:t>
      </w:r>
      <w:r>
        <w:rPr>
          <w:spacing w:val="-34"/>
        </w:rPr>
        <w:t> </w:t>
      </w:r>
      <w:r>
        <w:rPr/>
        <w:t>公</w:t>
      </w:r>
      <w:r>
        <w:rPr>
          <w:spacing w:val="-35"/>
        </w:rPr>
        <w:t> </w:t>
      </w:r>
      <w:r>
        <w:rPr/>
        <w:t>司</w:t>
      </w:r>
      <w:r>
        <w:rPr>
          <w:spacing w:val="-35"/>
        </w:rPr>
        <w:t> </w:t>
      </w:r>
      <w:r>
        <w:rPr/>
        <w:t>在</w:t>
      </w:r>
      <w:r>
        <w:rPr>
          <w:spacing w:val="-34"/>
        </w:rPr>
        <w:t> </w:t>
      </w:r>
      <w:r>
        <w:rPr/>
        <w:t>指</w:t>
      </w:r>
      <w:r>
        <w:rPr>
          <w:spacing w:val="-34"/>
        </w:rPr>
        <w:t> </w:t>
      </w:r>
      <w:r>
        <w:rPr/>
        <w:t>定</w:t>
      </w:r>
      <w:r>
        <w:rPr>
          <w:spacing w:val="-35"/>
        </w:rPr>
        <w:t> </w:t>
      </w:r>
      <w:r>
        <w:rPr/>
        <w:t>信</w:t>
      </w:r>
      <w:r>
        <w:rPr>
          <w:spacing w:val="-35"/>
        </w:rPr>
        <w:t> </w:t>
      </w:r>
      <w:r>
        <w:rPr/>
        <w:t>息</w:t>
      </w:r>
      <w:r>
        <w:rPr>
          <w:spacing w:val="-34"/>
        </w:rPr>
        <w:t> </w:t>
      </w:r>
      <w:r>
        <w:rPr/>
        <w:t>披</w:t>
      </w:r>
      <w:r>
        <w:rPr>
          <w:spacing w:val="-34"/>
        </w:rPr>
        <w:t> </w:t>
      </w:r>
      <w:r>
        <w:rPr/>
        <w:t>露</w:t>
      </w:r>
      <w:r>
        <w:rPr>
          <w:spacing w:val="-35"/>
        </w:rPr>
        <w:t> </w:t>
      </w:r>
      <w:r>
        <w:rPr/>
        <w:t>媒</w:t>
      </w:r>
      <w:r>
        <w:rPr>
          <w:spacing w:val="-35"/>
        </w:rPr>
        <w:t> </w:t>
      </w:r>
      <w:r>
        <w:rPr/>
        <w:t>体</w:t>
      </w:r>
      <w:r>
        <w:rPr>
          <w:spacing w:val="-34"/>
        </w:rPr>
        <w:t> </w:t>
      </w:r>
      <w:r>
        <w:rPr/>
        <w:t>《</w:t>
      </w:r>
      <w:r>
        <w:rPr>
          <w:spacing w:val="-34"/>
        </w:rPr>
        <w:t> </w:t>
      </w:r>
      <w:r>
        <w:rPr/>
        <w:t>中</w:t>
      </w:r>
      <w:r>
        <w:rPr>
          <w:spacing w:val="-35"/>
        </w:rPr>
        <w:t> </w:t>
      </w:r>
      <w:r>
        <w:rPr/>
        <w:t>国</w:t>
      </w:r>
      <w:r>
        <w:rPr>
          <w:spacing w:val="-35"/>
        </w:rPr>
        <w:t> </w:t>
      </w:r>
      <w:r>
        <w:rPr/>
        <w:t>证</w:t>
      </w:r>
      <w:r>
        <w:rPr>
          <w:spacing w:val="-34"/>
        </w:rPr>
        <w:t> </w:t>
      </w:r>
      <w:r>
        <w:rPr/>
        <w:t>券</w:t>
      </w:r>
      <w:r>
        <w:rPr>
          <w:spacing w:val="-34"/>
        </w:rPr>
        <w:t> </w:t>
      </w:r>
      <w:r>
        <w:rPr/>
        <w:t>报</w:t>
      </w:r>
      <w:r>
        <w:rPr>
          <w:spacing w:val="-35"/>
        </w:rPr>
        <w:t> </w:t>
      </w:r>
      <w:r>
        <w:rPr/>
        <w:t>》</w:t>
      </w:r>
      <w:r>
        <w:rPr>
          <w:spacing w:val="-35"/>
        </w:rPr>
        <w:t> </w:t>
      </w:r>
      <w:r>
        <w:rPr/>
        <w:t>、</w:t>
      </w:r>
      <w:r>
        <w:rPr>
          <w:spacing w:val="-34"/>
        </w:rPr>
        <w:t> </w:t>
      </w:r>
      <w:r>
        <w:rPr/>
        <w:t>《</w:t>
      </w:r>
      <w:r>
        <w:rPr>
          <w:spacing w:val="-34"/>
        </w:rPr>
        <w:t> </w:t>
      </w:r>
      <w:r>
        <w:rPr/>
        <w:t>证</w:t>
      </w:r>
      <w:r>
        <w:rPr>
          <w:spacing w:val="-35"/>
        </w:rPr>
        <w:t> </w:t>
      </w:r>
      <w:r>
        <w:rPr/>
        <w:t>券</w:t>
      </w:r>
      <w:r>
        <w:rPr>
          <w:spacing w:val="-35"/>
        </w:rPr>
        <w:t> </w:t>
      </w:r>
      <w:r>
        <w:rPr/>
        <w:t>时</w:t>
      </w:r>
      <w:r>
        <w:rPr>
          <w:spacing w:val="-34"/>
        </w:rPr>
        <w:t> </w:t>
      </w:r>
      <w:r>
        <w:rPr/>
        <w:t>报</w:t>
      </w:r>
      <w:r>
        <w:rPr>
          <w:spacing w:val="-34"/>
        </w:rPr>
        <w:t> </w:t>
      </w:r>
      <w:r>
        <w:rPr/>
        <w:t>》</w:t>
      </w:r>
      <w:r>
        <w:rPr>
          <w:spacing w:val="-35"/>
        </w:rPr>
        <w:t> </w:t>
      </w:r>
      <w:r>
        <w:rPr/>
        <w:t>及</w:t>
      </w:r>
      <w:r>
        <w:rPr>
          <w:spacing w:val="-35"/>
        </w:rPr>
        <w:t> </w:t>
      </w:r>
      <w:r>
        <w:rPr/>
        <w:t>巨</w:t>
      </w:r>
      <w:r>
        <w:rPr>
          <w:spacing w:val="-34"/>
        </w:rPr>
        <w:t> </w:t>
      </w:r>
      <w:r>
        <w:rPr/>
        <w:t>潮</w:t>
      </w:r>
      <w:r>
        <w:rPr>
          <w:spacing w:val="-34"/>
        </w:rPr>
        <w:t> </w:t>
      </w:r>
      <w:r>
        <w:rPr/>
        <w:t>资</w:t>
      </w:r>
      <w:r>
        <w:rPr>
          <w:spacing w:val="-34"/>
        </w:rPr>
        <w:t> </w:t>
      </w:r>
      <w:r>
        <w:rPr/>
        <w:t>讯</w:t>
      </w:r>
      <w:r>
        <w:rPr>
          <w:spacing w:val="-34"/>
        </w:rPr>
        <w:t> </w:t>
      </w:r>
      <w:r>
        <w:rPr/>
        <w:t>网</w:t>
      </w:r>
    </w:p>
    <w:p>
      <w:pPr>
        <w:spacing w:line="240" w:lineRule="auto" w:before="10"/>
        <w:rPr>
          <w:rFonts w:ascii="宋体" w:hAnsi="宋体" w:cs="宋体" w:eastAsia="宋体" w:hint="default"/>
          <w:sz w:val="14"/>
          <w:szCs w:val="14"/>
        </w:rPr>
      </w:pPr>
    </w:p>
    <w:p>
      <w:pPr>
        <w:pStyle w:val="BodyText"/>
        <w:spacing w:line="400" w:lineRule="auto"/>
        <w:ind w:left="154" w:right="1131"/>
        <w:jc w:val="both"/>
      </w:pPr>
      <w:r>
        <w:rPr>
          <w:spacing w:val="-1"/>
        </w:rPr>
        <w:t>（</w:t>
      </w:r>
      <w:hyperlink r:id="rId29">
        <w:r>
          <w:rPr>
            <w:rFonts w:ascii="Arial" w:hAnsi="Arial" w:cs="Arial" w:eastAsia="Arial" w:hint="default"/>
            <w:spacing w:val="-1"/>
          </w:rPr>
          <w:t>http://www.cninfo.com.cn</w:t>
        </w:r>
      </w:hyperlink>
      <w:r>
        <w:rPr>
          <w:spacing w:val="-1"/>
        </w:rPr>
        <w:t>）披露的《非公开发行股票预案（修订稿）》、《非公开发行股票募集资</w:t>
      </w:r>
      <w:r>
        <w:rPr>
          <w:spacing w:val="5"/>
        </w:rPr>
        <w:t> </w:t>
      </w:r>
      <w:r>
        <w:rPr>
          <w:spacing w:val="5"/>
        </w:rPr>
      </w:r>
      <w:r>
        <w:rPr>
          <w:spacing w:val="-5"/>
        </w:rPr>
        <w:t>金使用的可行性分析报告（修订稿）》、《关于与特定对象签订附条件生效的股份认购协议的公告》、《关</w:t>
      </w:r>
      <w:r>
        <w:rPr/>
        <w:t> </w:t>
      </w:r>
      <w:r>
        <w:rPr>
          <w:spacing w:val="-1"/>
        </w:rPr>
        <w:t>于非公开发行股票申请获得中国证监会受理的公告》、《关于非公开发行股票申请获得中国证监会发行审</w:t>
      </w:r>
      <w:r>
        <w:rPr>
          <w:spacing w:val="-82"/>
        </w:rPr>
        <w:t> </w:t>
      </w:r>
      <w:r>
        <w:rPr>
          <w:spacing w:val="-82"/>
        </w:rPr>
      </w:r>
      <w:r>
        <w:rPr/>
        <w:t>核委员会审核通过的公告》。</w:t>
      </w:r>
    </w:p>
    <w:p>
      <w:pPr>
        <w:pStyle w:val="BodyText"/>
        <w:spacing w:line="393" w:lineRule="auto" w:before="52"/>
        <w:ind w:right="1024" w:firstLine="420"/>
        <w:jc w:val="left"/>
      </w:pPr>
      <w:r>
        <w:rPr>
          <w:rFonts w:ascii="Arial" w:hAnsi="Arial" w:cs="Arial" w:eastAsia="Arial" w:hint="default"/>
        </w:rPr>
        <w:t>2</w:t>
      </w:r>
      <w:r>
        <w:rPr/>
        <w:t>、</w:t>
      </w:r>
      <w:r>
        <w:rPr>
          <w:rFonts w:ascii="Arial" w:hAnsi="Arial" w:cs="Arial" w:eastAsia="Arial" w:hint="default"/>
        </w:rPr>
        <w:t>2015</w:t>
      </w:r>
      <w:r>
        <w:rPr/>
        <w:t>年</w:t>
      </w:r>
      <w:r>
        <w:rPr>
          <w:rFonts w:ascii="Arial" w:hAnsi="Arial" w:cs="Arial" w:eastAsia="Arial" w:hint="default"/>
        </w:rPr>
        <w:t>7</w:t>
      </w:r>
      <w:r>
        <w:rPr/>
        <w:t>月</w:t>
      </w:r>
      <w:r>
        <w:rPr>
          <w:rFonts w:ascii="Arial" w:hAnsi="Arial" w:cs="Arial" w:eastAsia="Arial" w:hint="default"/>
        </w:rPr>
        <w:t>10</w:t>
      </w:r>
      <w:r>
        <w:rPr/>
        <w:t>日，公司披露了公司实际控制人、控股股东、持股</w:t>
      </w:r>
      <w:r>
        <w:rPr>
          <w:rFonts w:ascii="Arial" w:hAnsi="Arial" w:cs="Arial" w:eastAsia="Arial" w:hint="default"/>
        </w:rPr>
        <w:t>5%</w:t>
      </w:r>
      <w:r>
        <w:rPr/>
        <w:t>以上主要股东及部分董事、监 </w:t>
      </w:r>
      <w:r>
        <w:rPr>
          <w:spacing w:val="-3"/>
        </w:rPr>
        <w:t>事及高级管理人拟增持公司股份的计划，增持人将自公司股票复牌之日起六十个交易日内，通过证券公司、</w:t>
      </w:r>
      <w:r>
        <w:rPr>
          <w:spacing w:val="-92"/>
        </w:rPr>
        <w:t> </w:t>
      </w:r>
      <w:r>
        <w:rPr>
          <w:spacing w:val="-92"/>
        </w:rPr>
      </w:r>
      <w:r>
        <w:rPr/>
        <w:t>基金管理公司定向资产管理等方式以不高于</w:t>
      </w:r>
      <w:r>
        <w:rPr>
          <w:rFonts w:ascii="Arial" w:hAnsi="Arial" w:cs="Arial" w:eastAsia="Arial" w:hint="default"/>
        </w:rPr>
        <w:t>2015</w:t>
      </w:r>
      <w:r>
        <w:rPr/>
        <w:t>年</w:t>
      </w:r>
      <w:r>
        <w:rPr>
          <w:rFonts w:ascii="Arial" w:hAnsi="Arial" w:cs="Arial" w:eastAsia="Arial" w:hint="default"/>
        </w:rPr>
        <w:t>5</w:t>
      </w:r>
      <w:r>
        <w:rPr/>
        <w:t>月</w:t>
      </w:r>
      <w:r>
        <w:rPr>
          <w:rFonts w:ascii="Arial" w:hAnsi="Arial" w:cs="Arial" w:eastAsia="Arial" w:hint="default"/>
        </w:rPr>
        <w:t>4</w:t>
      </w:r>
      <w:r>
        <w:rPr/>
        <w:t>日收盘价（</w:t>
      </w:r>
      <w:r>
        <w:rPr>
          <w:rFonts w:ascii="Arial" w:hAnsi="Arial" w:cs="Arial" w:eastAsia="Arial" w:hint="default"/>
        </w:rPr>
        <w:t>20.67</w:t>
      </w:r>
      <w:r>
        <w:rPr/>
        <w:t>元</w:t>
      </w:r>
      <w:r>
        <w:rPr>
          <w:rFonts w:ascii="Arial" w:hAnsi="Arial" w:cs="Arial" w:eastAsia="Arial" w:hint="default"/>
        </w:rPr>
        <w:t>/</w:t>
      </w:r>
      <w:r>
        <w:rPr/>
        <w:t>股）合计增持不低于</w:t>
      </w:r>
      <w:r>
        <w:rPr>
          <w:rFonts w:ascii="Arial" w:hAnsi="Arial" w:cs="Arial" w:eastAsia="Arial" w:hint="default"/>
        </w:rPr>
        <w:t>3,375</w:t>
      </w:r>
      <w:r>
        <w:rPr/>
        <w:t>万</w:t>
      </w:r>
      <w:r>
        <w:rPr>
          <w:spacing w:val="-53"/>
        </w:rPr>
        <w:t> </w:t>
      </w:r>
      <w:r>
        <w:rPr/>
        <w:t>元的公司股票，并且承诺以该方式购买的公司股票六个月内不减持。</w:t>
      </w:r>
    </w:p>
    <w:p>
      <w:pPr>
        <w:pStyle w:val="BodyText"/>
        <w:spacing w:line="388" w:lineRule="auto" w:before="58"/>
        <w:ind w:right="1131" w:firstLine="420"/>
        <w:jc w:val="both"/>
      </w:pPr>
      <w:r>
        <w:rPr/>
        <w:t>截至</w:t>
      </w:r>
      <w:r>
        <w:rPr>
          <w:rFonts w:ascii="Arial" w:hAnsi="Arial" w:cs="Arial" w:eastAsia="Arial" w:hint="default"/>
        </w:rPr>
        <w:t>2015</w:t>
      </w:r>
      <w:r>
        <w:rPr/>
        <w:t>年</w:t>
      </w:r>
      <w:r>
        <w:rPr>
          <w:rFonts w:ascii="Arial" w:hAnsi="Arial" w:cs="Arial" w:eastAsia="Arial" w:hint="default"/>
        </w:rPr>
        <w:t>9</w:t>
      </w:r>
      <w:r>
        <w:rPr/>
        <w:t>月</w:t>
      </w:r>
      <w:r>
        <w:rPr>
          <w:rFonts w:ascii="Arial" w:hAnsi="Arial" w:cs="Arial" w:eastAsia="Arial" w:hint="default"/>
        </w:rPr>
        <w:t>1</w:t>
      </w:r>
      <w:r>
        <w:rPr/>
        <w:t>日，实际控制人、控股股东、持股</w:t>
      </w:r>
      <w:r>
        <w:rPr>
          <w:rFonts w:ascii="Arial" w:hAnsi="Arial" w:cs="Arial" w:eastAsia="Arial" w:hint="default"/>
        </w:rPr>
        <w:t>5%</w:t>
      </w:r>
      <w:r>
        <w:rPr/>
        <w:t>以上主要股东及部分董事、高级管理人通过定</w:t>
      </w:r>
      <w:r>
        <w:rPr>
          <w:spacing w:val="1"/>
        </w:rPr>
        <w:t> </w:t>
      </w:r>
      <w:r>
        <w:rPr>
          <w:spacing w:val="-1"/>
          <w:w w:val="95"/>
        </w:rPr>
        <w:t>向资产管理计划等方式合计增持公司股份</w:t>
      </w:r>
      <w:r>
        <w:rPr>
          <w:rFonts w:ascii="Arial" w:hAnsi="Arial" w:cs="Arial" w:eastAsia="Arial" w:hint="default"/>
          <w:spacing w:val="-1"/>
          <w:w w:val="95"/>
        </w:rPr>
        <w:t>3,390,561</w:t>
      </w:r>
      <w:r>
        <w:rPr>
          <w:spacing w:val="-1"/>
          <w:w w:val="95"/>
        </w:rPr>
        <w:t>股，合计增持金额为</w:t>
      </w:r>
      <w:r>
        <w:rPr>
          <w:rFonts w:ascii="Arial" w:hAnsi="Arial" w:cs="Arial" w:eastAsia="Arial" w:hint="default"/>
          <w:spacing w:val="-1"/>
          <w:w w:val="95"/>
        </w:rPr>
        <w:t>3463.7248</w:t>
      </w:r>
      <w:r>
        <w:rPr>
          <w:spacing w:val="-1"/>
          <w:w w:val="95"/>
        </w:rPr>
        <w:t>万元，此次的增持计划</w:t>
      </w:r>
      <w:r>
        <w:rPr>
          <w:spacing w:val="77"/>
          <w:w w:val="95"/>
        </w:rPr>
        <w:t> </w:t>
      </w:r>
      <w:r>
        <w:rPr>
          <w:spacing w:val="77"/>
          <w:w w:val="95"/>
        </w:rPr>
      </w:r>
      <w:r>
        <w:rPr/>
        <w:t>实施完成。</w:t>
      </w:r>
    </w:p>
    <w:p>
      <w:pPr>
        <w:pStyle w:val="BodyText"/>
        <w:spacing w:line="240" w:lineRule="auto" w:before="63"/>
        <w:ind w:left="574" w:right="0"/>
        <w:jc w:val="left"/>
      </w:pPr>
      <w:r>
        <w:rPr/>
        <w:t>详</w:t>
      </w:r>
      <w:r>
        <w:rPr>
          <w:spacing w:val="-34"/>
        </w:rPr>
        <w:t> </w:t>
      </w:r>
      <w:r>
        <w:rPr/>
        <w:t>见</w:t>
      </w:r>
      <w:r>
        <w:rPr>
          <w:spacing w:val="-34"/>
        </w:rPr>
        <w:t> </w:t>
      </w:r>
      <w:r>
        <w:rPr/>
        <w:t>公</w:t>
      </w:r>
      <w:r>
        <w:rPr>
          <w:spacing w:val="-35"/>
        </w:rPr>
        <w:t> </w:t>
      </w:r>
      <w:r>
        <w:rPr/>
        <w:t>司</w:t>
      </w:r>
      <w:r>
        <w:rPr>
          <w:spacing w:val="-35"/>
        </w:rPr>
        <w:t> </w:t>
      </w:r>
      <w:r>
        <w:rPr/>
        <w:t>在</w:t>
      </w:r>
      <w:r>
        <w:rPr>
          <w:spacing w:val="-34"/>
        </w:rPr>
        <w:t> </w:t>
      </w:r>
      <w:r>
        <w:rPr/>
        <w:t>指</w:t>
      </w:r>
      <w:r>
        <w:rPr>
          <w:spacing w:val="-34"/>
        </w:rPr>
        <w:t> </w:t>
      </w:r>
      <w:r>
        <w:rPr/>
        <w:t>定</w:t>
      </w:r>
      <w:r>
        <w:rPr>
          <w:spacing w:val="-35"/>
        </w:rPr>
        <w:t> </w:t>
      </w:r>
      <w:r>
        <w:rPr/>
        <w:t>信</w:t>
      </w:r>
      <w:r>
        <w:rPr>
          <w:spacing w:val="-35"/>
        </w:rPr>
        <w:t> </w:t>
      </w:r>
      <w:r>
        <w:rPr/>
        <w:t>息</w:t>
      </w:r>
      <w:r>
        <w:rPr>
          <w:spacing w:val="-34"/>
        </w:rPr>
        <w:t> </w:t>
      </w:r>
      <w:r>
        <w:rPr/>
        <w:t>披</w:t>
      </w:r>
      <w:r>
        <w:rPr>
          <w:spacing w:val="-34"/>
        </w:rPr>
        <w:t> </w:t>
      </w:r>
      <w:r>
        <w:rPr/>
        <w:t>露</w:t>
      </w:r>
      <w:r>
        <w:rPr>
          <w:spacing w:val="-35"/>
        </w:rPr>
        <w:t> </w:t>
      </w:r>
      <w:r>
        <w:rPr/>
        <w:t>媒</w:t>
      </w:r>
      <w:r>
        <w:rPr>
          <w:spacing w:val="-35"/>
        </w:rPr>
        <w:t> </w:t>
      </w:r>
      <w:r>
        <w:rPr/>
        <w:t>体</w:t>
      </w:r>
      <w:r>
        <w:rPr>
          <w:spacing w:val="-34"/>
        </w:rPr>
        <w:t> </w:t>
      </w:r>
      <w:r>
        <w:rPr/>
        <w:t>《</w:t>
      </w:r>
      <w:r>
        <w:rPr>
          <w:spacing w:val="-34"/>
        </w:rPr>
        <w:t> </w:t>
      </w:r>
      <w:r>
        <w:rPr/>
        <w:t>中</w:t>
      </w:r>
      <w:r>
        <w:rPr>
          <w:spacing w:val="-35"/>
        </w:rPr>
        <w:t> </w:t>
      </w:r>
      <w:r>
        <w:rPr/>
        <w:t>国</w:t>
      </w:r>
      <w:r>
        <w:rPr>
          <w:spacing w:val="-35"/>
        </w:rPr>
        <w:t> </w:t>
      </w:r>
      <w:r>
        <w:rPr/>
        <w:t>证</w:t>
      </w:r>
      <w:r>
        <w:rPr>
          <w:spacing w:val="-34"/>
        </w:rPr>
        <w:t> </w:t>
      </w:r>
      <w:r>
        <w:rPr/>
        <w:t>券</w:t>
      </w:r>
      <w:r>
        <w:rPr>
          <w:spacing w:val="-34"/>
        </w:rPr>
        <w:t> </w:t>
      </w:r>
      <w:r>
        <w:rPr/>
        <w:t>报</w:t>
      </w:r>
      <w:r>
        <w:rPr>
          <w:spacing w:val="-35"/>
        </w:rPr>
        <w:t> </w:t>
      </w:r>
      <w:r>
        <w:rPr/>
        <w:t>》</w:t>
      </w:r>
      <w:r>
        <w:rPr>
          <w:spacing w:val="-35"/>
        </w:rPr>
        <w:t> </w:t>
      </w:r>
      <w:r>
        <w:rPr/>
        <w:t>、</w:t>
      </w:r>
      <w:r>
        <w:rPr>
          <w:spacing w:val="-34"/>
        </w:rPr>
        <w:t> </w:t>
      </w:r>
      <w:r>
        <w:rPr/>
        <w:t>《</w:t>
      </w:r>
      <w:r>
        <w:rPr>
          <w:spacing w:val="-34"/>
        </w:rPr>
        <w:t> </w:t>
      </w:r>
      <w:r>
        <w:rPr/>
        <w:t>证</w:t>
      </w:r>
      <w:r>
        <w:rPr>
          <w:spacing w:val="-35"/>
        </w:rPr>
        <w:t> </w:t>
      </w:r>
      <w:r>
        <w:rPr/>
        <w:t>券</w:t>
      </w:r>
      <w:r>
        <w:rPr>
          <w:spacing w:val="-35"/>
        </w:rPr>
        <w:t> </w:t>
      </w:r>
      <w:r>
        <w:rPr/>
        <w:t>时</w:t>
      </w:r>
      <w:r>
        <w:rPr>
          <w:spacing w:val="-34"/>
        </w:rPr>
        <w:t> </w:t>
      </w:r>
      <w:r>
        <w:rPr/>
        <w:t>报</w:t>
      </w:r>
      <w:r>
        <w:rPr>
          <w:spacing w:val="-34"/>
        </w:rPr>
        <w:t> </w:t>
      </w:r>
      <w:r>
        <w:rPr/>
        <w:t>》</w:t>
      </w:r>
      <w:r>
        <w:rPr>
          <w:spacing w:val="-35"/>
        </w:rPr>
        <w:t> </w:t>
      </w:r>
      <w:r>
        <w:rPr/>
        <w:t>及</w:t>
      </w:r>
      <w:r>
        <w:rPr>
          <w:spacing w:val="-35"/>
        </w:rPr>
        <w:t> </w:t>
      </w:r>
      <w:r>
        <w:rPr/>
        <w:t>巨</w:t>
      </w:r>
      <w:r>
        <w:rPr>
          <w:spacing w:val="-34"/>
        </w:rPr>
        <w:t> </w:t>
      </w:r>
      <w:r>
        <w:rPr/>
        <w:t>潮</w:t>
      </w:r>
      <w:r>
        <w:rPr>
          <w:spacing w:val="-34"/>
        </w:rPr>
        <w:t> </w:t>
      </w:r>
      <w:r>
        <w:rPr/>
        <w:t>资</w:t>
      </w:r>
      <w:r>
        <w:rPr>
          <w:spacing w:val="-34"/>
        </w:rPr>
        <w:t> </w:t>
      </w:r>
      <w:r>
        <w:rPr/>
        <w:t>讯</w:t>
      </w:r>
      <w:r>
        <w:rPr>
          <w:spacing w:val="-34"/>
        </w:rPr>
        <w:t> </w:t>
      </w:r>
      <w:r>
        <w:rPr/>
        <w:t>网</w:t>
      </w:r>
    </w:p>
    <w:p>
      <w:pPr>
        <w:spacing w:line="240" w:lineRule="auto" w:before="10"/>
        <w:rPr>
          <w:rFonts w:ascii="宋体" w:hAnsi="宋体" w:cs="宋体" w:eastAsia="宋体" w:hint="default"/>
          <w:sz w:val="14"/>
          <w:szCs w:val="14"/>
        </w:rPr>
      </w:pPr>
    </w:p>
    <w:p>
      <w:pPr>
        <w:pStyle w:val="BodyText"/>
        <w:spacing w:line="388" w:lineRule="auto"/>
        <w:ind w:right="1132"/>
        <w:jc w:val="both"/>
      </w:pPr>
      <w:r>
        <w:rPr>
          <w:spacing w:val="-2"/>
        </w:rPr>
        <w:t>（</w:t>
      </w:r>
      <w:hyperlink r:id="rId29">
        <w:r>
          <w:rPr>
            <w:rFonts w:ascii="Arial" w:hAnsi="Arial" w:cs="Arial" w:eastAsia="Arial" w:hint="default"/>
            <w:spacing w:val="-2"/>
          </w:rPr>
          <w:t>http://www.cninfo.com.cn</w:t>
        </w:r>
      </w:hyperlink>
      <w:r>
        <w:rPr>
          <w:spacing w:val="-2"/>
        </w:rPr>
        <w:t>）披露的《关于实际控制人、控股股东、持股</w:t>
      </w:r>
      <w:r>
        <w:rPr>
          <w:rFonts w:ascii="Arial" w:hAnsi="Arial" w:cs="Arial" w:eastAsia="Arial" w:hint="default"/>
          <w:spacing w:val="-2"/>
        </w:rPr>
        <w:t>5%</w:t>
      </w:r>
      <w:r>
        <w:rPr>
          <w:spacing w:val="-2"/>
        </w:rPr>
        <w:t>以上主要股东、董事、监</w:t>
      </w:r>
      <w:r>
        <w:rPr>
          <w:spacing w:val="76"/>
        </w:rPr>
        <w:t> </w:t>
      </w:r>
      <w:r>
        <w:rPr>
          <w:spacing w:val="76"/>
        </w:rPr>
      </w:r>
      <w:r>
        <w:rPr>
          <w:spacing w:val="-2"/>
          <w:w w:val="95"/>
        </w:rPr>
        <w:t>事及高级管理人员增持公司股份计划的公告》、《关于控股股东及持股</w:t>
      </w:r>
      <w:r>
        <w:rPr>
          <w:rFonts w:ascii="Arial" w:hAnsi="Arial" w:cs="Arial" w:eastAsia="Arial" w:hint="default"/>
          <w:spacing w:val="-2"/>
          <w:w w:val="95"/>
        </w:rPr>
        <w:t>5%</w:t>
      </w:r>
      <w:r>
        <w:rPr>
          <w:spacing w:val="-2"/>
          <w:w w:val="95"/>
        </w:rPr>
        <w:t>以上主要股东增持公司股份的公</w:t>
      </w:r>
      <w:r>
        <w:rPr>
          <w:spacing w:val="65"/>
          <w:w w:val="95"/>
        </w:rPr>
        <w:t> </w:t>
      </w:r>
      <w:r>
        <w:rPr/>
        <w:t>告》、《关于实际控制人、董事及高级管理人员增持公司股份暨增持计划实施完成的公告》。</w:t>
      </w:r>
    </w:p>
    <w:p>
      <w:pPr>
        <w:pStyle w:val="Heading1"/>
        <w:spacing w:line="503" w:lineRule="exact"/>
        <w:ind w:right="0"/>
        <w:jc w:val="both"/>
        <w:rPr>
          <w:b w:val="0"/>
          <w:bCs w:val="0"/>
        </w:rPr>
      </w:pPr>
      <w:bookmarkStart w:name="5.19 公司子公司重大事项" w:id="153"/>
      <w:bookmarkEnd w:id="153"/>
      <w:r>
        <w:rPr>
          <w:b w:val="0"/>
          <w:bCs w:val="0"/>
        </w:rPr>
      </w:r>
      <w:bookmarkStart w:name="_bookmark48" w:id="154"/>
      <w:bookmarkEnd w:id="154"/>
      <w:r>
        <w:rPr>
          <w:b w:val="0"/>
          <w:bCs w:val="0"/>
        </w:rPr>
      </w:r>
      <w:r>
        <w:rPr>
          <w:rFonts w:ascii="Trebuchet MS" w:hAnsi="Trebuchet MS" w:cs="Trebuchet MS" w:eastAsia="Trebuchet MS" w:hint="default"/>
        </w:rPr>
        <w:t>5.19</w:t>
      </w:r>
      <w:r>
        <w:rPr>
          <w:rFonts w:ascii="Trebuchet MS" w:hAnsi="Trebuchet MS" w:cs="Trebuchet MS" w:eastAsia="Trebuchet MS" w:hint="default"/>
          <w:spacing w:val="4"/>
        </w:rPr>
        <w:t> </w:t>
      </w:r>
      <w:r>
        <w:rPr/>
        <w:t>公司子公司重大事项</w:t>
      </w:r>
      <w:r>
        <w:rPr>
          <w:b w:val="0"/>
          <w:bCs w:val="0"/>
        </w:rPr>
      </w:r>
    </w:p>
    <w:p>
      <w:pPr>
        <w:spacing w:before="181"/>
        <w:ind w:left="153" w:right="0" w:firstLine="0"/>
        <w:jc w:val="both"/>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pStyle w:val="Heading1"/>
        <w:spacing w:line="240" w:lineRule="auto" w:before="76"/>
        <w:ind w:right="0"/>
        <w:jc w:val="both"/>
        <w:rPr>
          <w:b w:val="0"/>
          <w:bCs w:val="0"/>
        </w:rPr>
      </w:pPr>
      <w:bookmarkStart w:name="5.20 社会责任情况" w:id="155"/>
      <w:bookmarkEnd w:id="155"/>
      <w:r>
        <w:rPr>
          <w:b w:val="0"/>
          <w:bCs w:val="0"/>
        </w:rPr>
      </w:r>
      <w:bookmarkStart w:name="_bookmark49" w:id="156"/>
      <w:bookmarkEnd w:id="156"/>
      <w:r>
        <w:rPr>
          <w:b w:val="0"/>
          <w:bCs w:val="0"/>
        </w:rPr>
      </w:r>
      <w:r>
        <w:rPr>
          <w:rFonts w:ascii="Trebuchet MS" w:hAnsi="Trebuchet MS" w:cs="Trebuchet MS" w:eastAsia="Trebuchet MS" w:hint="default"/>
        </w:rPr>
        <w:t>5.20</w:t>
      </w:r>
      <w:r>
        <w:rPr>
          <w:rFonts w:ascii="Trebuchet MS" w:hAnsi="Trebuchet MS" w:cs="Trebuchet MS" w:eastAsia="Trebuchet MS" w:hint="default"/>
          <w:spacing w:val="4"/>
        </w:rPr>
        <w:t> </w:t>
      </w:r>
      <w:r>
        <w:rPr/>
        <w:t>社会责任情况</w:t>
      </w:r>
      <w:r>
        <w:rPr>
          <w:b w:val="0"/>
          <w:bCs w:val="0"/>
        </w:rPr>
      </w:r>
    </w:p>
    <w:p>
      <w:pPr>
        <w:spacing w:before="182"/>
        <w:ind w:left="153" w:right="0" w:firstLine="0"/>
        <w:jc w:val="both"/>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pStyle w:val="Heading1"/>
        <w:spacing w:line="240" w:lineRule="auto" w:before="76"/>
        <w:ind w:right="0"/>
        <w:jc w:val="both"/>
        <w:rPr>
          <w:b w:val="0"/>
          <w:bCs w:val="0"/>
        </w:rPr>
      </w:pPr>
      <w:bookmarkStart w:name="5.21 公司债券相关情况" w:id="157"/>
      <w:bookmarkEnd w:id="157"/>
      <w:r>
        <w:rPr>
          <w:b w:val="0"/>
          <w:bCs w:val="0"/>
        </w:rPr>
      </w:r>
      <w:bookmarkStart w:name="_bookmark50" w:id="158"/>
      <w:bookmarkEnd w:id="158"/>
      <w:r>
        <w:rPr>
          <w:b w:val="0"/>
          <w:bCs w:val="0"/>
        </w:rPr>
      </w:r>
      <w:r>
        <w:rPr>
          <w:rFonts w:ascii="Trebuchet MS" w:hAnsi="Trebuchet MS" w:cs="Trebuchet MS" w:eastAsia="Trebuchet MS" w:hint="default"/>
        </w:rPr>
        <w:t>5.21</w:t>
      </w:r>
      <w:r>
        <w:rPr>
          <w:rFonts w:ascii="Trebuchet MS" w:hAnsi="Trebuchet MS" w:cs="Trebuchet MS" w:eastAsia="Trebuchet MS" w:hint="default"/>
          <w:spacing w:val="4"/>
        </w:rPr>
        <w:t> </w:t>
      </w:r>
      <w:r>
        <w:rPr/>
        <w:t>公司债券相关情况</w:t>
      </w:r>
      <w:r>
        <w:rPr>
          <w:b w:val="0"/>
          <w:bCs w:val="0"/>
        </w:rPr>
      </w:r>
    </w:p>
    <w:p>
      <w:pPr>
        <w:pStyle w:val="BodyText"/>
        <w:spacing w:line="273" w:lineRule="auto" w:before="157"/>
        <w:ind w:right="1125" w:firstLine="420"/>
        <w:jc w:val="left"/>
      </w:pPr>
      <w:r>
        <w:rPr>
          <w:spacing w:val="-1"/>
        </w:rPr>
        <w:t>公司存在公开发行并在证券交易所上市，且在年度报告批准报出日未到期或到期未能全额兑付的公司</w:t>
      </w:r>
      <w:r>
        <w:rPr/>
        <w:t> 债券。</w:t>
      </w:r>
    </w:p>
    <w:p>
      <w:pPr>
        <w:spacing w:line="240" w:lineRule="auto" w:before="7"/>
        <w:rPr>
          <w:rFonts w:ascii="宋体" w:hAnsi="宋体" w:cs="宋体" w:eastAsia="宋体" w:hint="default"/>
          <w:sz w:val="27"/>
          <w:szCs w:val="27"/>
        </w:rPr>
      </w:pPr>
    </w:p>
    <w:p>
      <w:pPr>
        <w:pStyle w:val="Heading2"/>
        <w:spacing w:line="240" w:lineRule="auto"/>
        <w:ind w:left="154" w:right="0"/>
        <w:jc w:val="both"/>
        <w:rPr>
          <w:b w:val="0"/>
          <w:bCs w:val="0"/>
        </w:rPr>
      </w:pPr>
      <w:bookmarkStart w:name="5.21.1 公司债券基本信息" w:id="159"/>
      <w:bookmarkEnd w:id="159"/>
      <w:r>
        <w:rPr>
          <w:b w:val="0"/>
          <w:bCs w:val="0"/>
        </w:rPr>
      </w:r>
      <w:r>
        <w:rPr>
          <w:rFonts w:ascii="Trebuchet MS" w:hAnsi="Trebuchet MS" w:cs="Trebuchet MS" w:eastAsia="Trebuchet MS" w:hint="default"/>
        </w:rPr>
        <w:t>5.21.1</w:t>
      </w:r>
      <w:r>
        <w:rPr>
          <w:rFonts w:ascii="Trebuchet MS" w:hAnsi="Trebuchet MS" w:cs="Trebuchet MS" w:eastAsia="Trebuchet MS" w:hint="default"/>
          <w:spacing w:val="-26"/>
        </w:rPr>
        <w:t> </w:t>
      </w:r>
      <w:r>
        <w:rPr/>
        <w:t>公司债券基本信息</w:t>
      </w:r>
      <w:r>
        <w:rPr>
          <w:b w:val="0"/>
          <w:bCs w:val="0"/>
        </w:rPr>
      </w:r>
    </w:p>
    <w:p>
      <w:pPr>
        <w:spacing w:line="240" w:lineRule="auto" w:before="2"/>
        <w:rPr>
          <w:rFonts w:ascii="Microsoft JhengHei" w:hAnsi="Microsoft JhengHei" w:cs="Microsoft JhengHei" w:eastAsia="Microsoft JhengHei" w:hint="default"/>
          <w:b/>
          <w:bCs/>
          <w:sz w:val="27"/>
          <w:szCs w:val="27"/>
        </w:rPr>
      </w:pPr>
    </w:p>
    <w:tbl>
      <w:tblPr>
        <w:tblW w:w="0" w:type="auto"/>
        <w:jc w:val="left"/>
        <w:tblInd w:w="162" w:type="dxa"/>
        <w:tblLayout w:type="fixed"/>
        <w:tblCellMar>
          <w:top w:w="0" w:type="dxa"/>
          <w:left w:w="0" w:type="dxa"/>
          <w:bottom w:w="0" w:type="dxa"/>
          <w:right w:w="0" w:type="dxa"/>
        </w:tblCellMar>
        <w:tblLook w:val="01E0"/>
      </w:tblPr>
      <w:tblGrid>
        <w:gridCol w:w="1177"/>
        <w:gridCol w:w="1209"/>
        <w:gridCol w:w="1182"/>
        <w:gridCol w:w="1210"/>
        <w:gridCol w:w="1189"/>
        <w:gridCol w:w="1196"/>
        <w:gridCol w:w="1189"/>
        <w:gridCol w:w="1189"/>
      </w:tblGrid>
      <w:tr>
        <w:trPr>
          <w:trHeight w:val="161" w:hRule="exact"/>
        </w:trPr>
        <w:tc>
          <w:tcPr>
            <w:tcW w:w="5967" w:type="dxa"/>
            <w:gridSpan w:val="5"/>
            <w:tcBorders>
              <w:top w:val="single" w:sz="4" w:space="0" w:color="5B9BD4"/>
              <w:left w:val="nil" w:sz="6" w:space="0" w:color="auto"/>
              <w:bottom w:val="nil" w:sz="6" w:space="0" w:color="auto"/>
              <w:right w:val="nil" w:sz="6" w:space="0" w:color="auto"/>
            </w:tcBorders>
            <w:shd w:val="clear" w:color="auto" w:fill="DEEAF6"/>
          </w:tcPr>
          <w:p>
            <w:pPr/>
          </w:p>
        </w:tc>
        <w:tc>
          <w:tcPr>
            <w:tcW w:w="1196" w:type="dxa"/>
            <w:vMerge w:val="restart"/>
            <w:tcBorders>
              <w:top w:val="single" w:sz="4" w:space="0" w:color="5B9BD4"/>
              <w:left w:val="nil" w:sz="6" w:space="0" w:color="auto"/>
              <w:right w:val="nil" w:sz="6" w:space="0" w:color="auto"/>
            </w:tcBorders>
            <w:shd w:val="clear" w:color="auto" w:fill="DEEAF6"/>
          </w:tcPr>
          <w:p>
            <w:pPr>
              <w:pStyle w:val="TableParagraph"/>
              <w:spacing w:line="319" w:lineRule="auto" w:before="47"/>
              <w:ind w:left="418" w:right="57" w:hanging="360"/>
              <w:jc w:val="left"/>
              <w:rPr>
                <w:rFonts w:ascii="宋体" w:hAnsi="宋体" w:cs="宋体" w:eastAsia="宋体" w:hint="default"/>
                <w:sz w:val="18"/>
                <w:szCs w:val="18"/>
              </w:rPr>
            </w:pPr>
            <w:r>
              <w:rPr>
                <w:rFonts w:ascii="宋体" w:hAnsi="宋体" w:cs="宋体" w:eastAsia="宋体" w:hint="default"/>
                <w:sz w:val="18"/>
                <w:szCs w:val="18"/>
              </w:rPr>
              <w:t>债券余额（万 元）</w:t>
            </w:r>
          </w:p>
        </w:tc>
        <w:tc>
          <w:tcPr>
            <w:tcW w:w="2378" w:type="dxa"/>
            <w:gridSpan w:val="2"/>
            <w:tcBorders>
              <w:top w:val="single" w:sz="4" w:space="0" w:color="5B9BD4"/>
              <w:left w:val="nil" w:sz="6" w:space="0" w:color="auto"/>
              <w:bottom w:val="nil" w:sz="6" w:space="0" w:color="auto"/>
              <w:right w:val="nil" w:sz="6" w:space="0" w:color="auto"/>
            </w:tcBorders>
            <w:shd w:val="clear" w:color="auto" w:fill="DEEAF6"/>
          </w:tcPr>
          <w:p>
            <w:pPr/>
          </w:p>
        </w:tc>
      </w:tr>
      <w:tr>
        <w:trPr>
          <w:trHeight w:val="392" w:hRule="exact"/>
        </w:trPr>
        <w:tc>
          <w:tcPr>
            <w:tcW w:w="1177"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22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209"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243"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1182"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231"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210"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334"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189"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321"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196" w:type="dxa"/>
            <w:vMerge/>
            <w:tcBorders>
              <w:left w:val="nil" w:sz="6" w:space="0" w:color="auto"/>
              <w:right w:val="nil" w:sz="6" w:space="0" w:color="auto"/>
            </w:tcBorders>
            <w:shd w:val="clear" w:color="auto" w:fill="DEEAF6"/>
          </w:tcPr>
          <w:p>
            <w:pPr/>
          </w:p>
        </w:tc>
        <w:tc>
          <w:tcPr>
            <w:tcW w:w="1189"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6" w:right="0"/>
              <w:jc w:val="center"/>
              <w:rPr>
                <w:rFonts w:ascii="宋体" w:hAnsi="宋体" w:cs="宋体" w:eastAsia="宋体" w:hint="default"/>
                <w:sz w:val="18"/>
                <w:szCs w:val="18"/>
              </w:rPr>
            </w:pPr>
            <w:r>
              <w:rPr>
                <w:rFonts w:ascii="宋体" w:hAnsi="宋体" w:cs="宋体" w:eastAsia="宋体" w:hint="default"/>
                <w:sz w:val="18"/>
                <w:szCs w:val="18"/>
              </w:rPr>
              <w:t>利率</w:t>
            </w:r>
          </w:p>
        </w:tc>
        <w:tc>
          <w:tcPr>
            <w:tcW w:w="1189"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65"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161" w:hRule="exact"/>
        </w:trPr>
        <w:tc>
          <w:tcPr>
            <w:tcW w:w="5967" w:type="dxa"/>
            <w:gridSpan w:val="5"/>
            <w:tcBorders>
              <w:top w:val="nil" w:sz="6" w:space="0" w:color="auto"/>
              <w:left w:val="nil" w:sz="6" w:space="0" w:color="auto"/>
              <w:bottom w:val="single" w:sz="4" w:space="0" w:color="5B9BD4"/>
              <w:right w:val="nil" w:sz="6" w:space="0" w:color="auto"/>
            </w:tcBorders>
            <w:shd w:val="clear" w:color="auto" w:fill="DEEAF6"/>
          </w:tcPr>
          <w:p>
            <w:pPr/>
          </w:p>
        </w:tc>
        <w:tc>
          <w:tcPr>
            <w:tcW w:w="1196" w:type="dxa"/>
            <w:vMerge/>
            <w:tcBorders>
              <w:left w:val="nil" w:sz="6" w:space="0" w:color="auto"/>
              <w:bottom w:val="single" w:sz="4" w:space="0" w:color="5B9BD4"/>
              <w:right w:val="nil" w:sz="6" w:space="0" w:color="auto"/>
            </w:tcBorders>
            <w:shd w:val="clear" w:color="auto" w:fill="DEEAF6"/>
          </w:tcPr>
          <w:p>
            <w:pPr/>
          </w:p>
        </w:tc>
        <w:tc>
          <w:tcPr>
            <w:tcW w:w="2378" w:type="dxa"/>
            <w:gridSpan w:val="2"/>
            <w:tcBorders>
              <w:top w:val="nil" w:sz="6" w:space="0" w:color="auto"/>
              <w:left w:val="nil" w:sz="6" w:space="0" w:color="auto"/>
              <w:bottom w:val="single" w:sz="4" w:space="0" w:color="5B9BD4"/>
              <w:right w:val="nil" w:sz="6" w:space="0" w:color="auto"/>
            </w:tcBorders>
            <w:shd w:val="clear" w:color="auto" w:fill="DEEAF6"/>
          </w:tcPr>
          <w:p>
            <w:pPr/>
          </w:p>
        </w:tc>
      </w:tr>
      <w:tr>
        <w:trPr>
          <w:trHeight w:val="161" w:hRule="exact"/>
        </w:trPr>
        <w:tc>
          <w:tcPr>
            <w:tcW w:w="1177"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67"/>
              <w:ind w:left="13" w:right="80"/>
              <w:jc w:val="left"/>
              <w:rPr>
                <w:rFonts w:ascii="宋体" w:hAnsi="宋体" w:cs="宋体" w:eastAsia="宋体" w:hint="default"/>
                <w:sz w:val="18"/>
                <w:szCs w:val="18"/>
              </w:rPr>
            </w:pPr>
            <w:r>
              <w:rPr>
                <w:rFonts w:ascii="宋体" w:hAnsi="宋体" w:cs="宋体" w:eastAsia="宋体" w:hint="default"/>
                <w:sz w:val="18"/>
                <w:szCs w:val="18"/>
              </w:rPr>
              <w:t>深圳市爱施德 股份有限公司</w:t>
            </w:r>
          </w:p>
        </w:tc>
        <w:tc>
          <w:tcPr>
            <w:tcW w:w="1209" w:type="dxa"/>
            <w:vMerge w:val="restart"/>
            <w:tcBorders>
              <w:top w:val="single" w:sz="4" w:space="0" w:color="5B9BD4"/>
              <w:left w:val="single" w:sz="12" w:space="0" w:color="DEEAF6"/>
              <w:right w:val="nil" w:sz="6" w:space="0" w:color="auto"/>
            </w:tcBorders>
          </w:tcPr>
          <w:p>
            <w:pPr>
              <w:pStyle w:val="TableParagraph"/>
              <w:spacing w:line="240" w:lineRule="auto" w:before="46"/>
              <w:ind w:left="20" w:right="0"/>
              <w:jc w:val="left"/>
              <w:rPr>
                <w:rFonts w:ascii="Arial" w:hAnsi="Arial" w:cs="Arial" w:eastAsia="Arial" w:hint="default"/>
                <w:sz w:val="18"/>
                <w:szCs w:val="18"/>
              </w:rPr>
            </w:pPr>
            <w:r>
              <w:rPr>
                <w:rFonts w:ascii="Arial" w:hAnsi="Arial" w:cs="Arial" w:eastAsia="Arial" w:hint="default"/>
                <w:sz w:val="18"/>
                <w:szCs w:val="18"/>
              </w:rPr>
              <w:t>15 </w:t>
            </w:r>
            <w:r>
              <w:rPr>
                <w:rFonts w:ascii="宋体" w:hAnsi="宋体" w:cs="宋体" w:eastAsia="宋体" w:hint="default"/>
                <w:sz w:val="18"/>
                <w:szCs w:val="18"/>
              </w:rPr>
              <w:t>深爱</w:t>
            </w:r>
            <w:r>
              <w:rPr>
                <w:rFonts w:ascii="宋体" w:hAnsi="宋体" w:cs="宋体" w:eastAsia="宋体" w:hint="default"/>
                <w:spacing w:val="-57"/>
                <w:sz w:val="18"/>
                <w:szCs w:val="18"/>
              </w:rPr>
              <w:t> </w:t>
            </w:r>
            <w:r>
              <w:rPr>
                <w:rFonts w:ascii="Arial" w:hAnsi="Arial" w:cs="Arial" w:eastAsia="Arial" w:hint="default"/>
                <w:sz w:val="18"/>
                <w:szCs w:val="18"/>
              </w:rPr>
              <w:t>01</w:t>
            </w:r>
          </w:p>
        </w:tc>
        <w:tc>
          <w:tcPr>
            <w:tcW w:w="1182" w:type="dxa"/>
            <w:tcBorders>
              <w:top w:val="single" w:sz="4" w:space="0" w:color="5B9BD4"/>
              <w:left w:val="nil" w:sz="6" w:space="0" w:color="auto"/>
              <w:bottom w:val="nil" w:sz="6" w:space="0" w:color="auto"/>
              <w:right w:val="nil" w:sz="6" w:space="0" w:color="auto"/>
            </w:tcBorders>
            <w:shd w:val="clear" w:color="auto" w:fill="DEEAF6"/>
          </w:tcPr>
          <w:p>
            <w:pPr/>
          </w:p>
        </w:tc>
        <w:tc>
          <w:tcPr>
            <w:tcW w:w="1210" w:type="dxa"/>
            <w:vMerge w:val="restart"/>
            <w:tcBorders>
              <w:top w:val="single" w:sz="4" w:space="0" w:color="5B9BD4"/>
              <w:left w:val="nil" w:sz="6" w:space="0" w:color="auto"/>
              <w:right w:val="single" w:sz="11" w:space="0" w:color="DEEAF6"/>
            </w:tcBorders>
          </w:tcPr>
          <w:p>
            <w:pPr>
              <w:pStyle w:val="TableParagraph"/>
              <w:spacing w:line="240" w:lineRule="auto" w:before="46"/>
              <w:ind w:left="34"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29" w:lineRule="exact" w:before="65"/>
              <w:ind w:left="34" w:right="0"/>
              <w:jc w:val="left"/>
              <w:rPr>
                <w:rFonts w:ascii="宋体" w:hAnsi="宋体" w:cs="宋体" w:eastAsia="宋体" w:hint="default"/>
                <w:sz w:val="18"/>
                <w:szCs w:val="18"/>
              </w:rPr>
            </w:pPr>
            <w:r>
              <w:rPr>
                <w:rFonts w:ascii="Arial" w:hAnsi="Arial" w:cs="Arial" w:eastAsia="Arial" w:hint="default"/>
                <w:sz w:val="18"/>
                <w:szCs w:val="18"/>
              </w:rPr>
              <w:t>13</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89"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46"/>
              <w:ind w:left="21"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5"/>
              <w:ind w:left="21" w:right="0"/>
              <w:jc w:val="left"/>
              <w:rPr>
                <w:rFonts w:ascii="宋体" w:hAnsi="宋体" w:cs="宋体" w:eastAsia="宋体" w:hint="default"/>
                <w:sz w:val="18"/>
                <w:szCs w:val="18"/>
              </w:rPr>
            </w:pPr>
            <w:r>
              <w:rPr>
                <w:rFonts w:ascii="Arial" w:hAnsi="Arial" w:cs="Arial" w:eastAsia="Arial" w:hint="default"/>
                <w:sz w:val="18"/>
                <w:szCs w:val="18"/>
              </w:rPr>
              <w:t>13</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96" w:type="dxa"/>
            <w:vMerge w:val="restart"/>
            <w:tcBorders>
              <w:top w:val="single" w:sz="4" w:space="0" w:color="5B9BD4"/>
              <w:left w:val="single" w:sz="11" w:space="0" w:color="DEEAF6"/>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left="356" w:right="0"/>
              <w:jc w:val="left"/>
              <w:rPr>
                <w:rFonts w:ascii="Arial" w:hAnsi="Arial" w:cs="Arial" w:eastAsia="Arial" w:hint="default"/>
                <w:sz w:val="18"/>
                <w:szCs w:val="18"/>
              </w:rPr>
            </w:pPr>
            <w:r>
              <w:rPr>
                <w:rFonts w:ascii="Arial"/>
                <w:sz w:val="18"/>
              </w:rPr>
              <w:t>59,540.79</w:t>
            </w:r>
          </w:p>
        </w:tc>
        <w:tc>
          <w:tcPr>
            <w:tcW w:w="1189" w:type="dxa"/>
            <w:tcBorders>
              <w:top w:val="single" w:sz="4" w:space="0" w:color="5B9BD4"/>
              <w:left w:val="nil" w:sz="6" w:space="0" w:color="auto"/>
              <w:bottom w:val="nil" w:sz="6" w:space="0" w:color="auto"/>
              <w:right w:val="nil" w:sz="6" w:space="0" w:color="auto"/>
            </w:tcBorders>
            <w:shd w:val="clear" w:color="auto" w:fill="DEEAF6"/>
          </w:tcPr>
          <w:p>
            <w:pPr/>
          </w:p>
        </w:tc>
        <w:tc>
          <w:tcPr>
            <w:tcW w:w="1189" w:type="dxa"/>
            <w:vMerge w:val="restart"/>
            <w:tcBorders>
              <w:top w:val="single" w:sz="4" w:space="0" w:color="5B9BD4"/>
              <w:left w:val="nil" w:sz="6" w:space="0" w:color="auto"/>
              <w:right w:val="nil" w:sz="6" w:space="0" w:color="auto"/>
            </w:tcBorders>
          </w:tcPr>
          <w:p>
            <w:pPr>
              <w:pStyle w:val="TableParagraph"/>
              <w:spacing w:line="310" w:lineRule="exact" w:before="29"/>
              <w:ind w:left="35" w:right="71"/>
              <w:jc w:val="left"/>
              <w:rPr>
                <w:rFonts w:ascii="宋体" w:hAnsi="宋体" w:cs="宋体" w:eastAsia="宋体" w:hint="default"/>
                <w:sz w:val="18"/>
                <w:szCs w:val="18"/>
              </w:rPr>
            </w:pPr>
            <w:r>
              <w:rPr>
                <w:rFonts w:ascii="宋体" w:hAnsi="宋体" w:cs="宋体" w:eastAsia="宋体" w:hint="default"/>
                <w:sz w:val="18"/>
                <w:szCs w:val="18"/>
              </w:rPr>
              <w:t>本期债券按年 计息，不计复</w:t>
            </w:r>
          </w:p>
        </w:tc>
      </w:tr>
      <w:tr>
        <w:trPr>
          <w:trHeight w:val="392" w:hRule="exact"/>
        </w:trPr>
        <w:tc>
          <w:tcPr>
            <w:tcW w:w="1177" w:type="dxa"/>
            <w:vMerge/>
            <w:tcBorders>
              <w:left w:val="nil" w:sz="6" w:space="0" w:color="auto"/>
              <w:right w:val="nil" w:sz="6" w:space="0" w:color="auto"/>
            </w:tcBorders>
            <w:shd w:val="clear" w:color="auto" w:fill="DEEAF6"/>
          </w:tcPr>
          <w:p>
            <w:pPr/>
          </w:p>
        </w:tc>
        <w:tc>
          <w:tcPr>
            <w:tcW w:w="1209" w:type="dxa"/>
            <w:vMerge/>
            <w:tcBorders>
              <w:left w:val="single" w:sz="12" w:space="0" w:color="DEEAF6"/>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left="21" w:right="0"/>
              <w:jc w:val="left"/>
              <w:rPr>
                <w:rFonts w:ascii="Arial" w:hAnsi="Arial" w:cs="Arial" w:eastAsia="Arial" w:hint="default"/>
                <w:sz w:val="18"/>
                <w:szCs w:val="18"/>
              </w:rPr>
            </w:pPr>
            <w:r>
              <w:rPr>
                <w:rFonts w:ascii="Arial"/>
                <w:sz w:val="18"/>
              </w:rPr>
              <w:t>112293</w:t>
            </w:r>
          </w:p>
        </w:tc>
        <w:tc>
          <w:tcPr>
            <w:tcW w:w="1210" w:type="dxa"/>
            <w:vMerge/>
            <w:tcBorders>
              <w:left w:val="nil" w:sz="6" w:space="0" w:color="auto"/>
              <w:bottom w:val="nil" w:sz="6" w:space="0" w:color="auto"/>
              <w:right w:val="single" w:sz="11" w:space="0" w:color="DEEAF6"/>
            </w:tcBorders>
          </w:tcPr>
          <w:p>
            <w:pPr/>
          </w:p>
        </w:tc>
        <w:tc>
          <w:tcPr>
            <w:tcW w:w="1189" w:type="dxa"/>
            <w:vMerge/>
            <w:tcBorders>
              <w:left w:val="nil" w:sz="6" w:space="0" w:color="auto"/>
              <w:right w:val="nil" w:sz="6" w:space="0" w:color="auto"/>
            </w:tcBorders>
            <w:shd w:val="clear" w:color="auto" w:fill="DEEAF6"/>
          </w:tcPr>
          <w:p>
            <w:pPr/>
          </w:p>
        </w:tc>
        <w:tc>
          <w:tcPr>
            <w:tcW w:w="1196" w:type="dxa"/>
            <w:vMerge/>
            <w:tcBorders>
              <w:left w:val="single" w:sz="11" w:space="0" w:color="DEEAF6"/>
              <w:right w:val="nil" w:sz="6" w:space="0" w:color="auto"/>
            </w:tcBorders>
          </w:tcPr>
          <w:p>
            <w:pPr/>
          </w:p>
        </w:tc>
        <w:tc>
          <w:tcPr>
            <w:tcW w:w="1189"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left="679" w:right="0"/>
              <w:jc w:val="left"/>
              <w:rPr>
                <w:rFonts w:ascii="Arial" w:hAnsi="Arial" w:cs="Arial" w:eastAsia="Arial" w:hint="default"/>
                <w:sz w:val="18"/>
                <w:szCs w:val="18"/>
              </w:rPr>
            </w:pPr>
            <w:r>
              <w:rPr>
                <w:rFonts w:ascii="Arial"/>
                <w:w w:val="95"/>
                <w:sz w:val="18"/>
              </w:rPr>
              <w:t>5.95%</w:t>
            </w:r>
            <w:r>
              <w:rPr>
                <w:rFonts w:ascii="Arial"/>
                <w:sz w:val="18"/>
              </w:rPr>
            </w:r>
          </w:p>
        </w:tc>
        <w:tc>
          <w:tcPr>
            <w:tcW w:w="1189" w:type="dxa"/>
            <w:vMerge/>
            <w:tcBorders>
              <w:left w:val="nil" w:sz="6" w:space="0" w:color="auto"/>
              <w:bottom w:val="nil" w:sz="6" w:space="0" w:color="auto"/>
              <w:right w:val="nil" w:sz="6" w:space="0" w:color="auto"/>
            </w:tcBorders>
          </w:tcPr>
          <w:p>
            <w:pPr/>
          </w:p>
        </w:tc>
      </w:tr>
      <w:tr>
        <w:trPr>
          <w:trHeight w:val="161" w:hRule="exact"/>
        </w:trPr>
        <w:tc>
          <w:tcPr>
            <w:tcW w:w="1177" w:type="dxa"/>
            <w:vMerge/>
            <w:tcBorders>
              <w:left w:val="nil" w:sz="6" w:space="0" w:color="auto"/>
              <w:bottom w:val="single" w:sz="4" w:space="0" w:color="5B9BD4"/>
              <w:right w:val="nil" w:sz="6" w:space="0" w:color="auto"/>
            </w:tcBorders>
            <w:shd w:val="clear" w:color="auto" w:fill="DEEAF6"/>
          </w:tcPr>
          <w:p>
            <w:pPr/>
          </w:p>
        </w:tc>
        <w:tc>
          <w:tcPr>
            <w:tcW w:w="1209" w:type="dxa"/>
            <w:vMerge/>
            <w:tcBorders>
              <w:left w:val="single" w:sz="12" w:space="0" w:color="DEEAF6"/>
              <w:bottom w:val="single" w:sz="4" w:space="0" w:color="5B9BD4"/>
              <w:right w:val="nil" w:sz="6" w:space="0" w:color="auto"/>
            </w:tcBorders>
          </w:tcPr>
          <w:p>
            <w:pPr/>
          </w:p>
        </w:tc>
        <w:tc>
          <w:tcPr>
            <w:tcW w:w="2392" w:type="dxa"/>
            <w:gridSpan w:val="2"/>
            <w:tcBorders>
              <w:top w:val="nil" w:sz="6" w:space="0" w:color="auto"/>
              <w:left w:val="nil" w:sz="6" w:space="0" w:color="auto"/>
              <w:bottom w:val="single" w:sz="4" w:space="0" w:color="5B9BD4"/>
              <w:right w:val="nil" w:sz="6" w:space="0" w:color="auto"/>
            </w:tcBorders>
            <w:shd w:val="clear" w:color="auto" w:fill="DEEAF6"/>
          </w:tcPr>
          <w:p>
            <w:pPr/>
          </w:p>
        </w:tc>
        <w:tc>
          <w:tcPr>
            <w:tcW w:w="1189" w:type="dxa"/>
            <w:vMerge/>
            <w:tcBorders>
              <w:left w:val="nil" w:sz="6" w:space="0" w:color="auto"/>
              <w:bottom w:val="single" w:sz="4" w:space="0" w:color="5B9BD4"/>
              <w:right w:val="nil" w:sz="6" w:space="0" w:color="auto"/>
            </w:tcBorders>
            <w:shd w:val="clear" w:color="auto" w:fill="DEEAF6"/>
          </w:tcPr>
          <w:p>
            <w:pPr/>
          </w:p>
        </w:tc>
        <w:tc>
          <w:tcPr>
            <w:tcW w:w="1196" w:type="dxa"/>
            <w:vMerge/>
            <w:tcBorders>
              <w:left w:val="single" w:sz="11" w:space="0" w:color="DEEAF6"/>
              <w:bottom w:val="single" w:sz="4" w:space="0" w:color="5B9BD4"/>
              <w:right w:val="nil" w:sz="6" w:space="0" w:color="auto"/>
            </w:tcBorders>
          </w:tcPr>
          <w:p>
            <w:pPr/>
          </w:p>
        </w:tc>
        <w:tc>
          <w:tcPr>
            <w:tcW w:w="2378" w:type="dxa"/>
            <w:gridSpan w:val="2"/>
            <w:tcBorders>
              <w:top w:val="nil" w:sz="6" w:space="0" w:color="auto"/>
              <w:left w:val="nil" w:sz="6" w:space="0" w:color="auto"/>
              <w:bottom w:val="single" w:sz="4" w:space="0" w:color="5B9BD4"/>
              <w:right w:val="nil" w:sz="6" w:space="0" w:color="auto"/>
            </w:tcBorders>
            <w:shd w:val="clear" w:color="auto" w:fill="DEEAF6"/>
          </w:tcPr>
          <w:p>
            <w:pPr/>
          </w:p>
        </w:tc>
      </w:tr>
    </w:tbl>
    <w:p>
      <w:pPr>
        <w:spacing w:after="0"/>
        <w:sectPr>
          <w:pgSz w:w="11910" w:h="16840"/>
          <w:pgMar w:header="877" w:footer="979" w:top="1100" w:bottom="1160" w:left="98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16"/>
          <w:szCs w:val="16"/>
        </w:rPr>
      </w:pPr>
    </w:p>
    <w:p>
      <w:pPr>
        <w:spacing w:before="29"/>
        <w:ind w:left="0" w:right="1162" w:firstLine="0"/>
        <w:jc w:val="right"/>
        <w:rPr>
          <w:rFonts w:ascii="宋体" w:hAnsi="宋体" w:cs="宋体" w:eastAsia="宋体" w:hint="default"/>
          <w:sz w:val="18"/>
          <w:szCs w:val="18"/>
        </w:rPr>
      </w:pPr>
      <w:r>
        <w:rPr/>
        <w:pict>
          <v:shape style="position:absolute;margin-left:57.150002pt;margin-top:-137.698273pt;width:477.8pt;height:239.4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70"/>
                    <w:gridCol w:w="1195"/>
                    <w:gridCol w:w="1210"/>
                    <w:gridCol w:w="1197"/>
                    <w:gridCol w:w="1195"/>
                    <w:gridCol w:w="1197"/>
                    <w:gridCol w:w="1196"/>
                    <w:gridCol w:w="1181"/>
                  </w:tblGrid>
                  <w:tr>
                    <w:trPr>
                      <w:trHeight w:val="670" w:hRule="exact"/>
                    </w:trPr>
                    <w:tc>
                      <w:tcPr>
                        <w:tcW w:w="1170" w:type="dxa"/>
                        <w:tcBorders>
                          <w:top w:val="single" w:sz="4" w:space="0" w:color="5B9BD4"/>
                          <w:left w:val="nil" w:sz="6" w:space="0" w:color="auto"/>
                          <w:bottom w:val="nil" w:sz="6" w:space="0" w:color="auto"/>
                          <w:right w:val="nil" w:sz="6" w:space="0" w:color="auto"/>
                        </w:tcBorders>
                        <w:shd w:val="clear" w:color="auto" w:fill="DEEAF6"/>
                      </w:tcPr>
                      <w:p>
                        <w:pPr>
                          <w:pStyle w:val="TableParagraph"/>
                          <w:spacing w:line="302" w:lineRule="auto" w:before="5"/>
                          <w:ind w:left="13" w:right="102"/>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年公司 </w:t>
                        </w:r>
                        <w:r>
                          <w:rPr>
                            <w:rFonts w:ascii="宋体" w:hAnsi="宋体" w:cs="宋体" w:eastAsia="宋体" w:hint="default"/>
                            <w:spacing w:val="-5"/>
                            <w:sz w:val="18"/>
                            <w:szCs w:val="18"/>
                          </w:rPr>
                          <w:t>债券（第一期</w:t>
                        </w:r>
                      </w:p>
                    </w:tc>
                    <w:tc>
                      <w:tcPr>
                        <w:tcW w:w="1195" w:type="dxa"/>
                        <w:vMerge w:val="restart"/>
                        <w:tcBorders>
                          <w:top w:val="single" w:sz="4" w:space="0" w:color="5B9BD4"/>
                          <w:left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w:t>
                        </w:r>
                      </w:p>
                    </w:tc>
                    <w:tc>
                      <w:tcPr>
                        <w:tcW w:w="1210" w:type="dxa"/>
                        <w:vMerge w:val="restart"/>
                        <w:tcBorders>
                          <w:top w:val="single" w:sz="4" w:space="0" w:color="5B9BD4"/>
                          <w:left w:val="nil" w:sz="6" w:space="0" w:color="auto"/>
                          <w:right w:val="nil" w:sz="6" w:space="0" w:color="auto"/>
                        </w:tcBorders>
                        <w:shd w:val="clear" w:color="auto" w:fill="DEEAF6"/>
                      </w:tcPr>
                      <w:p>
                        <w:pPr/>
                      </w:p>
                    </w:tc>
                    <w:tc>
                      <w:tcPr>
                        <w:tcW w:w="1197" w:type="dxa"/>
                        <w:vMerge w:val="restart"/>
                        <w:tcBorders>
                          <w:top w:val="single" w:sz="4" w:space="0" w:color="5B9BD4"/>
                          <w:left w:val="nil" w:sz="6" w:space="0" w:color="auto"/>
                          <w:right w:val="nil" w:sz="6" w:space="0" w:color="auto"/>
                        </w:tcBorders>
                      </w:tcPr>
                      <w:p>
                        <w:pPr/>
                      </w:p>
                    </w:tc>
                    <w:tc>
                      <w:tcPr>
                        <w:tcW w:w="1195" w:type="dxa"/>
                        <w:vMerge w:val="restart"/>
                        <w:tcBorders>
                          <w:top w:val="single" w:sz="4" w:space="0" w:color="5B9BD4"/>
                          <w:left w:val="nil" w:sz="6" w:space="0" w:color="auto"/>
                          <w:right w:val="nil" w:sz="6" w:space="0" w:color="auto"/>
                        </w:tcBorders>
                        <w:shd w:val="clear" w:color="auto" w:fill="DEEAF6"/>
                      </w:tcPr>
                      <w:p>
                        <w:pPr/>
                      </w:p>
                    </w:tc>
                    <w:tc>
                      <w:tcPr>
                        <w:tcW w:w="1197" w:type="dxa"/>
                        <w:vMerge w:val="restart"/>
                        <w:tcBorders>
                          <w:top w:val="single" w:sz="4" w:space="0" w:color="5B9BD4"/>
                          <w:left w:val="nil" w:sz="6" w:space="0" w:color="auto"/>
                          <w:right w:val="nil" w:sz="6" w:space="0" w:color="auto"/>
                        </w:tcBorders>
                      </w:tcPr>
                      <w:p>
                        <w:pPr/>
                      </w:p>
                    </w:tc>
                    <w:tc>
                      <w:tcPr>
                        <w:tcW w:w="1196" w:type="dxa"/>
                        <w:vMerge w:val="restart"/>
                        <w:tcBorders>
                          <w:top w:val="single" w:sz="4" w:space="0" w:color="5B9BD4"/>
                          <w:left w:val="nil" w:sz="6" w:space="0" w:color="auto"/>
                          <w:right w:val="nil" w:sz="6" w:space="0" w:color="auto"/>
                        </w:tcBorders>
                        <w:shd w:val="clear" w:color="auto" w:fill="DEEAF6"/>
                      </w:tcPr>
                      <w:p>
                        <w:pPr/>
                      </w:p>
                    </w:tc>
                    <w:tc>
                      <w:tcPr>
                        <w:tcW w:w="1181" w:type="dxa"/>
                        <w:vMerge w:val="restart"/>
                        <w:tcBorders>
                          <w:top w:val="single" w:sz="4" w:space="0" w:color="5B9BD4"/>
                          <w:left w:val="nil" w:sz="6" w:space="0" w:color="auto"/>
                          <w:right w:val="nil" w:sz="6" w:space="0" w:color="auto"/>
                        </w:tcBorders>
                      </w:tcPr>
                      <w:p>
                        <w:pPr>
                          <w:pStyle w:val="TableParagraph"/>
                          <w:spacing w:line="319" w:lineRule="auto" w:before="5"/>
                          <w:ind w:left="27" w:right="71"/>
                          <w:jc w:val="both"/>
                          <w:rPr>
                            <w:rFonts w:ascii="宋体" w:hAnsi="宋体" w:cs="宋体" w:eastAsia="宋体" w:hint="default"/>
                            <w:sz w:val="18"/>
                            <w:szCs w:val="18"/>
                          </w:rPr>
                        </w:pPr>
                        <w:r>
                          <w:rPr>
                            <w:rFonts w:ascii="宋体" w:hAnsi="宋体" w:cs="宋体" w:eastAsia="宋体" w:hint="default"/>
                            <w:sz w:val="18"/>
                            <w:szCs w:val="18"/>
                          </w:rPr>
                          <w:t>利。每年付息 一次、到期一 次还本，最后 一期利息随本 金一同支付。</w:t>
                        </w:r>
                      </w:p>
                    </w:tc>
                  </w:tr>
                  <w:tr>
                    <w:trPr>
                      <w:trHeight w:val="946" w:hRule="exact"/>
                    </w:trPr>
                    <w:tc>
                      <w:tcPr>
                        <w:tcW w:w="1170" w:type="dxa"/>
                        <w:tcBorders>
                          <w:top w:val="nil" w:sz="6" w:space="0" w:color="auto"/>
                          <w:left w:val="nil" w:sz="6" w:space="0" w:color="auto"/>
                          <w:bottom w:val="single" w:sz="4" w:space="0" w:color="5B9BD4"/>
                          <w:right w:val="nil" w:sz="6" w:space="0" w:color="auto"/>
                        </w:tcBorders>
                        <w:shd w:val="clear" w:color="auto" w:fill="DEEAF6"/>
                      </w:tcPr>
                      <w:p>
                        <w:pPr/>
                      </w:p>
                    </w:tc>
                    <w:tc>
                      <w:tcPr>
                        <w:tcW w:w="1195" w:type="dxa"/>
                        <w:vMerge/>
                        <w:tcBorders>
                          <w:left w:val="nil" w:sz="6" w:space="0" w:color="auto"/>
                          <w:bottom w:val="single" w:sz="4" w:space="0" w:color="5B9BD4"/>
                          <w:right w:val="nil" w:sz="6" w:space="0" w:color="auto"/>
                        </w:tcBorders>
                      </w:tcPr>
                      <w:p>
                        <w:pPr/>
                      </w:p>
                    </w:tc>
                    <w:tc>
                      <w:tcPr>
                        <w:tcW w:w="1210" w:type="dxa"/>
                        <w:vMerge/>
                        <w:tcBorders>
                          <w:left w:val="nil" w:sz="6" w:space="0" w:color="auto"/>
                          <w:bottom w:val="single" w:sz="4" w:space="0" w:color="5B9BD4"/>
                          <w:right w:val="nil" w:sz="6" w:space="0" w:color="auto"/>
                        </w:tcBorders>
                        <w:shd w:val="clear" w:color="auto" w:fill="DEEAF6"/>
                      </w:tcPr>
                      <w:p>
                        <w:pPr/>
                      </w:p>
                    </w:tc>
                    <w:tc>
                      <w:tcPr>
                        <w:tcW w:w="1197" w:type="dxa"/>
                        <w:vMerge/>
                        <w:tcBorders>
                          <w:left w:val="nil" w:sz="6" w:space="0" w:color="auto"/>
                          <w:bottom w:val="single" w:sz="4" w:space="0" w:color="5B9BD4"/>
                          <w:right w:val="nil" w:sz="6" w:space="0" w:color="auto"/>
                        </w:tcBorders>
                      </w:tcPr>
                      <w:p>
                        <w:pPr/>
                      </w:p>
                    </w:tc>
                    <w:tc>
                      <w:tcPr>
                        <w:tcW w:w="1195" w:type="dxa"/>
                        <w:vMerge/>
                        <w:tcBorders>
                          <w:left w:val="nil" w:sz="6" w:space="0" w:color="auto"/>
                          <w:bottom w:val="single" w:sz="4" w:space="0" w:color="5B9BD4"/>
                          <w:right w:val="nil" w:sz="6" w:space="0" w:color="auto"/>
                        </w:tcBorders>
                        <w:shd w:val="clear" w:color="auto" w:fill="DEEAF6"/>
                      </w:tcPr>
                      <w:p>
                        <w:pPr/>
                      </w:p>
                    </w:tc>
                    <w:tc>
                      <w:tcPr>
                        <w:tcW w:w="1197" w:type="dxa"/>
                        <w:vMerge/>
                        <w:tcBorders>
                          <w:left w:val="nil" w:sz="6" w:space="0" w:color="auto"/>
                          <w:bottom w:val="single" w:sz="4" w:space="0" w:color="5B9BD4"/>
                          <w:right w:val="nil" w:sz="6" w:space="0" w:color="auto"/>
                        </w:tcBorders>
                      </w:tcPr>
                      <w:p>
                        <w:pPr/>
                      </w:p>
                    </w:tc>
                    <w:tc>
                      <w:tcPr>
                        <w:tcW w:w="1196" w:type="dxa"/>
                        <w:vMerge/>
                        <w:tcBorders>
                          <w:left w:val="nil" w:sz="6" w:space="0" w:color="auto"/>
                          <w:bottom w:val="single" w:sz="4" w:space="0" w:color="5B9BD4"/>
                          <w:right w:val="nil" w:sz="6" w:space="0" w:color="auto"/>
                        </w:tcBorders>
                        <w:shd w:val="clear" w:color="auto" w:fill="DEEAF6"/>
                      </w:tcPr>
                      <w:p>
                        <w:pPr/>
                      </w:p>
                    </w:tc>
                    <w:tc>
                      <w:tcPr>
                        <w:tcW w:w="1181" w:type="dxa"/>
                        <w:vMerge/>
                        <w:tcBorders>
                          <w:left w:val="nil" w:sz="6" w:space="0" w:color="auto"/>
                          <w:bottom w:val="single" w:sz="4" w:space="0" w:color="5B9BD4"/>
                          <w:right w:val="nil" w:sz="6" w:space="0" w:color="auto"/>
                        </w:tcBorders>
                      </w:tcPr>
                      <w:p>
                        <w:pPr/>
                      </w:p>
                    </w:tc>
                  </w:tr>
                  <w:tr>
                    <w:trPr>
                      <w:trHeight w:val="156" w:hRule="exact"/>
                    </w:trPr>
                    <w:tc>
                      <w:tcPr>
                        <w:tcW w:w="2364" w:type="dxa"/>
                        <w:gridSpan w:val="2"/>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1"/>
                          <w:ind w:left="13" w:right="188"/>
                          <w:jc w:val="left"/>
                          <w:rPr>
                            <w:rFonts w:ascii="宋体" w:hAnsi="宋体" w:cs="宋体" w:eastAsia="宋体" w:hint="default"/>
                            <w:sz w:val="18"/>
                            <w:szCs w:val="18"/>
                          </w:rPr>
                        </w:pPr>
                        <w:r>
                          <w:rPr>
                            <w:rFonts w:ascii="宋体" w:hAnsi="宋体" w:cs="宋体" w:eastAsia="宋体" w:hint="default"/>
                            <w:sz w:val="18"/>
                            <w:szCs w:val="18"/>
                          </w:rPr>
                          <w:t>公司债券上市或转让的交易 场所</w:t>
                        </w:r>
                      </w:p>
                    </w:tc>
                    <w:tc>
                      <w:tcPr>
                        <w:tcW w:w="7177" w:type="dxa"/>
                        <w:gridSpan w:val="6"/>
                        <w:tcBorders>
                          <w:top w:val="single" w:sz="4" w:space="0" w:color="5B9BD4"/>
                          <w:left w:val="nil" w:sz="6" w:space="0" w:color="auto"/>
                          <w:bottom w:val="nil" w:sz="6" w:space="0" w:color="auto"/>
                          <w:right w:val="nil" w:sz="6" w:space="0" w:color="auto"/>
                        </w:tcBorders>
                        <w:shd w:val="clear" w:color="auto" w:fill="DEEAF6"/>
                      </w:tcPr>
                      <w:p>
                        <w:pPr/>
                      </w:p>
                    </w:tc>
                  </w:tr>
                  <w:tr>
                    <w:trPr>
                      <w:trHeight w:val="392" w:hRule="exact"/>
                    </w:trPr>
                    <w:tc>
                      <w:tcPr>
                        <w:tcW w:w="2364" w:type="dxa"/>
                        <w:gridSpan w:val="2"/>
                        <w:vMerge/>
                        <w:tcBorders>
                          <w:left w:val="nil" w:sz="6" w:space="0" w:color="auto"/>
                          <w:right w:val="nil" w:sz="6" w:space="0" w:color="auto"/>
                        </w:tcBorders>
                        <w:shd w:val="clear" w:color="auto" w:fill="DEEAF6"/>
                      </w:tcPr>
                      <w:p>
                        <w:pPr/>
                      </w:p>
                    </w:tc>
                    <w:tc>
                      <w:tcPr>
                        <w:tcW w:w="7177" w:type="dxa"/>
                        <w:gridSpan w:val="6"/>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4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161" w:hRule="exact"/>
                    </w:trPr>
                    <w:tc>
                      <w:tcPr>
                        <w:tcW w:w="2364" w:type="dxa"/>
                        <w:gridSpan w:val="2"/>
                        <w:vMerge/>
                        <w:tcBorders>
                          <w:left w:val="nil" w:sz="6" w:space="0" w:color="auto"/>
                          <w:bottom w:val="single" w:sz="4" w:space="0" w:color="5B9BD4"/>
                          <w:right w:val="nil" w:sz="6" w:space="0" w:color="auto"/>
                        </w:tcBorders>
                        <w:shd w:val="clear" w:color="auto" w:fill="DEEAF6"/>
                      </w:tcPr>
                      <w:p>
                        <w:pPr/>
                      </w:p>
                    </w:tc>
                    <w:tc>
                      <w:tcPr>
                        <w:tcW w:w="7177" w:type="dxa"/>
                        <w:gridSpan w:val="6"/>
                        <w:tcBorders>
                          <w:top w:val="nil" w:sz="6" w:space="0" w:color="auto"/>
                          <w:left w:val="nil" w:sz="6" w:space="0" w:color="auto"/>
                          <w:bottom w:val="single" w:sz="4" w:space="0" w:color="5B9BD4"/>
                          <w:right w:val="nil" w:sz="6" w:space="0" w:color="auto"/>
                        </w:tcBorders>
                        <w:shd w:val="clear" w:color="auto" w:fill="DEEAF6"/>
                      </w:tcPr>
                      <w:p>
                        <w:pPr/>
                      </w:p>
                    </w:tc>
                  </w:tr>
                  <w:tr>
                    <w:trPr>
                      <w:trHeight w:val="402" w:hRule="exact"/>
                    </w:trPr>
                    <w:tc>
                      <w:tcPr>
                        <w:tcW w:w="2364"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177" w:type="dxa"/>
                        <w:gridSpan w:val="6"/>
                        <w:tcBorders>
                          <w:top w:val="single" w:sz="4" w:space="0" w:color="5B9BD4"/>
                          <w:left w:val="single" w:sz="11" w:space="0" w:color="DEEAF6"/>
                          <w:bottom w:val="single" w:sz="4" w:space="0" w:color="5B9BD4"/>
                          <w:right w:val="nil" w:sz="6" w:space="0" w:color="auto"/>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364"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46"/>
                          <w:ind w:left="13" w:right="188"/>
                          <w:jc w:val="left"/>
                          <w:rPr>
                            <w:rFonts w:ascii="宋体" w:hAnsi="宋体" w:cs="宋体" w:eastAsia="宋体" w:hint="default"/>
                            <w:sz w:val="18"/>
                            <w:szCs w:val="18"/>
                          </w:rPr>
                        </w:pPr>
                        <w:r>
                          <w:rPr>
                            <w:rFonts w:ascii="宋体" w:hAnsi="宋体" w:cs="宋体" w:eastAsia="宋体" w:hint="default"/>
                            <w:sz w:val="18"/>
                            <w:szCs w:val="18"/>
                          </w:rPr>
                          <w:t>报告期内公司债券的付息兑 付情况</w:t>
                        </w:r>
                      </w:p>
                    </w:tc>
                    <w:tc>
                      <w:tcPr>
                        <w:tcW w:w="7177" w:type="dxa"/>
                        <w:gridSpan w:val="6"/>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2" w:lineRule="auto" w:before="46"/>
                          <w:ind w:left="42" w:right="125"/>
                          <w:jc w:val="left"/>
                          <w:rPr>
                            <w:rFonts w:ascii="宋体" w:hAnsi="宋体" w:cs="宋体" w:eastAsia="宋体" w:hint="default"/>
                            <w:sz w:val="18"/>
                            <w:szCs w:val="18"/>
                          </w:rPr>
                        </w:pPr>
                        <w:r>
                          <w:rPr>
                            <w:rFonts w:ascii="宋体" w:hAnsi="宋体" w:cs="宋体" w:eastAsia="宋体" w:hint="default"/>
                            <w:sz w:val="18"/>
                            <w:szCs w:val="18"/>
                          </w:rPr>
                          <w:t>公司债券发行日期为</w:t>
                        </w:r>
                        <w:r>
                          <w:rPr>
                            <w:rFonts w:ascii="宋体" w:hAnsi="宋体" w:cs="宋体" w:eastAsia="宋体" w:hint="default"/>
                            <w:spacing w:val="-48"/>
                            <w:sz w:val="18"/>
                            <w:szCs w:val="18"/>
                          </w:rPr>
                          <w:t> </w:t>
                        </w:r>
                        <w:r>
                          <w:rPr>
                            <w:rFonts w:ascii="Arial" w:hAnsi="Arial" w:cs="Arial" w:eastAsia="Arial" w:hint="default"/>
                            <w:sz w:val="18"/>
                            <w:szCs w:val="18"/>
                          </w:rPr>
                          <w:t>2015</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11</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13</w:t>
                        </w:r>
                        <w:r>
                          <w:rPr>
                            <w:rFonts w:ascii="Arial" w:hAnsi="Arial" w:cs="Arial" w:eastAsia="Arial" w:hint="default"/>
                            <w:spacing w:val="-8"/>
                            <w:sz w:val="18"/>
                            <w:szCs w:val="18"/>
                          </w:rPr>
                          <w:t> </w:t>
                        </w:r>
                        <w:r>
                          <w:rPr>
                            <w:rFonts w:ascii="宋体" w:hAnsi="宋体" w:cs="宋体" w:eastAsia="宋体" w:hint="default"/>
                            <w:sz w:val="18"/>
                            <w:szCs w:val="18"/>
                          </w:rPr>
                          <w:t>日，本期债券按年计息，不计复利，每年付息一次 因此，报告期内，不存在付息兑付情况。</w:t>
                        </w:r>
                      </w:p>
                    </w:tc>
                  </w:tr>
                  <w:tr>
                    <w:trPr>
                      <w:trHeight w:val="1338" w:hRule="exact"/>
                    </w:trPr>
                    <w:tc>
                      <w:tcPr>
                        <w:tcW w:w="2364"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46"/>
                          <w:ind w:left="13" w:right="12"/>
                          <w:jc w:val="left"/>
                          <w:rPr>
                            <w:rFonts w:ascii="宋体" w:hAnsi="宋体" w:cs="宋体" w:eastAsia="宋体" w:hint="default"/>
                            <w:sz w:val="18"/>
                            <w:szCs w:val="18"/>
                          </w:rPr>
                        </w:pPr>
                        <w:r>
                          <w:rPr>
                            <w:rFonts w:ascii="宋体" w:hAnsi="宋体" w:cs="宋体" w:eastAsia="宋体" w:hint="default"/>
                            <w:sz w:val="18"/>
                            <w:szCs w:val="18"/>
                          </w:rPr>
                          <w:t>公司债券附发行人或投资者 </w:t>
                        </w:r>
                        <w:r>
                          <w:rPr>
                            <w:rFonts w:ascii="宋体" w:hAnsi="宋体" w:cs="宋体" w:eastAsia="宋体" w:hint="default"/>
                            <w:spacing w:val="-1"/>
                            <w:sz w:val="18"/>
                            <w:szCs w:val="18"/>
                          </w:rPr>
                          <w:t>选择权条款、可交换条款等特</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殊条款的，报告期内相关条款</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9"/>
                            <w:sz w:val="18"/>
                            <w:szCs w:val="18"/>
                          </w:rPr>
                          <w:t>的执行情况（如适用）。</w:t>
                        </w:r>
                      </w:p>
                    </w:tc>
                    <w:tc>
                      <w:tcPr>
                        <w:tcW w:w="7177" w:type="dxa"/>
                        <w:gridSpan w:val="6"/>
                        <w:tcBorders>
                          <w:top w:val="single" w:sz="4" w:space="0" w:color="5B9BD4"/>
                          <w:left w:val="single" w:sz="11" w:space="0" w:color="DEEAF6"/>
                          <w:bottom w:val="single" w:sz="4" w:space="0" w:color="5B9BD4"/>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11"/>
                            <w:szCs w:val="1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5"/>
        <w:spacing w:line="317" w:lineRule="exact" w:before="0"/>
        <w:ind w:left="214" w:right="1513"/>
        <w:jc w:val="left"/>
        <w:rPr>
          <w:rFonts w:ascii="Microsoft JhengHei" w:hAnsi="Microsoft JhengHei" w:cs="Microsoft JhengHei" w:eastAsia="Microsoft JhengHei" w:hint="default"/>
          <w:b w:val="0"/>
          <w:bCs w:val="0"/>
        </w:rPr>
      </w:pPr>
      <w:bookmarkStart w:name="5.21.2 债券受托管理人和资信评级机构信息" w:id="160"/>
      <w:bookmarkEnd w:id="160"/>
      <w:r>
        <w:rPr>
          <w:b w:val="0"/>
          <w:bCs w:val="0"/>
        </w:rPr>
      </w:r>
      <w:r>
        <w:rPr>
          <w:rFonts w:ascii="Trebuchet MS" w:hAnsi="Trebuchet MS" w:cs="Trebuchet MS" w:eastAsia="Trebuchet MS" w:hint="default"/>
        </w:rPr>
        <w:t>5.21.2</w:t>
      </w:r>
      <w:r>
        <w:rPr>
          <w:rFonts w:ascii="Trebuchet MS" w:hAnsi="Trebuchet MS" w:cs="Trebuchet MS" w:eastAsia="Trebuchet MS" w:hint="default"/>
          <w:spacing w:val="-19"/>
        </w:rPr>
        <w:t> </w:t>
      </w:r>
      <w:r>
        <w:rPr>
          <w:rFonts w:ascii="Microsoft JhengHei" w:hAnsi="Microsoft JhengHei" w:cs="Microsoft JhengHei" w:eastAsia="Microsoft JhengHei" w:hint="default"/>
        </w:rPr>
        <w:t>债券受托管理人和资信评级机构信息</w:t>
      </w:r>
      <w:r>
        <w:rPr>
          <w:rFonts w:ascii="Microsoft JhengHei" w:hAnsi="Microsoft JhengHei" w:cs="Microsoft JhengHei" w:eastAsia="Microsoft JhengHei" w:hint="default"/>
          <w:b w:val="0"/>
          <w:bCs w:val="0"/>
        </w:rPr>
      </w:r>
    </w:p>
    <w:p>
      <w:pPr>
        <w:spacing w:line="240" w:lineRule="auto" w:before="2"/>
        <w:rPr>
          <w:rFonts w:ascii="Microsoft JhengHei" w:hAnsi="Microsoft JhengHei" w:cs="Microsoft JhengHei" w:eastAsia="Microsoft JhengHei" w:hint="default"/>
          <w:b/>
          <w:bCs/>
          <w:sz w:val="19"/>
          <w:szCs w:val="19"/>
        </w:rPr>
      </w:pPr>
    </w:p>
    <w:tbl>
      <w:tblPr>
        <w:tblW w:w="0" w:type="auto"/>
        <w:jc w:val="left"/>
        <w:tblInd w:w="101" w:type="dxa"/>
        <w:tblLayout w:type="fixed"/>
        <w:tblCellMar>
          <w:top w:w="0" w:type="dxa"/>
          <w:left w:w="0" w:type="dxa"/>
          <w:bottom w:w="0" w:type="dxa"/>
          <w:right w:w="0" w:type="dxa"/>
        </w:tblCellMar>
        <w:tblLook w:val="01E0"/>
      </w:tblPr>
      <w:tblGrid>
        <w:gridCol w:w="1203"/>
        <w:gridCol w:w="1195"/>
        <w:gridCol w:w="797"/>
        <w:gridCol w:w="400"/>
        <w:gridCol w:w="1197"/>
        <w:gridCol w:w="1195"/>
        <w:gridCol w:w="1528"/>
        <w:gridCol w:w="864"/>
        <w:gridCol w:w="1404"/>
      </w:tblGrid>
      <w:tr>
        <w:trPr>
          <w:trHeight w:val="397" w:hRule="exact"/>
        </w:trPr>
        <w:tc>
          <w:tcPr>
            <w:tcW w:w="9782" w:type="dxa"/>
            <w:gridSpan w:val="9"/>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1036" w:hRule="exact"/>
        </w:trPr>
        <w:tc>
          <w:tcPr>
            <w:tcW w:w="120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195" w:type="dxa"/>
            <w:tcBorders>
              <w:top w:val="single" w:sz="4" w:space="0" w:color="5B9BD4"/>
              <w:left w:val="nil" w:sz="6" w:space="0" w:color="auto"/>
              <w:bottom w:val="single" w:sz="4" w:space="0" w:color="5B9BD4"/>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9" w:lineRule="auto"/>
              <w:ind w:left="107" w:right="185"/>
              <w:jc w:val="left"/>
              <w:rPr>
                <w:rFonts w:ascii="宋体" w:hAnsi="宋体" w:cs="宋体" w:eastAsia="宋体" w:hint="default"/>
                <w:sz w:val="18"/>
                <w:szCs w:val="18"/>
              </w:rPr>
            </w:pPr>
            <w:r>
              <w:rPr>
                <w:rFonts w:ascii="宋体" w:hAnsi="宋体" w:cs="宋体" w:eastAsia="宋体" w:hint="default"/>
                <w:sz w:val="18"/>
                <w:szCs w:val="18"/>
              </w:rPr>
              <w:t>华融证券股 份有限公司</w:t>
            </w:r>
          </w:p>
        </w:tc>
        <w:tc>
          <w:tcPr>
            <w:tcW w:w="1196"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197" w:type="dxa"/>
            <w:tcBorders>
              <w:top w:val="single" w:sz="4" w:space="0" w:color="5B9BD4"/>
              <w:left w:val="nil" w:sz="6" w:space="0" w:color="auto"/>
              <w:bottom w:val="single" w:sz="4" w:space="0" w:color="5B9BD4"/>
              <w:right w:val="nil" w:sz="6" w:space="0" w:color="auto"/>
            </w:tcBorders>
          </w:tcPr>
          <w:p>
            <w:pPr>
              <w:pStyle w:val="TableParagraph"/>
              <w:spacing w:line="319" w:lineRule="auto" w:before="51"/>
              <w:ind w:left="107" w:right="186"/>
              <w:jc w:val="both"/>
              <w:rPr>
                <w:rFonts w:ascii="宋体" w:hAnsi="宋体" w:cs="宋体" w:eastAsia="宋体" w:hint="default"/>
                <w:sz w:val="18"/>
                <w:szCs w:val="18"/>
              </w:rPr>
            </w:pPr>
            <w:r>
              <w:rPr>
                <w:rFonts w:ascii="宋体" w:hAnsi="宋体" w:cs="宋体" w:eastAsia="宋体" w:hint="default"/>
                <w:sz w:val="18"/>
                <w:szCs w:val="18"/>
              </w:rPr>
              <w:t>北京市西城 区金融大街 </w:t>
            </w:r>
            <w:r>
              <w:rPr>
                <w:rFonts w:ascii="Arial" w:hAnsi="Arial" w:cs="Arial" w:eastAsia="Arial" w:hint="default"/>
                <w:sz w:val="18"/>
                <w:szCs w:val="18"/>
              </w:rPr>
              <w:t>8</w:t>
            </w:r>
            <w:r>
              <w:rPr>
                <w:rFonts w:ascii="Arial" w:hAnsi="Arial" w:cs="Arial" w:eastAsia="Arial" w:hint="default"/>
                <w:spacing w:val="-7"/>
                <w:sz w:val="18"/>
                <w:szCs w:val="18"/>
              </w:rPr>
              <w:t> </w:t>
            </w:r>
            <w:r>
              <w:rPr>
                <w:rFonts w:ascii="宋体" w:hAnsi="宋体" w:cs="宋体" w:eastAsia="宋体" w:hint="default"/>
                <w:sz w:val="18"/>
                <w:szCs w:val="18"/>
              </w:rPr>
              <w:t>号</w:t>
            </w:r>
          </w:p>
        </w:tc>
        <w:tc>
          <w:tcPr>
            <w:tcW w:w="11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528" w:type="dxa"/>
            <w:tcBorders>
              <w:top w:val="single" w:sz="4" w:space="0" w:color="5B9BD4"/>
              <w:left w:val="nil" w:sz="6" w:space="0" w:color="auto"/>
              <w:bottom w:val="single" w:sz="4" w:space="0" w:color="5B9BD4"/>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王勖尧、孙可</w:t>
            </w:r>
          </w:p>
        </w:tc>
        <w:tc>
          <w:tcPr>
            <w:tcW w:w="86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9" w:lineRule="auto"/>
              <w:ind w:left="108" w:right="215"/>
              <w:jc w:val="left"/>
              <w:rPr>
                <w:rFonts w:ascii="宋体" w:hAnsi="宋体" w:cs="宋体" w:eastAsia="宋体" w:hint="default"/>
                <w:sz w:val="18"/>
                <w:szCs w:val="18"/>
              </w:rPr>
            </w:pPr>
            <w:r>
              <w:rPr>
                <w:rFonts w:ascii="宋体" w:hAnsi="宋体" w:cs="宋体" w:eastAsia="宋体" w:hint="default"/>
                <w:sz w:val="18"/>
                <w:szCs w:val="18"/>
              </w:rPr>
              <w:t>联系人 电话</w:t>
            </w:r>
          </w:p>
        </w:tc>
        <w:tc>
          <w:tcPr>
            <w:tcW w:w="1404"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left="108" w:right="0"/>
              <w:jc w:val="left"/>
              <w:rPr>
                <w:rFonts w:ascii="Arial" w:hAnsi="Arial" w:cs="Arial" w:eastAsia="Arial" w:hint="default"/>
                <w:sz w:val="18"/>
                <w:szCs w:val="18"/>
              </w:rPr>
            </w:pPr>
            <w:r>
              <w:rPr>
                <w:rFonts w:ascii="Arial"/>
                <w:sz w:val="18"/>
              </w:rPr>
              <w:t>0755-3336993</w:t>
            </w:r>
          </w:p>
          <w:p>
            <w:pPr>
              <w:pStyle w:val="TableParagraph"/>
              <w:spacing w:line="240" w:lineRule="auto" w:before="106"/>
              <w:ind w:left="108" w:right="0"/>
              <w:jc w:val="left"/>
              <w:rPr>
                <w:rFonts w:ascii="Arial" w:hAnsi="Arial" w:cs="Arial" w:eastAsia="Arial" w:hint="default"/>
                <w:sz w:val="18"/>
                <w:szCs w:val="18"/>
              </w:rPr>
            </w:pPr>
            <w:r>
              <w:rPr>
                <w:rFonts w:ascii="Arial"/>
                <w:w w:val="99"/>
                <w:sz w:val="18"/>
              </w:rPr>
              <w:t>0</w:t>
            </w:r>
            <w:r>
              <w:rPr>
                <w:rFonts w:ascii="Arial"/>
                <w:sz w:val="18"/>
              </w:rPr>
            </w:r>
          </w:p>
        </w:tc>
      </w:tr>
      <w:tr>
        <w:trPr>
          <w:trHeight w:val="392" w:hRule="exact"/>
        </w:trPr>
        <w:tc>
          <w:tcPr>
            <w:tcW w:w="9782" w:type="dxa"/>
            <w:gridSpan w:val="9"/>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1"/>
              <w:ind w:left="108"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719" w:hRule="exact"/>
        </w:trPr>
        <w:tc>
          <w:tcPr>
            <w:tcW w:w="120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588" w:type="dxa"/>
            <w:gridSpan w:val="4"/>
            <w:tcBorders>
              <w:top w:val="single" w:sz="4" w:space="0" w:color="5B9BD4"/>
              <w:left w:val="nil" w:sz="6" w:space="0" w:color="auto"/>
              <w:bottom w:val="single" w:sz="4" w:space="0" w:color="5B9BD4"/>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东方金诚国际信用评估有限公司</w:t>
            </w:r>
          </w:p>
        </w:tc>
        <w:tc>
          <w:tcPr>
            <w:tcW w:w="11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796" w:type="dxa"/>
            <w:gridSpan w:val="3"/>
            <w:tcBorders>
              <w:top w:val="single" w:sz="4" w:space="0" w:color="5B9BD4"/>
              <w:left w:val="nil" w:sz="6" w:space="0" w:color="auto"/>
              <w:bottom w:val="single" w:sz="4" w:space="0" w:color="5B9BD4"/>
              <w:right w:val="nil" w:sz="6" w:space="0" w:color="auto"/>
            </w:tcBorders>
          </w:tcPr>
          <w:p>
            <w:pPr>
              <w:pStyle w:val="TableParagraph"/>
              <w:spacing w:line="240" w:lineRule="auto" w:before="51"/>
              <w:ind w:left="106" w:right="0"/>
              <w:jc w:val="left"/>
              <w:rPr>
                <w:rFonts w:ascii="Arial" w:hAnsi="Arial" w:cs="Arial" w:eastAsia="Arial" w:hint="default"/>
                <w:sz w:val="18"/>
                <w:szCs w:val="18"/>
              </w:rPr>
            </w:pPr>
            <w:r>
              <w:rPr>
                <w:rFonts w:ascii="宋体" w:hAnsi="宋体" w:cs="宋体" w:eastAsia="宋体" w:hint="default"/>
                <w:sz w:val="18"/>
                <w:szCs w:val="18"/>
              </w:rPr>
              <w:t>北京市海淀区西直门北大街</w:t>
            </w:r>
            <w:r>
              <w:rPr>
                <w:rFonts w:ascii="宋体" w:hAnsi="宋体" w:cs="宋体" w:eastAsia="宋体" w:hint="default"/>
                <w:spacing w:val="-47"/>
                <w:sz w:val="18"/>
                <w:szCs w:val="18"/>
              </w:rPr>
              <w:t> </w:t>
            </w:r>
            <w:r>
              <w:rPr>
                <w:rFonts w:ascii="Arial" w:hAnsi="Arial" w:cs="Arial" w:eastAsia="Arial" w:hint="default"/>
                <w:sz w:val="18"/>
                <w:szCs w:val="18"/>
              </w:rPr>
              <w:t>54</w:t>
            </w:r>
            <w:r>
              <w:rPr>
                <w:rFonts w:ascii="Arial" w:hAnsi="Arial" w:cs="Arial" w:eastAsia="Arial" w:hint="default"/>
                <w:spacing w:val="-7"/>
                <w:sz w:val="18"/>
                <w:szCs w:val="18"/>
              </w:rPr>
              <w:t> </w:t>
            </w:r>
            <w:r>
              <w:rPr>
                <w:rFonts w:ascii="宋体" w:hAnsi="宋体" w:cs="宋体" w:eastAsia="宋体" w:hint="default"/>
                <w:sz w:val="18"/>
                <w:szCs w:val="18"/>
              </w:rPr>
              <w:t>号伊泰大厦</w:t>
            </w:r>
            <w:r>
              <w:rPr>
                <w:rFonts w:ascii="宋体" w:hAnsi="宋体" w:cs="宋体" w:eastAsia="宋体" w:hint="default"/>
                <w:spacing w:val="-47"/>
                <w:sz w:val="18"/>
                <w:szCs w:val="18"/>
              </w:rPr>
              <w:t> </w:t>
            </w:r>
            <w:r>
              <w:rPr>
                <w:rFonts w:ascii="Arial" w:hAnsi="Arial" w:cs="Arial" w:eastAsia="Arial" w:hint="default"/>
                <w:sz w:val="18"/>
                <w:szCs w:val="18"/>
              </w:rPr>
              <w:t>5</w:t>
            </w:r>
          </w:p>
          <w:p>
            <w:pPr>
              <w:pStyle w:val="TableParagraph"/>
              <w:spacing w:line="240" w:lineRule="auto" w:before="65"/>
              <w:ind w:left="106" w:right="0"/>
              <w:jc w:val="left"/>
              <w:rPr>
                <w:rFonts w:ascii="宋体" w:hAnsi="宋体" w:cs="宋体" w:eastAsia="宋体" w:hint="default"/>
                <w:sz w:val="18"/>
                <w:szCs w:val="18"/>
              </w:rPr>
            </w:pPr>
            <w:r>
              <w:rPr>
                <w:rFonts w:ascii="宋体" w:hAnsi="宋体" w:cs="宋体" w:eastAsia="宋体" w:hint="default"/>
                <w:sz w:val="18"/>
                <w:szCs w:val="18"/>
              </w:rPr>
              <w:t>层</w:t>
            </w:r>
            <w:r>
              <w:rPr>
                <w:rFonts w:ascii="宋体" w:hAnsi="宋体" w:cs="宋体" w:eastAsia="宋体" w:hint="default"/>
                <w:spacing w:val="-48"/>
                <w:sz w:val="18"/>
                <w:szCs w:val="18"/>
              </w:rPr>
              <w:t> </w:t>
            </w:r>
            <w:r>
              <w:rPr>
                <w:rFonts w:ascii="Arial" w:hAnsi="Arial" w:cs="Arial" w:eastAsia="Arial" w:hint="default"/>
                <w:sz w:val="18"/>
                <w:szCs w:val="18"/>
              </w:rPr>
              <w:t>501</w:t>
            </w:r>
            <w:r>
              <w:rPr>
                <w:rFonts w:ascii="Arial" w:hAnsi="Arial" w:cs="Arial" w:eastAsia="Arial" w:hint="default"/>
                <w:spacing w:val="-8"/>
                <w:sz w:val="18"/>
                <w:szCs w:val="18"/>
              </w:rPr>
              <w:t> </w:t>
            </w:r>
            <w:r>
              <w:rPr>
                <w:rFonts w:ascii="宋体" w:hAnsi="宋体" w:cs="宋体" w:eastAsia="宋体" w:hint="default"/>
                <w:sz w:val="18"/>
                <w:szCs w:val="18"/>
              </w:rPr>
              <w:t>室</w:t>
            </w:r>
          </w:p>
        </w:tc>
      </w:tr>
      <w:tr>
        <w:trPr>
          <w:trHeight w:val="1338" w:hRule="exact"/>
        </w:trPr>
        <w:tc>
          <w:tcPr>
            <w:tcW w:w="3195" w:type="dxa"/>
            <w:gridSpan w:val="3"/>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46"/>
              <w:ind w:left="108" w:right="24"/>
              <w:jc w:val="left"/>
              <w:rPr>
                <w:rFonts w:ascii="宋体" w:hAnsi="宋体" w:cs="宋体" w:eastAsia="宋体" w:hint="default"/>
                <w:sz w:val="18"/>
                <w:szCs w:val="18"/>
              </w:rPr>
            </w:pPr>
            <w:r>
              <w:rPr>
                <w:rFonts w:ascii="宋体" w:hAnsi="宋体" w:cs="宋体" w:eastAsia="宋体" w:hint="default"/>
                <w:sz w:val="18"/>
                <w:szCs w:val="18"/>
              </w:rPr>
              <w:t>报告期内公司聘请的债券受托管理人、 资信评级机构发生变更的，变更的原 </w:t>
            </w:r>
            <w:r>
              <w:rPr>
                <w:rFonts w:ascii="宋体" w:hAnsi="宋体" w:cs="宋体" w:eastAsia="宋体" w:hint="default"/>
                <w:spacing w:val="-5"/>
                <w:sz w:val="18"/>
                <w:szCs w:val="18"/>
              </w:rPr>
              <w:t>因、履行的程序、对投资者利益的影响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等（如适用）</w:t>
            </w:r>
          </w:p>
        </w:tc>
        <w:tc>
          <w:tcPr>
            <w:tcW w:w="6588" w:type="dxa"/>
            <w:gridSpan w:val="6"/>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11"/>
                <w:szCs w:val="1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4"/>
        <w:rPr>
          <w:rFonts w:ascii="Microsoft JhengHei" w:hAnsi="Microsoft JhengHei" w:cs="Microsoft JhengHei" w:eastAsia="Microsoft JhengHei" w:hint="default"/>
          <w:b/>
          <w:bCs/>
          <w:sz w:val="23"/>
          <w:szCs w:val="23"/>
        </w:rPr>
      </w:pPr>
    </w:p>
    <w:p>
      <w:pPr>
        <w:spacing w:line="348" w:lineRule="exact" w:before="0"/>
        <w:ind w:left="214" w:right="1513" w:firstLine="0"/>
        <w:jc w:val="left"/>
        <w:rPr>
          <w:rFonts w:ascii="Microsoft JhengHei" w:hAnsi="Microsoft JhengHei" w:cs="Microsoft JhengHei" w:eastAsia="Microsoft JhengHei" w:hint="default"/>
          <w:sz w:val="24"/>
          <w:szCs w:val="24"/>
        </w:rPr>
      </w:pPr>
      <w:bookmarkStart w:name="5.21.3公司债券募集资金使用情况" w:id="161"/>
      <w:bookmarkEnd w:id="161"/>
      <w:r>
        <w:rPr/>
      </w:r>
      <w:r>
        <w:rPr>
          <w:rFonts w:ascii="Trebuchet MS" w:hAnsi="Trebuchet MS" w:cs="Trebuchet MS" w:eastAsia="Trebuchet MS" w:hint="default"/>
          <w:b/>
          <w:bCs/>
          <w:w w:val="95"/>
          <w:sz w:val="24"/>
          <w:szCs w:val="24"/>
        </w:rPr>
        <w:t>5.21.3 </w:t>
      </w:r>
      <w:r>
        <w:rPr>
          <w:rFonts w:ascii="Trebuchet MS" w:hAnsi="Trebuchet MS" w:cs="Trebuchet MS" w:eastAsia="Trebuchet MS" w:hint="default"/>
          <w:b/>
          <w:bCs/>
          <w:spacing w:val="30"/>
          <w:w w:val="95"/>
          <w:sz w:val="24"/>
          <w:szCs w:val="24"/>
        </w:rPr>
        <w:t> </w:t>
      </w:r>
      <w:r>
        <w:rPr>
          <w:rFonts w:ascii="Microsoft JhengHei" w:hAnsi="Microsoft JhengHei" w:cs="Microsoft JhengHei" w:eastAsia="Microsoft JhengHei" w:hint="default"/>
          <w:b/>
          <w:bCs/>
          <w:w w:val="95"/>
          <w:sz w:val="24"/>
          <w:szCs w:val="24"/>
        </w:rPr>
        <w:t>公司债券募集资金使用情况</w:t>
      </w:r>
      <w:r>
        <w:rPr>
          <w:rFonts w:ascii="Microsoft JhengHei" w:hAnsi="Microsoft JhengHei" w:cs="Microsoft JhengHei" w:eastAsia="Microsoft JhengHei" w:hint="default"/>
          <w:w w:val="95"/>
          <w:sz w:val="24"/>
          <w:szCs w:val="24"/>
        </w:rPr>
      </w:r>
    </w:p>
    <w:p>
      <w:pPr>
        <w:spacing w:line="240" w:lineRule="auto" w:before="2"/>
        <w:rPr>
          <w:rFonts w:ascii="Microsoft JhengHei" w:hAnsi="Microsoft JhengHei" w:cs="Microsoft JhengHei" w:eastAsia="Microsoft JhengHei" w:hint="default"/>
          <w:b/>
          <w:bCs/>
          <w:sz w:val="27"/>
          <w:szCs w:val="27"/>
        </w:rPr>
      </w:pPr>
    </w:p>
    <w:tbl>
      <w:tblPr>
        <w:tblW w:w="0" w:type="auto"/>
        <w:jc w:val="left"/>
        <w:tblInd w:w="101" w:type="dxa"/>
        <w:tblLayout w:type="fixed"/>
        <w:tblCellMar>
          <w:top w:w="0" w:type="dxa"/>
          <w:left w:w="0" w:type="dxa"/>
          <w:bottom w:w="0" w:type="dxa"/>
          <w:right w:w="0" w:type="dxa"/>
        </w:tblCellMar>
        <w:tblLook w:val="01E0"/>
      </w:tblPr>
      <w:tblGrid>
        <w:gridCol w:w="3190"/>
        <w:gridCol w:w="6379"/>
      </w:tblGrid>
      <w:tr>
        <w:trPr>
          <w:trHeight w:val="714"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47"/>
              <w:ind w:left="108" w:right="201"/>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 程序</w:t>
            </w:r>
          </w:p>
        </w:tc>
        <w:tc>
          <w:tcPr>
            <w:tcW w:w="6379" w:type="dxa"/>
            <w:tcBorders>
              <w:top w:val="single" w:sz="4" w:space="0" w:color="5B9BD4"/>
              <w:left w:val="nil" w:sz="6" w:space="0" w:color="auto"/>
              <w:bottom w:val="single" w:sz="4" w:space="0" w:color="5B9BD4"/>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本期发行公司债券的募集资金主要用于偿还到期债务和补充流动资金。</w:t>
            </w:r>
          </w:p>
        </w:tc>
      </w:tr>
      <w:tr>
        <w:trPr>
          <w:trHeight w:val="40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79" w:type="dxa"/>
            <w:tcBorders>
              <w:top w:val="single" w:sz="4" w:space="0" w:color="5B9BD4"/>
              <w:left w:val="nil" w:sz="6" w:space="0" w:color="auto"/>
              <w:bottom w:val="single" w:sz="4" w:space="0" w:color="5B9BD4"/>
              <w:right w:val="nil" w:sz="6" w:space="0" w:color="auto"/>
            </w:tcBorders>
          </w:tcPr>
          <w:p>
            <w:pPr>
              <w:pStyle w:val="TableParagraph"/>
              <w:spacing w:line="240" w:lineRule="auto" w:before="89"/>
              <w:ind w:right="106"/>
              <w:jc w:val="right"/>
              <w:rPr>
                <w:rFonts w:ascii="Arial" w:hAnsi="Arial" w:cs="Arial" w:eastAsia="Arial" w:hint="default"/>
                <w:sz w:val="18"/>
                <w:szCs w:val="18"/>
              </w:rPr>
            </w:pPr>
            <w:r>
              <w:rPr>
                <w:rFonts w:ascii="Arial"/>
                <w:w w:val="95"/>
                <w:sz w:val="18"/>
              </w:rPr>
              <w:t>59,540.79</w:t>
            </w:r>
            <w:r>
              <w:rPr>
                <w:rFonts w:ascii="Arial"/>
                <w:sz w:val="18"/>
              </w:rPr>
            </w:r>
          </w:p>
        </w:tc>
      </w:tr>
      <w:tr>
        <w:trPr>
          <w:trHeight w:val="40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37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募集资金专项账户严格按照募集说明书相关约定运作。</w:t>
            </w:r>
          </w:p>
        </w:tc>
      </w:tr>
      <w:tr>
        <w:trPr>
          <w:trHeight w:val="716"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48"/>
              <w:ind w:left="108" w:right="201"/>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 的用途、使用计划及其他约定一致</w:t>
            </w:r>
          </w:p>
        </w:tc>
        <w:tc>
          <w:tcPr>
            <w:tcW w:w="6379" w:type="dxa"/>
            <w:tcBorders>
              <w:top w:val="single" w:sz="4" w:space="0" w:color="5B9BD4"/>
              <w:left w:val="nil" w:sz="6" w:space="0" w:color="auto"/>
              <w:bottom w:val="single" w:sz="4" w:space="0" w:color="5B9BD4"/>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79" w:top="1100" w:bottom="1160" w:left="920" w:right="0"/>
        </w:sectPr>
      </w:pPr>
    </w:p>
    <w:p>
      <w:pPr>
        <w:spacing w:line="240" w:lineRule="auto" w:before="7"/>
        <w:rPr>
          <w:rFonts w:ascii="Microsoft JhengHei" w:hAnsi="Microsoft JhengHei" w:cs="Microsoft JhengHei" w:eastAsia="Microsoft JhengHei" w:hint="default"/>
          <w:b/>
          <w:bCs/>
          <w:sz w:val="24"/>
          <w:szCs w:val="24"/>
        </w:rPr>
      </w:pPr>
    </w:p>
    <w:p>
      <w:pPr>
        <w:spacing w:line="348" w:lineRule="exact" w:before="0"/>
        <w:ind w:left="153" w:right="0" w:firstLine="0"/>
        <w:jc w:val="left"/>
        <w:rPr>
          <w:rFonts w:ascii="Microsoft JhengHei" w:hAnsi="Microsoft JhengHei" w:cs="Microsoft JhengHei" w:eastAsia="Microsoft JhengHei" w:hint="default"/>
          <w:sz w:val="24"/>
          <w:szCs w:val="24"/>
        </w:rPr>
      </w:pPr>
      <w:bookmarkStart w:name="5.21.4 公司债券信息评级情况" w:id="162"/>
      <w:bookmarkEnd w:id="162"/>
      <w:r>
        <w:rPr/>
      </w:r>
      <w:r>
        <w:rPr>
          <w:rFonts w:ascii="Trebuchet MS" w:hAnsi="Trebuchet MS" w:cs="Trebuchet MS" w:eastAsia="Trebuchet MS" w:hint="default"/>
          <w:b/>
          <w:bCs/>
          <w:sz w:val="24"/>
          <w:szCs w:val="24"/>
        </w:rPr>
        <w:t>5.21.4</w:t>
      </w:r>
      <w:r>
        <w:rPr>
          <w:rFonts w:ascii="Trebuchet MS" w:hAnsi="Trebuchet MS" w:cs="Trebuchet MS" w:eastAsia="Trebuchet MS" w:hint="default"/>
          <w:b/>
          <w:bCs/>
          <w:spacing w:val="-26"/>
          <w:sz w:val="24"/>
          <w:szCs w:val="24"/>
        </w:rPr>
        <w:t> </w:t>
      </w:r>
      <w:r>
        <w:rPr>
          <w:rFonts w:ascii="Microsoft JhengHei" w:hAnsi="Microsoft JhengHei" w:cs="Microsoft JhengHei" w:eastAsia="Microsoft JhengHei" w:hint="default"/>
          <w:b/>
          <w:bCs/>
          <w:sz w:val="24"/>
          <w:szCs w:val="24"/>
        </w:rPr>
        <w:t>公司债券信息评级情况</w:t>
      </w:r>
      <w:r>
        <w:rPr>
          <w:rFonts w:ascii="Microsoft JhengHei" w:hAnsi="Microsoft JhengHei" w:cs="Microsoft JhengHei" w:eastAsia="Microsoft JhengHei" w:hint="default"/>
          <w:sz w:val="24"/>
          <w:szCs w:val="24"/>
        </w:rPr>
      </w:r>
    </w:p>
    <w:p>
      <w:pPr>
        <w:spacing w:line="240" w:lineRule="auto" w:before="8"/>
        <w:rPr>
          <w:rFonts w:ascii="Microsoft JhengHei" w:hAnsi="Microsoft JhengHei" w:cs="Microsoft JhengHei" w:eastAsia="Microsoft JhengHei" w:hint="default"/>
          <w:b/>
          <w:bCs/>
          <w:sz w:val="30"/>
          <w:szCs w:val="30"/>
        </w:rPr>
      </w:pPr>
    </w:p>
    <w:p>
      <w:pPr>
        <w:pStyle w:val="BodyText"/>
        <w:spacing w:line="403" w:lineRule="auto"/>
        <w:ind w:right="1130" w:firstLine="420"/>
        <w:jc w:val="both"/>
      </w:pPr>
      <w:r>
        <w:rPr>
          <w:spacing w:val="-3"/>
        </w:rPr>
        <w:t>本期债券为无担保债券。经东方金诚国际信用评估有限公司综合评定，发行人的主体信用等级为</w:t>
      </w:r>
      <w:r>
        <w:rPr>
          <w:rFonts w:ascii="Arial" w:hAnsi="Arial" w:cs="Arial" w:eastAsia="Arial" w:hint="default"/>
          <w:spacing w:val="-3"/>
        </w:rPr>
        <w:t>AA</w:t>
      </w:r>
      <w:r>
        <w:rPr>
          <w:spacing w:val="-3"/>
        </w:rPr>
        <w:t>，</w:t>
      </w:r>
      <w:r>
        <w:rPr/>
        <w:t> 本期债券信用等级为</w:t>
      </w:r>
      <w:r>
        <w:rPr>
          <w:rFonts w:ascii="Arial" w:hAnsi="Arial" w:cs="Arial" w:eastAsia="Arial" w:hint="default"/>
        </w:rPr>
        <w:t>AA</w:t>
      </w:r>
      <w:r>
        <w:rPr/>
        <w:t>，说明本期债券信用质量良好，信用风险较低。但在本期债券存续期内，若因市</w:t>
      </w:r>
      <w:r>
        <w:rPr>
          <w:spacing w:val="-1"/>
        </w:rPr>
        <w:t> </w:t>
      </w:r>
      <w:r>
        <w:rPr>
          <w:spacing w:val="-1"/>
        </w:rPr>
        <w:t>场环境发生变化等不可控制的因素，发行人不能如期从预期的还款来源中获得足够资金，将可能会影响本</w:t>
      </w:r>
      <w:r>
        <w:rPr>
          <w:spacing w:val="-81"/>
        </w:rPr>
        <w:t> </w:t>
      </w:r>
      <w:r>
        <w:rPr>
          <w:spacing w:val="-81"/>
        </w:rPr>
      </w:r>
      <w:r>
        <w:rPr>
          <w:spacing w:val="-1"/>
        </w:rPr>
        <w:t>期债券的本息按期兑付。在本次评级的信用等级有效期（至本期债券本息的约定偿付日止）内，资信评级</w:t>
      </w:r>
      <w:r>
        <w:rPr>
          <w:spacing w:val="-85"/>
        </w:rPr>
        <w:t> </w:t>
      </w:r>
      <w:r>
        <w:rPr>
          <w:spacing w:val="-85"/>
        </w:rPr>
      </w:r>
      <w:r>
        <w:rPr>
          <w:spacing w:val="-1"/>
        </w:rPr>
        <w:t>机构将进行持续跟踪评级，包括持续定期跟踪评级与不定期跟踪评级。跟踪评级期间，资信评级机构将持</w:t>
      </w:r>
      <w:r>
        <w:rPr>
          <w:spacing w:val="-83"/>
        </w:rPr>
        <w:t> </w:t>
      </w:r>
      <w:r>
        <w:rPr>
          <w:spacing w:val="-83"/>
        </w:rPr>
      </w:r>
      <w:r>
        <w:rPr>
          <w:spacing w:val="-1"/>
        </w:rPr>
        <w:t>续关注公司外部经营环境的变化、影响公司经营或财务状况的重大事件、公司履行债务的情况等因素，并</w:t>
      </w:r>
      <w:r>
        <w:rPr>
          <w:spacing w:val="-83"/>
        </w:rPr>
        <w:t> </w:t>
      </w:r>
      <w:r>
        <w:rPr>
          <w:spacing w:val="-83"/>
        </w:rPr>
      </w:r>
      <w:r>
        <w:rPr>
          <w:spacing w:val="-1"/>
        </w:rPr>
        <w:t>出具跟踪评级报告，以动态地反映公司的信用状况。资信评级机构定期和不定期跟踪评级结果等相关信息</w:t>
      </w:r>
      <w:r>
        <w:rPr>
          <w:spacing w:val="-81"/>
        </w:rPr>
        <w:t> </w:t>
      </w:r>
      <w:r>
        <w:rPr>
          <w:spacing w:val="-81"/>
        </w:rPr>
      </w:r>
      <w:r>
        <w:rPr/>
        <w:t>将</w:t>
      </w:r>
      <w:r>
        <w:rPr>
          <w:spacing w:val="-66"/>
        </w:rPr>
        <w:t> </w:t>
      </w:r>
      <w:r>
        <w:rPr/>
        <w:t>通</w:t>
      </w:r>
      <w:r>
        <w:rPr>
          <w:spacing w:val="-66"/>
        </w:rPr>
        <w:t> </w:t>
      </w:r>
      <w:r>
        <w:rPr/>
        <w:t>过</w:t>
      </w:r>
      <w:r>
        <w:rPr>
          <w:spacing w:val="-66"/>
        </w:rPr>
        <w:t> </w:t>
      </w:r>
      <w:r>
        <w:rPr/>
        <w:t>东</w:t>
      </w:r>
      <w:r>
        <w:rPr>
          <w:spacing w:val="-66"/>
        </w:rPr>
        <w:t> </w:t>
      </w:r>
      <w:r>
        <w:rPr/>
        <w:t>方</w:t>
      </w:r>
      <w:r>
        <w:rPr>
          <w:spacing w:val="-64"/>
        </w:rPr>
        <w:t> </w:t>
      </w:r>
      <w:r>
        <w:rPr/>
        <w:t>金</w:t>
      </w:r>
      <w:r>
        <w:rPr>
          <w:spacing w:val="-66"/>
        </w:rPr>
        <w:t> </w:t>
      </w:r>
      <w:r>
        <w:rPr/>
        <w:t>诚</w:t>
      </w:r>
      <w:r>
        <w:rPr>
          <w:spacing w:val="-66"/>
        </w:rPr>
        <w:t> </w:t>
      </w:r>
      <w:r>
        <w:rPr/>
        <w:t>国</w:t>
      </w:r>
      <w:r>
        <w:rPr>
          <w:spacing w:val="-66"/>
        </w:rPr>
        <w:t> </w:t>
      </w:r>
      <w:r>
        <w:rPr/>
        <w:t>际</w:t>
      </w:r>
      <w:r>
        <w:rPr>
          <w:spacing w:val="-66"/>
        </w:rPr>
        <w:t> </w:t>
      </w:r>
      <w:r>
        <w:rPr/>
        <w:t>信</w:t>
      </w:r>
      <w:r>
        <w:rPr>
          <w:spacing w:val="-64"/>
        </w:rPr>
        <w:t> </w:t>
      </w:r>
      <w:r>
        <w:rPr/>
        <w:t>用</w:t>
      </w:r>
      <w:r>
        <w:rPr>
          <w:spacing w:val="-66"/>
        </w:rPr>
        <w:t> </w:t>
      </w:r>
      <w:r>
        <w:rPr/>
        <w:t>评</w:t>
      </w:r>
      <w:r>
        <w:rPr>
          <w:spacing w:val="-66"/>
        </w:rPr>
        <w:t> </w:t>
      </w:r>
      <w:r>
        <w:rPr/>
        <w:t>估</w:t>
      </w:r>
      <w:r>
        <w:rPr>
          <w:spacing w:val="-66"/>
        </w:rPr>
        <w:t> </w:t>
      </w:r>
      <w:r>
        <w:rPr/>
        <w:t>有</w:t>
      </w:r>
      <w:r>
        <w:rPr>
          <w:spacing w:val="-66"/>
        </w:rPr>
        <w:t> </w:t>
      </w:r>
      <w:r>
        <w:rPr/>
        <w:t>限</w:t>
      </w:r>
      <w:r>
        <w:rPr>
          <w:spacing w:val="-64"/>
        </w:rPr>
        <w:t> </w:t>
      </w:r>
      <w:r>
        <w:rPr/>
        <w:t>公</w:t>
      </w:r>
      <w:r>
        <w:rPr>
          <w:spacing w:val="-66"/>
        </w:rPr>
        <w:t> </w:t>
      </w:r>
      <w:r>
        <w:rPr/>
        <w:t>司</w:t>
      </w:r>
      <w:r>
        <w:rPr>
          <w:spacing w:val="-66"/>
        </w:rPr>
        <w:t> </w:t>
      </w:r>
      <w:r>
        <w:rPr/>
        <w:t>（</w:t>
      </w:r>
      <w:r>
        <w:rPr>
          <w:spacing w:val="-57"/>
        </w:rPr>
        <w:t> </w:t>
      </w:r>
      <w:hyperlink r:id="rId39">
        <w:r>
          <w:rPr>
            <w:rFonts w:ascii="Arial" w:hAnsi="Arial" w:cs="Arial" w:eastAsia="Arial" w:hint="default"/>
          </w:rPr>
          <w:t>http://www.dfratings.com/</w:t>
        </w:r>
      </w:hyperlink>
      <w:r>
        <w:rPr>
          <w:rFonts w:ascii="Arial" w:hAnsi="Arial" w:cs="Arial" w:eastAsia="Arial" w:hint="default"/>
          <w:spacing w:val="-17"/>
        </w:rPr>
        <w:t> </w:t>
      </w:r>
      <w:r>
        <w:rPr/>
        <w:t>）</w:t>
      </w:r>
      <w:r>
        <w:rPr>
          <w:spacing w:val="-66"/>
        </w:rPr>
        <w:t> </w:t>
      </w:r>
      <w:r>
        <w:rPr/>
        <w:t>和</w:t>
      </w:r>
      <w:r>
        <w:rPr>
          <w:spacing w:val="-66"/>
        </w:rPr>
        <w:t> </w:t>
      </w:r>
      <w:r>
        <w:rPr/>
        <w:t>深</w:t>
      </w:r>
      <w:r>
        <w:rPr>
          <w:spacing w:val="-66"/>
        </w:rPr>
        <w:t> </w:t>
      </w:r>
      <w:r>
        <w:rPr/>
        <w:t>圳</w:t>
      </w:r>
      <w:r>
        <w:rPr>
          <w:spacing w:val="-66"/>
        </w:rPr>
        <w:t> </w:t>
      </w:r>
      <w:r>
        <w:rPr/>
        <w:t>证</w:t>
      </w:r>
      <w:r>
        <w:rPr>
          <w:spacing w:val="-64"/>
        </w:rPr>
        <w:t> </w:t>
      </w:r>
      <w:r>
        <w:rPr/>
        <w:t>券</w:t>
      </w:r>
      <w:r>
        <w:rPr>
          <w:spacing w:val="-66"/>
        </w:rPr>
        <w:t> </w:t>
      </w:r>
      <w:r>
        <w:rPr/>
        <w:t>交</w:t>
      </w:r>
      <w:r>
        <w:rPr>
          <w:spacing w:val="-66"/>
        </w:rPr>
        <w:t> </w:t>
      </w:r>
      <w:r>
        <w:rPr/>
        <w:t>易</w:t>
      </w:r>
      <w:r>
        <w:rPr>
          <w:spacing w:val="-66"/>
        </w:rPr>
        <w:t> </w:t>
      </w:r>
      <w:r>
        <w:rPr/>
        <w:t>所</w:t>
      </w:r>
      <w:r>
        <w:rPr>
          <w:spacing w:val="-66"/>
        </w:rPr>
        <w:t> </w:t>
      </w:r>
      <w:r>
        <w:rPr/>
        <w:t>网</w:t>
      </w:r>
      <w:r>
        <w:rPr>
          <w:spacing w:val="-63"/>
        </w:rPr>
        <w:t> </w:t>
      </w:r>
      <w:r>
        <w:rPr/>
        <w:t>站</w:t>
      </w:r>
    </w:p>
    <w:p>
      <w:pPr>
        <w:pStyle w:val="BodyText"/>
        <w:spacing w:line="388" w:lineRule="auto" w:before="18"/>
        <w:ind w:right="0"/>
        <w:jc w:val="left"/>
      </w:pPr>
      <w:r>
        <w:rPr/>
        <w:t>（</w:t>
      </w:r>
      <w:hyperlink r:id="rId40">
        <w:r>
          <w:rPr>
            <w:rFonts w:ascii="Arial" w:hAnsi="Arial" w:cs="Arial" w:eastAsia="Arial" w:hint="default"/>
          </w:rPr>
          <w:t>http://www.szse.cn/</w:t>
        </w:r>
      </w:hyperlink>
      <w:r>
        <w:rPr/>
        <w:t>）予以公告。如果未来资信评级机构调低发行人主体或者本期债券的信用等级，</w:t>
      </w:r>
      <w:r>
        <w:rPr>
          <w:spacing w:val="49"/>
        </w:rPr>
        <w:t> </w:t>
      </w:r>
      <w:r>
        <w:rPr>
          <w:spacing w:val="49"/>
        </w:rPr>
      </w:r>
      <w:r>
        <w:rPr/>
        <w:t>本期债券的市场价格将可能发生波动从而对本期债券的投资者造成损失。</w:t>
      </w:r>
    </w:p>
    <w:p>
      <w:pPr>
        <w:spacing w:line="240" w:lineRule="auto" w:before="12"/>
        <w:rPr>
          <w:rFonts w:ascii="宋体" w:hAnsi="宋体" w:cs="宋体" w:eastAsia="宋体" w:hint="default"/>
          <w:sz w:val="25"/>
          <w:szCs w:val="25"/>
        </w:rPr>
      </w:pPr>
    </w:p>
    <w:p>
      <w:pPr>
        <w:pStyle w:val="Heading2"/>
        <w:spacing w:line="240" w:lineRule="auto"/>
        <w:ind w:right="0"/>
        <w:jc w:val="left"/>
        <w:rPr>
          <w:b w:val="0"/>
          <w:bCs w:val="0"/>
        </w:rPr>
      </w:pPr>
      <w:bookmarkStart w:name="5.21.5 公司债券增信机制、偿债计划及其他偿债保障措施" w:id="163"/>
      <w:bookmarkEnd w:id="163"/>
      <w:r>
        <w:rPr>
          <w:b w:val="0"/>
          <w:bCs w:val="0"/>
        </w:rPr>
      </w:r>
      <w:r>
        <w:rPr>
          <w:rFonts w:ascii="Trebuchet MS" w:hAnsi="Trebuchet MS" w:cs="Trebuchet MS" w:eastAsia="Trebuchet MS" w:hint="default"/>
        </w:rPr>
        <w:t>5.21.5</w:t>
      </w:r>
      <w:r>
        <w:rPr>
          <w:rFonts w:ascii="Trebuchet MS" w:hAnsi="Trebuchet MS" w:cs="Trebuchet MS" w:eastAsia="Trebuchet MS" w:hint="default"/>
          <w:spacing w:val="-26"/>
        </w:rPr>
        <w:t> </w:t>
      </w:r>
      <w:r>
        <w:rPr/>
        <w:t>公司债券增信机制、偿债计划及其他偿债保障措施</w:t>
      </w:r>
      <w:r>
        <w:rPr>
          <w:b w:val="0"/>
          <w:bCs w:val="0"/>
        </w:rPr>
      </w:r>
    </w:p>
    <w:p>
      <w:pPr>
        <w:spacing w:line="240" w:lineRule="auto" w:before="8"/>
        <w:rPr>
          <w:rFonts w:ascii="Microsoft JhengHei" w:hAnsi="Microsoft JhengHei" w:cs="Microsoft JhengHei" w:eastAsia="Microsoft JhengHei" w:hint="default"/>
          <w:b/>
          <w:bCs/>
          <w:sz w:val="30"/>
          <w:szCs w:val="30"/>
        </w:rPr>
      </w:pPr>
    </w:p>
    <w:p>
      <w:pPr>
        <w:pStyle w:val="BodyText"/>
        <w:spacing w:line="408" w:lineRule="auto"/>
        <w:ind w:right="1131" w:firstLine="420"/>
        <w:jc w:val="both"/>
      </w:pPr>
      <w:r>
        <w:rPr>
          <w:spacing w:val="-1"/>
        </w:rPr>
        <w:t>报告期内，公司债券增信机制、偿债计划及其他偿债保障措施未发生变更，严格履行募集说明书中相</w:t>
      </w:r>
      <w:r>
        <w:rPr/>
        <w:t> 关承诺。</w:t>
      </w:r>
    </w:p>
    <w:p>
      <w:pPr>
        <w:spacing w:line="240" w:lineRule="auto" w:before="8"/>
        <w:rPr>
          <w:rFonts w:ascii="宋体" w:hAnsi="宋体" w:cs="宋体" w:eastAsia="宋体" w:hint="default"/>
          <w:sz w:val="24"/>
          <w:szCs w:val="24"/>
        </w:rPr>
      </w:pPr>
    </w:p>
    <w:p>
      <w:pPr>
        <w:pStyle w:val="Heading2"/>
        <w:spacing w:line="240" w:lineRule="auto"/>
        <w:ind w:right="0"/>
        <w:jc w:val="left"/>
        <w:rPr>
          <w:b w:val="0"/>
          <w:bCs w:val="0"/>
        </w:rPr>
      </w:pPr>
      <w:bookmarkStart w:name="5.21.6 报告期内债券持有人会议的召开情况" w:id="164"/>
      <w:bookmarkEnd w:id="164"/>
      <w:r>
        <w:rPr>
          <w:b w:val="0"/>
          <w:bCs w:val="0"/>
        </w:rPr>
      </w:r>
      <w:r>
        <w:rPr>
          <w:rFonts w:ascii="Trebuchet MS" w:hAnsi="Trebuchet MS" w:cs="Trebuchet MS" w:eastAsia="Trebuchet MS" w:hint="default"/>
        </w:rPr>
        <w:t>5.21.6</w:t>
      </w:r>
      <w:r>
        <w:rPr>
          <w:rFonts w:ascii="Trebuchet MS" w:hAnsi="Trebuchet MS" w:cs="Trebuchet MS" w:eastAsia="Trebuchet MS" w:hint="default"/>
          <w:spacing w:val="-26"/>
        </w:rPr>
        <w:t> </w:t>
      </w:r>
      <w:r>
        <w:rPr/>
        <w:t>报告期内债券持有人会议的召开情况</w:t>
      </w:r>
      <w:r>
        <w:rPr>
          <w:b w:val="0"/>
          <w:bCs w:val="0"/>
        </w:rPr>
      </w:r>
    </w:p>
    <w:p>
      <w:pPr>
        <w:spacing w:line="240" w:lineRule="auto" w:before="8"/>
        <w:rPr>
          <w:rFonts w:ascii="Microsoft JhengHei" w:hAnsi="Microsoft JhengHei" w:cs="Microsoft JhengHei" w:eastAsia="Microsoft JhengHei" w:hint="default"/>
          <w:b/>
          <w:bCs/>
          <w:sz w:val="30"/>
          <w:szCs w:val="30"/>
        </w:rPr>
      </w:pPr>
    </w:p>
    <w:p>
      <w:pPr>
        <w:pStyle w:val="BodyText"/>
        <w:spacing w:line="393" w:lineRule="auto"/>
        <w:ind w:right="1131" w:firstLine="420"/>
        <w:jc w:val="both"/>
      </w:pPr>
      <w:r>
        <w:rPr>
          <w:rFonts w:ascii="Arial" w:hAnsi="Arial" w:cs="Arial" w:eastAsia="Arial" w:hint="default"/>
        </w:rPr>
        <w:t>2015</w:t>
      </w:r>
      <w:r>
        <w:rPr/>
        <w:t>年</w:t>
      </w:r>
      <w:r>
        <w:rPr>
          <w:rFonts w:ascii="Arial" w:hAnsi="Arial" w:cs="Arial" w:eastAsia="Arial" w:hint="default"/>
        </w:rPr>
        <w:t>12</w:t>
      </w:r>
      <w:r>
        <w:rPr/>
        <w:t>月</w:t>
      </w:r>
      <w:r>
        <w:rPr>
          <w:rFonts w:ascii="Arial" w:hAnsi="Arial" w:cs="Arial" w:eastAsia="Arial" w:hint="default"/>
        </w:rPr>
        <w:t>18</w:t>
      </w:r>
      <w:r>
        <w:rPr/>
        <w:t>日，公司发出了《关于召开“15深爱01”2</w:t>
      </w:r>
      <w:r>
        <w:rPr>
          <w:rFonts w:ascii="Arial" w:hAnsi="Arial" w:cs="Arial" w:eastAsia="Arial" w:hint="default"/>
        </w:rPr>
        <w:t>016</w:t>
      </w:r>
      <w:r>
        <w:rPr/>
        <w:t>年第一次债券持有人会议的通知》、债 </w:t>
      </w:r>
      <w:r>
        <w:rPr>
          <w:spacing w:val="-1"/>
        </w:rPr>
        <w:t>券受托管理人华融证券股份有限公司同时发出《华融证券股份有限公司关于召开深圳市爱施德股份有限公</w:t>
      </w:r>
      <w:r>
        <w:rPr>
          <w:spacing w:val="-81"/>
        </w:rPr>
        <w:t> </w:t>
      </w:r>
      <w:r>
        <w:rPr>
          <w:spacing w:val="-81"/>
        </w:rPr>
      </w:r>
      <w:r>
        <w:rPr>
          <w:spacing w:val="2"/>
        </w:rPr>
        <w:t>司</w:t>
      </w:r>
      <w:r>
        <w:rPr>
          <w:rFonts w:ascii="Arial" w:hAnsi="Arial" w:cs="Arial" w:eastAsia="Arial" w:hint="default"/>
          <w:spacing w:val="2"/>
        </w:rPr>
        <w:t>2015</w:t>
      </w:r>
      <w:r>
        <w:rPr>
          <w:spacing w:val="2"/>
        </w:rPr>
        <w:t>年公司债券（第一期）</w:t>
      </w:r>
      <w:r>
        <w:rPr>
          <w:rFonts w:ascii="Arial" w:hAnsi="Arial" w:cs="Arial" w:eastAsia="Arial" w:hint="default"/>
          <w:spacing w:val="2"/>
        </w:rPr>
        <w:t>2016</w:t>
      </w:r>
      <w:r>
        <w:rPr>
          <w:spacing w:val="2"/>
        </w:rPr>
        <w:t>年第一次债券持有人会议的通知》，通知债券持有人于</w:t>
      </w:r>
      <w:r>
        <w:rPr>
          <w:rFonts w:ascii="Arial" w:hAnsi="Arial" w:cs="Arial" w:eastAsia="Arial" w:hint="default"/>
          <w:spacing w:val="2"/>
        </w:rPr>
        <w:t>2016</w:t>
      </w:r>
      <w:r>
        <w:rPr>
          <w:spacing w:val="2"/>
        </w:rPr>
        <w:t>年</w:t>
      </w:r>
      <w:r>
        <w:rPr>
          <w:rFonts w:ascii="Arial" w:hAnsi="Arial" w:cs="Arial" w:eastAsia="Arial" w:hint="default"/>
          <w:spacing w:val="2"/>
        </w:rPr>
        <w:t>1</w:t>
      </w:r>
      <w:r>
        <w:rPr>
          <w:spacing w:val="2"/>
        </w:rPr>
        <w:t>月</w:t>
      </w:r>
      <w:r>
        <w:rPr>
          <w:rFonts w:ascii="Arial" w:hAnsi="Arial" w:cs="Arial" w:eastAsia="Arial" w:hint="default"/>
          <w:spacing w:val="2"/>
        </w:rPr>
        <w:t>15</w:t>
      </w:r>
      <w:r>
        <w:rPr>
          <w:rFonts w:ascii="Arial" w:hAnsi="Arial" w:cs="Arial" w:eastAsia="Arial" w:hint="default"/>
          <w:spacing w:val="1"/>
          <w:w w:val="99"/>
        </w:rPr>
        <w:t> </w:t>
      </w:r>
      <w:r>
        <w:rPr/>
        <w:t>日，参会审议《关于不要求公司提前清偿债务及提供额外担保的议案》。</w:t>
      </w:r>
    </w:p>
    <w:p>
      <w:pPr>
        <w:pStyle w:val="BodyText"/>
        <w:spacing w:line="388" w:lineRule="auto" w:before="58"/>
        <w:ind w:right="1130" w:firstLine="420"/>
        <w:jc w:val="both"/>
      </w:pPr>
      <w:r>
        <w:rPr>
          <w:rFonts w:ascii="Arial" w:hAnsi="Arial" w:cs="Arial" w:eastAsia="Arial" w:hint="default"/>
        </w:rPr>
        <w:t>2015</w:t>
      </w:r>
      <w:r>
        <w:rPr/>
        <w:t>年</w:t>
      </w:r>
      <w:r>
        <w:rPr>
          <w:rFonts w:ascii="Arial" w:hAnsi="Arial" w:cs="Arial" w:eastAsia="Arial" w:hint="default"/>
        </w:rPr>
        <w:t>12</w:t>
      </w:r>
      <w:r>
        <w:rPr/>
        <w:t>月</w:t>
      </w:r>
      <w:r>
        <w:rPr>
          <w:rFonts w:ascii="Arial" w:hAnsi="Arial" w:cs="Arial" w:eastAsia="Arial" w:hint="default"/>
        </w:rPr>
        <w:t>30</w:t>
      </w:r>
      <w:r>
        <w:rPr/>
        <w:t>日，公司发出《关于召开“15深爱01”20</w:t>
      </w:r>
      <w:r>
        <w:rPr>
          <w:rFonts w:ascii="Arial" w:hAnsi="Arial" w:cs="Arial" w:eastAsia="Arial" w:hint="default"/>
        </w:rPr>
        <w:t>16</w:t>
      </w:r>
      <w:r>
        <w:rPr/>
        <w:t>年第一次债券持有人会议的补充通知》、 </w:t>
      </w:r>
      <w:r>
        <w:rPr>
          <w:spacing w:val="-2"/>
        </w:rPr>
        <w:t>华融证券股份有限公司同时发出《华融证券股份有限公司关于召开深圳市爱施德股份有限公司</w:t>
      </w:r>
      <w:r>
        <w:rPr>
          <w:rFonts w:ascii="Arial" w:hAnsi="Arial" w:cs="Arial" w:eastAsia="Arial" w:hint="default"/>
          <w:spacing w:val="-2"/>
        </w:rPr>
        <w:t>2015</w:t>
      </w:r>
      <w:r>
        <w:rPr>
          <w:spacing w:val="-2"/>
        </w:rPr>
        <w:t>年公司</w:t>
      </w:r>
      <w:r>
        <w:rPr>
          <w:spacing w:val="-78"/>
        </w:rPr>
        <w:t> </w:t>
      </w:r>
      <w:r>
        <w:rPr/>
        <w:t>债券（第一期）</w:t>
      </w:r>
      <w:r>
        <w:rPr>
          <w:rFonts w:ascii="Arial" w:hAnsi="Arial" w:cs="Arial" w:eastAsia="Arial" w:hint="default"/>
        </w:rPr>
        <w:t>2016</w:t>
      </w:r>
      <w:r>
        <w:rPr/>
        <w:t>年第一次债券持有人会议的补充通知》，在“15深爱01”2016年第一次债券持有人</w:t>
      </w:r>
      <w:r>
        <w:rPr>
          <w:spacing w:val="31"/>
        </w:rPr>
        <w:t> </w:t>
      </w:r>
      <w:r>
        <w:rPr>
          <w:spacing w:val="31"/>
        </w:rPr>
      </w:r>
      <w:r>
        <w:rPr/>
        <w:t>会议中增加审议临时议案《关于修改受托管理协议的议案》。</w:t>
      </w:r>
    </w:p>
    <w:p>
      <w:pPr>
        <w:pStyle w:val="BodyText"/>
        <w:spacing w:line="388" w:lineRule="auto" w:before="63"/>
        <w:ind w:right="1130" w:firstLine="420"/>
        <w:jc w:val="both"/>
      </w:pPr>
      <w:r>
        <w:rPr>
          <w:rFonts w:ascii="Arial" w:hAnsi="Arial" w:cs="Arial" w:eastAsia="Arial" w:hint="default"/>
          <w:spacing w:val="-2"/>
        </w:rPr>
        <w:t>2016</w:t>
      </w:r>
      <w:r>
        <w:rPr>
          <w:spacing w:val="-2"/>
        </w:rPr>
        <w:t>年</w:t>
      </w:r>
      <w:r>
        <w:rPr>
          <w:rFonts w:ascii="Arial" w:hAnsi="Arial" w:cs="Arial" w:eastAsia="Arial" w:hint="default"/>
          <w:spacing w:val="-2"/>
        </w:rPr>
        <w:t>1</w:t>
      </w:r>
      <w:r>
        <w:rPr>
          <w:spacing w:val="-2"/>
        </w:rPr>
        <w:t>月</w:t>
      </w:r>
      <w:r>
        <w:rPr>
          <w:rFonts w:ascii="Arial" w:hAnsi="Arial" w:cs="Arial" w:eastAsia="Arial" w:hint="default"/>
          <w:spacing w:val="-2"/>
        </w:rPr>
        <w:t>15</w:t>
      </w:r>
      <w:r>
        <w:rPr>
          <w:spacing w:val="-2"/>
        </w:rPr>
        <w:t>日，深圳市爱施德股份有限公司</w:t>
      </w:r>
      <w:r>
        <w:rPr>
          <w:rFonts w:ascii="Arial" w:hAnsi="Arial" w:cs="Arial" w:eastAsia="Arial" w:hint="default"/>
          <w:spacing w:val="-2"/>
        </w:rPr>
        <w:t>2015</w:t>
      </w:r>
      <w:r>
        <w:rPr>
          <w:spacing w:val="-2"/>
        </w:rPr>
        <w:t>年公司债券（第一期）</w:t>
      </w:r>
      <w:r>
        <w:rPr>
          <w:rFonts w:ascii="Arial" w:hAnsi="Arial" w:cs="Arial" w:eastAsia="Arial" w:hint="default"/>
          <w:spacing w:val="-2"/>
        </w:rPr>
        <w:t>2016</w:t>
      </w:r>
      <w:r>
        <w:rPr>
          <w:spacing w:val="-2"/>
        </w:rPr>
        <w:t>年第一次债券持有人会</w:t>
      </w:r>
      <w:r>
        <w:rPr/>
        <w:t> </w:t>
      </w:r>
      <w:r>
        <w:rPr>
          <w:spacing w:val="-1"/>
        </w:rPr>
        <w:t>议在深圳市南山区茶光路南湾工业区</w:t>
      </w:r>
      <w:r>
        <w:rPr>
          <w:rFonts w:ascii="Arial" w:hAnsi="Arial" w:cs="Arial" w:eastAsia="Arial" w:hint="default"/>
          <w:spacing w:val="-1"/>
        </w:rPr>
        <w:t>7</w:t>
      </w:r>
      <w:r>
        <w:rPr>
          <w:spacing w:val="-1"/>
        </w:rPr>
        <w:t>栋</w:t>
      </w:r>
      <w:r>
        <w:rPr>
          <w:rFonts w:ascii="Arial" w:hAnsi="Arial" w:cs="Arial" w:eastAsia="Arial" w:hint="default"/>
          <w:spacing w:val="-1"/>
        </w:rPr>
        <w:t>2</w:t>
      </w:r>
      <w:r>
        <w:rPr>
          <w:spacing w:val="-1"/>
        </w:rPr>
        <w:t>楼爱施德大学会议室召开，会议以现场方式召开，记名方式进行</w:t>
      </w:r>
    </w:p>
    <w:p>
      <w:pPr>
        <w:spacing w:after="0" w:line="388" w:lineRule="auto"/>
        <w:jc w:val="both"/>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408" w:lineRule="auto" w:before="18"/>
        <w:ind w:left="213" w:right="419"/>
        <w:jc w:val="left"/>
      </w:pPr>
      <w:r>
        <w:rPr>
          <w:spacing w:val="-1"/>
        </w:rPr>
        <w:t>投票表决。审议通过了《关于不要求公司提前清偿债务及提供额外担保的议案》和《关于修改受托管理协</w:t>
      </w:r>
      <w:r>
        <w:rPr>
          <w:spacing w:val="-86"/>
        </w:rPr>
        <w:t> </w:t>
      </w:r>
      <w:r>
        <w:rPr>
          <w:spacing w:val="-86"/>
        </w:rPr>
      </w:r>
      <w:r>
        <w:rPr/>
        <w:t>议的议案》。北京国枫（深圳）律师事务所律师到会见证本次持有人会议，并出具了法律意见书。</w:t>
      </w:r>
    </w:p>
    <w:p>
      <w:pPr>
        <w:spacing w:line="240" w:lineRule="auto" w:before="9"/>
        <w:rPr>
          <w:rFonts w:ascii="宋体" w:hAnsi="宋体" w:cs="宋体" w:eastAsia="宋体" w:hint="default"/>
          <w:sz w:val="24"/>
          <w:szCs w:val="24"/>
        </w:rPr>
      </w:pPr>
    </w:p>
    <w:p>
      <w:pPr>
        <w:pStyle w:val="Heading2"/>
        <w:spacing w:line="240" w:lineRule="auto"/>
        <w:ind w:left="213" w:right="1513"/>
        <w:jc w:val="left"/>
        <w:rPr>
          <w:b w:val="0"/>
          <w:bCs w:val="0"/>
        </w:rPr>
      </w:pPr>
      <w:bookmarkStart w:name="5.21.7 报告期内债券受托管理人履行职责的情况" w:id="165"/>
      <w:bookmarkEnd w:id="165"/>
      <w:r>
        <w:rPr>
          <w:b w:val="0"/>
          <w:bCs w:val="0"/>
        </w:rPr>
      </w:r>
      <w:r>
        <w:rPr>
          <w:rFonts w:ascii="Trebuchet MS" w:hAnsi="Trebuchet MS" w:cs="Trebuchet MS" w:eastAsia="Trebuchet MS" w:hint="default"/>
        </w:rPr>
        <w:t>5.21.7</w:t>
      </w:r>
      <w:r>
        <w:rPr>
          <w:rFonts w:ascii="Trebuchet MS" w:hAnsi="Trebuchet MS" w:cs="Trebuchet MS" w:eastAsia="Trebuchet MS" w:hint="default"/>
          <w:spacing w:val="-26"/>
        </w:rPr>
        <w:t> </w:t>
      </w:r>
      <w:r>
        <w:rPr/>
        <w:t>报告期内债券受托管理人履行职责的情况</w:t>
      </w:r>
      <w:r>
        <w:rPr>
          <w:b w:val="0"/>
          <w:bCs w:val="0"/>
        </w:rPr>
      </w:r>
    </w:p>
    <w:p>
      <w:pPr>
        <w:spacing w:line="240" w:lineRule="auto" w:before="8"/>
        <w:rPr>
          <w:rFonts w:ascii="Microsoft JhengHei" w:hAnsi="Microsoft JhengHei" w:cs="Microsoft JhengHei" w:eastAsia="Microsoft JhengHei" w:hint="default"/>
          <w:b/>
          <w:bCs/>
          <w:sz w:val="30"/>
          <w:szCs w:val="30"/>
        </w:rPr>
      </w:pPr>
    </w:p>
    <w:p>
      <w:pPr>
        <w:pStyle w:val="BodyText"/>
        <w:spacing w:line="408" w:lineRule="auto"/>
        <w:ind w:left="213" w:right="1137" w:firstLine="420"/>
        <w:jc w:val="left"/>
      </w:pPr>
      <w:r>
        <w:rPr>
          <w:spacing w:val="-1"/>
        </w:rPr>
        <w:t>报告期内，受托管理人不存在履行职责时可能存在利益冲突的情形，不存在应披露相关风险防范、解</w:t>
      </w:r>
      <w:r>
        <w:rPr>
          <w:spacing w:val="-8"/>
        </w:rPr>
        <w:t> </w:t>
      </w:r>
      <w:r>
        <w:rPr/>
        <w:t>决机制。</w:t>
      </w:r>
    </w:p>
    <w:p>
      <w:pPr>
        <w:pStyle w:val="BodyText"/>
        <w:spacing w:line="388" w:lineRule="auto" w:before="46"/>
        <w:ind w:left="213" w:right="1115" w:firstLine="420"/>
        <w:jc w:val="left"/>
      </w:pPr>
      <w:r>
        <w:rPr/>
        <w:t>报告期内尚未披露受托管理事务报告，受托管理人预计将于</w:t>
      </w:r>
      <w:r>
        <w:rPr>
          <w:rFonts w:ascii="Arial" w:hAnsi="Arial" w:cs="Arial" w:eastAsia="Arial" w:hint="default"/>
        </w:rPr>
        <w:t>2016</w:t>
      </w:r>
      <w:r>
        <w:rPr/>
        <w:t>年</w:t>
      </w:r>
      <w:r>
        <w:rPr>
          <w:rFonts w:ascii="Arial" w:hAnsi="Arial" w:cs="Arial" w:eastAsia="Arial" w:hint="default"/>
        </w:rPr>
        <w:t>6</w:t>
      </w:r>
      <w:r>
        <w:rPr/>
        <w:t>月</w:t>
      </w:r>
      <w:r>
        <w:rPr>
          <w:rFonts w:ascii="Arial" w:hAnsi="Arial" w:cs="Arial" w:eastAsia="Arial" w:hint="default"/>
        </w:rPr>
        <w:t>30</w:t>
      </w:r>
      <w:r>
        <w:rPr/>
        <w:t>日之前披露《受托管理事务 报告》，请投资者届时关注。</w:t>
      </w:r>
    </w:p>
    <w:p>
      <w:pPr>
        <w:spacing w:line="240" w:lineRule="auto" w:before="12"/>
        <w:rPr>
          <w:rFonts w:ascii="宋体" w:hAnsi="宋体" w:cs="宋体" w:eastAsia="宋体" w:hint="default"/>
          <w:sz w:val="25"/>
          <w:szCs w:val="25"/>
        </w:rPr>
      </w:pPr>
    </w:p>
    <w:p>
      <w:pPr>
        <w:pStyle w:val="Heading2"/>
        <w:spacing w:line="240" w:lineRule="auto"/>
        <w:ind w:left="213" w:right="1513"/>
        <w:jc w:val="left"/>
        <w:rPr>
          <w:b w:val="0"/>
          <w:bCs w:val="0"/>
        </w:rPr>
      </w:pPr>
      <w:bookmarkStart w:name="5.21.8 截至报告期末公司近2年的主要会计数据和财务指标" w:id="166"/>
      <w:bookmarkEnd w:id="166"/>
      <w:r>
        <w:rPr>
          <w:b w:val="0"/>
          <w:bCs w:val="0"/>
        </w:rPr>
      </w:r>
      <w:r>
        <w:rPr>
          <w:rFonts w:ascii="Trebuchet MS" w:hAnsi="Trebuchet MS" w:cs="Trebuchet MS" w:eastAsia="Trebuchet MS" w:hint="default"/>
        </w:rPr>
        <w:t>5.21.8 </w:t>
      </w:r>
      <w:r>
        <w:rPr/>
        <w:t>截至报告期末公司近 </w:t>
      </w:r>
      <w:r>
        <w:rPr>
          <w:rFonts w:ascii="Trebuchet MS" w:hAnsi="Trebuchet MS" w:cs="Trebuchet MS" w:eastAsia="Trebuchet MS" w:hint="default"/>
        </w:rPr>
        <w:t>2</w:t>
      </w:r>
      <w:r>
        <w:rPr>
          <w:rFonts w:ascii="Trebuchet MS" w:hAnsi="Trebuchet MS" w:cs="Trebuchet MS" w:eastAsia="Trebuchet MS" w:hint="default"/>
          <w:spacing w:val="-47"/>
        </w:rPr>
        <w:t> </w:t>
      </w:r>
      <w:r>
        <w:rPr/>
        <w:t>年的主要会计数据和财务指标</w:t>
      </w:r>
      <w:r>
        <w:rPr>
          <w:b w:val="0"/>
          <w:bCs w:val="0"/>
        </w:rPr>
      </w:r>
    </w:p>
    <w:p>
      <w:pPr>
        <w:spacing w:line="240" w:lineRule="auto" w:before="9"/>
        <w:rPr>
          <w:rFonts w:ascii="Microsoft JhengHei" w:hAnsi="Microsoft JhengHei" w:cs="Microsoft JhengHei" w:eastAsia="Microsoft JhengHei"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5"/>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392"/>
        <w:gridCol w:w="2393"/>
        <w:gridCol w:w="2392"/>
        <w:gridCol w:w="2392"/>
      </w:tblGrid>
      <w:tr>
        <w:trPr>
          <w:trHeight w:val="397" w:hRule="exact"/>
        </w:trPr>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3"/>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w:t>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0"/>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1"/>
                <w:sz w:val="18"/>
                <w:szCs w:val="18"/>
              </w:rPr>
              <w:t> </w:t>
            </w:r>
            <w:r>
              <w:rPr>
                <w:rFonts w:ascii="宋体" w:hAnsi="宋体" w:cs="宋体" w:eastAsia="宋体" w:hint="default"/>
                <w:sz w:val="18"/>
                <w:szCs w:val="18"/>
              </w:rPr>
              <w:t>年</w:t>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745"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7" w:hRule="exact"/>
        </w:trPr>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393" w:type="dxa"/>
            <w:tcBorders>
              <w:top w:val="single" w:sz="4" w:space="0" w:color="5B9BD4"/>
              <w:left w:val="nil" w:sz="6" w:space="0" w:color="auto"/>
              <w:bottom w:val="single" w:sz="4" w:space="0" w:color="5B9BD4"/>
              <w:right w:val="nil" w:sz="6" w:space="0" w:color="auto"/>
            </w:tcBorders>
          </w:tcPr>
          <w:p>
            <w:pPr>
              <w:pStyle w:val="TableParagraph"/>
              <w:spacing w:line="240" w:lineRule="auto" w:before="94"/>
              <w:ind w:right="107"/>
              <w:jc w:val="right"/>
              <w:rPr>
                <w:rFonts w:ascii="Arial" w:hAnsi="Arial" w:cs="Arial" w:eastAsia="Arial" w:hint="default"/>
                <w:sz w:val="18"/>
                <w:szCs w:val="18"/>
              </w:rPr>
            </w:pPr>
            <w:r>
              <w:rPr>
                <w:rFonts w:ascii="Arial"/>
                <w:w w:val="95"/>
                <w:sz w:val="18"/>
              </w:rPr>
              <w:t>38,140.19</w:t>
            </w:r>
            <w:r>
              <w:rPr>
                <w:rFonts w:ascii="Arial"/>
                <w:sz w:val="18"/>
              </w:rPr>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94"/>
              <w:ind w:right="106"/>
              <w:jc w:val="right"/>
              <w:rPr>
                <w:rFonts w:ascii="Arial" w:hAnsi="Arial" w:cs="Arial" w:eastAsia="Arial" w:hint="default"/>
                <w:sz w:val="18"/>
                <w:szCs w:val="18"/>
              </w:rPr>
            </w:pPr>
            <w:r>
              <w:rPr>
                <w:rFonts w:ascii="Arial"/>
                <w:w w:val="95"/>
                <w:sz w:val="18"/>
              </w:rPr>
              <w:t>45,387.62</w:t>
            </w:r>
            <w:r>
              <w:rPr>
                <w:rFonts w:ascii="Arial"/>
                <w:sz w:val="18"/>
              </w:rPr>
            </w: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94"/>
              <w:ind w:right="105"/>
              <w:jc w:val="right"/>
              <w:rPr>
                <w:rFonts w:ascii="Arial" w:hAnsi="Arial" w:cs="Arial" w:eastAsia="Arial" w:hint="default"/>
                <w:sz w:val="18"/>
                <w:szCs w:val="18"/>
              </w:rPr>
            </w:pPr>
            <w:r>
              <w:rPr>
                <w:rFonts w:ascii="Arial"/>
                <w:w w:val="95"/>
                <w:sz w:val="18"/>
              </w:rPr>
              <w:t>-15.97%</w:t>
            </w:r>
            <w:r>
              <w:rPr>
                <w:rFonts w:ascii="Arial"/>
                <w:sz w:val="18"/>
              </w:rPr>
            </w:r>
          </w:p>
        </w:tc>
      </w:tr>
      <w:tr>
        <w:trPr>
          <w:trHeight w:val="714" w:hRule="exact"/>
        </w:trPr>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47"/>
              <w:ind w:left="108" w:right="123"/>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5B9BD4"/>
              <w:left w:val="nil" w:sz="6" w:space="0" w:color="auto"/>
              <w:bottom w:val="single" w:sz="4" w:space="0" w:color="5B9BD4"/>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7"/>
              <w:jc w:val="right"/>
              <w:rPr>
                <w:rFonts w:ascii="Arial" w:hAnsi="Arial" w:cs="Arial" w:eastAsia="Arial" w:hint="default"/>
                <w:sz w:val="18"/>
                <w:szCs w:val="18"/>
              </w:rPr>
            </w:pPr>
            <w:r>
              <w:rPr>
                <w:rFonts w:ascii="Arial"/>
                <w:w w:val="95"/>
                <w:sz w:val="18"/>
              </w:rPr>
              <w:t>-66,132.65</w:t>
            </w:r>
            <w:r>
              <w:rPr>
                <w:rFonts w:ascii="Arial"/>
                <w:sz w:val="18"/>
              </w:rPr>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6"/>
              <w:jc w:val="right"/>
              <w:rPr>
                <w:rFonts w:ascii="Arial" w:hAnsi="Arial" w:cs="Arial" w:eastAsia="Arial" w:hint="default"/>
                <w:sz w:val="18"/>
                <w:szCs w:val="18"/>
              </w:rPr>
            </w:pPr>
            <w:r>
              <w:rPr>
                <w:rFonts w:ascii="Arial"/>
                <w:w w:val="95"/>
                <w:sz w:val="18"/>
              </w:rPr>
              <w:t>-22,939.93</w:t>
            </w:r>
            <w:r>
              <w:rPr>
                <w:rFonts w:ascii="Arial"/>
                <w:sz w:val="18"/>
              </w:rPr>
            </w: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5"/>
              <w:jc w:val="right"/>
              <w:rPr>
                <w:rFonts w:ascii="Arial" w:hAnsi="Arial" w:cs="Arial" w:eastAsia="Arial" w:hint="default"/>
                <w:sz w:val="18"/>
                <w:szCs w:val="18"/>
              </w:rPr>
            </w:pPr>
            <w:r>
              <w:rPr>
                <w:rFonts w:ascii="Arial"/>
                <w:w w:val="95"/>
                <w:sz w:val="18"/>
              </w:rPr>
              <w:t>-188.29%</w:t>
            </w:r>
            <w:r>
              <w:rPr>
                <w:rFonts w:ascii="Arial"/>
                <w:sz w:val="18"/>
              </w:rPr>
            </w:r>
          </w:p>
        </w:tc>
      </w:tr>
      <w:tr>
        <w:trPr>
          <w:trHeight w:val="714" w:hRule="exact"/>
        </w:trPr>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47"/>
              <w:ind w:left="108" w:right="123"/>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5B9BD4"/>
              <w:left w:val="nil" w:sz="6" w:space="0" w:color="auto"/>
              <w:bottom w:val="single" w:sz="4" w:space="0" w:color="5B9BD4"/>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7"/>
              <w:jc w:val="right"/>
              <w:rPr>
                <w:rFonts w:ascii="Arial" w:hAnsi="Arial" w:cs="Arial" w:eastAsia="Arial" w:hint="default"/>
                <w:sz w:val="18"/>
                <w:szCs w:val="18"/>
              </w:rPr>
            </w:pPr>
            <w:r>
              <w:rPr>
                <w:rFonts w:ascii="Arial"/>
                <w:w w:val="95"/>
                <w:sz w:val="18"/>
              </w:rPr>
              <w:t>63,552.79</w:t>
            </w:r>
            <w:r>
              <w:rPr>
                <w:rFonts w:ascii="Arial"/>
                <w:sz w:val="18"/>
              </w:rPr>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6"/>
              <w:jc w:val="right"/>
              <w:rPr>
                <w:rFonts w:ascii="Arial" w:hAnsi="Arial" w:cs="Arial" w:eastAsia="Arial" w:hint="default"/>
                <w:sz w:val="18"/>
                <w:szCs w:val="18"/>
              </w:rPr>
            </w:pPr>
            <w:r>
              <w:rPr>
                <w:rFonts w:ascii="Arial"/>
                <w:w w:val="95"/>
                <w:sz w:val="18"/>
              </w:rPr>
              <w:t>-118,310.37</w:t>
            </w:r>
            <w:r>
              <w:rPr>
                <w:rFonts w:ascii="Arial"/>
                <w:sz w:val="18"/>
              </w:rPr>
            </w: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5"/>
              <w:jc w:val="right"/>
              <w:rPr>
                <w:rFonts w:ascii="Arial" w:hAnsi="Arial" w:cs="Arial" w:eastAsia="Arial" w:hint="default"/>
                <w:sz w:val="18"/>
                <w:szCs w:val="18"/>
              </w:rPr>
            </w:pPr>
            <w:r>
              <w:rPr>
                <w:rFonts w:ascii="Arial"/>
                <w:w w:val="95"/>
                <w:sz w:val="18"/>
              </w:rPr>
              <w:t>153.72%</w:t>
            </w:r>
            <w:r>
              <w:rPr>
                <w:rFonts w:ascii="Arial"/>
                <w:sz w:val="18"/>
              </w:rPr>
            </w:r>
          </w:p>
        </w:tc>
      </w:tr>
      <w:tr>
        <w:trPr>
          <w:trHeight w:val="402" w:hRule="exact"/>
        </w:trPr>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期末现金及现金等价物余额</w:t>
            </w:r>
          </w:p>
        </w:tc>
        <w:tc>
          <w:tcPr>
            <w:tcW w:w="2393"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107"/>
              <w:jc w:val="right"/>
              <w:rPr>
                <w:rFonts w:ascii="Arial" w:hAnsi="Arial" w:cs="Arial" w:eastAsia="Arial" w:hint="default"/>
                <w:sz w:val="18"/>
                <w:szCs w:val="18"/>
              </w:rPr>
            </w:pPr>
            <w:r>
              <w:rPr>
                <w:rFonts w:ascii="Arial"/>
                <w:w w:val="95"/>
                <w:sz w:val="18"/>
              </w:rPr>
              <w:t>151,693.38</w:t>
            </w:r>
            <w:r>
              <w:rPr>
                <w:rFonts w:ascii="Arial"/>
                <w:sz w:val="18"/>
              </w:rPr>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06"/>
              <w:jc w:val="right"/>
              <w:rPr>
                <w:rFonts w:ascii="Arial" w:hAnsi="Arial" w:cs="Arial" w:eastAsia="Arial" w:hint="default"/>
                <w:sz w:val="18"/>
                <w:szCs w:val="18"/>
              </w:rPr>
            </w:pPr>
            <w:r>
              <w:rPr>
                <w:rFonts w:ascii="Arial"/>
                <w:w w:val="95"/>
                <w:sz w:val="18"/>
              </w:rPr>
              <w:t>124,749.86</w:t>
            </w:r>
            <w:r>
              <w:rPr>
                <w:rFonts w:ascii="Arial"/>
                <w:sz w:val="18"/>
              </w:rPr>
            </w: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w w:val="95"/>
                <w:sz w:val="18"/>
              </w:rPr>
              <w:t>21.60%</w:t>
            </w:r>
            <w:r>
              <w:rPr>
                <w:rFonts w:ascii="Arial"/>
                <w:sz w:val="18"/>
              </w:rPr>
            </w:r>
          </w:p>
        </w:tc>
      </w:tr>
      <w:tr>
        <w:trPr>
          <w:trHeight w:val="402" w:hRule="exact"/>
        </w:trPr>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393"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106"/>
              <w:jc w:val="right"/>
              <w:rPr>
                <w:rFonts w:ascii="Arial" w:hAnsi="Arial" w:cs="Arial" w:eastAsia="Arial" w:hint="default"/>
                <w:sz w:val="18"/>
                <w:szCs w:val="18"/>
              </w:rPr>
            </w:pPr>
            <w:r>
              <w:rPr>
                <w:rFonts w:ascii="Arial"/>
                <w:w w:val="95"/>
                <w:sz w:val="18"/>
              </w:rPr>
              <w:t>171.85%</w:t>
            </w:r>
            <w:r>
              <w:rPr>
                <w:rFonts w:ascii="Arial"/>
                <w:sz w:val="18"/>
              </w:rPr>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06"/>
              <w:jc w:val="right"/>
              <w:rPr>
                <w:rFonts w:ascii="Arial" w:hAnsi="Arial" w:cs="Arial" w:eastAsia="Arial" w:hint="default"/>
                <w:sz w:val="18"/>
                <w:szCs w:val="18"/>
              </w:rPr>
            </w:pPr>
            <w:r>
              <w:rPr>
                <w:rFonts w:ascii="Arial"/>
                <w:w w:val="95"/>
                <w:sz w:val="18"/>
              </w:rPr>
              <w:t>182.84%</w:t>
            </w:r>
            <w:r>
              <w:rPr>
                <w:rFonts w:ascii="Arial"/>
                <w:sz w:val="18"/>
              </w:rPr>
            </w: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w w:val="95"/>
                <w:sz w:val="18"/>
              </w:rPr>
              <w:t>-10.99%</w:t>
            </w:r>
            <w:r>
              <w:rPr>
                <w:rFonts w:ascii="Arial"/>
                <w:sz w:val="18"/>
              </w:rPr>
            </w:r>
          </w:p>
        </w:tc>
      </w:tr>
      <w:tr>
        <w:trPr>
          <w:trHeight w:val="402" w:hRule="exact"/>
        </w:trPr>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393"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106"/>
              <w:jc w:val="right"/>
              <w:rPr>
                <w:rFonts w:ascii="Arial" w:hAnsi="Arial" w:cs="Arial" w:eastAsia="Arial" w:hint="default"/>
                <w:sz w:val="18"/>
                <w:szCs w:val="18"/>
              </w:rPr>
            </w:pPr>
            <w:r>
              <w:rPr>
                <w:rFonts w:ascii="Arial"/>
                <w:w w:val="95"/>
                <w:sz w:val="18"/>
              </w:rPr>
              <w:t>57.17%</w:t>
            </w:r>
            <w:r>
              <w:rPr>
                <w:rFonts w:ascii="Arial"/>
                <w:sz w:val="18"/>
              </w:rPr>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06"/>
              <w:jc w:val="right"/>
              <w:rPr>
                <w:rFonts w:ascii="Arial" w:hAnsi="Arial" w:cs="Arial" w:eastAsia="Arial" w:hint="default"/>
                <w:sz w:val="18"/>
                <w:szCs w:val="18"/>
              </w:rPr>
            </w:pPr>
            <w:r>
              <w:rPr>
                <w:rFonts w:ascii="Arial"/>
                <w:w w:val="95"/>
                <w:sz w:val="18"/>
              </w:rPr>
              <w:t>51.54%</w:t>
            </w:r>
            <w:r>
              <w:rPr>
                <w:rFonts w:ascii="Arial"/>
                <w:sz w:val="18"/>
              </w:rPr>
            </w: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w w:val="95"/>
                <w:sz w:val="18"/>
              </w:rPr>
              <w:t>5.63%</w:t>
            </w:r>
            <w:r>
              <w:rPr>
                <w:rFonts w:ascii="Arial"/>
                <w:sz w:val="18"/>
              </w:rPr>
            </w:r>
          </w:p>
        </w:tc>
      </w:tr>
      <w:tr>
        <w:trPr>
          <w:trHeight w:val="402" w:hRule="exact"/>
        </w:trPr>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393"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106"/>
              <w:jc w:val="right"/>
              <w:rPr>
                <w:rFonts w:ascii="Arial" w:hAnsi="Arial" w:cs="Arial" w:eastAsia="Arial" w:hint="default"/>
                <w:sz w:val="18"/>
                <w:szCs w:val="18"/>
              </w:rPr>
            </w:pPr>
            <w:r>
              <w:rPr>
                <w:rFonts w:ascii="Arial"/>
                <w:w w:val="95"/>
                <w:sz w:val="18"/>
              </w:rPr>
              <w:t>116.60%</w:t>
            </w:r>
            <w:r>
              <w:rPr>
                <w:rFonts w:ascii="Arial"/>
                <w:sz w:val="18"/>
              </w:rPr>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06"/>
              <w:jc w:val="right"/>
              <w:rPr>
                <w:rFonts w:ascii="Arial" w:hAnsi="Arial" w:cs="Arial" w:eastAsia="Arial" w:hint="default"/>
                <w:sz w:val="18"/>
                <w:szCs w:val="18"/>
              </w:rPr>
            </w:pPr>
            <w:r>
              <w:rPr>
                <w:rFonts w:ascii="Arial"/>
                <w:w w:val="95"/>
                <w:sz w:val="18"/>
              </w:rPr>
              <w:t>133.50%</w:t>
            </w:r>
            <w:r>
              <w:rPr>
                <w:rFonts w:ascii="Arial"/>
                <w:sz w:val="18"/>
              </w:rPr>
            </w: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w w:val="95"/>
                <w:sz w:val="18"/>
              </w:rPr>
              <w:t>-16.90%</w:t>
            </w:r>
            <w:r>
              <w:rPr>
                <w:rFonts w:ascii="Arial"/>
                <w:sz w:val="18"/>
              </w:rPr>
            </w:r>
          </w:p>
        </w:tc>
      </w:tr>
      <w:tr>
        <w:trPr>
          <w:trHeight w:val="402" w:hRule="exact"/>
        </w:trPr>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08" w:right="0"/>
              <w:jc w:val="left"/>
              <w:rPr>
                <w:rFonts w:ascii="宋体" w:hAnsi="宋体" w:cs="宋体" w:eastAsia="宋体" w:hint="default"/>
                <w:sz w:val="18"/>
                <w:szCs w:val="18"/>
              </w:rPr>
            </w:pPr>
            <w:r>
              <w:rPr>
                <w:rFonts w:ascii="Arial" w:hAnsi="Arial" w:cs="Arial" w:eastAsia="Arial" w:hint="default"/>
                <w:w w:val="95"/>
                <w:sz w:val="18"/>
                <w:szCs w:val="18"/>
              </w:rPr>
              <w:t>EBITDA</w:t>
            </w:r>
            <w:r>
              <w:rPr>
                <w:rFonts w:ascii="Arial" w:hAnsi="Arial" w:cs="Arial" w:eastAsia="Arial" w:hint="default"/>
                <w:spacing w:val="7"/>
                <w:w w:val="95"/>
                <w:sz w:val="18"/>
                <w:szCs w:val="18"/>
              </w:rPr>
              <w:t> </w:t>
            </w:r>
            <w:r>
              <w:rPr>
                <w:rFonts w:ascii="宋体" w:hAnsi="宋体" w:cs="宋体" w:eastAsia="宋体" w:hint="default"/>
                <w:w w:val="95"/>
                <w:sz w:val="18"/>
                <w:szCs w:val="18"/>
              </w:rPr>
              <w:t>全部债务比</w:t>
            </w:r>
          </w:p>
        </w:tc>
        <w:tc>
          <w:tcPr>
            <w:tcW w:w="2393"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106"/>
              <w:jc w:val="right"/>
              <w:rPr>
                <w:rFonts w:ascii="Arial" w:hAnsi="Arial" w:cs="Arial" w:eastAsia="Arial" w:hint="default"/>
                <w:sz w:val="18"/>
                <w:szCs w:val="18"/>
              </w:rPr>
            </w:pPr>
            <w:r>
              <w:rPr>
                <w:rFonts w:ascii="Arial"/>
                <w:spacing w:val="-1"/>
                <w:w w:val="95"/>
                <w:sz w:val="18"/>
              </w:rPr>
              <w:t>6.46%</w:t>
            </w:r>
            <w:r>
              <w:rPr>
                <w:rFonts w:ascii="Arial"/>
                <w:spacing w:val="-1"/>
                <w:sz w:val="18"/>
              </w:rPr>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06"/>
              <w:jc w:val="right"/>
              <w:rPr>
                <w:rFonts w:ascii="Arial" w:hAnsi="Arial" w:cs="Arial" w:eastAsia="Arial" w:hint="default"/>
                <w:sz w:val="18"/>
                <w:szCs w:val="18"/>
              </w:rPr>
            </w:pPr>
            <w:r>
              <w:rPr>
                <w:rFonts w:ascii="Arial"/>
                <w:w w:val="95"/>
                <w:sz w:val="18"/>
              </w:rPr>
              <w:t>9.86%</w:t>
            </w:r>
            <w:r>
              <w:rPr>
                <w:rFonts w:ascii="Arial"/>
                <w:sz w:val="18"/>
              </w:rPr>
            </w: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spacing w:val="-1"/>
                <w:w w:val="95"/>
                <w:sz w:val="18"/>
              </w:rPr>
              <w:t>-3.40%</w:t>
            </w:r>
            <w:r>
              <w:rPr>
                <w:rFonts w:ascii="Arial"/>
                <w:spacing w:val="-1"/>
                <w:sz w:val="18"/>
              </w:rPr>
            </w:r>
          </w:p>
        </w:tc>
      </w:tr>
      <w:tr>
        <w:trPr>
          <w:trHeight w:val="402" w:hRule="exact"/>
        </w:trPr>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393"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107"/>
              <w:jc w:val="right"/>
              <w:rPr>
                <w:rFonts w:ascii="Arial" w:hAnsi="Arial" w:cs="Arial" w:eastAsia="Arial" w:hint="default"/>
                <w:sz w:val="18"/>
                <w:szCs w:val="18"/>
              </w:rPr>
            </w:pPr>
            <w:r>
              <w:rPr>
                <w:rFonts w:ascii="Arial"/>
                <w:spacing w:val="-1"/>
                <w:sz w:val="18"/>
              </w:rPr>
              <w:t>1.97</w:t>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06"/>
              <w:jc w:val="right"/>
              <w:rPr>
                <w:rFonts w:ascii="Arial" w:hAnsi="Arial" w:cs="Arial" w:eastAsia="Arial" w:hint="default"/>
                <w:sz w:val="18"/>
                <w:szCs w:val="18"/>
              </w:rPr>
            </w:pPr>
            <w:r>
              <w:rPr>
                <w:rFonts w:ascii="Arial"/>
                <w:spacing w:val="-1"/>
                <w:sz w:val="18"/>
              </w:rPr>
              <w:t>1.09</w:t>
            </w: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w w:val="95"/>
                <w:sz w:val="18"/>
              </w:rPr>
              <w:t>80.73%</w:t>
            </w:r>
            <w:r>
              <w:rPr>
                <w:rFonts w:ascii="Arial"/>
                <w:sz w:val="18"/>
              </w:rPr>
            </w:r>
          </w:p>
        </w:tc>
      </w:tr>
      <w:tr>
        <w:trPr>
          <w:trHeight w:val="402" w:hRule="exact"/>
        </w:trPr>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393"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107"/>
              <w:jc w:val="right"/>
              <w:rPr>
                <w:rFonts w:ascii="Arial" w:hAnsi="Arial" w:cs="Arial" w:eastAsia="Arial" w:hint="default"/>
                <w:sz w:val="18"/>
                <w:szCs w:val="18"/>
              </w:rPr>
            </w:pPr>
            <w:r>
              <w:rPr>
                <w:rFonts w:ascii="Arial"/>
                <w:w w:val="95"/>
                <w:sz w:val="18"/>
              </w:rPr>
              <w:t>2.92</w:t>
            </w:r>
            <w:r>
              <w:rPr>
                <w:rFonts w:ascii="Arial"/>
                <w:sz w:val="18"/>
              </w:rPr>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06"/>
              <w:jc w:val="right"/>
              <w:rPr>
                <w:rFonts w:ascii="Arial" w:hAnsi="Arial" w:cs="Arial" w:eastAsia="Arial" w:hint="default"/>
                <w:sz w:val="18"/>
                <w:szCs w:val="18"/>
              </w:rPr>
            </w:pPr>
            <w:r>
              <w:rPr>
                <w:rFonts w:ascii="Arial"/>
                <w:w w:val="95"/>
                <w:sz w:val="18"/>
              </w:rPr>
              <w:t>1.32</w:t>
            </w:r>
            <w:r>
              <w:rPr>
                <w:rFonts w:ascii="Arial"/>
                <w:sz w:val="18"/>
              </w:rPr>
            </w: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spacing w:val="-1"/>
                <w:w w:val="95"/>
                <w:sz w:val="18"/>
              </w:rPr>
              <w:t>121.21%</w:t>
            </w:r>
            <w:r>
              <w:rPr>
                <w:rFonts w:ascii="Arial"/>
                <w:spacing w:val="-1"/>
                <w:sz w:val="18"/>
              </w:rPr>
            </w:r>
          </w:p>
        </w:tc>
      </w:tr>
      <w:tr>
        <w:trPr>
          <w:trHeight w:val="402" w:hRule="exact"/>
        </w:trPr>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08" w:right="0"/>
              <w:jc w:val="left"/>
              <w:rPr>
                <w:rFonts w:ascii="宋体" w:hAnsi="宋体" w:cs="宋体" w:eastAsia="宋体" w:hint="default"/>
                <w:sz w:val="18"/>
                <w:szCs w:val="18"/>
              </w:rPr>
            </w:pPr>
            <w:r>
              <w:rPr>
                <w:rFonts w:ascii="Arial" w:hAnsi="Arial" w:cs="Arial" w:eastAsia="Arial" w:hint="default"/>
                <w:w w:val="95"/>
                <w:sz w:val="18"/>
                <w:szCs w:val="18"/>
              </w:rPr>
              <w:t>EBITDA</w:t>
            </w:r>
            <w:r>
              <w:rPr>
                <w:rFonts w:ascii="Arial" w:hAnsi="Arial" w:cs="Arial" w:eastAsia="Arial" w:hint="default"/>
                <w:spacing w:val="16"/>
                <w:w w:val="95"/>
                <w:sz w:val="18"/>
                <w:szCs w:val="18"/>
              </w:rPr>
              <w:t> </w:t>
            </w:r>
            <w:r>
              <w:rPr>
                <w:rFonts w:ascii="宋体" w:hAnsi="宋体" w:cs="宋体" w:eastAsia="宋体" w:hint="default"/>
                <w:w w:val="95"/>
                <w:sz w:val="18"/>
                <w:szCs w:val="18"/>
              </w:rPr>
              <w:t>利息保障倍数</w:t>
            </w:r>
          </w:p>
        </w:tc>
        <w:tc>
          <w:tcPr>
            <w:tcW w:w="2393"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107"/>
              <w:jc w:val="right"/>
              <w:rPr>
                <w:rFonts w:ascii="Arial" w:hAnsi="Arial" w:cs="Arial" w:eastAsia="Arial" w:hint="default"/>
                <w:sz w:val="18"/>
                <w:szCs w:val="18"/>
              </w:rPr>
            </w:pPr>
            <w:r>
              <w:rPr>
                <w:rFonts w:ascii="Arial"/>
                <w:w w:val="95"/>
                <w:sz w:val="18"/>
              </w:rPr>
              <w:t>2.25</w:t>
            </w:r>
            <w:r>
              <w:rPr>
                <w:rFonts w:ascii="Arial"/>
                <w:sz w:val="18"/>
              </w:rPr>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06"/>
              <w:jc w:val="right"/>
              <w:rPr>
                <w:rFonts w:ascii="Arial" w:hAnsi="Arial" w:cs="Arial" w:eastAsia="Arial" w:hint="default"/>
                <w:sz w:val="18"/>
                <w:szCs w:val="18"/>
              </w:rPr>
            </w:pPr>
            <w:r>
              <w:rPr>
                <w:rFonts w:ascii="Arial"/>
                <w:w w:val="95"/>
                <w:sz w:val="18"/>
              </w:rPr>
              <w:t>1.29</w:t>
            </w:r>
            <w:r>
              <w:rPr>
                <w:rFonts w:ascii="Arial"/>
                <w:sz w:val="18"/>
              </w:rPr>
            </w: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spacing w:val="-1"/>
                <w:w w:val="95"/>
                <w:sz w:val="18"/>
              </w:rPr>
              <w:t>74.42%</w:t>
            </w:r>
            <w:r>
              <w:rPr>
                <w:rFonts w:ascii="Arial"/>
                <w:spacing w:val="-1"/>
                <w:sz w:val="18"/>
              </w:rPr>
            </w:r>
          </w:p>
        </w:tc>
      </w:tr>
      <w:tr>
        <w:trPr>
          <w:trHeight w:val="402" w:hRule="exact"/>
        </w:trPr>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393"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106"/>
              <w:jc w:val="right"/>
              <w:rPr>
                <w:rFonts w:ascii="Arial" w:hAnsi="Arial" w:cs="Arial" w:eastAsia="Arial" w:hint="default"/>
                <w:sz w:val="18"/>
                <w:szCs w:val="18"/>
              </w:rPr>
            </w:pPr>
            <w:r>
              <w:rPr>
                <w:rFonts w:ascii="Arial"/>
                <w:w w:val="95"/>
                <w:sz w:val="18"/>
              </w:rPr>
              <w:t>100.00%</w:t>
            </w:r>
            <w:r>
              <w:rPr>
                <w:rFonts w:ascii="Arial"/>
                <w:sz w:val="18"/>
              </w:rPr>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06"/>
              <w:jc w:val="right"/>
              <w:rPr>
                <w:rFonts w:ascii="Arial" w:hAnsi="Arial" w:cs="Arial" w:eastAsia="Arial" w:hint="default"/>
                <w:sz w:val="18"/>
                <w:szCs w:val="18"/>
              </w:rPr>
            </w:pPr>
            <w:r>
              <w:rPr>
                <w:rFonts w:ascii="Arial"/>
                <w:w w:val="95"/>
                <w:sz w:val="18"/>
              </w:rPr>
              <w:t>100.00%</w:t>
            </w:r>
            <w:r>
              <w:rPr>
                <w:rFonts w:ascii="Arial"/>
                <w:sz w:val="18"/>
              </w:rPr>
            </w: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393"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106"/>
              <w:jc w:val="right"/>
              <w:rPr>
                <w:rFonts w:ascii="Arial" w:hAnsi="Arial" w:cs="Arial" w:eastAsia="Arial" w:hint="default"/>
                <w:sz w:val="18"/>
                <w:szCs w:val="18"/>
              </w:rPr>
            </w:pPr>
            <w:r>
              <w:rPr>
                <w:rFonts w:ascii="Arial"/>
                <w:w w:val="95"/>
                <w:sz w:val="18"/>
              </w:rPr>
              <w:t>96.84%</w:t>
            </w:r>
            <w:r>
              <w:rPr>
                <w:rFonts w:ascii="Arial"/>
                <w:sz w:val="18"/>
              </w:rPr>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06"/>
              <w:jc w:val="right"/>
              <w:rPr>
                <w:rFonts w:ascii="Arial" w:hAnsi="Arial" w:cs="Arial" w:eastAsia="Arial" w:hint="default"/>
                <w:sz w:val="18"/>
                <w:szCs w:val="18"/>
              </w:rPr>
            </w:pPr>
            <w:r>
              <w:rPr>
                <w:rFonts w:ascii="Arial"/>
                <w:w w:val="95"/>
                <w:sz w:val="18"/>
              </w:rPr>
              <w:t>101.27%</w:t>
            </w:r>
            <w:r>
              <w:rPr>
                <w:rFonts w:ascii="Arial"/>
                <w:sz w:val="18"/>
              </w:rPr>
            </w: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w w:val="95"/>
                <w:sz w:val="18"/>
              </w:rPr>
              <w:t>-4.43%</w:t>
            </w:r>
            <w:r>
              <w:rPr>
                <w:rFonts w:ascii="Arial"/>
                <w:sz w:val="18"/>
              </w:rPr>
            </w:r>
          </w:p>
        </w:tc>
      </w:tr>
    </w:tbl>
    <w:p>
      <w:pPr>
        <w:spacing w:line="240" w:lineRule="auto" w:before="3"/>
        <w:rPr>
          <w:rFonts w:ascii="宋体" w:hAnsi="宋体" w:cs="宋体" w:eastAsia="宋体" w:hint="default"/>
          <w:sz w:val="6"/>
          <w:szCs w:val="6"/>
        </w:rPr>
      </w:pPr>
    </w:p>
    <w:p>
      <w:pPr>
        <w:pStyle w:val="BodyText"/>
        <w:spacing w:line="240" w:lineRule="auto" w:before="18"/>
        <w:ind w:left="214" w:right="1513"/>
        <w:jc w:val="left"/>
      </w:pPr>
      <w:r>
        <w:rPr/>
        <w:t>上述会计数据和财务指标同比变动超过</w:t>
      </w:r>
      <w:r>
        <w:rPr>
          <w:spacing w:val="-79"/>
        </w:rPr>
        <w:t> </w:t>
      </w:r>
      <w:r>
        <w:rPr>
          <w:rFonts w:ascii="Arial" w:hAnsi="Arial" w:cs="Arial" w:eastAsia="Arial" w:hint="default"/>
        </w:rPr>
        <w:t>30%</w:t>
      </w:r>
      <w:r>
        <w:rPr/>
        <w:t>的主要原因</w:t>
      </w:r>
    </w:p>
    <w:p>
      <w:pPr>
        <w:spacing w:line="240" w:lineRule="auto" w:before="8"/>
        <w:rPr>
          <w:rFonts w:ascii="宋体" w:hAnsi="宋体" w:cs="宋体" w:eastAsia="宋体" w:hint="default"/>
          <w:sz w:val="16"/>
          <w:szCs w:val="16"/>
        </w:rPr>
      </w:pPr>
    </w:p>
    <w:p>
      <w:pPr>
        <w:pStyle w:val="BodyText"/>
        <w:spacing w:line="410" w:lineRule="auto"/>
        <w:ind w:left="214" w:right="419" w:firstLine="420"/>
        <w:jc w:val="left"/>
      </w:pPr>
      <w:r>
        <w:rPr/>
        <w:t>报告期内公司经营规模稳步增长，利润大幅提升，进一步加强应收账款及存货管理，减少资金占用， 同时融资成本率下降，减少财务费用支出，使得上述会计数据和财务指标变动幅度较大。</w:t>
      </w:r>
    </w:p>
    <w:p>
      <w:pPr>
        <w:spacing w:after="0" w:line="410" w:lineRule="auto"/>
        <w:jc w:val="left"/>
        <w:sectPr>
          <w:pgSz w:w="11910" w:h="16840"/>
          <w:pgMar w:header="877" w:footer="979" w:top="1100" w:bottom="1160" w:left="920" w:right="0"/>
        </w:sectPr>
      </w:pPr>
    </w:p>
    <w:p>
      <w:pPr>
        <w:spacing w:line="240" w:lineRule="auto" w:before="0"/>
        <w:rPr>
          <w:rFonts w:ascii="宋体" w:hAnsi="宋体" w:cs="宋体" w:eastAsia="宋体" w:hint="default"/>
          <w:sz w:val="20"/>
          <w:szCs w:val="20"/>
        </w:rPr>
      </w:pPr>
    </w:p>
    <w:p>
      <w:pPr>
        <w:pStyle w:val="Heading2"/>
        <w:spacing w:line="240" w:lineRule="auto" w:before="93"/>
        <w:ind w:right="0"/>
        <w:jc w:val="left"/>
        <w:rPr>
          <w:b w:val="0"/>
          <w:bCs w:val="0"/>
        </w:rPr>
      </w:pPr>
      <w:bookmarkStart w:name="5.21.9 截至报告期末的资产权利受限情况" w:id="167"/>
      <w:bookmarkEnd w:id="167"/>
      <w:r>
        <w:rPr>
          <w:b w:val="0"/>
          <w:bCs w:val="0"/>
        </w:rPr>
      </w:r>
      <w:r>
        <w:rPr>
          <w:rFonts w:ascii="Trebuchet MS" w:hAnsi="Trebuchet MS" w:cs="Trebuchet MS" w:eastAsia="Trebuchet MS" w:hint="default"/>
        </w:rPr>
        <w:t>5.21.9</w:t>
      </w:r>
      <w:r>
        <w:rPr>
          <w:rFonts w:ascii="Trebuchet MS" w:hAnsi="Trebuchet MS" w:cs="Trebuchet MS" w:eastAsia="Trebuchet MS" w:hint="default"/>
          <w:spacing w:val="-26"/>
        </w:rPr>
        <w:t> </w:t>
      </w:r>
      <w:r>
        <w:rPr/>
        <w:t>截至报告期末的资产权利受限情况</w:t>
      </w:r>
      <w:r>
        <w:rPr>
          <w:b w:val="0"/>
          <w:bCs w:val="0"/>
        </w:rPr>
      </w:r>
    </w:p>
    <w:p>
      <w:pPr>
        <w:spacing w:line="240" w:lineRule="auto" w:before="8"/>
        <w:rPr>
          <w:rFonts w:ascii="Microsoft JhengHei" w:hAnsi="Microsoft JhengHei" w:cs="Microsoft JhengHei" w:eastAsia="Microsoft JhengHei" w:hint="default"/>
          <w:b/>
          <w:bCs/>
          <w:sz w:val="30"/>
          <w:szCs w:val="30"/>
        </w:rPr>
      </w:pPr>
    </w:p>
    <w:p>
      <w:pPr>
        <w:pStyle w:val="BodyText"/>
        <w:spacing w:line="408" w:lineRule="auto"/>
        <w:ind w:right="1132" w:firstLine="420"/>
        <w:jc w:val="both"/>
      </w:pPr>
      <w:r>
        <w:rPr>
          <w:spacing w:val="-1"/>
        </w:rPr>
        <w:t>报告期内，公司不存在资产抵押、质押、被查封、冻结、必须具备一定条件才能变现、无法变现、无</w:t>
      </w:r>
      <w:r>
        <w:rPr/>
        <w:t> </w:t>
      </w:r>
      <w:r>
        <w:rPr>
          <w:spacing w:val="-1"/>
        </w:rPr>
        <w:t>法用于抵偿债务的情况和其他权利受限制的情况和安排，以及其他具有可对抗的第三人的优先偿付负债情</w:t>
      </w:r>
      <w:r>
        <w:rPr>
          <w:spacing w:val="-81"/>
        </w:rPr>
        <w:t> </w:t>
      </w:r>
      <w:r>
        <w:rPr>
          <w:spacing w:val="-81"/>
        </w:rPr>
      </w:r>
      <w:r>
        <w:rPr/>
        <w:t>况。</w:t>
      </w:r>
    </w:p>
    <w:p>
      <w:pPr>
        <w:spacing w:line="240" w:lineRule="auto" w:before="8"/>
        <w:rPr>
          <w:rFonts w:ascii="宋体" w:hAnsi="宋体" w:cs="宋体" w:eastAsia="宋体" w:hint="default"/>
          <w:sz w:val="24"/>
          <w:szCs w:val="24"/>
        </w:rPr>
      </w:pPr>
    </w:p>
    <w:p>
      <w:pPr>
        <w:pStyle w:val="Heading2"/>
        <w:spacing w:line="240" w:lineRule="auto"/>
        <w:ind w:left="154" w:right="0"/>
        <w:jc w:val="left"/>
        <w:rPr>
          <w:b w:val="0"/>
          <w:bCs w:val="0"/>
        </w:rPr>
      </w:pPr>
      <w:bookmarkStart w:name="5.21.10 报告期内对其他债券和债务融资工具的付息兑付情况" w:id="168"/>
      <w:bookmarkEnd w:id="168"/>
      <w:r>
        <w:rPr>
          <w:b w:val="0"/>
          <w:bCs w:val="0"/>
        </w:rPr>
      </w:r>
      <w:r>
        <w:rPr>
          <w:rFonts w:ascii="Trebuchet MS" w:hAnsi="Trebuchet MS" w:cs="Trebuchet MS" w:eastAsia="Trebuchet MS" w:hint="default"/>
          <w:w w:val="95"/>
        </w:rPr>
        <w:t>5.21.10    </w:t>
      </w:r>
      <w:r>
        <w:rPr>
          <w:rFonts w:ascii="Trebuchet MS" w:hAnsi="Trebuchet MS" w:cs="Trebuchet MS" w:eastAsia="Trebuchet MS" w:hint="default"/>
          <w:spacing w:val="16"/>
          <w:w w:val="95"/>
        </w:rPr>
        <w:t> </w:t>
      </w:r>
      <w:r>
        <w:rPr>
          <w:w w:val="95"/>
        </w:rPr>
        <w:t>报告期内对其他债券和债务融资工具的付息兑付情况</w:t>
      </w:r>
      <w:r>
        <w:rPr>
          <w:b w:val="0"/>
          <w:bCs w:val="0"/>
          <w:w w:val="95"/>
        </w:rPr>
      </w:r>
    </w:p>
    <w:p>
      <w:pPr>
        <w:spacing w:line="240" w:lineRule="auto" w:before="8"/>
        <w:rPr>
          <w:rFonts w:ascii="Microsoft JhengHei" w:hAnsi="Microsoft JhengHei" w:cs="Microsoft JhengHei" w:eastAsia="Microsoft JhengHei" w:hint="default"/>
          <w:b/>
          <w:bCs/>
          <w:sz w:val="30"/>
          <w:szCs w:val="30"/>
        </w:rPr>
      </w:pPr>
    </w:p>
    <w:p>
      <w:pPr>
        <w:pStyle w:val="BodyText"/>
        <w:spacing w:line="240" w:lineRule="auto"/>
        <w:ind w:left="573" w:right="0"/>
        <w:jc w:val="left"/>
      </w:pPr>
      <w:r>
        <w:rPr/>
        <w:t>报告期内，公司不存在其他债券和债务融资工具。</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2"/>
        <w:spacing w:line="240" w:lineRule="auto"/>
        <w:ind w:left="154" w:right="0"/>
        <w:jc w:val="left"/>
        <w:rPr>
          <w:b w:val="0"/>
          <w:bCs w:val="0"/>
        </w:rPr>
      </w:pPr>
      <w:bookmarkStart w:name="5.21.11 报告期内获得的银行授信情况、使用情况以及偿还银行贷款的情况" w:id="169"/>
      <w:bookmarkEnd w:id="169"/>
      <w:r>
        <w:rPr>
          <w:b w:val="0"/>
          <w:bCs w:val="0"/>
        </w:rPr>
      </w:r>
      <w:r>
        <w:rPr>
          <w:rFonts w:ascii="Trebuchet MS" w:hAnsi="Trebuchet MS" w:cs="Trebuchet MS" w:eastAsia="Trebuchet MS" w:hint="default"/>
          <w:w w:val="95"/>
        </w:rPr>
        <w:t>5.21.11     </w:t>
      </w:r>
      <w:r>
        <w:rPr>
          <w:rFonts w:ascii="Trebuchet MS" w:hAnsi="Trebuchet MS" w:cs="Trebuchet MS" w:eastAsia="Trebuchet MS" w:hint="default"/>
          <w:spacing w:val="19"/>
          <w:w w:val="95"/>
        </w:rPr>
        <w:t> </w:t>
      </w:r>
      <w:r>
        <w:rPr>
          <w:w w:val="95"/>
        </w:rPr>
        <w:t>报告期内获得的银行授信情况、使用情况以及偿还银行贷款的情况</w:t>
      </w:r>
      <w:r>
        <w:rPr>
          <w:b w:val="0"/>
          <w:bCs w:val="0"/>
          <w:w w:val="95"/>
        </w:rPr>
      </w:r>
    </w:p>
    <w:p>
      <w:pPr>
        <w:spacing w:line="240" w:lineRule="auto" w:before="16"/>
        <w:rPr>
          <w:rFonts w:ascii="Microsoft JhengHei" w:hAnsi="Microsoft JhengHei" w:cs="Microsoft JhengHei" w:eastAsia="Microsoft JhengHei" w:hint="default"/>
          <w:b/>
          <w:bCs/>
          <w:sz w:val="30"/>
          <w:szCs w:val="30"/>
        </w:rPr>
      </w:pPr>
    </w:p>
    <w:p>
      <w:pPr>
        <w:spacing w:line="412" w:lineRule="auto" w:before="0"/>
        <w:ind w:left="153" w:right="1129" w:firstLine="399"/>
        <w:jc w:val="both"/>
        <w:rPr>
          <w:rFonts w:ascii="宋体" w:hAnsi="宋体" w:cs="宋体" w:eastAsia="宋体" w:hint="default"/>
          <w:sz w:val="20"/>
          <w:szCs w:val="20"/>
        </w:rPr>
      </w:pPr>
      <w:r>
        <w:rPr>
          <w:rFonts w:ascii="宋体" w:hAnsi="宋体" w:cs="宋体" w:eastAsia="宋体" w:hint="default"/>
          <w:sz w:val="20"/>
          <w:szCs w:val="20"/>
        </w:rPr>
        <w:t>公司资信状况良好，与多家银行金融机构保持着长期合作关系，并持续获得其授信支持，间接融资能力较</w:t>
      </w:r>
      <w:r>
        <w:rPr>
          <w:rFonts w:ascii="宋体" w:hAnsi="宋体" w:cs="宋体" w:eastAsia="宋体" w:hint="default"/>
          <w:w w:val="100"/>
          <w:sz w:val="20"/>
          <w:szCs w:val="20"/>
        </w:rPr>
        <w:t> </w:t>
      </w:r>
      <w:r>
        <w:rPr>
          <w:rFonts w:ascii="宋体" w:hAnsi="宋体" w:cs="宋体" w:eastAsia="宋体" w:hint="default"/>
          <w:sz w:val="20"/>
          <w:szCs w:val="20"/>
        </w:rPr>
        <w:t>强，这也为偿还本期债券本息提供支持。公司与中国工商银行股份有限公司、中国建设银行股份有限公司、</w:t>
      </w:r>
      <w:r>
        <w:rPr>
          <w:rFonts w:ascii="宋体" w:hAnsi="宋体" w:cs="宋体" w:eastAsia="宋体" w:hint="default"/>
          <w:sz w:val="21"/>
          <w:szCs w:val="21"/>
        </w:rPr>
        <w:t>中</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国银行股份有限公司</w:t>
      </w:r>
      <w:r>
        <w:rPr>
          <w:rFonts w:ascii="宋体" w:hAnsi="宋体" w:cs="宋体" w:eastAsia="宋体" w:hint="default"/>
          <w:spacing w:val="-2"/>
          <w:sz w:val="20"/>
          <w:szCs w:val="20"/>
        </w:rPr>
        <w:t>、中国光大银行股份有限公司、平安银行股份有限公司、广发银行股份有限公司、中信银</w:t>
      </w:r>
      <w:r>
        <w:rPr>
          <w:rFonts w:ascii="宋体" w:hAnsi="宋体" w:cs="宋体" w:eastAsia="宋体" w:hint="default"/>
          <w:spacing w:val="-69"/>
          <w:sz w:val="20"/>
          <w:szCs w:val="20"/>
        </w:rPr>
        <w:t> </w:t>
      </w:r>
      <w:r>
        <w:rPr>
          <w:rFonts w:ascii="宋体" w:hAnsi="宋体" w:cs="宋体" w:eastAsia="宋体" w:hint="default"/>
          <w:spacing w:val="-69"/>
          <w:sz w:val="20"/>
          <w:szCs w:val="20"/>
        </w:rPr>
      </w:r>
      <w:r>
        <w:rPr>
          <w:rFonts w:ascii="宋体" w:hAnsi="宋体" w:cs="宋体" w:eastAsia="宋体" w:hint="default"/>
          <w:spacing w:val="-1"/>
          <w:sz w:val="20"/>
          <w:szCs w:val="20"/>
        </w:rPr>
        <w:t>行股份有限公司、交通银行股份有限公司等多家金融机构建立了良好的合作关系。截止</w:t>
      </w:r>
      <w:r>
        <w:rPr>
          <w:rFonts w:ascii="Arial" w:hAnsi="Arial" w:cs="Arial" w:eastAsia="Arial" w:hint="default"/>
          <w:spacing w:val="-1"/>
          <w:sz w:val="20"/>
          <w:szCs w:val="20"/>
        </w:rPr>
        <w:t>2015</w:t>
      </w:r>
      <w:r>
        <w:rPr>
          <w:rFonts w:ascii="宋体" w:hAnsi="宋体" w:cs="宋体" w:eastAsia="宋体" w:hint="default"/>
          <w:spacing w:val="-1"/>
          <w:sz w:val="20"/>
          <w:szCs w:val="20"/>
        </w:rPr>
        <w:t>年年末，公司获得</w:t>
      </w:r>
      <w:r>
        <w:rPr>
          <w:rFonts w:ascii="宋体" w:hAnsi="宋体" w:cs="宋体" w:eastAsia="宋体" w:hint="default"/>
          <w:spacing w:val="-68"/>
          <w:sz w:val="20"/>
          <w:szCs w:val="20"/>
        </w:rPr>
        <w:t> </w:t>
      </w:r>
      <w:r>
        <w:rPr>
          <w:rFonts w:ascii="宋体" w:hAnsi="宋体" w:cs="宋体" w:eastAsia="宋体" w:hint="default"/>
          <w:spacing w:val="-68"/>
          <w:sz w:val="20"/>
          <w:szCs w:val="20"/>
        </w:rPr>
      </w:r>
      <w:r>
        <w:rPr>
          <w:rFonts w:ascii="宋体" w:hAnsi="宋体" w:cs="宋体" w:eastAsia="宋体" w:hint="default"/>
          <w:sz w:val="20"/>
          <w:szCs w:val="20"/>
        </w:rPr>
        <w:t>银行授信总额</w:t>
      </w:r>
      <w:r>
        <w:rPr>
          <w:rFonts w:ascii="Arial" w:hAnsi="Arial" w:cs="Arial" w:eastAsia="Arial" w:hint="default"/>
          <w:sz w:val="20"/>
          <w:szCs w:val="20"/>
        </w:rPr>
        <w:t>1,839,381.66</w:t>
      </w:r>
      <w:r>
        <w:rPr>
          <w:rFonts w:ascii="宋体" w:hAnsi="宋体" w:cs="宋体" w:eastAsia="宋体" w:hint="default"/>
          <w:sz w:val="20"/>
          <w:szCs w:val="20"/>
        </w:rPr>
        <w:t>万元，已使用授信额度</w:t>
      </w:r>
      <w:r>
        <w:rPr>
          <w:rFonts w:ascii="Arial" w:hAnsi="Arial" w:cs="Arial" w:eastAsia="Arial" w:hint="default"/>
          <w:sz w:val="20"/>
          <w:szCs w:val="20"/>
        </w:rPr>
        <w:t>639,396.66</w:t>
      </w:r>
      <w:r>
        <w:rPr>
          <w:rFonts w:ascii="宋体" w:hAnsi="宋体" w:cs="宋体" w:eastAsia="宋体" w:hint="default"/>
          <w:sz w:val="20"/>
          <w:szCs w:val="20"/>
        </w:rPr>
        <w:t>万元。公司信誉良好，</w:t>
      </w:r>
      <w:r>
        <w:rPr>
          <w:rFonts w:ascii="Arial" w:hAnsi="Arial" w:cs="Arial" w:eastAsia="Arial" w:hint="default"/>
          <w:sz w:val="20"/>
          <w:szCs w:val="20"/>
        </w:rPr>
        <w:t>2015</w:t>
      </w:r>
      <w:r>
        <w:rPr>
          <w:rFonts w:ascii="宋体" w:hAnsi="宋体" w:cs="宋体" w:eastAsia="宋体" w:hint="default"/>
          <w:sz w:val="20"/>
          <w:szCs w:val="20"/>
        </w:rPr>
        <w:t>年度公司按时偿还银</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行贷款，未发生贷款展期、减免情形。</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bookmarkStart w:name="5.21.12 报告期内执行公司债券募集说明书相关约定或承诺的情况" w:id="170"/>
      <w:bookmarkEnd w:id="170"/>
      <w:r>
        <w:rPr>
          <w:b w:val="0"/>
          <w:bCs w:val="0"/>
        </w:rPr>
      </w:r>
      <w:r>
        <w:rPr>
          <w:rFonts w:ascii="Trebuchet MS" w:hAnsi="Trebuchet MS" w:cs="Trebuchet MS" w:eastAsia="Trebuchet MS" w:hint="default"/>
          <w:w w:val="95"/>
        </w:rPr>
        <w:t>5.21.12    </w:t>
      </w:r>
      <w:r>
        <w:rPr>
          <w:rFonts w:ascii="Trebuchet MS" w:hAnsi="Trebuchet MS" w:cs="Trebuchet MS" w:eastAsia="Trebuchet MS" w:hint="default"/>
          <w:spacing w:val="40"/>
          <w:w w:val="95"/>
        </w:rPr>
        <w:t> </w:t>
      </w:r>
      <w:r>
        <w:rPr>
          <w:w w:val="95"/>
        </w:rPr>
        <w:t>报告期内执行公司债券募集说明书相关约定或承诺的情况</w:t>
      </w:r>
      <w:r>
        <w:rPr>
          <w:b w:val="0"/>
          <w:bCs w:val="0"/>
          <w:w w:val="95"/>
        </w:rPr>
      </w:r>
    </w:p>
    <w:p>
      <w:pPr>
        <w:spacing w:line="240" w:lineRule="auto" w:before="8"/>
        <w:rPr>
          <w:rFonts w:ascii="Microsoft JhengHei" w:hAnsi="Microsoft JhengHei" w:cs="Microsoft JhengHei" w:eastAsia="Microsoft JhengHei" w:hint="default"/>
          <w:b/>
          <w:bCs/>
          <w:sz w:val="30"/>
          <w:szCs w:val="30"/>
        </w:rPr>
      </w:pPr>
    </w:p>
    <w:p>
      <w:pPr>
        <w:pStyle w:val="BodyText"/>
        <w:spacing w:line="240" w:lineRule="auto"/>
        <w:ind w:left="573" w:right="0"/>
        <w:jc w:val="left"/>
      </w:pPr>
      <w:r>
        <w:rPr>
          <w:spacing w:val="-3"/>
        </w:rPr>
        <w:t>报告期内，公司严格履行了公司债券募集说明书相关约定和承诺，不存在损害债券投资者利益的情形。</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2"/>
        <w:spacing w:line="240" w:lineRule="auto"/>
        <w:ind w:right="0"/>
        <w:jc w:val="left"/>
        <w:rPr>
          <w:b w:val="0"/>
          <w:bCs w:val="0"/>
        </w:rPr>
      </w:pPr>
      <w:bookmarkStart w:name="5.21.13 报告期内发生的重大事项" w:id="171"/>
      <w:bookmarkEnd w:id="171"/>
      <w:r>
        <w:rPr>
          <w:b w:val="0"/>
          <w:bCs w:val="0"/>
        </w:rPr>
      </w:r>
      <w:r>
        <w:rPr>
          <w:rFonts w:ascii="Trebuchet MS" w:hAnsi="Trebuchet MS" w:cs="Trebuchet MS" w:eastAsia="Trebuchet MS" w:hint="default"/>
          <w:w w:val="95"/>
        </w:rPr>
        <w:t>5.21.13  </w:t>
      </w:r>
      <w:r>
        <w:rPr>
          <w:rFonts w:ascii="Trebuchet MS" w:hAnsi="Trebuchet MS" w:cs="Trebuchet MS" w:eastAsia="Trebuchet MS" w:hint="default"/>
          <w:spacing w:val="9"/>
          <w:w w:val="95"/>
        </w:rPr>
        <w:t> </w:t>
      </w:r>
      <w:r>
        <w:rPr>
          <w:w w:val="95"/>
        </w:rPr>
        <w:t>报告期内发生的重大事项</w:t>
      </w:r>
      <w:r>
        <w:rPr>
          <w:b w:val="0"/>
          <w:bCs w:val="0"/>
          <w:w w:val="95"/>
        </w:rPr>
      </w:r>
    </w:p>
    <w:p>
      <w:pPr>
        <w:spacing w:line="240" w:lineRule="auto" w:before="8"/>
        <w:rPr>
          <w:rFonts w:ascii="Microsoft JhengHei" w:hAnsi="Microsoft JhengHei" w:cs="Microsoft JhengHei" w:eastAsia="Microsoft JhengHei" w:hint="default"/>
          <w:b/>
          <w:bCs/>
          <w:sz w:val="30"/>
          <w:szCs w:val="30"/>
        </w:rPr>
      </w:pPr>
    </w:p>
    <w:p>
      <w:pPr>
        <w:pStyle w:val="BodyText"/>
        <w:spacing w:line="240" w:lineRule="auto"/>
        <w:ind w:right="0"/>
        <w:jc w:val="left"/>
      </w:pPr>
      <w:r>
        <w:rPr/>
        <w:t>报告期内，公司没有发生《公司债券发行与交易管理办法》第四十五条列示的重大事项。</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2"/>
        <w:spacing w:line="240" w:lineRule="auto"/>
        <w:ind w:right="0"/>
        <w:jc w:val="left"/>
        <w:rPr>
          <w:b w:val="0"/>
          <w:bCs w:val="0"/>
        </w:rPr>
      </w:pPr>
      <w:bookmarkStart w:name="5.21.14 公司债券是否存在保证人" w:id="172"/>
      <w:bookmarkEnd w:id="172"/>
      <w:r>
        <w:rPr>
          <w:b w:val="0"/>
          <w:bCs w:val="0"/>
        </w:rPr>
      </w:r>
      <w:r>
        <w:rPr>
          <w:rFonts w:ascii="Trebuchet MS" w:hAnsi="Trebuchet MS" w:cs="Trebuchet MS" w:eastAsia="Trebuchet MS" w:hint="default"/>
          <w:w w:val="95"/>
        </w:rPr>
        <w:t>5.21.14  </w:t>
      </w:r>
      <w:r>
        <w:rPr>
          <w:rFonts w:ascii="Trebuchet MS" w:hAnsi="Trebuchet MS" w:cs="Trebuchet MS" w:eastAsia="Trebuchet MS" w:hint="default"/>
          <w:spacing w:val="9"/>
          <w:w w:val="95"/>
        </w:rPr>
        <w:t> </w:t>
      </w:r>
      <w:r>
        <w:rPr>
          <w:w w:val="95"/>
        </w:rPr>
        <w:t>公司债券是否存在保证人</w:t>
      </w:r>
      <w:r>
        <w:rPr>
          <w:b w:val="0"/>
          <w:bCs w:val="0"/>
          <w:w w:val="95"/>
        </w:rPr>
      </w:r>
    </w:p>
    <w:p>
      <w:pPr>
        <w:spacing w:line="240" w:lineRule="auto" w:before="1"/>
        <w:rPr>
          <w:rFonts w:ascii="Microsoft JhengHei" w:hAnsi="Microsoft JhengHei" w:cs="Microsoft JhengHei" w:eastAsia="Microsoft JhengHei" w:hint="default"/>
          <w:b/>
          <w:bCs/>
          <w:sz w:val="26"/>
          <w:szCs w:val="26"/>
        </w:rPr>
      </w:pPr>
    </w:p>
    <w:p>
      <w:pPr>
        <w:pStyle w:val="BodyText"/>
        <w:spacing w:line="240" w:lineRule="auto"/>
        <w:ind w:right="0"/>
        <w:jc w:val="left"/>
      </w:pPr>
      <w:r>
        <w:rPr/>
        <w:t>公司债券不存在保证人。</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1"/>
        <w:spacing w:line="409" w:lineRule="exact"/>
        <w:ind w:left="3096" w:right="0"/>
        <w:jc w:val="left"/>
        <w:rPr>
          <w:b w:val="0"/>
          <w:bCs w:val="0"/>
        </w:rPr>
      </w:pPr>
      <w:bookmarkStart w:name="第六节 股份变动及股东情况" w:id="173"/>
      <w:bookmarkEnd w:id="173"/>
      <w:r>
        <w:rPr>
          <w:b w:val="0"/>
          <w:bCs w:val="0"/>
        </w:rPr>
      </w:r>
      <w:bookmarkStart w:name="_bookmark51" w:id="174"/>
      <w:bookmarkEnd w:id="174"/>
      <w:r>
        <w:rPr>
          <w:b w:val="0"/>
          <w:bCs w:val="0"/>
        </w:rPr>
      </w:r>
      <w:r>
        <w:rPr>
          <w:color w:val="2D74B5"/>
        </w:rPr>
        <w:t>第六节  股份变动及股东情况</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7"/>
        <w:rPr>
          <w:rFonts w:ascii="Microsoft JhengHei" w:hAnsi="Microsoft JhengHei" w:cs="Microsoft JhengHei" w:eastAsia="Microsoft JhengHei" w:hint="default"/>
          <w:b/>
          <w:bCs/>
          <w:sz w:val="14"/>
          <w:szCs w:val="14"/>
        </w:rPr>
      </w:pPr>
    </w:p>
    <w:p>
      <w:pPr>
        <w:pStyle w:val="Heading1"/>
        <w:spacing w:line="409" w:lineRule="exact"/>
        <w:ind w:right="0"/>
        <w:jc w:val="left"/>
        <w:rPr>
          <w:b w:val="0"/>
          <w:bCs w:val="0"/>
        </w:rPr>
      </w:pPr>
      <w:bookmarkStart w:name="6.1 股份变动情况" w:id="175"/>
      <w:bookmarkEnd w:id="175"/>
      <w:r>
        <w:rPr>
          <w:b w:val="0"/>
          <w:bCs w:val="0"/>
        </w:rPr>
      </w:r>
      <w:bookmarkStart w:name="_bookmark52" w:id="176"/>
      <w:bookmarkEnd w:id="176"/>
      <w:r>
        <w:rPr>
          <w:b w:val="0"/>
          <w:bCs w:val="0"/>
        </w:rPr>
      </w:r>
      <w:r>
        <w:rPr>
          <w:rFonts w:ascii="Trebuchet MS" w:hAnsi="Trebuchet MS" w:cs="Trebuchet MS" w:eastAsia="Trebuchet MS" w:hint="default"/>
        </w:rPr>
        <w:t>6.1</w:t>
      </w:r>
      <w:r>
        <w:rPr>
          <w:rFonts w:ascii="Trebuchet MS" w:hAnsi="Trebuchet MS" w:cs="Trebuchet MS" w:eastAsia="Trebuchet MS" w:hint="default"/>
          <w:spacing w:val="14"/>
        </w:rPr>
        <w:t> </w:t>
      </w:r>
      <w:r>
        <w:rPr/>
        <w:t>股份变动情况</w:t>
      </w:r>
      <w:r>
        <w:rPr>
          <w:b w:val="0"/>
          <w:bCs w:val="0"/>
        </w:rPr>
      </w:r>
    </w:p>
    <w:p>
      <w:pPr>
        <w:spacing w:line="240" w:lineRule="auto" w:before="1"/>
        <w:rPr>
          <w:rFonts w:ascii="Microsoft JhengHei" w:hAnsi="Microsoft JhengHei" w:cs="Microsoft JhengHei" w:eastAsia="Microsoft JhengHei" w:hint="default"/>
          <w:b/>
          <w:bCs/>
          <w:sz w:val="27"/>
          <w:szCs w:val="27"/>
        </w:rPr>
      </w:pPr>
    </w:p>
    <w:p>
      <w:pPr>
        <w:pStyle w:val="Heading2"/>
        <w:spacing w:line="240" w:lineRule="auto"/>
        <w:ind w:left="154" w:right="0"/>
        <w:jc w:val="left"/>
        <w:rPr>
          <w:b w:val="0"/>
          <w:bCs w:val="0"/>
        </w:rPr>
      </w:pPr>
      <w:bookmarkStart w:name="6.1.1 股份变动情况" w:id="177"/>
      <w:bookmarkEnd w:id="177"/>
      <w:r>
        <w:rPr>
          <w:b w:val="0"/>
          <w:bCs w:val="0"/>
        </w:rPr>
      </w:r>
      <w:r>
        <w:rPr>
          <w:rFonts w:ascii="Trebuchet MS" w:hAnsi="Trebuchet MS" w:cs="Trebuchet MS" w:eastAsia="Trebuchet MS" w:hint="default"/>
        </w:rPr>
        <w:t>6.1.1</w:t>
      </w:r>
      <w:r>
        <w:rPr>
          <w:rFonts w:ascii="Trebuchet MS" w:hAnsi="Trebuchet MS" w:cs="Trebuchet MS" w:eastAsia="Trebuchet MS" w:hint="default"/>
          <w:spacing w:val="-18"/>
        </w:rPr>
        <w:t> </w:t>
      </w:r>
      <w:r>
        <w:rPr/>
        <w:t>股份变动情况</w:t>
      </w:r>
      <w:r>
        <w:rPr>
          <w:b w:val="0"/>
          <w:bCs w:val="0"/>
        </w:rPr>
      </w:r>
    </w:p>
    <w:p>
      <w:pPr>
        <w:spacing w:line="240" w:lineRule="auto" w:before="14"/>
        <w:rPr>
          <w:rFonts w:ascii="Microsoft JhengHei" w:hAnsi="Microsoft JhengHei" w:cs="Microsoft JhengHei" w:eastAsia="Microsoft JhengHei" w:hint="default"/>
          <w:b/>
          <w:bCs/>
          <w:sz w:val="25"/>
          <w:szCs w:val="25"/>
        </w:rPr>
      </w:pPr>
    </w:p>
    <w:p>
      <w:pPr>
        <w:spacing w:before="29"/>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599"/>
        <w:gridCol w:w="1326"/>
        <w:gridCol w:w="804"/>
        <w:gridCol w:w="523"/>
        <w:gridCol w:w="422"/>
        <w:gridCol w:w="703"/>
        <w:gridCol w:w="984"/>
        <w:gridCol w:w="1062"/>
        <w:gridCol w:w="1334"/>
        <w:gridCol w:w="787"/>
      </w:tblGrid>
      <w:tr>
        <w:trPr>
          <w:trHeight w:val="403" w:hRule="exact"/>
        </w:trPr>
        <w:tc>
          <w:tcPr>
            <w:tcW w:w="1599" w:type="dxa"/>
            <w:tcBorders>
              <w:top w:val="single" w:sz="4" w:space="0" w:color="5B9BD4"/>
              <w:left w:val="nil" w:sz="6" w:space="0" w:color="auto"/>
              <w:bottom w:val="nil" w:sz="6" w:space="0" w:color="auto"/>
              <w:right w:val="nil" w:sz="6" w:space="0" w:color="auto"/>
            </w:tcBorders>
            <w:shd w:val="clear" w:color="auto" w:fill="DEEAF6"/>
          </w:tcPr>
          <w:p>
            <w:pPr/>
          </w:p>
        </w:tc>
        <w:tc>
          <w:tcPr>
            <w:tcW w:w="2130"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62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695" w:type="dxa"/>
            <w:gridSpan w:val="5"/>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86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121"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61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599" w:type="dxa"/>
            <w:vMerge w:val="restart"/>
            <w:tcBorders>
              <w:top w:val="nil" w:sz="6" w:space="0" w:color="auto"/>
              <w:left w:val="nil" w:sz="6" w:space="0" w:color="auto"/>
              <w:right w:val="nil" w:sz="6" w:space="0" w:color="auto"/>
            </w:tcBorders>
            <w:shd w:val="clear" w:color="auto" w:fill="DEEAF6"/>
          </w:tcPr>
          <w:p>
            <w:pPr/>
          </w:p>
        </w:tc>
        <w:tc>
          <w:tcPr>
            <w:tcW w:w="2130" w:type="dxa"/>
            <w:gridSpan w:val="2"/>
            <w:tcBorders>
              <w:top w:val="single" w:sz="4" w:space="0" w:color="5B9BD4"/>
              <w:left w:val="nil" w:sz="6" w:space="0" w:color="auto"/>
              <w:bottom w:val="nil" w:sz="6" w:space="0" w:color="auto"/>
              <w:right w:val="nil" w:sz="6" w:space="0" w:color="auto"/>
            </w:tcBorders>
            <w:shd w:val="clear" w:color="auto" w:fill="DEEAF6"/>
          </w:tcPr>
          <w:p>
            <w:pPr/>
          </w:p>
        </w:tc>
        <w:tc>
          <w:tcPr>
            <w:tcW w:w="523"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7"/>
              <w:ind w:left="81" w:right="79"/>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422" w:type="dxa"/>
            <w:tcBorders>
              <w:top w:val="single" w:sz="4" w:space="0" w:color="5B9BD4"/>
              <w:left w:val="nil" w:sz="6" w:space="0" w:color="auto"/>
              <w:bottom w:val="nil" w:sz="6" w:space="0" w:color="auto"/>
              <w:right w:val="nil" w:sz="6" w:space="0" w:color="auto"/>
            </w:tcBorders>
            <w:shd w:val="clear" w:color="auto" w:fill="DEEAF6"/>
          </w:tcPr>
          <w:p>
            <w:pPr/>
          </w:p>
        </w:tc>
        <w:tc>
          <w:tcPr>
            <w:tcW w:w="703"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7"/>
              <w:ind w:left="172" w:right="80"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4167" w:type="dxa"/>
            <w:gridSpan w:val="4"/>
            <w:tcBorders>
              <w:top w:val="single" w:sz="4" w:space="0" w:color="5B9BD4"/>
              <w:left w:val="nil" w:sz="6" w:space="0" w:color="auto"/>
              <w:bottom w:val="nil" w:sz="6" w:space="0" w:color="auto"/>
              <w:right w:val="nil" w:sz="6" w:space="0" w:color="auto"/>
            </w:tcBorders>
            <w:shd w:val="clear" w:color="auto" w:fill="DEEAF6"/>
          </w:tcPr>
          <w:p>
            <w:pPr/>
          </w:p>
        </w:tc>
      </w:tr>
      <w:tr>
        <w:trPr>
          <w:trHeight w:val="191" w:hRule="exact"/>
        </w:trPr>
        <w:tc>
          <w:tcPr>
            <w:tcW w:w="1599" w:type="dxa"/>
            <w:vMerge/>
            <w:tcBorders>
              <w:left w:val="nil" w:sz="6" w:space="0" w:color="auto"/>
              <w:bottom w:val="nil" w:sz="6" w:space="0" w:color="auto"/>
              <w:right w:val="nil" w:sz="6" w:space="0" w:color="auto"/>
            </w:tcBorders>
            <w:shd w:val="clear" w:color="auto" w:fill="DEEAF6"/>
          </w:tcPr>
          <w:p>
            <w:pPr/>
          </w:p>
        </w:tc>
        <w:tc>
          <w:tcPr>
            <w:tcW w:w="1326" w:type="dxa"/>
            <w:vMerge w:val="restart"/>
            <w:tcBorders>
              <w:top w:val="nil" w:sz="6" w:space="0" w:color="auto"/>
              <w:left w:val="nil" w:sz="6" w:space="0" w:color="auto"/>
              <w:right w:val="nil" w:sz="6" w:space="0" w:color="auto"/>
            </w:tcBorders>
            <w:shd w:val="clear" w:color="auto" w:fill="DEEAF6"/>
          </w:tcPr>
          <w:p>
            <w:pPr>
              <w:pStyle w:val="TableParagraph"/>
              <w:spacing w:line="240" w:lineRule="auto" w:before="46"/>
              <w:ind w:left="5"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04" w:type="dxa"/>
            <w:vMerge w:val="restart"/>
            <w:tcBorders>
              <w:top w:val="nil" w:sz="6" w:space="0" w:color="auto"/>
              <w:left w:val="nil" w:sz="6" w:space="0" w:color="auto"/>
              <w:right w:val="nil" w:sz="6" w:space="0" w:color="auto"/>
            </w:tcBorders>
            <w:shd w:val="clear" w:color="auto" w:fill="DEEAF6"/>
          </w:tcPr>
          <w:p>
            <w:pPr>
              <w:pStyle w:val="TableParagraph"/>
              <w:spacing w:line="240" w:lineRule="auto" w:before="46"/>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23" w:type="dxa"/>
            <w:vMerge/>
            <w:tcBorders>
              <w:left w:val="nil" w:sz="6" w:space="0" w:color="auto"/>
              <w:right w:val="nil" w:sz="6" w:space="0" w:color="auto"/>
            </w:tcBorders>
            <w:shd w:val="clear" w:color="auto" w:fill="DEEAF6"/>
          </w:tcPr>
          <w:p>
            <w:pPr/>
          </w:p>
        </w:tc>
        <w:tc>
          <w:tcPr>
            <w:tcW w:w="422" w:type="dxa"/>
            <w:vMerge w:val="restart"/>
            <w:tcBorders>
              <w:top w:val="nil" w:sz="6" w:space="0" w:color="auto"/>
              <w:left w:val="nil" w:sz="6" w:space="0" w:color="auto"/>
              <w:right w:val="nil" w:sz="6" w:space="0" w:color="auto"/>
            </w:tcBorders>
            <w:shd w:val="clear" w:color="auto" w:fill="DEEAF6"/>
          </w:tcPr>
          <w:p>
            <w:pPr>
              <w:pStyle w:val="TableParagraph"/>
              <w:spacing w:line="240" w:lineRule="auto" w:before="46"/>
              <w:ind w:left="31"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3" w:type="dxa"/>
            <w:vMerge/>
            <w:tcBorders>
              <w:left w:val="nil" w:sz="6" w:space="0" w:color="auto"/>
              <w:right w:val="nil" w:sz="6" w:space="0" w:color="auto"/>
            </w:tcBorders>
            <w:shd w:val="clear" w:color="auto" w:fill="DEEAF6"/>
          </w:tcPr>
          <w:p>
            <w:pPr/>
          </w:p>
        </w:tc>
        <w:tc>
          <w:tcPr>
            <w:tcW w:w="984" w:type="dxa"/>
            <w:vMerge w:val="restart"/>
            <w:tcBorders>
              <w:top w:val="nil" w:sz="6" w:space="0" w:color="auto"/>
              <w:left w:val="nil" w:sz="6" w:space="0" w:color="auto"/>
              <w:right w:val="nil" w:sz="6" w:space="0" w:color="auto"/>
            </w:tcBorders>
            <w:shd w:val="clear" w:color="auto" w:fill="DEEAF6"/>
          </w:tcPr>
          <w:p>
            <w:pPr>
              <w:pStyle w:val="TableParagraph"/>
              <w:spacing w:line="240" w:lineRule="auto" w:before="46"/>
              <w:ind w:left="3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2" w:type="dxa"/>
            <w:vMerge w:val="restart"/>
            <w:tcBorders>
              <w:top w:val="nil" w:sz="6" w:space="0" w:color="auto"/>
              <w:left w:val="nil" w:sz="6" w:space="0" w:color="auto"/>
              <w:right w:val="nil" w:sz="6" w:space="0" w:color="auto"/>
            </w:tcBorders>
            <w:shd w:val="clear" w:color="auto" w:fill="DEEAF6"/>
          </w:tcPr>
          <w:p>
            <w:pPr>
              <w:pStyle w:val="TableParagraph"/>
              <w:spacing w:line="240" w:lineRule="auto" w:before="46"/>
              <w:ind w:left="35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34" w:type="dxa"/>
            <w:vMerge w:val="restart"/>
            <w:tcBorders>
              <w:top w:val="nil" w:sz="6" w:space="0" w:color="auto"/>
              <w:left w:val="nil" w:sz="6" w:space="0" w:color="auto"/>
              <w:right w:val="nil" w:sz="6" w:space="0" w:color="auto"/>
            </w:tcBorders>
            <w:shd w:val="clear" w:color="auto" w:fill="DEEAF6"/>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87" w:type="dxa"/>
            <w:vMerge w:val="restart"/>
            <w:tcBorders>
              <w:top w:val="nil" w:sz="6" w:space="0" w:color="auto"/>
              <w:left w:val="nil" w:sz="6" w:space="0" w:color="auto"/>
              <w:right w:val="nil" w:sz="6" w:space="0" w:color="auto"/>
            </w:tcBorders>
            <w:shd w:val="clear" w:color="auto" w:fill="DEEAF6"/>
          </w:tcPr>
          <w:p>
            <w:pPr>
              <w:pStyle w:val="TableParagraph"/>
              <w:spacing w:line="240" w:lineRule="auto" w:before="46"/>
              <w:ind w:left="22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0" w:hRule="exact"/>
        </w:trPr>
        <w:tc>
          <w:tcPr>
            <w:tcW w:w="1599" w:type="dxa"/>
            <w:vMerge w:val="restart"/>
            <w:tcBorders>
              <w:top w:val="nil" w:sz="6" w:space="0" w:color="auto"/>
              <w:left w:val="nil" w:sz="6" w:space="0" w:color="auto"/>
              <w:right w:val="nil" w:sz="6" w:space="0" w:color="auto"/>
            </w:tcBorders>
            <w:shd w:val="clear" w:color="auto" w:fill="DEEAF6"/>
          </w:tcPr>
          <w:p>
            <w:pPr/>
          </w:p>
        </w:tc>
        <w:tc>
          <w:tcPr>
            <w:tcW w:w="1326" w:type="dxa"/>
            <w:vMerge/>
            <w:tcBorders>
              <w:left w:val="nil" w:sz="6" w:space="0" w:color="auto"/>
              <w:bottom w:val="nil" w:sz="6" w:space="0" w:color="auto"/>
              <w:right w:val="nil" w:sz="6" w:space="0" w:color="auto"/>
            </w:tcBorders>
            <w:shd w:val="clear" w:color="auto" w:fill="DEEAF6"/>
          </w:tcPr>
          <w:p>
            <w:pPr/>
          </w:p>
        </w:tc>
        <w:tc>
          <w:tcPr>
            <w:tcW w:w="804" w:type="dxa"/>
            <w:vMerge/>
            <w:tcBorders>
              <w:left w:val="nil" w:sz="6" w:space="0" w:color="auto"/>
              <w:bottom w:val="nil" w:sz="6" w:space="0" w:color="auto"/>
              <w:right w:val="nil" w:sz="6" w:space="0" w:color="auto"/>
            </w:tcBorders>
            <w:shd w:val="clear" w:color="auto" w:fill="DEEAF6"/>
          </w:tcPr>
          <w:p>
            <w:pPr/>
          </w:p>
        </w:tc>
        <w:tc>
          <w:tcPr>
            <w:tcW w:w="523" w:type="dxa"/>
            <w:vMerge/>
            <w:tcBorders>
              <w:left w:val="nil" w:sz="6" w:space="0" w:color="auto"/>
              <w:right w:val="nil" w:sz="6" w:space="0" w:color="auto"/>
            </w:tcBorders>
            <w:shd w:val="clear" w:color="auto" w:fill="DEEAF6"/>
          </w:tcPr>
          <w:p>
            <w:pPr/>
          </w:p>
        </w:tc>
        <w:tc>
          <w:tcPr>
            <w:tcW w:w="422" w:type="dxa"/>
            <w:vMerge/>
            <w:tcBorders>
              <w:left w:val="nil" w:sz="6" w:space="0" w:color="auto"/>
              <w:bottom w:val="nil" w:sz="6" w:space="0" w:color="auto"/>
              <w:right w:val="nil" w:sz="6" w:space="0" w:color="auto"/>
            </w:tcBorders>
            <w:shd w:val="clear" w:color="auto" w:fill="DEEAF6"/>
          </w:tcPr>
          <w:p>
            <w:pPr/>
          </w:p>
        </w:tc>
        <w:tc>
          <w:tcPr>
            <w:tcW w:w="703" w:type="dxa"/>
            <w:vMerge/>
            <w:tcBorders>
              <w:left w:val="nil" w:sz="6" w:space="0" w:color="auto"/>
              <w:right w:val="nil" w:sz="6" w:space="0" w:color="auto"/>
            </w:tcBorders>
            <w:shd w:val="clear" w:color="auto" w:fill="DEEAF6"/>
          </w:tcPr>
          <w:p>
            <w:pPr/>
          </w:p>
        </w:tc>
        <w:tc>
          <w:tcPr>
            <w:tcW w:w="984" w:type="dxa"/>
            <w:vMerge/>
            <w:tcBorders>
              <w:left w:val="nil" w:sz="6" w:space="0" w:color="auto"/>
              <w:bottom w:val="nil" w:sz="6" w:space="0" w:color="auto"/>
              <w:right w:val="nil" w:sz="6" w:space="0" w:color="auto"/>
            </w:tcBorders>
            <w:shd w:val="clear" w:color="auto" w:fill="DEEAF6"/>
          </w:tcPr>
          <w:p>
            <w:pPr/>
          </w:p>
        </w:tc>
        <w:tc>
          <w:tcPr>
            <w:tcW w:w="1062" w:type="dxa"/>
            <w:vMerge/>
            <w:tcBorders>
              <w:left w:val="nil" w:sz="6" w:space="0" w:color="auto"/>
              <w:bottom w:val="nil" w:sz="6" w:space="0" w:color="auto"/>
              <w:right w:val="nil" w:sz="6" w:space="0" w:color="auto"/>
            </w:tcBorders>
            <w:shd w:val="clear" w:color="auto" w:fill="DEEAF6"/>
          </w:tcPr>
          <w:p>
            <w:pPr/>
          </w:p>
        </w:tc>
        <w:tc>
          <w:tcPr>
            <w:tcW w:w="1334" w:type="dxa"/>
            <w:vMerge/>
            <w:tcBorders>
              <w:left w:val="nil" w:sz="6" w:space="0" w:color="auto"/>
              <w:bottom w:val="nil" w:sz="6" w:space="0" w:color="auto"/>
              <w:right w:val="nil" w:sz="6" w:space="0" w:color="auto"/>
            </w:tcBorders>
            <w:shd w:val="clear" w:color="auto" w:fill="DEEAF6"/>
          </w:tcPr>
          <w:p>
            <w:pPr/>
          </w:p>
        </w:tc>
        <w:tc>
          <w:tcPr>
            <w:tcW w:w="787" w:type="dxa"/>
            <w:vMerge/>
            <w:tcBorders>
              <w:left w:val="nil" w:sz="6" w:space="0" w:color="auto"/>
              <w:bottom w:val="nil" w:sz="6" w:space="0" w:color="auto"/>
              <w:right w:val="nil" w:sz="6" w:space="0" w:color="auto"/>
            </w:tcBorders>
            <w:shd w:val="clear" w:color="auto" w:fill="DEEAF6"/>
          </w:tcPr>
          <w:p>
            <w:pPr/>
          </w:p>
        </w:tc>
      </w:tr>
      <w:tr>
        <w:trPr>
          <w:trHeight w:val="161" w:hRule="exact"/>
        </w:trPr>
        <w:tc>
          <w:tcPr>
            <w:tcW w:w="1599" w:type="dxa"/>
            <w:vMerge/>
            <w:tcBorders>
              <w:left w:val="nil" w:sz="6" w:space="0" w:color="auto"/>
              <w:bottom w:val="single" w:sz="4" w:space="0" w:color="5B9BD4"/>
              <w:right w:val="nil" w:sz="6" w:space="0" w:color="auto"/>
            </w:tcBorders>
            <w:shd w:val="clear" w:color="auto" w:fill="DEEAF6"/>
          </w:tcPr>
          <w:p>
            <w:pPr/>
          </w:p>
        </w:tc>
        <w:tc>
          <w:tcPr>
            <w:tcW w:w="2130" w:type="dxa"/>
            <w:gridSpan w:val="2"/>
            <w:tcBorders>
              <w:top w:val="nil" w:sz="6" w:space="0" w:color="auto"/>
              <w:left w:val="nil" w:sz="6" w:space="0" w:color="auto"/>
              <w:bottom w:val="single" w:sz="4" w:space="0" w:color="5B9BD4"/>
              <w:right w:val="nil" w:sz="6" w:space="0" w:color="auto"/>
            </w:tcBorders>
            <w:shd w:val="clear" w:color="auto" w:fill="DEEAF6"/>
          </w:tcPr>
          <w:p>
            <w:pPr/>
          </w:p>
        </w:tc>
        <w:tc>
          <w:tcPr>
            <w:tcW w:w="523" w:type="dxa"/>
            <w:vMerge/>
            <w:tcBorders>
              <w:left w:val="nil" w:sz="6" w:space="0" w:color="auto"/>
              <w:bottom w:val="single" w:sz="4" w:space="0" w:color="5B9BD4"/>
              <w:right w:val="nil" w:sz="6" w:space="0" w:color="auto"/>
            </w:tcBorders>
            <w:shd w:val="clear" w:color="auto" w:fill="DEEAF6"/>
          </w:tcPr>
          <w:p>
            <w:pPr/>
          </w:p>
        </w:tc>
        <w:tc>
          <w:tcPr>
            <w:tcW w:w="422" w:type="dxa"/>
            <w:tcBorders>
              <w:top w:val="nil" w:sz="6" w:space="0" w:color="auto"/>
              <w:left w:val="nil" w:sz="6" w:space="0" w:color="auto"/>
              <w:bottom w:val="single" w:sz="4" w:space="0" w:color="5B9BD4"/>
              <w:right w:val="nil" w:sz="6" w:space="0" w:color="auto"/>
            </w:tcBorders>
            <w:shd w:val="clear" w:color="auto" w:fill="DEEAF6"/>
          </w:tcPr>
          <w:p>
            <w:pPr/>
          </w:p>
        </w:tc>
        <w:tc>
          <w:tcPr>
            <w:tcW w:w="703" w:type="dxa"/>
            <w:vMerge/>
            <w:tcBorders>
              <w:left w:val="nil" w:sz="6" w:space="0" w:color="auto"/>
              <w:bottom w:val="single" w:sz="4" w:space="0" w:color="5B9BD4"/>
              <w:right w:val="nil" w:sz="6" w:space="0" w:color="auto"/>
            </w:tcBorders>
            <w:shd w:val="clear" w:color="auto" w:fill="DEEAF6"/>
          </w:tcPr>
          <w:p>
            <w:pPr/>
          </w:p>
        </w:tc>
        <w:tc>
          <w:tcPr>
            <w:tcW w:w="4167" w:type="dxa"/>
            <w:gridSpan w:val="4"/>
            <w:tcBorders>
              <w:top w:val="nil" w:sz="6" w:space="0" w:color="auto"/>
              <w:left w:val="nil" w:sz="6" w:space="0" w:color="auto"/>
              <w:bottom w:val="single" w:sz="4" w:space="0" w:color="5B9BD4"/>
              <w:right w:val="nil" w:sz="6" w:space="0" w:color="auto"/>
            </w:tcBorders>
            <w:shd w:val="clear" w:color="auto" w:fill="DEEAF6"/>
          </w:tcPr>
          <w:p>
            <w:pPr/>
          </w:p>
        </w:tc>
      </w:tr>
      <w:tr>
        <w:trPr>
          <w:trHeight w:val="402" w:hRule="exact"/>
        </w:trPr>
        <w:tc>
          <w:tcPr>
            <w:tcW w:w="159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pacing w:val="-6"/>
                <w:sz w:val="18"/>
                <w:szCs w:val="18"/>
              </w:rPr>
              <w:t>一、有限售条件股份</w:t>
            </w:r>
          </w:p>
        </w:tc>
        <w:tc>
          <w:tcPr>
            <w:tcW w:w="1326" w:type="dxa"/>
            <w:tcBorders>
              <w:top w:val="single" w:sz="4" w:space="0" w:color="5B9BD4"/>
              <w:left w:val="single" w:sz="12" w:space="0" w:color="DEEAF6"/>
              <w:bottom w:val="single" w:sz="4" w:space="0" w:color="5B9BD4"/>
              <w:right w:val="single" w:sz="12" w:space="0" w:color="DEEAF6"/>
            </w:tcBorders>
          </w:tcPr>
          <w:p>
            <w:pPr>
              <w:pStyle w:val="TableParagraph"/>
              <w:spacing w:line="240" w:lineRule="auto" w:before="88"/>
              <w:ind w:right="18"/>
              <w:jc w:val="right"/>
              <w:rPr>
                <w:rFonts w:ascii="Arial" w:hAnsi="Arial" w:cs="Arial" w:eastAsia="Arial" w:hint="default"/>
                <w:sz w:val="18"/>
                <w:szCs w:val="18"/>
              </w:rPr>
            </w:pPr>
            <w:r>
              <w:rPr>
                <w:rFonts w:ascii="Arial"/>
                <w:w w:val="95"/>
                <w:sz w:val="18"/>
              </w:rPr>
              <w:t>38,619,541</w:t>
            </w:r>
            <w:r>
              <w:rPr>
                <w:rFonts w:ascii="Arial"/>
                <w:sz w:val="18"/>
              </w:rPr>
            </w:r>
          </w:p>
        </w:tc>
        <w:tc>
          <w:tcPr>
            <w:tcW w:w="80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1"/>
              <w:jc w:val="right"/>
              <w:rPr>
                <w:rFonts w:ascii="Arial" w:hAnsi="Arial" w:cs="Arial" w:eastAsia="Arial" w:hint="default"/>
                <w:sz w:val="18"/>
                <w:szCs w:val="18"/>
              </w:rPr>
            </w:pPr>
            <w:r>
              <w:rPr>
                <w:rFonts w:ascii="Arial"/>
                <w:w w:val="95"/>
                <w:sz w:val="18"/>
              </w:rPr>
              <w:t>3.86%</w:t>
            </w:r>
            <w:r>
              <w:rPr>
                <w:rFonts w:ascii="Arial"/>
                <w:sz w:val="18"/>
              </w:rPr>
            </w:r>
          </w:p>
        </w:tc>
        <w:tc>
          <w:tcPr>
            <w:tcW w:w="523" w:type="dxa"/>
            <w:tcBorders>
              <w:top w:val="single" w:sz="4" w:space="0" w:color="5B9BD4"/>
              <w:left w:val="single" w:sz="12" w:space="0" w:color="DEEAF6"/>
              <w:bottom w:val="single" w:sz="4" w:space="0" w:color="5B9BD4"/>
              <w:right w:val="single" w:sz="12" w:space="0" w:color="DEEAF6"/>
            </w:tcBorders>
          </w:tcPr>
          <w:p>
            <w:pPr/>
          </w:p>
        </w:tc>
        <w:tc>
          <w:tcPr>
            <w:tcW w:w="422" w:type="dxa"/>
            <w:tcBorders>
              <w:top w:val="single" w:sz="4" w:space="0" w:color="5B9BD4"/>
              <w:left w:val="nil" w:sz="6" w:space="0" w:color="auto"/>
              <w:bottom w:val="single" w:sz="4" w:space="0" w:color="5B9BD4"/>
              <w:right w:val="nil" w:sz="6" w:space="0" w:color="auto"/>
            </w:tcBorders>
            <w:shd w:val="clear" w:color="auto" w:fill="DEEAF6"/>
          </w:tcPr>
          <w:p>
            <w:pPr/>
          </w:p>
        </w:tc>
        <w:tc>
          <w:tcPr>
            <w:tcW w:w="703" w:type="dxa"/>
            <w:tcBorders>
              <w:top w:val="single" w:sz="4" w:space="0" w:color="5B9BD4"/>
              <w:left w:val="single" w:sz="11" w:space="0" w:color="DEEAF6"/>
              <w:bottom w:val="single" w:sz="4" w:space="0" w:color="5B9BD4"/>
              <w:right w:val="single" w:sz="11" w:space="0" w:color="DEEAF6"/>
            </w:tcBorders>
          </w:tcPr>
          <w:p>
            <w:pPr/>
          </w:p>
        </w:tc>
        <w:tc>
          <w:tcPr>
            <w:tcW w:w="9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8"/>
              <w:jc w:val="right"/>
              <w:rPr>
                <w:rFonts w:ascii="Arial" w:hAnsi="Arial" w:cs="Arial" w:eastAsia="Arial" w:hint="default"/>
                <w:sz w:val="18"/>
                <w:szCs w:val="18"/>
              </w:rPr>
            </w:pPr>
            <w:r>
              <w:rPr>
                <w:rFonts w:ascii="Arial"/>
                <w:w w:val="95"/>
                <w:sz w:val="18"/>
              </w:rPr>
              <w:t>-4,596,702</w:t>
            </w:r>
            <w:r>
              <w:rPr>
                <w:rFonts w:ascii="Arial"/>
                <w:sz w:val="18"/>
              </w:rPr>
            </w:r>
          </w:p>
        </w:tc>
        <w:tc>
          <w:tcPr>
            <w:tcW w:w="1062"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16"/>
              <w:jc w:val="right"/>
              <w:rPr>
                <w:rFonts w:ascii="Arial" w:hAnsi="Arial" w:cs="Arial" w:eastAsia="Arial" w:hint="default"/>
                <w:sz w:val="18"/>
                <w:szCs w:val="18"/>
              </w:rPr>
            </w:pPr>
            <w:r>
              <w:rPr>
                <w:rFonts w:ascii="Arial"/>
                <w:w w:val="95"/>
                <w:sz w:val="18"/>
              </w:rPr>
              <w:t>-4,596,702</w:t>
            </w:r>
            <w:r>
              <w:rPr>
                <w:rFonts w:ascii="Arial"/>
                <w:sz w:val="18"/>
              </w:rPr>
            </w:r>
          </w:p>
        </w:tc>
        <w:tc>
          <w:tcPr>
            <w:tcW w:w="133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8"/>
              <w:jc w:val="right"/>
              <w:rPr>
                <w:rFonts w:ascii="Arial" w:hAnsi="Arial" w:cs="Arial" w:eastAsia="Arial" w:hint="default"/>
                <w:sz w:val="18"/>
                <w:szCs w:val="18"/>
              </w:rPr>
            </w:pPr>
            <w:r>
              <w:rPr>
                <w:rFonts w:ascii="Arial"/>
                <w:w w:val="95"/>
                <w:sz w:val="18"/>
              </w:rPr>
              <w:t>34,022,839</w:t>
            </w:r>
            <w:r>
              <w:rPr>
                <w:rFonts w:ascii="Arial"/>
                <w:sz w:val="18"/>
              </w:rPr>
            </w:r>
          </w:p>
        </w:tc>
        <w:tc>
          <w:tcPr>
            <w:tcW w:w="787"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88"/>
              <w:ind w:right="12"/>
              <w:jc w:val="right"/>
              <w:rPr>
                <w:rFonts w:ascii="Arial" w:hAnsi="Arial" w:cs="Arial" w:eastAsia="Arial" w:hint="default"/>
                <w:sz w:val="18"/>
                <w:szCs w:val="18"/>
              </w:rPr>
            </w:pPr>
            <w:r>
              <w:rPr>
                <w:rFonts w:ascii="Arial"/>
                <w:w w:val="95"/>
                <w:sz w:val="18"/>
              </w:rPr>
              <w:t>3.39%</w:t>
            </w:r>
            <w:r>
              <w:rPr>
                <w:rFonts w:ascii="Arial"/>
                <w:sz w:val="18"/>
              </w:rPr>
            </w:r>
          </w:p>
        </w:tc>
      </w:tr>
      <w:tr>
        <w:trPr>
          <w:trHeight w:val="402" w:hRule="exact"/>
        </w:trPr>
        <w:tc>
          <w:tcPr>
            <w:tcW w:w="159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、其他内资持股</w:t>
            </w:r>
          </w:p>
        </w:tc>
        <w:tc>
          <w:tcPr>
            <w:tcW w:w="1326" w:type="dxa"/>
            <w:tcBorders>
              <w:top w:val="single" w:sz="4" w:space="0" w:color="5B9BD4"/>
              <w:left w:val="single" w:sz="12" w:space="0" w:color="DEEAF6"/>
              <w:bottom w:val="single" w:sz="4" w:space="0" w:color="5B9BD4"/>
              <w:right w:val="single" w:sz="12" w:space="0" w:color="DEEAF6"/>
            </w:tcBorders>
          </w:tcPr>
          <w:p>
            <w:pPr>
              <w:pStyle w:val="TableParagraph"/>
              <w:spacing w:line="240" w:lineRule="auto" w:before="88"/>
              <w:ind w:right="18"/>
              <w:jc w:val="right"/>
              <w:rPr>
                <w:rFonts w:ascii="Arial" w:hAnsi="Arial" w:cs="Arial" w:eastAsia="Arial" w:hint="default"/>
                <w:sz w:val="18"/>
                <w:szCs w:val="18"/>
              </w:rPr>
            </w:pPr>
            <w:r>
              <w:rPr>
                <w:rFonts w:ascii="Arial"/>
                <w:w w:val="95"/>
                <w:sz w:val="18"/>
              </w:rPr>
              <w:t>38,619,541</w:t>
            </w:r>
            <w:r>
              <w:rPr>
                <w:rFonts w:ascii="Arial"/>
                <w:sz w:val="18"/>
              </w:rPr>
            </w:r>
          </w:p>
        </w:tc>
        <w:tc>
          <w:tcPr>
            <w:tcW w:w="80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1"/>
              <w:jc w:val="right"/>
              <w:rPr>
                <w:rFonts w:ascii="Arial" w:hAnsi="Arial" w:cs="Arial" w:eastAsia="Arial" w:hint="default"/>
                <w:sz w:val="18"/>
                <w:szCs w:val="18"/>
              </w:rPr>
            </w:pPr>
            <w:r>
              <w:rPr>
                <w:rFonts w:ascii="Arial"/>
                <w:w w:val="95"/>
                <w:sz w:val="18"/>
              </w:rPr>
              <w:t>3.86%</w:t>
            </w:r>
            <w:r>
              <w:rPr>
                <w:rFonts w:ascii="Arial"/>
                <w:sz w:val="18"/>
              </w:rPr>
            </w:r>
          </w:p>
        </w:tc>
        <w:tc>
          <w:tcPr>
            <w:tcW w:w="523" w:type="dxa"/>
            <w:tcBorders>
              <w:top w:val="single" w:sz="4" w:space="0" w:color="5B9BD4"/>
              <w:left w:val="single" w:sz="12" w:space="0" w:color="DEEAF6"/>
              <w:bottom w:val="single" w:sz="4" w:space="0" w:color="5B9BD4"/>
              <w:right w:val="single" w:sz="12" w:space="0" w:color="DEEAF6"/>
            </w:tcBorders>
          </w:tcPr>
          <w:p>
            <w:pPr/>
          </w:p>
        </w:tc>
        <w:tc>
          <w:tcPr>
            <w:tcW w:w="422" w:type="dxa"/>
            <w:tcBorders>
              <w:top w:val="single" w:sz="4" w:space="0" w:color="5B9BD4"/>
              <w:left w:val="nil" w:sz="6" w:space="0" w:color="auto"/>
              <w:bottom w:val="single" w:sz="4" w:space="0" w:color="5B9BD4"/>
              <w:right w:val="nil" w:sz="6" w:space="0" w:color="auto"/>
            </w:tcBorders>
            <w:shd w:val="clear" w:color="auto" w:fill="DEEAF6"/>
          </w:tcPr>
          <w:p>
            <w:pPr/>
          </w:p>
        </w:tc>
        <w:tc>
          <w:tcPr>
            <w:tcW w:w="703" w:type="dxa"/>
            <w:tcBorders>
              <w:top w:val="single" w:sz="4" w:space="0" w:color="5B9BD4"/>
              <w:left w:val="single" w:sz="11" w:space="0" w:color="DEEAF6"/>
              <w:bottom w:val="single" w:sz="4" w:space="0" w:color="5B9BD4"/>
              <w:right w:val="single" w:sz="11" w:space="0" w:color="DEEAF6"/>
            </w:tcBorders>
          </w:tcPr>
          <w:p>
            <w:pPr/>
          </w:p>
        </w:tc>
        <w:tc>
          <w:tcPr>
            <w:tcW w:w="9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8"/>
              <w:jc w:val="right"/>
              <w:rPr>
                <w:rFonts w:ascii="Arial" w:hAnsi="Arial" w:cs="Arial" w:eastAsia="Arial" w:hint="default"/>
                <w:sz w:val="18"/>
                <w:szCs w:val="18"/>
              </w:rPr>
            </w:pPr>
            <w:r>
              <w:rPr>
                <w:rFonts w:ascii="Arial"/>
                <w:w w:val="95"/>
                <w:sz w:val="18"/>
              </w:rPr>
              <w:t>-4,596,702</w:t>
            </w:r>
            <w:r>
              <w:rPr>
                <w:rFonts w:ascii="Arial"/>
                <w:sz w:val="18"/>
              </w:rPr>
            </w:r>
          </w:p>
        </w:tc>
        <w:tc>
          <w:tcPr>
            <w:tcW w:w="1062"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16"/>
              <w:jc w:val="right"/>
              <w:rPr>
                <w:rFonts w:ascii="Arial" w:hAnsi="Arial" w:cs="Arial" w:eastAsia="Arial" w:hint="default"/>
                <w:sz w:val="18"/>
                <w:szCs w:val="18"/>
              </w:rPr>
            </w:pPr>
            <w:r>
              <w:rPr>
                <w:rFonts w:ascii="Arial"/>
                <w:w w:val="95"/>
                <w:sz w:val="18"/>
              </w:rPr>
              <w:t>-4,596,702</w:t>
            </w:r>
            <w:r>
              <w:rPr>
                <w:rFonts w:ascii="Arial"/>
                <w:sz w:val="18"/>
              </w:rPr>
            </w:r>
          </w:p>
        </w:tc>
        <w:tc>
          <w:tcPr>
            <w:tcW w:w="133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8"/>
              <w:jc w:val="right"/>
              <w:rPr>
                <w:rFonts w:ascii="Arial" w:hAnsi="Arial" w:cs="Arial" w:eastAsia="Arial" w:hint="default"/>
                <w:sz w:val="18"/>
                <w:szCs w:val="18"/>
              </w:rPr>
            </w:pPr>
            <w:r>
              <w:rPr>
                <w:rFonts w:ascii="Arial"/>
                <w:w w:val="95"/>
                <w:sz w:val="18"/>
              </w:rPr>
              <w:t>34,022,839</w:t>
            </w:r>
            <w:r>
              <w:rPr>
                <w:rFonts w:ascii="Arial"/>
                <w:sz w:val="18"/>
              </w:rPr>
            </w:r>
          </w:p>
        </w:tc>
        <w:tc>
          <w:tcPr>
            <w:tcW w:w="787"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88"/>
              <w:ind w:right="12"/>
              <w:jc w:val="right"/>
              <w:rPr>
                <w:rFonts w:ascii="Arial" w:hAnsi="Arial" w:cs="Arial" w:eastAsia="Arial" w:hint="default"/>
                <w:sz w:val="18"/>
                <w:szCs w:val="18"/>
              </w:rPr>
            </w:pPr>
            <w:r>
              <w:rPr>
                <w:rFonts w:ascii="Arial"/>
                <w:w w:val="95"/>
                <w:sz w:val="18"/>
              </w:rPr>
              <w:t>3.39%</w:t>
            </w:r>
            <w:r>
              <w:rPr>
                <w:rFonts w:ascii="Arial"/>
                <w:sz w:val="18"/>
              </w:rPr>
            </w:r>
          </w:p>
        </w:tc>
      </w:tr>
      <w:tr>
        <w:trPr>
          <w:trHeight w:val="402" w:hRule="exact"/>
        </w:trPr>
        <w:tc>
          <w:tcPr>
            <w:tcW w:w="159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326" w:type="dxa"/>
            <w:tcBorders>
              <w:top w:val="single" w:sz="4" w:space="0" w:color="5B9BD4"/>
              <w:left w:val="single" w:sz="12" w:space="0" w:color="DEEAF6"/>
              <w:bottom w:val="single" w:sz="4" w:space="0" w:color="5B9BD4"/>
              <w:right w:val="single" w:sz="12" w:space="0" w:color="DEEAF6"/>
            </w:tcBorders>
          </w:tcPr>
          <w:p>
            <w:pPr>
              <w:pStyle w:val="TableParagraph"/>
              <w:spacing w:line="240" w:lineRule="auto" w:before="88"/>
              <w:ind w:right="18"/>
              <w:jc w:val="right"/>
              <w:rPr>
                <w:rFonts w:ascii="Arial" w:hAnsi="Arial" w:cs="Arial" w:eastAsia="Arial" w:hint="default"/>
                <w:sz w:val="18"/>
                <w:szCs w:val="18"/>
              </w:rPr>
            </w:pPr>
            <w:r>
              <w:rPr>
                <w:rFonts w:ascii="Arial"/>
                <w:w w:val="95"/>
                <w:sz w:val="18"/>
              </w:rPr>
              <w:t>38,619,541</w:t>
            </w:r>
            <w:r>
              <w:rPr>
                <w:rFonts w:ascii="Arial"/>
                <w:sz w:val="18"/>
              </w:rPr>
            </w:r>
          </w:p>
        </w:tc>
        <w:tc>
          <w:tcPr>
            <w:tcW w:w="80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1"/>
              <w:jc w:val="right"/>
              <w:rPr>
                <w:rFonts w:ascii="Arial" w:hAnsi="Arial" w:cs="Arial" w:eastAsia="Arial" w:hint="default"/>
                <w:sz w:val="18"/>
                <w:szCs w:val="18"/>
              </w:rPr>
            </w:pPr>
            <w:r>
              <w:rPr>
                <w:rFonts w:ascii="Arial"/>
                <w:w w:val="95"/>
                <w:sz w:val="18"/>
              </w:rPr>
              <w:t>3.86%</w:t>
            </w:r>
            <w:r>
              <w:rPr>
                <w:rFonts w:ascii="Arial"/>
                <w:sz w:val="18"/>
              </w:rPr>
            </w:r>
          </w:p>
        </w:tc>
        <w:tc>
          <w:tcPr>
            <w:tcW w:w="523" w:type="dxa"/>
            <w:tcBorders>
              <w:top w:val="single" w:sz="4" w:space="0" w:color="5B9BD4"/>
              <w:left w:val="single" w:sz="12" w:space="0" w:color="DEEAF6"/>
              <w:bottom w:val="single" w:sz="4" w:space="0" w:color="5B9BD4"/>
              <w:right w:val="single" w:sz="12" w:space="0" w:color="DEEAF6"/>
            </w:tcBorders>
          </w:tcPr>
          <w:p>
            <w:pPr/>
          </w:p>
        </w:tc>
        <w:tc>
          <w:tcPr>
            <w:tcW w:w="422" w:type="dxa"/>
            <w:tcBorders>
              <w:top w:val="single" w:sz="4" w:space="0" w:color="5B9BD4"/>
              <w:left w:val="nil" w:sz="6" w:space="0" w:color="auto"/>
              <w:bottom w:val="single" w:sz="4" w:space="0" w:color="5B9BD4"/>
              <w:right w:val="nil" w:sz="6" w:space="0" w:color="auto"/>
            </w:tcBorders>
            <w:shd w:val="clear" w:color="auto" w:fill="DEEAF6"/>
          </w:tcPr>
          <w:p>
            <w:pPr/>
          </w:p>
        </w:tc>
        <w:tc>
          <w:tcPr>
            <w:tcW w:w="703" w:type="dxa"/>
            <w:tcBorders>
              <w:top w:val="single" w:sz="4" w:space="0" w:color="5B9BD4"/>
              <w:left w:val="single" w:sz="11" w:space="0" w:color="DEEAF6"/>
              <w:bottom w:val="single" w:sz="4" w:space="0" w:color="5B9BD4"/>
              <w:right w:val="single" w:sz="11" w:space="0" w:color="DEEAF6"/>
            </w:tcBorders>
          </w:tcPr>
          <w:p>
            <w:pPr/>
          </w:p>
        </w:tc>
        <w:tc>
          <w:tcPr>
            <w:tcW w:w="9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8"/>
              <w:jc w:val="right"/>
              <w:rPr>
                <w:rFonts w:ascii="Arial" w:hAnsi="Arial" w:cs="Arial" w:eastAsia="Arial" w:hint="default"/>
                <w:sz w:val="18"/>
                <w:szCs w:val="18"/>
              </w:rPr>
            </w:pPr>
            <w:r>
              <w:rPr>
                <w:rFonts w:ascii="Arial"/>
                <w:w w:val="95"/>
                <w:sz w:val="18"/>
              </w:rPr>
              <w:t>-4,596,702</w:t>
            </w:r>
            <w:r>
              <w:rPr>
                <w:rFonts w:ascii="Arial"/>
                <w:sz w:val="18"/>
              </w:rPr>
            </w:r>
          </w:p>
        </w:tc>
        <w:tc>
          <w:tcPr>
            <w:tcW w:w="1062"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16"/>
              <w:jc w:val="right"/>
              <w:rPr>
                <w:rFonts w:ascii="Arial" w:hAnsi="Arial" w:cs="Arial" w:eastAsia="Arial" w:hint="default"/>
                <w:sz w:val="18"/>
                <w:szCs w:val="18"/>
              </w:rPr>
            </w:pPr>
            <w:r>
              <w:rPr>
                <w:rFonts w:ascii="Arial"/>
                <w:w w:val="95"/>
                <w:sz w:val="18"/>
              </w:rPr>
              <w:t>-4,596,702</w:t>
            </w:r>
            <w:r>
              <w:rPr>
                <w:rFonts w:ascii="Arial"/>
                <w:sz w:val="18"/>
              </w:rPr>
            </w:r>
          </w:p>
        </w:tc>
        <w:tc>
          <w:tcPr>
            <w:tcW w:w="133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8"/>
              <w:jc w:val="right"/>
              <w:rPr>
                <w:rFonts w:ascii="Arial" w:hAnsi="Arial" w:cs="Arial" w:eastAsia="Arial" w:hint="default"/>
                <w:sz w:val="18"/>
                <w:szCs w:val="18"/>
              </w:rPr>
            </w:pPr>
            <w:r>
              <w:rPr>
                <w:rFonts w:ascii="Arial"/>
                <w:w w:val="95"/>
                <w:sz w:val="18"/>
              </w:rPr>
              <w:t>34,022,839</w:t>
            </w:r>
            <w:r>
              <w:rPr>
                <w:rFonts w:ascii="Arial"/>
                <w:sz w:val="18"/>
              </w:rPr>
            </w:r>
          </w:p>
        </w:tc>
        <w:tc>
          <w:tcPr>
            <w:tcW w:w="787"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88"/>
              <w:ind w:right="12"/>
              <w:jc w:val="right"/>
              <w:rPr>
                <w:rFonts w:ascii="Arial" w:hAnsi="Arial" w:cs="Arial" w:eastAsia="Arial" w:hint="default"/>
                <w:sz w:val="18"/>
                <w:szCs w:val="18"/>
              </w:rPr>
            </w:pPr>
            <w:r>
              <w:rPr>
                <w:rFonts w:ascii="Arial"/>
                <w:w w:val="95"/>
                <w:sz w:val="18"/>
              </w:rPr>
              <w:t>3.39%</w:t>
            </w:r>
            <w:r>
              <w:rPr>
                <w:rFonts w:ascii="Arial"/>
                <w:sz w:val="18"/>
              </w:rPr>
            </w:r>
          </w:p>
        </w:tc>
      </w:tr>
      <w:tr>
        <w:trPr>
          <w:trHeight w:val="402" w:hRule="exact"/>
        </w:trPr>
        <w:tc>
          <w:tcPr>
            <w:tcW w:w="159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pacing w:val="-6"/>
                <w:sz w:val="18"/>
                <w:szCs w:val="18"/>
              </w:rPr>
              <w:t>二、无限售条件股份</w:t>
            </w:r>
          </w:p>
        </w:tc>
        <w:tc>
          <w:tcPr>
            <w:tcW w:w="1326" w:type="dxa"/>
            <w:tcBorders>
              <w:top w:val="single" w:sz="4" w:space="0" w:color="5B9BD4"/>
              <w:left w:val="single" w:sz="12" w:space="0" w:color="DEEAF6"/>
              <w:bottom w:val="single" w:sz="4" w:space="0" w:color="5B9BD4"/>
              <w:right w:val="single" w:sz="12" w:space="0" w:color="DEEAF6"/>
            </w:tcBorders>
          </w:tcPr>
          <w:p>
            <w:pPr>
              <w:pStyle w:val="TableParagraph"/>
              <w:spacing w:line="240" w:lineRule="auto" w:before="88"/>
              <w:ind w:right="18"/>
              <w:jc w:val="right"/>
              <w:rPr>
                <w:rFonts w:ascii="Arial" w:hAnsi="Arial" w:cs="Arial" w:eastAsia="Arial" w:hint="default"/>
                <w:sz w:val="18"/>
                <w:szCs w:val="18"/>
              </w:rPr>
            </w:pPr>
            <w:r>
              <w:rPr>
                <w:rFonts w:ascii="Arial"/>
                <w:w w:val="95"/>
                <w:sz w:val="18"/>
              </w:rPr>
              <w:t>962,630,725</w:t>
            </w:r>
            <w:r>
              <w:rPr>
                <w:rFonts w:ascii="Arial"/>
                <w:sz w:val="18"/>
              </w:rPr>
            </w:r>
          </w:p>
        </w:tc>
        <w:tc>
          <w:tcPr>
            <w:tcW w:w="80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1"/>
              <w:jc w:val="right"/>
              <w:rPr>
                <w:rFonts w:ascii="Arial" w:hAnsi="Arial" w:cs="Arial" w:eastAsia="Arial" w:hint="default"/>
                <w:sz w:val="18"/>
                <w:szCs w:val="18"/>
              </w:rPr>
            </w:pPr>
            <w:r>
              <w:rPr>
                <w:rFonts w:ascii="Arial"/>
                <w:w w:val="95"/>
                <w:sz w:val="18"/>
              </w:rPr>
              <w:t>96.14%</w:t>
            </w:r>
            <w:r>
              <w:rPr>
                <w:rFonts w:ascii="Arial"/>
                <w:sz w:val="18"/>
              </w:rPr>
            </w:r>
          </w:p>
        </w:tc>
        <w:tc>
          <w:tcPr>
            <w:tcW w:w="523" w:type="dxa"/>
            <w:tcBorders>
              <w:top w:val="single" w:sz="4" w:space="0" w:color="5B9BD4"/>
              <w:left w:val="single" w:sz="12" w:space="0" w:color="DEEAF6"/>
              <w:bottom w:val="single" w:sz="4" w:space="0" w:color="5B9BD4"/>
              <w:right w:val="single" w:sz="12" w:space="0" w:color="DEEAF6"/>
            </w:tcBorders>
          </w:tcPr>
          <w:p>
            <w:pPr/>
          </w:p>
        </w:tc>
        <w:tc>
          <w:tcPr>
            <w:tcW w:w="422" w:type="dxa"/>
            <w:tcBorders>
              <w:top w:val="single" w:sz="4" w:space="0" w:color="5B9BD4"/>
              <w:left w:val="nil" w:sz="6" w:space="0" w:color="auto"/>
              <w:bottom w:val="single" w:sz="4" w:space="0" w:color="5B9BD4"/>
              <w:right w:val="nil" w:sz="6" w:space="0" w:color="auto"/>
            </w:tcBorders>
            <w:shd w:val="clear" w:color="auto" w:fill="DEEAF6"/>
          </w:tcPr>
          <w:p>
            <w:pPr/>
          </w:p>
        </w:tc>
        <w:tc>
          <w:tcPr>
            <w:tcW w:w="703" w:type="dxa"/>
            <w:tcBorders>
              <w:top w:val="single" w:sz="4" w:space="0" w:color="5B9BD4"/>
              <w:left w:val="single" w:sz="11" w:space="0" w:color="DEEAF6"/>
              <w:bottom w:val="single" w:sz="4" w:space="0" w:color="5B9BD4"/>
              <w:right w:val="single" w:sz="11" w:space="0" w:color="DEEAF6"/>
            </w:tcBorders>
          </w:tcPr>
          <w:p>
            <w:pPr/>
          </w:p>
        </w:tc>
        <w:tc>
          <w:tcPr>
            <w:tcW w:w="9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8"/>
              <w:jc w:val="right"/>
              <w:rPr>
                <w:rFonts w:ascii="Arial" w:hAnsi="Arial" w:cs="Arial" w:eastAsia="Arial" w:hint="default"/>
                <w:sz w:val="18"/>
                <w:szCs w:val="18"/>
              </w:rPr>
            </w:pPr>
            <w:r>
              <w:rPr>
                <w:rFonts w:ascii="Arial"/>
                <w:w w:val="95"/>
                <w:sz w:val="18"/>
              </w:rPr>
              <w:t>7,231,275</w:t>
            </w:r>
            <w:r>
              <w:rPr>
                <w:rFonts w:ascii="Arial"/>
                <w:sz w:val="18"/>
              </w:rPr>
            </w:r>
          </w:p>
        </w:tc>
        <w:tc>
          <w:tcPr>
            <w:tcW w:w="1062"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16"/>
              <w:jc w:val="right"/>
              <w:rPr>
                <w:rFonts w:ascii="Arial" w:hAnsi="Arial" w:cs="Arial" w:eastAsia="Arial" w:hint="default"/>
                <w:sz w:val="18"/>
                <w:szCs w:val="18"/>
              </w:rPr>
            </w:pPr>
            <w:r>
              <w:rPr>
                <w:rFonts w:ascii="Arial"/>
                <w:w w:val="95"/>
                <w:sz w:val="18"/>
              </w:rPr>
              <w:t>7,231,275</w:t>
            </w:r>
            <w:r>
              <w:rPr>
                <w:rFonts w:ascii="Arial"/>
                <w:sz w:val="18"/>
              </w:rPr>
            </w:r>
          </w:p>
        </w:tc>
        <w:tc>
          <w:tcPr>
            <w:tcW w:w="133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8"/>
              <w:jc w:val="right"/>
              <w:rPr>
                <w:rFonts w:ascii="Arial" w:hAnsi="Arial" w:cs="Arial" w:eastAsia="Arial" w:hint="default"/>
                <w:sz w:val="18"/>
                <w:szCs w:val="18"/>
              </w:rPr>
            </w:pPr>
            <w:r>
              <w:rPr>
                <w:rFonts w:ascii="Arial"/>
                <w:w w:val="95"/>
                <w:sz w:val="18"/>
              </w:rPr>
              <w:t>969,862,000</w:t>
            </w:r>
            <w:r>
              <w:rPr>
                <w:rFonts w:ascii="Arial"/>
                <w:sz w:val="18"/>
              </w:rPr>
            </w:r>
          </w:p>
        </w:tc>
        <w:tc>
          <w:tcPr>
            <w:tcW w:w="787"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88"/>
              <w:ind w:right="12"/>
              <w:jc w:val="right"/>
              <w:rPr>
                <w:rFonts w:ascii="Arial" w:hAnsi="Arial" w:cs="Arial" w:eastAsia="Arial" w:hint="default"/>
                <w:sz w:val="18"/>
                <w:szCs w:val="18"/>
              </w:rPr>
            </w:pPr>
            <w:r>
              <w:rPr>
                <w:rFonts w:ascii="Arial"/>
                <w:w w:val="95"/>
                <w:sz w:val="18"/>
              </w:rPr>
              <w:t>96.61%</w:t>
            </w:r>
            <w:r>
              <w:rPr>
                <w:rFonts w:ascii="Arial"/>
                <w:sz w:val="18"/>
              </w:rPr>
            </w:r>
          </w:p>
        </w:tc>
      </w:tr>
      <w:tr>
        <w:trPr>
          <w:trHeight w:val="402" w:hRule="exact"/>
        </w:trPr>
        <w:tc>
          <w:tcPr>
            <w:tcW w:w="159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、人民币普通股</w:t>
            </w:r>
          </w:p>
        </w:tc>
        <w:tc>
          <w:tcPr>
            <w:tcW w:w="1326" w:type="dxa"/>
            <w:tcBorders>
              <w:top w:val="single" w:sz="4" w:space="0" w:color="5B9BD4"/>
              <w:left w:val="single" w:sz="12" w:space="0" w:color="DEEAF6"/>
              <w:bottom w:val="single" w:sz="4" w:space="0" w:color="5B9BD4"/>
              <w:right w:val="single" w:sz="12" w:space="0" w:color="DEEAF6"/>
            </w:tcBorders>
          </w:tcPr>
          <w:p>
            <w:pPr>
              <w:pStyle w:val="TableParagraph"/>
              <w:spacing w:line="240" w:lineRule="auto" w:before="88"/>
              <w:ind w:right="18"/>
              <w:jc w:val="right"/>
              <w:rPr>
                <w:rFonts w:ascii="Arial" w:hAnsi="Arial" w:cs="Arial" w:eastAsia="Arial" w:hint="default"/>
                <w:sz w:val="18"/>
                <w:szCs w:val="18"/>
              </w:rPr>
            </w:pPr>
            <w:r>
              <w:rPr>
                <w:rFonts w:ascii="Arial"/>
                <w:w w:val="95"/>
                <w:sz w:val="18"/>
              </w:rPr>
              <w:t>962,630,725</w:t>
            </w:r>
            <w:r>
              <w:rPr>
                <w:rFonts w:ascii="Arial"/>
                <w:sz w:val="18"/>
              </w:rPr>
            </w:r>
          </w:p>
        </w:tc>
        <w:tc>
          <w:tcPr>
            <w:tcW w:w="80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1"/>
              <w:jc w:val="right"/>
              <w:rPr>
                <w:rFonts w:ascii="Arial" w:hAnsi="Arial" w:cs="Arial" w:eastAsia="Arial" w:hint="default"/>
                <w:sz w:val="18"/>
                <w:szCs w:val="18"/>
              </w:rPr>
            </w:pPr>
            <w:r>
              <w:rPr>
                <w:rFonts w:ascii="Arial"/>
                <w:w w:val="95"/>
                <w:sz w:val="18"/>
              </w:rPr>
              <w:t>96.14%</w:t>
            </w:r>
            <w:r>
              <w:rPr>
                <w:rFonts w:ascii="Arial"/>
                <w:sz w:val="18"/>
              </w:rPr>
            </w:r>
          </w:p>
        </w:tc>
        <w:tc>
          <w:tcPr>
            <w:tcW w:w="523" w:type="dxa"/>
            <w:tcBorders>
              <w:top w:val="single" w:sz="4" w:space="0" w:color="5B9BD4"/>
              <w:left w:val="single" w:sz="12" w:space="0" w:color="DEEAF6"/>
              <w:bottom w:val="single" w:sz="4" w:space="0" w:color="5B9BD4"/>
              <w:right w:val="single" w:sz="12" w:space="0" w:color="DEEAF6"/>
            </w:tcBorders>
          </w:tcPr>
          <w:p>
            <w:pPr/>
          </w:p>
        </w:tc>
        <w:tc>
          <w:tcPr>
            <w:tcW w:w="422" w:type="dxa"/>
            <w:tcBorders>
              <w:top w:val="single" w:sz="4" w:space="0" w:color="5B9BD4"/>
              <w:left w:val="nil" w:sz="6" w:space="0" w:color="auto"/>
              <w:bottom w:val="single" w:sz="4" w:space="0" w:color="5B9BD4"/>
              <w:right w:val="nil" w:sz="6" w:space="0" w:color="auto"/>
            </w:tcBorders>
            <w:shd w:val="clear" w:color="auto" w:fill="DEEAF6"/>
          </w:tcPr>
          <w:p>
            <w:pPr/>
          </w:p>
        </w:tc>
        <w:tc>
          <w:tcPr>
            <w:tcW w:w="703" w:type="dxa"/>
            <w:tcBorders>
              <w:top w:val="single" w:sz="4" w:space="0" w:color="5B9BD4"/>
              <w:left w:val="single" w:sz="11" w:space="0" w:color="DEEAF6"/>
              <w:bottom w:val="single" w:sz="4" w:space="0" w:color="5B9BD4"/>
              <w:right w:val="single" w:sz="11" w:space="0" w:color="DEEAF6"/>
            </w:tcBorders>
          </w:tcPr>
          <w:p>
            <w:pPr/>
          </w:p>
        </w:tc>
        <w:tc>
          <w:tcPr>
            <w:tcW w:w="9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8"/>
              <w:jc w:val="right"/>
              <w:rPr>
                <w:rFonts w:ascii="Arial" w:hAnsi="Arial" w:cs="Arial" w:eastAsia="Arial" w:hint="default"/>
                <w:sz w:val="18"/>
                <w:szCs w:val="18"/>
              </w:rPr>
            </w:pPr>
            <w:r>
              <w:rPr>
                <w:rFonts w:ascii="Arial"/>
                <w:w w:val="95"/>
                <w:sz w:val="18"/>
              </w:rPr>
              <w:t>7,231,275</w:t>
            </w:r>
            <w:r>
              <w:rPr>
                <w:rFonts w:ascii="Arial"/>
                <w:sz w:val="18"/>
              </w:rPr>
            </w:r>
          </w:p>
        </w:tc>
        <w:tc>
          <w:tcPr>
            <w:tcW w:w="1062"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8"/>
              <w:ind w:right="16"/>
              <w:jc w:val="right"/>
              <w:rPr>
                <w:rFonts w:ascii="Arial" w:hAnsi="Arial" w:cs="Arial" w:eastAsia="Arial" w:hint="default"/>
                <w:sz w:val="18"/>
                <w:szCs w:val="18"/>
              </w:rPr>
            </w:pPr>
            <w:r>
              <w:rPr>
                <w:rFonts w:ascii="Arial"/>
                <w:w w:val="95"/>
                <w:sz w:val="18"/>
              </w:rPr>
              <w:t>7,231,275</w:t>
            </w:r>
            <w:r>
              <w:rPr>
                <w:rFonts w:ascii="Arial"/>
                <w:sz w:val="18"/>
              </w:rPr>
            </w:r>
          </w:p>
        </w:tc>
        <w:tc>
          <w:tcPr>
            <w:tcW w:w="133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8"/>
              <w:jc w:val="right"/>
              <w:rPr>
                <w:rFonts w:ascii="Arial" w:hAnsi="Arial" w:cs="Arial" w:eastAsia="Arial" w:hint="default"/>
                <w:sz w:val="18"/>
                <w:szCs w:val="18"/>
              </w:rPr>
            </w:pPr>
            <w:r>
              <w:rPr>
                <w:rFonts w:ascii="Arial"/>
                <w:w w:val="95"/>
                <w:sz w:val="18"/>
              </w:rPr>
              <w:t>969,862,000</w:t>
            </w:r>
            <w:r>
              <w:rPr>
                <w:rFonts w:ascii="Arial"/>
                <w:sz w:val="18"/>
              </w:rPr>
            </w:r>
          </w:p>
        </w:tc>
        <w:tc>
          <w:tcPr>
            <w:tcW w:w="787"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88"/>
              <w:ind w:right="12"/>
              <w:jc w:val="right"/>
              <w:rPr>
                <w:rFonts w:ascii="Arial" w:hAnsi="Arial" w:cs="Arial" w:eastAsia="Arial" w:hint="default"/>
                <w:sz w:val="18"/>
                <w:szCs w:val="18"/>
              </w:rPr>
            </w:pPr>
            <w:r>
              <w:rPr>
                <w:rFonts w:ascii="Arial"/>
                <w:w w:val="95"/>
                <w:sz w:val="18"/>
              </w:rPr>
              <w:t>96.61%</w:t>
            </w:r>
            <w:r>
              <w:rPr>
                <w:rFonts w:ascii="Arial"/>
                <w:sz w:val="18"/>
              </w:rPr>
            </w:r>
          </w:p>
        </w:tc>
      </w:tr>
      <w:tr>
        <w:trPr>
          <w:trHeight w:val="403" w:hRule="exact"/>
        </w:trPr>
        <w:tc>
          <w:tcPr>
            <w:tcW w:w="159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326" w:type="dxa"/>
            <w:tcBorders>
              <w:top w:val="single" w:sz="4" w:space="0" w:color="5B9BD4"/>
              <w:left w:val="single" w:sz="12" w:space="0" w:color="DEEAF6"/>
              <w:bottom w:val="single" w:sz="4" w:space="0" w:color="5B9BD4"/>
              <w:right w:val="single" w:sz="12" w:space="0" w:color="DEEAF6"/>
            </w:tcBorders>
          </w:tcPr>
          <w:p>
            <w:pPr>
              <w:pStyle w:val="TableParagraph"/>
              <w:spacing w:line="240" w:lineRule="auto" w:before="89"/>
              <w:ind w:right="18"/>
              <w:jc w:val="right"/>
              <w:rPr>
                <w:rFonts w:ascii="Arial" w:hAnsi="Arial" w:cs="Arial" w:eastAsia="Arial" w:hint="default"/>
                <w:sz w:val="18"/>
                <w:szCs w:val="18"/>
              </w:rPr>
            </w:pPr>
            <w:r>
              <w:rPr>
                <w:rFonts w:ascii="Arial"/>
                <w:w w:val="95"/>
                <w:sz w:val="18"/>
              </w:rPr>
              <w:t>1,001,250,266</w:t>
            </w:r>
            <w:r>
              <w:rPr>
                <w:rFonts w:ascii="Arial"/>
                <w:sz w:val="18"/>
              </w:rPr>
            </w:r>
          </w:p>
        </w:tc>
        <w:tc>
          <w:tcPr>
            <w:tcW w:w="80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9"/>
              <w:ind w:right="11"/>
              <w:jc w:val="right"/>
              <w:rPr>
                <w:rFonts w:ascii="Arial" w:hAnsi="Arial" w:cs="Arial" w:eastAsia="Arial" w:hint="default"/>
                <w:sz w:val="18"/>
                <w:szCs w:val="18"/>
              </w:rPr>
            </w:pPr>
            <w:r>
              <w:rPr>
                <w:rFonts w:ascii="Arial"/>
                <w:w w:val="95"/>
                <w:sz w:val="18"/>
              </w:rPr>
              <w:t>100.00%</w:t>
            </w:r>
            <w:r>
              <w:rPr>
                <w:rFonts w:ascii="Arial"/>
                <w:sz w:val="18"/>
              </w:rPr>
            </w:r>
          </w:p>
        </w:tc>
        <w:tc>
          <w:tcPr>
            <w:tcW w:w="523" w:type="dxa"/>
            <w:tcBorders>
              <w:top w:val="single" w:sz="4" w:space="0" w:color="5B9BD4"/>
              <w:left w:val="single" w:sz="12" w:space="0" w:color="DEEAF6"/>
              <w:bottom w:val="single" w:sz="4" w:space="0" w:color="5B9BD4"/>
              <w:right w:val="single" w:sz="12" w:space="0" w:color="DEEAF6"/>
            </w:tcBorders>
          </w:tcPr>
          <w:p>
            <w:pPr/>
          </w:p>
        </w:tc>
        <w:tc>
          <w:tcPr>
            <w:tcW w:w="422" w:type="dxa"/>
            <w:tcBorders>
              <w:top w:val="single" w:sz="4" w:space="0" w:color="5B9BD4"/>
              <w:left w:val="nil" w:sz="6" w:space="0" w:color="auto"/>
              <w:bottom w:val="single" w:sz="4" w:space="0" w:color="5B9BD4"/>
              <w:right w:val="nil" w:sz="6" w:space="0" w:color="auto"/>
            </w:tcBorders>
            <w:shd w:val="clear" w:color="auto" w:fill="DEEAF6"/>
          </w:tcPr>
          <w:p>
            <w:pPr/>
          </w:p>
        </w:tc>
        <w:tc>
          <w:tcPr>
            <w:tcW w:w="703" w:type="dxa"/>
            <w:tcBorders>
              <w:top w:val="single" w:sz="4" w:space="0" w:color="5B9BD4"/>
              <w:left w:val="single" w:sz="11" w:space="0" w:color="DEEAF6"/>
              <w:bottom w:val="single" w:sz="4" w:space="0" w:color="5B9BD4"/>
              <w:right w:val="single" w:sz="11" w:space="0" w:color="DEEAF6"/>
            </w:tcBorders>
          </w:tcPr>
          <w:p>
            <w:pPr/>
          </w:p>
        </w:tc>
        <w:tc>
          <w:tcPr>
            <w:tcW w:w="9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9"/>
              <w:ind w:right="18"/>
              <w:jc w:val="right"/>
              <w:rPr>
                <w:rFonts w:ascii="Arial" w:hAnsi="Arial" w:cs="Arial" w:eastAsia="Arial" w:hint="default"/>
                <w:sz w:val="18"/>
                <w:szCs w:val="18"/>
              </w:rPr>
            </w:pPr>
            <w:r>
              <w:rPr>
                <w:rFonts w:ascii="Arial"/>
                <w:w w:val="95"/>
                <w:sz w:val="18"/>
              </w:rPr>
              <w:t>2,634,573</w:t>
            </w:r>
            <w:r>
              <w:rPr>
                <w:rFonts w:ascii="Arial"/>
                <w:sz w:val="18"/>
              </w:rPr>
            </w:r>
          </w:p>
        </w:tc>
        <w:tc>
          <w:tcPr>
            <w:tcW w:w="1062"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9"/>
              <w:ind w:right="16"/>
              <w:jc w:val="right"/>
              <w:rPr>
                <w:rFonts w:ascii="Arial" w:hAnsi="Arial" w:cs="Arial" w:eastAsia="Arial" w:hint="default"/>
                <w:sz w:val="18"/>
                <w:szCs w:val="18"/>
              </w:rPr>
            </w:pPr>
            <w:r>
              <w:rPr>
                <w:rFonts w:ascii="Arial"/>
                <w:w w:val="95"/>
                <w:sz w:val="18"/>
              </w:rPr>
              <w:t>2,634,573</w:t>
            </w:r>
            <w:r>
              <w:rPr>
                <w:rFonts w:ascii="Arial"/>
                <w:sz w:val="18"/>
              </w:rPr>
            </w:r>
          </w:p>
        </w:tc>
        <w:tc>
          <w:tcPr>
            <w:tcW w:w="133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9"/>
              <w:ind w:right="18"/>
              <w:jc w:val="right"/>
              <w:rPr>
                <w:rFonts w:ascii="Arial" w:hAnsi="Arial" w:cs="Arial" w:eastAsia="Arial" w:hint="default"/>
                <w:sz w:val="18"/>
                <w:szCs w:val="18"/>
              </w:rPr>
            </w:pPr>
            <w:r>
              <w:rPr>
                <w:rFonts w:ascii="Arial"/>
                <w:w w:val="95"/>
                <w:sz w:val="18"/>
              </w:rPr>
              <w:t>1,003,884,839</w:t>
            </w:r>
            <w:r>
              <w:rPr>
                <w:rFonts w:ascii="Arial"/>
                <w:sz w:val="18"/>
              </w:rPr>
            </w:r>
          </w:p>
        </w:tc>
        <w:tc>
          <w:tcPr>
            <w:tcW w:w="787"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89"/>
              <w:ind w:right="12"/>
              <w:jc w:val="right"/>
              <w:rPr>
                <w:rFonts w:ascii="Arial" w:hAnsi="Arial" w:cs="Arial" w:eastAsia="Arial" w:hint="default"/>
                <w:sz w:val="18"/>
                <w:szCs w:val="18"/>
              </w:rPr>
            </w:pPr>
            <w:r>
              <w:rPr>
                <w:rFonts w:ascii="Arial"/>
                <w:w w:val="95"/>
                <w:sz w:val="18"/>
              </w:rPr>
              <w:t>100.00%</w:t>
            </w:r>
            <w:r>
              <w:rPr>
                <w:rFonts w:ascii="Arial"/>
                <w:sz w:val="18"/>
              </w:rPr>
            </w:r>
          </w:p>
        </w:tc>
      </w:tr>
    </w:tbl>
    <w:p>
      <w:pPr>
        <w:pStyle w:val="BodyText"/>
        <w:spacing w:line="408" w:lineRule="auto" w:before="58"/>
        <w:ind w:left="574" w:right="0" w:hanging="420"/>
        <w:jc w:val="left"/>
      </w:pPr>
      <w:r>
        <w:rPr/>
        <w:t>股份变动的原因及批准情况 </w:t>
      </w:r>
      <w:r>
        <w:rPr>
          <w:spacing w:val="-1"/>
        </w:rPr>
        <w:t>报告期内，因公司第二期股票期权激励计划第一个行权期符合行权条件的激励对象已经自主行权股票</w:t>
      </w:r>
    </w:p>
    <w:p>
      <w:pPr>
        <w:pStyle w:val="BodyText"/>
        <w:spacing w:line="388" w:lineRule="auto" w:before="46"/>
        <w:ind w:right="0"/>
        <w:jc w:val="left"/>
      </w:pPr>
      <w:r>
        <w:rPr/>
        <w:t>期权共计</w:t>
      </w:r>
      <w:r>
        <w:rPr>
          <w:rFonts w:ascii="Arial" w:hAnsi="Arial" w:cs="Arial" w:eastAsia="Arial" w:hint="default"/>
        </w:rPr>
        <w:t>2,634,573</w:t>
      </w:r>
      <w:r>
        <w:rPr/>
        <w:t>股，因此总股数增加了</w:t>
      </w:r>
      <w:r>
        <w:rPr>
          <w:rFonts w:ascii="Arial" w:hAnsi="Arial" w:cs="Arial" w:eastAsia="Arial" w:hint="default"/>
        </w:rPr>
        <w:t>2,634,573</w:t>
      </w:r>
      <w:r>
        <w:rPr/>
        <w:t>股，截止</w:t>
      </w:r>
      <w:r>
        <w:rPr>
          <w:rFonts w:ascii="Arial" w:hAnsi="Arial" w:cs="Arial" w:eastAsia="Arial" w:hint="default"/>
        </w:rPr>
        <w:t>2015</w:t>
      </w:r>
      <w:r>
        <w:rPr/>
        <w:t>年</w:t>
      </w:r>
      <w:r>
        <w:rPr>
          <w:rFonts w:ascii="Arial" w:hAnsi="Arial" w:cs="Arial" w:eastAsia="Arial" w:hint="default"/>
        </w:rPr>
        <w:t>12</w:t>
      </w:r>
      <w:r>
        <w:rPr/>
        <w:t>月</w:t>
      </w:r>
      <w:r>
        <w:rPr>
          <w:rFonts w:ascii="Arial" w:hAnsi="Arial" w:cs="Arial" w:eastAsia="Arial" w:hint="default"/>
        </w:rPr>
        <w:t>31</w:t>
      </w:r>
      <w:r>
        <w:rPr/>
        <w:t>日，公司发行在外的总股数</w:t>
      </w:r>
      <w:r>
        <w:rPr>
          <w:spacing w:val="-11"/>
        </w:rPr>
        <w:t> </w:t>
      </w:r>
      <w:r>
        <w:rPr>
          <w:spacing w:val="-11"/>
        </w:rPr>
      </w:r>
      <w:r>
        <w:rPr>
          <w:rFonts w:ascii="Arial" w:hAnsi="Arial" w:cs="Arial" w:eastAsia="Arial" w:hint="default"/>
        </w:rPr>
        <w:t>1,003,884,839</w:t>
      </w:r>
      <w:r>
        <w:rPr/>
        <w:t>股。</w:t>
      </w:r>
    </w:p>
    <w:p>
      <w:pPr>
        <w:spacing w:line="240" w:lineRule="auto" w:before="8"/>
        <w:rPr>
          <w:rFonts w:ascii="宋体" w:hAnsi="宋体" w:cs="宋体" w:eastAsia="宋体" w:hint="default"/>
          <w:sz w:val="23"/>
          <w:szCs w:val="23"/>
        </w:rPr>
      </w:pPr>
    </w:p>
    <w:p>
      <w:pPr>
        <w:pStyle w:val="Heading2"/>
        <w:spacing w:line="240" w:lineRule="auto"/>
        <w:ind w:left="154" w:right="0"/>
        <w:jc w:val="left"/>
        <w:rPr>
          <w:b w:val="0"/>
          <w:bCs w:val="0"/>
        </w:rPr>
      </w:pPr>
      <w:bookmarkStart w:name="6.1.2 限售股份变动情况" w:id="178"/>
      <w:bookmarkEnd w:id="178"/>
      <w:r>
        <w:rPr>
          <w:b w:val="0"/>
          <w:bCs w:val="0"/>
        </w:rPr>
      </w:r>
      <w:r>
        <w:rPr>
          <w:rFonts w:ascii="Trebuchet MS" w:hAnsi="Trebuchet MS" w:cs="Trebuchet MS" w:eastAsia="Trebuchet MS" w:hint="default"/>
        </w:rPr>
        <w:t>6.1.2</w:t>
      </w:r>
      <w:r>
        <w:rPr>
          <w:rFonts w:ascii="Trebuchet MS" w:hAnsi="Trebuchet MS" w:cs="Trebuchet MS" w:eastAsia="Trebuchet MS" w:hint="default"/>
          <w:spacing w:val="-18"/>
        </w:rPr>
        <w:t> </w:t>
      </w:r>
      <w:r>
        <w:rPr/>
        <w:t>限售股份变动情况</w:t>
      </w:r>
      <w:r>
        <w:rPr>
          <w:b w:val="0"/>
          <w:bCs w:val="0"/>
        </w:rPr>
      </w:r>
    </w:p>
    <w:p>
      <w:pPr>
        <w:spacing w:line="240" w:lineRule="auto" w:before="14"/>
        <w:rPr>
          <w:rFonts w:ascii="Microsoft JhengHei" w:hAnsi="Microsoft JhengHei" w:cs="Microsoft JhengHei" w:eastAsia="Microsoft JhengHei" w:hint="default"/>
          <w:b/>
          <w:bCs/>
          <w:sz w:val="25"/>
          <w:szCs w:val="25"/>
        </w:rPr>
      </w:pP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96" w:type="dxa"/>
        <w:tblLayout w:type="fixed"/>
        <w:tblCellMar>
          <w:top w:w="0" w:type="dxa"/>
          <w:left w:w="0" w:type="dxa"/>
          <w:bottom w:w="0" w:type="dxa"/>
          <w:right w:w="0" w:type="dxa"/>
        </w:tblCellMar>
        <w:tblLook w:val="01E0"/>
      </w:tblPr>
      <w:tblGrid>
        <w:gridCol w:w="1113"/>
        <w:gridCol w:w="1439"/>
        <w:gridCol w:w="1256"/>
        <w:gridCol w:w="1296"/>
        <w:gridCol w:w="1255"/>
        <w:gridCol w:w="1574"/>
        <w:gridCol w:w="1612"/>
      </w:tblGrid>
      <w:tr>
        <w:trPr>
          <w:trHeight w:val="162" w:hRule="exact"/>
        </w:trPr>
        <w:tc>
          <w:tcPr>
            <w:tcW w:w="2552" w:type="dxa"/>
            <w:gridSpan w:val="2"/>
            <w:tcBorders>
              <w:top w:val="single" w:sz="4" w:space="0" w:color="5B9BD4"/>
              <w:left w:val="nil" w:sz="6" w:space="0" w:color="auto"/>
              <w:bottom w:val="nil" w:sz="6" w:space="0" w:color="auto"/>
              <w:right w:val="nil" w:sz="6" w:space="0" w:color="auto"/>
            </w:tcBorders>
            <w:shd w:val="clear" w:color="auto" w:fill="DEEAF6"/>
          </w:tcPr>
          <w:p>
            <w:pPr/>
          </w:p>
        </w:tc>
        <w:tc>
          <w:tcPr>
            <w:tcW w:w="1256"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7"/>
              <w:ind w:left="443" w:right="90"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296"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7"/>
              <w:ind w:left="464" w:right="110"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4440" w:type="dxa"/>
            <w:gridSpan w:val="3"/>
            <w:tcBorders>
              <w:top w:val="single" w:sz="4" w:space="0" w:color="5B9BD4"/>
              <w:left w:val="nil" w:sz="6" w:space="0" w:color="auto"/>
              <w:bottom w:val="nil" w:sz="6" w:space="0" w:color="auto"/>
              <w:right w:val="nil" w:sz="6" w:space="0" w:color="auto"/>
            </w:tcBorders>
            <w:shd w:val="clear" w:color="auto" w:fill="DEEAF6"/>
          </w:tcPr>
          <w:p>
            <w:pPr/>
          </w:p>
        </w:tc>
      </w:tr>
      <w:tr>
        <w:trPr>
          <w:trHeight w:val="391" w:hRule="exact"/>
        </w:trPr>
        <w:tc>
          <w:tcPr>
            <w:tcW w:w="1113"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19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39"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175"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256" w:type="dxa"/>
            <w:vMerge/>
            <w:tcBorders>
              <w:left w:val="nil" w:sz="6" w:space="0" w:color="auto"/>
              <w:right w:val="nil" w:sz="6" w:space="0" w:color="auto"/>
            </w:tcBorders>
            <w:shd w:val="clear" w:color="auto" w:fill="DEEAF6"/>
          </w:tcPr>
          <w:p>
            <w:pPr/>
          </w:p>
        </w:tc>
        <w:tc>
          <w:tcPr>
            <w:tcW w:w="1296" w:type="dxa"/>
            <w:vMerge/>
            <w:tcBorders>
              <w:left w:val="nil" w:sz="6" w:space="0" w:color="auto"/>
              <w:right w:val="nil" w:sz="6" w:space="0" w:color="auto"/>
            </w:tcBorders>
            <w:shd w:val="clear" w:color="auto" w:fill="DEEAF6"/>
          </w:tcPr>
          <w:p>
            <w:pPr/>
          </w:p>
        </w:tc>
        <w:tc>
          <w:tcPr>
            <w:tcW w:w="1255"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right="89"/>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574"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612"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7"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61" w:hRule="exact"/>
        </w:trPr>
        <w:tc>
          <w:tcPr>
            <w:tcW w:w="2552" w:type="dxa"/>
            <w:gridSpan w:val="2"/>
            <w:tcBorders>
              <w:top w:val="nil" w:sz="6" w:space="0" w:color="auto"/>
              <w:left w:val="nil" w:sz="6" w:space="0" w:color="auto"/>
              <w:bottom w:val="single" w:sz="4" w:space="0" w:color="5B9BD4"/>
              <w:right w:val="nil" w:sz="6" w:space="0" w:color="auto"/>
            </w:tcBorders>
            <w:shd w:val="clear" w:color="auto" w:fill="DEEAF6"/>
          </w:tcPr>
          <w:p>
            <w:pPr/>
          </w:p>
        </w:tc>
        <w:tc>
          <w:tcPr>
            <w:tcW w:w="1256" w:type="dxa"/>
            <w:vMerge/>
            <w:tcBorders>
              <w:left w:val="nil" w:sz="6" w:space="0" w:color="auto"/>
              <w:bottom w:val="single" w:sz="4" w:space="0" w:color="5B9BD4"/>
              <w:right w:val="nil" w:sz="6" w:space="0" w:color="auto"/>
            </w:tcBorders>
            <w:shd w:val="clear" w:color="auto" w:fill="DEEAF6"/>
          </w:tcPr>
          <w:p>
            <w:pPr/>
          </w:p>
        </w:tc>
        <w:tc>
          <w:tcPr>
            <w:tcW w:w="1296" w:type="dxa"/>
            <w:vMerge/>
            <w:tcBorders>
              <w:left w:val="nil" w:sz="6" w:space="0" w:color="auto"/>
              <w:bottom w:val="single" w:sz="4" w:space="0" w:color="5B9BD4"/>
              <w:right w:val="nil" w:sz="6" w:space="0" w:color="auto"/>
            </w:tcBorders>
            <w:shd w:val="clear" w:color="auto" w:fill="DEEAF6"/>
          </w:tcPr>
          <w:p>
            <w:pPr/>
          </w:p>
        </w:tc>
        <w:tc>
          <w:tcPr>
            <w:tcW w:w="4440" w:type="dxa"/>
            <w:gridSpan w:val="3"/>
            <w:tcBorders>
              <w:top w:val="nil" w:sz="6" w:space="0" w:color="auto"/>
              <w:left w:val="nil" w:sz="6" w:space="0" w:color="auto"/>
              <w:bottom w:val="single" w:sz="4" w:space="0" w:color="5B9BD4"/>
              <w:right w:val="nil" w:sz="6" w:space="0" w:color="auto"/>
            </w:tcBorders>
            <w:shd w:val="clear" w:color="auto" w:fill="DEEAF6"/>
          </w:tcPr>
          <w:p>
            <w:pPr/>
          </w:p>
        </w:tc>
      </w:tr>
      <w:tr>
        <w:trPr>
          <w:trHeight w:val="318" w:hRule="exact"/>
        </w:trPr>
        <w:tc>
          <w:tcPr>
            <w:tcW w:w="1113" w:type="dxa"/>
            <w:tcBorders>
              <w:top w:val="single" w:sz="4" w:space="0" w:color="5B9BD4"/>
              <w:left w:val="nil" w:sz="6" w:space="0" w:color="auto"/>
              <w:bottom w:val="nil" w:sz="6" w:space="0" w:color="auto"/>
              <w:right w:val="nil" w:sz="6" w:space="0" w:color="auto"/>
            </w:tcBorders>
            <w:shd w:val="clear" w:color="auto" w:fill="DEEAF6"/>
          </w:tcPr>
          <w:p>
            <w:pPr/>
          </w:p>
        </w:tc>
        <w:tc>
          <w:tcPr>
            <w:tcW w:w="1439"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99" w:right="0"/>
              <w:jc w:val="left"/>
              <w:rPr>
                <w:rFonts w:ascii="Arial" w:hAnsi="Arial" w:cs="Arial" w:eastAsia="Arial" w:hint="default"/>
                <w:sz w:val="18"/>
                <w:szCs w:val="18"/>
              </w:rPr>
            </w:pPr>
            <w:r>
              <w:rPr>
                <w:rFonts w:ascii="Arial"/>
                <w:sz w:val="18"/>
              </w:rPr>
              <w:t>11,412,960</w:t>
            </w:r>
          </w:p>
        </w:tc>
        <w:tc>
          <w:tcPr>
            <w:tcW w:w="1256" w:type="dxa"/>
            <w:tcBorders>
              <w:top w:val="single" w:sz="4" w:space="0" w:color="5B9BD4"/>
              <w:left w:val="nil" w:sz="6" w:space="0" w:color="auto"/>
              <w:bottom w:val="nil" w:sz="6" w:space="0" w:color="auto"/>
              <w:right w:val="nil" w:sz="6" w:space="0" w:color="auto"/>
            </w:tcBorders>
            <w:shd w:val="clear" w:color="auto" w:fill="DEEAF6"/>
          </w:tcPr>
          <w:p>
            <w:pPr/>
          </w:p>
        </w:tc>
        <w:tc>
          <w:tcPr>
            <w:tcW w:w="1296"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06" w:right="0"/>
              <w:jc w:val="left"/>
              <w:rPr>
                <w:rFonts w:ascii="Arial" w:hAnsi="Arial" w:cs="Arial" w:eastAsia="Arial" w:hint="default"/>
                <w:sz w:val="18"/>
                <w:szCs w:val="18"/>
              </w:rPr>
            </w:pPr>
            <w:r>
              <w:rPr>
                <w:rFonts w:ascii="Arial"/>
                <w:sz w:val="18"/>
              </w:rPr>
              <w:t>551,412</w:t>
            </w:r>
          </w:p>
        </w:tc>
        <w:tc>
          <w:tcPr>
            <w:tcW w:w="1255" w:type="dxa"/>
            <w:tcBorders>
              <w:top w:val="single" w:sz="4" w:space="0" w:color="5B9BD4"/>
              <w:left w:val="nil" w:sz="6" w:space="0" w:color="auto"/>
              <w:bottom w:val="nil" w:sz="6" w:space="0" w:color="auto"/>
              <w:right w:val="nil" w:sz="6" w:space="0" w:color="auto"/>
            </w:tcBorders>
            <w:shd w:val="clear" w:color="auto" w:fill="DEEAF6"/>
          </w:tcPr>
          <w:p>
            <w:pPr/>
          </w:p>
        </w:tc>
        <w:tc>
          <w:tcPr>
            <w:tcW w:w="1574" w:type="dxa"/>
            <w:vMerge w:val="restart"/>
            <w:tcBorders>
              <w:top w:val="single" w:sz="4" w:space="0" w:color="5B9BD4"/>
              <w:left w:val="nil" w:sz="6" w:space="0" w:color="auto"/>
              <w:right w:val="single" w:sz="11" w:space="0" w:color="DEEAF6"/>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5"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612" w:type="dxa"/>
            <w:vMerge w:val="restart"/>
            <w:tcBorders>
              <w:top w:val="single" w:sz="4" w:space="0" w:color="5B9BD4"/>
              <w:left w:val="nil" w:sz="6" w:space="0" w:color="auto"/>
              <w:right w:val="nil" w:sz="6" w:space="0" w:color="auto"/>
            </w:tcBorders>
            <w:shd w:val="clear" w:color="auto" w:fill="DEEAF6"/>
          </w:tcPr>
          <w:p>
            <w:pPr>
              <w:pStyle w:val="TableParagraph"/>
              <w:spacing w:line="302" w:lineRule="auto" w:before="47"/>
              <w:ind w:left="21" w:right="11"/>
              <w:jc w:val="both"/>
              <w:rPr>
                <w:rFonts w:ascii="宋体" w:hAnsi="宋体" w:cs="宋体" w:eastAsia="宋体" w:hint="default"/>
                <w:sz w:val="18"/>
                <w:szCs w:val="18"/>
              </w:rPr>
            </w:pPr>
            <w:r>
              <w:rPr>
                <w:rFonts w:ascii="宋体" w:hAnsi="宋体" w:cs="宋体" w:eastAsia="宋体" w:hint="default"/>
                <w:sz w:val="18"/>
                <w:szCs w:val="18"/>
              </w:rPr>
              <w:t>每年解除</w:t>
            </w:r>
            <w:r>
              <w:rPr>
                <w:rFonts w:ascii="宋体" w:hAnsi="宋体" w:cs="宋体" w:eastAsia="宋体" w:hint="default"/>
                <w:spacing w:val="-58"/>
                <w:sz w:val="18"/>
                <w:szCs w:val="18"/>
              </w:rPr>
              <w:t> </w:t>
            </w:r>
            <w:r>
              <w:rPr>
                <w:rFonts w:ascii="Arial" w:hAnsi="Arial" w:cs="Arial" w:eastAsia="Arial" w:hint="default"/>
                <w:spacing w:val="-13"/>
                <w:sz w:val="18"/>
                <w:szCs w:val="18"/>
              </w:rPr>
              <w:t>25%</w:t>
            </w:r>
            <w:r>
              <w:rPr>
                <w:rFonts w:ascii="宋体" w:hAnsi="宋体" w:cs="宋体" w:eastAsia="宋体" w:hint="default"/>
                <w:spacing w:val="-13"/>
                <w:sz w:val="18"/>
                <w:szCs w:val="18"/>
              </w:rPr>
              <w:t>，新增</w:t>
            </w:r>
            <w:r>
              <w:rPr>
                <w:rFonts w:ascii="宋体" w:hAnsi="宋体" w:cs="宋体" w:eastAsia="宋体" w:hint="default"/>
                <w:sz w:val="18"/>
                <w:szCs w:val="18"/>
              </w:rPr>
              <w:t> 持股票</w:t>
            </w:r>
            <w:r>
              <w:rPr>
                <w:rFonts w:ascii="宋体" w:hAnsi="宋体" w:cs="宋体" w:eastAsia="宋体" w:hint="default"/>
                <w:spacing w:val="-48"/>
                <w:sz w:val="18"/>
                <w:szCs w:val="18"/>
              </w:rPr>
              <w:t> </w:t>
            </w:r>
            <w:r>
              <w:rPr>
                <w:rFonts w:ascii="Arial" w:hAnsi="Arial" w:cs="Arial" w:eastAsia="Arial" w:hint="default"/>
                <w:sz w:val="18"/>
                <w:szCs w:val="18"/>
              </w:rPr>
              <w:t>2016</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3</w:t>
            </w:r>
            <w:r>
              <w:rPr>
                <w:rFonts w:ascii="Arial" w:hAnsi="Arial" w:cs="Arial" w:eastAsia="Arial" w:hint="default"/>
                <w:spacing w:val="-8"/>
                <w:sz w:val="18"/>
                <w:szCs w:val="18"/>
              </w:rPr>
              <w:t> </w:t>
            </w:r>
            <w:r>
              <w:rPr>
                <w:rFonts w:ascii="宋体" w:hAnsi="宋体" w:cs="宋体" w:eastAsia="宋体" w:hint="default"/>
                <w:sz w:val="18"/>
                <w:szCs w:val="18"/>
              </w:rPr>
              <w:t>月 解除限制</w:t>
            </w:r>
          </w:p>
        </w:tc>
      </w:tr>
      <w:tr>
        <w:trPr>
          <w:trHeight w:val="391" w:hRule="exact"/>
        </w:trPr>
        <w:tc>
          <w:tcPr>
            <w:tcW w:w="1113"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14" w:right="0"/>
              <w:jc w:val="left"/>
              <w:rPr>
                <w:rFonts w:ascii="宋体" w:hAnsi="宋体" w:cs="宋体" w:eastAsia="宋体" w:hint="default"/>
                <w:sz w:val="18"/>
                <w:szCs w:val="18"/>
              </w:rPr>
            </w:pPr>
            <w:r>
              <w:rPr>
                <w:rFonts w:ascii="宋体" w:hAnsi="宋体" w:cs="宋体" w:eastAsia="宋体" w:hint="default"/>
                <w:sz w:val="18"/>
                <w:szCs w:val="18"/>
              </w:rPr>
              <w:t>黄绍武</w:t>
            </w:r>
          </w:p>
        </w:tc>
        <w:tc>
          <w:tcPr>
            <w:tcW w:w="1439" w:type="dxa"/>
            <w:vMerge/>
            <w:tcBorders>
              <w:left w:val="nil" w:sz="6" w:space="0" w:color="auto"/>
              <w:right w:val="nil" w:sz="6" w:space="0" w:color="auto"/>
            </w:tcBorders>
          </w:tcPr>
          <w:p>
            <w:pPr/>
          </w:p>
        </w:tc>
        <w:tc>
          <w:tcPr>
            <w:tcW w:w="1256"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19"/>
              <w:jc w:val="right"/>
              <w:rPr>
                <w:rFonts w:ascii="Arial" w:hAnsi="Arial" w:cs="Arial" w:eastAsia="Arial" w:hint="default"/>
                <w:sz w:val="18"/>
                <w:szCs w:val="18"/>
              </w:rPr>
            </w:pPr>
            <w:r>
              <w:rPr>
                <w:rFonts w:ascii="Arial"/>
                <w:w w:val="95"/>
                <w:sz w:val="18"/>
              </w:rPr>
              <w:t>137,853</w:t>
            </w:r>
            <w:r>
              <w:rPr>
                <w:rFonts w:ascii="Arial"/>
                <w:sz w:val="18"/>
              </w:rPr>
            </w:r>
          </w:p>
        </w:tc>
        <w:tc>
          <w:tcPr>
            <w:tcW w:w="1296" w:type="dxa"/>
            <w:vMerge/>
            <w:tcBorders>
              <w:left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19"/>
              <w:jc w:val="right"/>
              <w:rPr>
                <w:rFonts w:ascii="Arial" w:hAnsi="Arial" w:cs="Arial" w:eastAsia="Arial" w:hint="default"/>
                <w:sz w:val="18"/>
                <w:szCs w:val="18"/>
              </w:rPr>
            </w:pPr>
            <w:r>
              <w:rPr>
                <w:rFonts w:ascii="Arial"/>
                <w:w w:val="95"/>
                <w:sz w:val="18"/>
              </w:rPr>
              <w:t>11,826,519</w:t>
            </w:r>
            <w:r>
              <w:rPr>
                <w:rFonts w:ascii="Arial"/>
                <w:sz w:val="18"/>
              </w:rPr>
            </w:r>
          </w:p>
        </w:tc>
        <w:tc>
          <w:tcPr>
            <w:tcW w:w="1574" w:type="dxa"/>
            <w:vMerge/>
            <w:tcBorders>
              <w:left w:val="nil" w:sz="6" w:space="0" w:color="auto"/>
              <w:right w:val="single" w:sz="11" w:space="0" w:color="DEEAF6"/>
            </w:tcBorders>
          </w:tcPr>
          <w:p>
            <w:pPr/>
          </w:p>
        </w:tc>
        <w:tc>
          <w:tcPr>
            <w:tcW w:w="1612" w:type="dxa"/>
            <w:vMerge/>
            <w:tcBorders>
              <w:left w:val="nil" w:sz="6" w:space="0" w:color="auto"/>
              <w:right w:val="nil" w:sz="6" w:space="0" w:color="auto"/>
            </w:tcBorders>
            <w:shd w:val="clear" w:color="auto" w:fill="DEEAF6"/>
          </w:tcPr>
          <w:p>
            <w:pPr/>
          </w:p>
        </w:tc>
      </w:tr>
      <w:tr>
        <w:trPr>
          <w:trHeight w:val="317" w:hRule="exact"/>
        </w:trPr>
        <w:tc>
          <w:tcPr>
            <w:tcW w:w="1113" w:type="dxa"/>
            <w:tcBorders>
              <w:top w:val="nil" w:sz="6" w:space="0" w:color="auto"/>
              <w:left w:val="nil" w:sz="6" w:space="0" w:color="auto"/>
              <w:bottom w:val="single" w:sz="4" w:space="0" w:color="5B9BD4"/>
              <w:right w:val="nil" w:sz="6" w:space="0" w:color="auto"/>
            </w:tcBorders>
            <w:shd w:val="clear" w:color="auto" w:fill="DEEAF6"/>
          </w:tcPr>
          <w:p>
            <w:pPr/>
          </w:p>
        </w:tc>
        <w:tc>
          <w:tcPr>
            <w:tcW w:w="1439" w:type="dxa"/>
            <w:vMerge/>
            <w:tcBorders>
              <w:left w:val="nil" w:sz="6" w:space="0" w:color="auto"/>
              <w:bottom w:val="single" w:sz="4" w:space="0" w:color="5B9BD4"/>
              <w:right w:val="nil" w:sz="6" w:space="0" w:color="auto"/>
            </w:tcBorders>
          </w:tcPr>
          <w:p>
            <w:pPr/>
          </w:p>
        </w:tc>
        <w:tc>
          <w:tcPr>
            <w:tcW w:w="1256" w:type="dxa"/>
            <w:tcBorders>
              <w:top w:val="nil" w:sz="6" w:space="0" w:color="auto"/>
              <w:left w:val="nil" w:sz="6" w:space="0" w:color="auto"/>
              <w:bottom w:val="single" w:sz="4" w:space="0" w:color="5B9BD4"/>
              <w:right w:val="nil" w:sz="6" w:space="0" w:color="auto"/>
            </w:tcBorders>
            <w:shd w:val="clear" w:color="auto" w:fill="DEEAF6"/>
          </w:tcPr>
          <w:p>
            <w:pPr/>
          </w:p>
        </w:tc>
        <w:tc>
          <w:tcPr>
            <w:tcW w:w="1296" w:type="dxa"/>
            <w:vMerge/>
            <w:tcBorders>
              <w:left w:val="nil" w:sz="6" w:space="0" w:color="auto"/>
              <w:bottom w:val="single" w:sz="4" w:space="0" w:color="5B9BD4"/>
              <w:right w:val="nil" w:sz="6" w:space="0" w:color="auto"/>
            </w:tcBorders>
          </w:tcPr>
          <w:p>
            <w:pPr/>
          </w:p>
        </w:tc>
        <w:tc>
          <w:tcPr>
            <w:tcW w:w="1255" w:type="dxa"/>
            <w:tcBorders>
              <w:top w:val="nil" w:sz="6" w:space="0" w:color="auto"/>
              <w:left w:val="nil" w:sz="6" w:space="0" w:color="auto"/>
              <w:bottom w:val="single" w:sz="4" w:space="0" w:color="5B9BD4"/>
              <w:right w:val="nil" w:sz="6" w:space="0" w:color="auto"/>
            </w:tcBorders>
            <w:shd w:val="clear" w:color="auto" w:fill="DEEAF6"/>
          </w:tcPr>
          <w:p>
            <w:pPr/>
          </w:p>
        </w:tc>
        <w:tc>
          <w:tcPr>
            <w:tcW w:w="1574" w:type="dxa"/>
            <w:vMerge/>
            <w:tcBorders>
              <w:left w:val="nil" w:sz="6" w:space="0" w:color="auto"/>
              <w:bottom w:val="single" w:sz="4" w:space="0" w:color="5B9BD4"/>
              <w:right w:val="single" w:sz="11" w:space="0" w:color="DEEAF6"/>
            </w:tcBorders>
          </w:tcPr>
          <w:p>
            <w:pPr/>
          </w:p>
        </w:tc>
        <w:tc>
          <w:tcPr>
            <w:tcW w:w="1612" w:type="dxa"/>
            <w:vMerge/>
            <w:tcBorders>
              <w:left w:val="nil" w:sz="6" w:space="0" w:color="auto"/>
              <w:bottom w:val="single" w:sz="4" w:space="0" w:color="5B9BD4"/>
              <w:right w:val="nil" w:sz="6" w:space="0" w:color="auto"/>
            </w:tcBorders>
            <w:shd w:val="clear" w:color="auto" w:fill="DEEAF6"/>
          </w:tcPr>
          <w:p>
            <w:pPr/>
          </w:p>
        </w:tc>
      </w:tr>
      <w:tr>
        <w:trPr>
          <w:trHeight w:val="162" w:hRule="exact"/>
        </w:trPr>
        <w:tc>
          <w:tcPr>
            <w:tcW w:w="1113" w:type="dxa"/>
            <w:tcBorders>
              <w:top w:val="single" w:sz="4" w:space="0" w:color="5B9BD4"/>
              <w:left w:val="nil" w:sz="6" w:space="0" w:color="auto"/>
              <w:bottom w:val="nil" w:sz="6" w:space="0" w:color="auto"/>
              <w:right w:val="nil" w:sz="6" w:space="0" w:color="auto"/>
            </w:tcBorders>
            <w:shd w:val="clear" w:color="auto" w:fill="DEEAF6"/>
          </w:tcPr>
          <w:p>
            <w:pPr/>
          </w:p>
        </w:tc>
        <w:tc>
          <w:tcPr>
            <w:tcW w:w="1439" w:type="dxa"/>
            <w:vMerge w:val="restart"/>
            <w:tcBorders>
              <w:top w:val="single" w:sz="4" w:space="0" w:color="5B9BD4"/>
              <w:left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99" w:right="0"/>
              <w:jc w:val="left"/>
              <w:rPr>
                <w:rFonts w:ascii="Arial" w:hAnsi="Arial" w:cs="Arial" w:eastAsia="Arial" w:hint="default"/>
                <w:sz w:val="18"/>
                <w:szCs w:val="18"/>
              </w:rPr>
            </w:pPr>
            <w:r>
              <w:rPr>
                <w:rFonts w:ascii="Arial"/>
                <w:sz w:val="18"/>
              </w:rPr>
              <w:t>9,249,000</w:t>
            </w:r>
          </w:p>
        </w:tc>
        <w:tc>
          <w:tcPr>
            <w:tcW w:w="1256" w:type="dxa"/>
            <w:tcBorders>
              <w:top w:val="single" w:sz="4" w:space="0" w:color="5B9BD4"/>
              <w:left w:val="nil" w:sz="6" w:space="0" w:color="auto"/>
              <w:bottom w:val="nil" w:sz="6" w:space="0" w:color="auto"/>
              <w:right w:val="nil" w:sz="6" w:space="0" w:color="auto"/>
            </w:tcBorders>
            <w:shd w:val="clear" w:color="auto" w:fill="DEEAF6"/>
          </w:tcPr>
          <w:p>
            <w:pPr/>
          </w:p>
        </w:tc>
        <w:tc>
          <w:tcPr>
            <w:tcW w:w="1296" w:type="dxa"/>
            <w:vMerge w:val="restart"/>
            <w:tcBorders>
              <w:top w:val="single" w:sz="4" w:space="0" w:color="5B9BD4"/>
              <w:left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06" w:right="0"/>
              <w:jc w:val="left"/>
              <w:rPr>
                <w:rFonts w:ascii="Arial" w:hAnsi="Arial" w:cs="Arial" w:eastAsia="Arial" w:hint="default"/>
                <w:sz w:val="18"/>
                <w:szCs w:val="18"/>
              </w:rPr>
            </w:pPr>
            <w:r>
              <w:rPr>
                <w:rFonts w:ascii="Arial"/>
                <w:sz w:val="18"/>
              </w:rPr>
              <w:t>183,500</w:t>
            </w:r>
          </w:p>
        </w:tc>
        <w:tc>
          <w:tcPr>
            <w:tcW w:w="1255" w:type="dxa"/>
            <w:tcBorders>
              <w:top w:val="single" w:sz="4" w:space="0" w:color="5B9BD4"/>
              <w:left w:val="nil" w:sz="6" w:space="0" w:color="auto"/>
              <w:bottom w:val="nil" w:sz="6" w:space="0" w:color="auto"/>
              <w:right w:val="nil" w:sz="6" w:space="0" w:color="auto"/>
            </w:tcBorders>
            <w:shd w:val="clear" w:color="auto" w:fill="DEEAF6"/>
          </w:tcPr>
          <w:p>
            <w:pPr/>
          </w:p>
        </w:tc>
        <w:tc>
          <w:tcPr>
            <w:tcW w:w="1574" w:type="dxa"/>
            <w:vMerge w:val="restart"/>
            <w:tcBorders>
              <w:top w:val="single" w:sz="4" w:space="0" w:color="5B9BD4"/>
              <w:left w:val="nil" w:sz="6" w:space="0" w:color="auto"/>
              <w:right w:val="single" w:sz="11" w:space="0" w:color="DEEAF6"/>
            </w:tcBorders>
          </w:tcPr>
          <w:p>
            <w:pPr>
              <w:pStyle w:val="TableParagraph"/>
              <w:spacing w:line="316" w:lineRule="auto" w:before="47"/>
              <w:ind w:left="35" w:right="21"/>
              <w:jc w:val="left"/>
              <w:rPr>
                <w:rFonts w:ascii="宋体" w:hAnsi="宋体" w:cs="宋体" w:eastAsia="宋体" w:hint="default"/>
                <w:sz w:val="18"/>
                <w:szCs w:val="18"/>
              </w:rPr>
            </w:pPr>
            <w:r>
              <w:rPr>
                <w:rFonts w:ascii="宋体" w:hAnsi="宋体" w:cs="宋体" w:eastAsia="宋体" w:hint="default"/>
                <w:spacing w:val="7"/>
                <w:sz w:val="18"/>
                <w:szCs w:val="18"/>
              </w:rPr>
              <w:t>高管锁定股、股权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激励限售股</w:t>
            </w:r>
          </w:p>
        </w:tc>
        <w:tc>
          <w:tcPr>
            <w:tcW w:w="1612" w:type="dxa"/>
            <w:vMerge w:val="restart"/>
            <w:tcBorders>
              <w:top w:val="single" w:sz="4" w:space="0" w:color="5B9BD4"/>
              <w:left w:val="nil" w:sz="6" w:space="0" w:color="auto"/>
              <w:right w:val="nil" w:sz="6" w:space="0" w:color="auto"/>
            </w:tcBorders>
            <w:shd w:val="clear" w:color="auto" w:fill="DEEAF6"/>
          </w:tcPr>
          <w:p>
            <w:pPr>
              <w:pStyle w:val="TableParagraph"/>
              <w:spacing w:line="302" w:lineRule="auto" w:before="47"/>
              <w:ind w:left="21" w:right="11"/>
              <w:jc w:val="left"/>
              <w:rPr>
                <w:rFonts w:ascii="Arial" w:hAnsi="Arial" w:cs="Arial" w:eastAsia="Arial" w:hint="default"/>
                <w:sz w:val="18"/>
                <w:szCs w:val="18"/>
              </w:rPr>
            </w:pPr>
            <w:r>
              <w:rPr>
                <w:rFonts w:ascii="宋体" w:hAnsi="宋体" w:cs="宋体" w:eastAsia="宋体" w:hint="default"/>
                <w:sz w:val="18"/>
                <w:szCs w:val="18"/>
              </w:rPr>
              <w:t>每年解除</w:t>
            </w:r>
            <w:r>
              <w:rPr>
                <w:rFonts w:ascii="宋体" w:hAnsi="宋体" w:cs="宋体" w:eastAsia="宋体" w:hint="default"/>
                <w:spacing w:val="-58"/>
                <w:sz w:val="18"/>
                <w:szCs w:val="18"/>
              </w:rPr>
              <w:t> </w:t>
            </w:r>
            <w:r>
              <w:rPr>
                <w:rFonts w:ascii="Arial" w:hAnsi="Arial" w:cs="Arial" w:eastAsia="Arial" w:hint="default"/>
                <w:spacing w:val="-13"/>
                <w:sz w:val="18"/>
                <w:szCs w:val="18"/>
              </w:rPr>
              <w:t>25%</w:t>
            </w:r>
            <w:r>
              <w:rPr>
                <w:rFonts w:ascii="宋体" w:hAnsi="宋体" w:cs="宋体" w:eastAsia="宋体" w:hint="default"/>
                <w:spacing w:val="-13"/>
                <w:sz w:val="18"/>
                <w:szCs w:val="18"/>
              </w:rPr>
              <w:t>，不符</w:t>
            </w:r>
            <w:r>
              <w:rPr>
                <w:rFonts w:ascii="宋体" w:hAnsi="宋体" w:cs="宋体" w:eastAsia="宋体" w:hint="default"/>
                <w:sz w:val="18"/>
                <w:szCs w:val="18"/>
              </w:rPr>
              <w:t> </w:t>
            </w:r>
            <w:r>
              <w:rPr>
                <w:rFonts w:ascii="宋体" w:hAnsi="宋体" w:cs="宋体" w:eastAsia="宋体" w:hint="default"/>
                <w:w w:val="105"/>
                <w:sz w:val="18"/>
                <w:szCs w:val="18"/>
              </w:rPr>
              <w:t>合解锁条件</w:t>
            </w:r>
            <w:r>
              <w:rPr>
                <w:rFonts w:ascii="Arial" w:hAnsi="Arial" w:cs="Arial" w:eastAsia="Arial" w:hint="default"/>
                <w:w w:val="105"/>
                <w:sz w:val="18"/>
                <w:szCs w:val="18"/>
              </w:rPr>
              <w:t>[</w:t>
            </w:r>
            <w:r>
              <w:rPr>
                <w:rFonts w:ascii="宋体" w:hAnsi="宋体" w:cs="宋体" w:eastAsia="宋体" w:hint="default"/>
                <w:w w:val="105"/>
                <w:sz w:val="18"/>
                <w:szCs w:val="18"/>
              </w:rPr>
              <w:t>注</w:t>
            </w:r>
            <w:r>
              <w:rPr>
                <w:rFonts w:ascii="Arial" w:hAnsi="Arial" w:cs="Arial" w:eastAsia="Arial" w:hint="default"/>
                <w:w w:val="105"/>
                <w:sz w:val="18"/>
                <w:szCs w:val="18"/>
              </w:rPr>
              <w:t>]</w:t>
            </w:r>
            <w:r>
              <w:rPr>
                <w:rFonts w:ascii="Arial" w:hAnsi="Arial" w:cs="Arial" w:eastAsia="Arial" w:hint="default"/>
                <w:sz w:val="18"/>
                <w:szCs w:val="18"/>
              </w:rPr>
            </w:r>
          </w:p>
        </w:tc>
      </w:tr>
      <w:tr>
        <w:trPr>
          <w:trHeight w:val="391" w:hRule="exact"/>
        </w:trPr>
        <w:tc>
          <w:tcPr>
            <w:tcW w:w="1113"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14" w:right="0"/>
              <w:jc w:val="left"/>
              <w:rPr>
                <w:rFonts w:ascii="宋体" w:hAnsi="宋体" w:cs="宋体" w:eastAsia="宋体" w:hint="default"/>
                <w:sz w:val="18"/>
                <w:szCs w:val="18"/>
              </w:rPr>
            </w:pPr>
            <w:r>
              <w:rPr>
                <w:rFonts w:ascii="宋体" w:hAnsi="宋体" w:cs="宋体" w:eastAsia="宋体" w:hint="default"/>
                <w:sz w:val="18"/>
                <w:szCs w:val="18"/>
              </w:rPr>
              <w:t>黄文辉</w:t>
            </w:r>
          </w:p>
        </w:tc>
        <w:tc>
          <w:tcPr>
            <w:tcW w:w="1439" w:type="dxa"/>
            <w:vMerge/>
            <w:tcBorders>
              <w:left w:val="nil" w:sz="6" w:space="0" w:color="auto"/>
              <w:right w:val="nil" w:sz="6" w:space="0" w:color="auto"/>
            </w:tcBorders>
          </w:tcPr>
          <w:p>
            <w:pPr/>
          </w:p>
        </w:tc>
        <w:tc>
          <w:tcPr>
            <w:tcW w:w="1256"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19"/>
              <w:jc w:val="right"/>
              <w:rPr>
                <w:rFonts w:ascii="Arial" w:hAnsi="Arial" w:cs="Arial" w:eastAsia="Arial" w:hint="default"/>
                <w:sz w:val="18"/>
                <w:szCs w:val="18"/>
              </w:rPr>
            </w:pPr>
            <w:r>
              <w:rPr>
                <w:rFonts w:ascii="Arial"/>
                <w:w w:val="95"/>
                <w:sz w:val="18"/>
              </w:rPr>
              <w:t>45,875</w:t>
            </w:r>
            <w:r>
              <w:rPr>
                <w:rFonts w:ascii="Arial"/>
                <w:sz w:val="18"/>
              </w:rPr>
            </w:r>
          </w:p>
        </w:tc>
        <w:tc>
          <w:tcPr>
            <w:tcW w:w="1296" w:type="dxa"/>
            <w:vMerge/>
            <w:tcBorders>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18"/>
              <w:jc w:val="right"/>
              <w:rPr>
                <w:rFonts w:ascii="Arial" w:hAnsi="Arial" w:cs="Arial" w:eastAsia="Arial" w:hint="default"/>
                <w:sz w:val="18"/>
                <w:szCs w:val="18"/>
              </w:rPr>
            </w:pPr>
            <w:r>
              <w:rPr>
                <w:rFonts w:ascii="Arial"/>
                <w:w w:val="95"/>
                <w:sz w:val="18"/>
              </w:rPr>
              <w:t>9,386,625</w:t>
            </w:r>
            <w:r>
              <w:rPr>
                <w:rFonts w:ascii="Arial"/>
                <w:sz w:val="18"/>
              </w:rPr>
            </w:r>
          </w:p>
        </w:tc>
        <w:tc>
          <w:tcPr>
            <w:tcW w:w="1574" w:type="dxa"/>
            <w:vMerge/>
            <w:tcBorders>
              <w:left w:val="nil" w:sz="6" w:space="0" w:color="auto"/>
              <w:right w:val="single" w:sz="11" w:space="0" w:color="DEEAF6"/>
            </w:tcBorders>
          </w:tcPr>
          <w:p>
            <w:pPr/>
          </w:p>
        </w:tc>
        <w:tc>
          <w:tcPr>
            <w:tcW w:w="1612" w:type="dxa"/>
            <w:vMerge/>
            <w:tcBorders>
              <w:left w:val="nil" w:sz="6" w:space="0" w:color="auto"/>
              <w:right w:val="nil" w:sz="6" w:space="0" w:color="auto"/>
            </w:tcBorders>
            <w:shd w:val="clear" w:color="auto" w:fill="DEEAF6"/>
          </w:tcPr>
          <w:p>
            <w:pPr/>
          </w:p>
        </w:tc>
      </w:tr>
      <w:tr>
        <w:trPr>
          <w:trHeight w:val="161" w:hRule="exact"/>
        </w:trPr>
        <w:tc>
          <w:tcPr>
            <w:tcW w:w="1113" w:type="dxa"/>
            <w:tcBorders>
              <w:top w:val="nil" w:sz="6" w:space="0" w:color="auto"/>
              <w:left w:val="nil" w:sz="6" w:space="0" w:color="auto"/>
              <w:bottom w:val="single" w:sz="4" w:space="0" w:color="5B9BD4"/>
              <w:right w:val="nil" w:sz="6" w:space="0" w:color="auto"/>
            </w:tcBorders>
            <w:shd w:val="clear" w:color="auto" w:fill="DEEAF6"/>
          </w:tcPr>
          <w:p>
            <w:pPr/>
          </w:p>
        </w:tc>
        <w:tc>
          <w:tcPr>
            <w:tcW w:w="1439" w:type="dxa"/>
            <w:vMerge/>
            <w:tcBorders>
              <w:left w:val="nil" w:sz="6" w:space="0" w:color="auto"/>
              <w:bottom w:val="single" w:sz="4" w:space="0" w:color="5B9BD4"/>
              <w:right w:val="nil" w:sz="6" w:space="0" w:color="auto"/>
            </w:tcBorders>
          </w:tcPr>
          <w:p>
            <w:pPr/>
          </w:p>
        </w:tc>
        <w:tc>
          <w:tcPr>
            <w:tcW w:w="2552" w:type="dxa"/>
            <w:gridSpan w:val="2"/>
            <w:tcBorders>
              <w:top w:val="nil" w:sz="6" w:space="0" w:color="auto"/>
              <w:left w:val="nil" w:sz="6" w:space="0" w:color="auto"/>
              <w:bottom w:val="single" w:sz="4" w:space="0" w:color="5B9BD4"/>
              <w:right w:val="nil" w:sz="6" w:space="0" w:color="auto"/>
            </w:tcBorders>
            <w:shd w:val="clear" w:color="auto" w:fill="DEEAF6"/>
          </w:tcPr>
          <w:p>
            <w:pPr/>
          </w:p>
        </w:tc>
        <w:tc>
          <w:tcPr>
            <w:tcW w:w="1255" w:type="dxa"/>
            <w:tcBorders>
              <w:top w:val="nil" w:sz="6" w:space="0" w:color="auto"/>
              <w:left w:val="nil" w:sz="6" w:space="0" w:color="auto"/>
              <w:bottom w:val="single" w:sz="4" w:space="0" w:color="5B9BD4"/>
              <w:right w:val="nil" w:sz="6" w:space="0" w:color="auto"/>
            </w:tcBorders>
            <w:shd w:val="clear" w:color="auto" w:fill="DEEAF6"/>
          </w:tcPr>
          <w:p>
            <w:pPr/>
          </w:p>
        </w:tc>
        <w:tc>
          <w:tcPr>
            <w:tcW w:w="1574" w:type="dxa"/>
            <w:vMerge/>
            <w:tcBorders>
              <w:left w:val="nil" w:sz="6" w:space="0" w:color="auto"/>
              <w:bottom w:val="single" w:sz="4" w:space="0" w:color="5B9BD4"/>
              <w:right w:val="single" w:sz="11" w:space="0" w:color="DEEAF6"/>
            </w:tcBorders>
          </w:tcPr>
          <w:p>
            <w:pPr/>
          </w:p>
        </w:tc>
        <w:tc>
          <w:tcPr>
            <w:tcW w:w="1612" w:type="dxa"/>
            <w:vMerge/>
            <w:tcBorders>
              <w:left w:val="nil" w:sz="6" w:space="0" w:color="auto"/>
              <w:bottom w:val="single" w:sz="4" w:space="0" w:color="5B9BD4"/>
              <w:right w:val="nil" w:sz="6" w:space="0" w:color="auto"/>
            </w:tcBorders>
            <w:shd w:val="clear" w:color="auto" w:fill="DEEAF6"/>
          </w:tcPr>
          <w:p>
            <w:pPr/>
          </w:p>
        </w:tc>
      </w:tr>
      <w:tr>
        <w:trPr>
          <w:trHeight w:val="403" w:hRule="exact"/>
        </w:trPr>
        <w:tc>
          <w:tcPr>
            <w:tcW w:w="111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4" w:right="0"/>
              <w:jc w:val="left"/>
              <w:rPr>
                <w:rFonts w:ascii="宋体" w:hAnsi="宋体" w:cs="宋体" w:eastAsia="宋体" w:hint="default"/>
                <w:sz w:val="18"/>
                <w:szCs w:val="18"/>
              </w:rPr>
            </w:pPr>
            <w:r>
              <w:rPr>
                <w:rFonts w:ascii="宋体" w:hAnsi="宋体" w:cs="宋体" w:eastAsia="宋体" w:hint="default"/>
                <w:sz w:val="18"/>
                <w:szCs w:val="18"/>
              </w:rPr>
              <w:t>夏小华</w:t>
            </w:r>
          </w:p>
        </w:tc>
        <w:tc>
          <w:tcPr>
            <w:tcW w:w="1439"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89"/>
              <w:ind w:left="585" w:right="0"/>
              <w:jc w:val="left"/>
              <w:rPr>
                <w:rFonts w:ascii="Arial" w:hAnsi="Arial" w:cs="Arial" w:eastAsia="Arial" w:hint="default"/>
                <w:sz w:val="18"/>
                <w:szCs w:val="18"/>
              </w:rPr>
            </w:pPr>
            <w:r>
              <w:rPr>
                <w:rFonts w:ascii="Arial"/>
                <w:sz w:val="18"/>
              </w:rPr>
              <w:t>4,604,803</w:t>
            </w:r>
          </w:p>
        </w:tc>
        <w:tc>
          <w:tcPr>
            <w:tcW w:w="125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9"/>
              <w:ind w:right="19"/>
              <w:jc w:val="right"/>
              <w:rPr>
                <w:rFonts w:ascii="Arial" w:hAnsi="Arial" w:cs="Arial" w:eastAsia="Arial" w:hint="default"/>
                <w:sz w:val="18"/>
                <w:szCs w:val="18"/>
              </w:rPr>
            </w:pPr>
            <w:r>
              <w:rPr>
                <w:rFonts w:ascii="Arial"/>
                <w:w w:val="95"/>
                <w:sz w:val="18"/>
              </w:rPr>
              <w:t>1,200,301</w:t>
            </w:r>
            <w:r>
              <w:rPr>
                <w:rFonts w:ascii="Arial"/>
                <w:sz w:val="18"/>
              </w:rPr>
            </w:r>
          </w:p>
        </w:tc>
        <w:tc>
          <w:tcPr>
            <w:tcW w:w="1296"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89"/>
              <w:ind w:left="591" w:right="0"/>
              <w:jc w:val="left"/>
              <w:rPr>
                <w:rFonts w:ascii="Arial" w:hAnsi="Arial" w:cs="Arial" w:eastAsia="Arial" w:hint="default"/>
                <w:sz w:val="18"/>
                <w:szCs w:val="18"/>
              </w:rPr>
            </w:pPr>
            <w:r>
              <w:rPr>
                <w:rFonts w:ascii="Arial"/>
                <w:sz w:val="18"/>
              </w:rPr>
              <w:t>196,400</w:t>
            </w:r>
          </w:p>
        </w:tc>
        <w:tc>
          <w:tcPr>
            <w:tcW w:w="125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9"/>
              <w:ind w:right="18"/>
              <w:jc w:val="right"/>
              <w:rPr>
                <w:rFonts w:ascii="Arial" w:hAnsi="Arial" w:cs="Arial" w:eastAsia="Arial" w:hint="default"/>
                <w:sz w:val="18"/>
                <w:szCs w:val="18"/>
              </w:rPr>
            </w:pPr>
            <w:r>
              <w:rPr>
                <w:rFonts w:ascii="Arial"/>
                <w:w w:val="95"/>
                <w:sz w:val="18"/>
              </w:rPr>
              <w:t>3,600,902</w:t>
            </w:r>
            <w:r>
              <w:rPr>
                <w:rFonts w:ascii="Arial"/>
                <w:sz w:val="18"/>
              </w:rPr>
            </w:r>
          </w:p>
        </w:tc>
        <w:tc>
          <w:tcPr>
            <w:tcW w:w="1574"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spacing w:val="7"/>
                <w:sz w:val="18"/>
                <w:szCs w:val="18"/>
              </w:rPr>
              <w:t>高管锁定股、股权</w:t>
            </w:r>
          </w:p>
        </w:tc>
        <w:tc>
          <w:tcPr>
            <w:tcW w:w="161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7"/>
              <w:ind w:left="7" w:right="0"/>
              <w:jc w:val="center"/>
              <w:rPr>
                <w:rFonts w:ascii="宋体" w:hAnsi="宋体" w:cs="宋体" w:eastAsia="宋体" w:hint="default"/>
                <w:sz w:val="18"/>
                <w:szCs w:val="18"/>
              </w:rPr>
            </w:pPr>
            <w:r>
              <w:rPr>
                <w:rFonts w:ascii="宋体" w:hAnsi="宋体" w:cs="宋体" w:eastAsia="宋体" w:hint="default"/>
                <w:sz w:val="18"/>
                <w:szCs w:val="18"/>
              </w:rPr>
              <w:t>每年解除</w:t>
            </w:r>
            <w:r>
              <w:rPr>
                <w:rFonts w:ascii="宋体" w:hAnsi="宋体" w:cs="宋体" w:eastAsia="宋体" w:hint="default"/>
                <w:spacing w:val="-60"/>
                <w:sz w:val="18"/>
                <w:szCs w:val="18"/>
              </w:rPr>
              <w:t> </w:t>
            </w:r>
            <w:r>
              <w:rPr>
                <w:rFonts w:ascii="Arial" w:hAnsi="Arial" w:cs="Arial" w:eastAsia="Arial" w:hint="default"/>
                <w:spacing w:val="-13"/>
                <w:sz w:val="18"/>
                <w:szCs w:val="18"/>
              </w:rPr>
              <w:t>25%</w:t>
            </w:r>
            <w:r>
              <w:rPr>
                <w:rFonts w:ascii="宋体" w:hAnsi="宋体" w:cs="宋体" w:eastAsia="宋体" w:hint="default"/>
                <w:spacing w:val="-13"/>
                <w:sz w:val="18"/>
                <w:szCs w:val="18"/>
              </w:rPr>
              <w:t>，不符</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134"/>
        <w:gridCol w:w="1418"/>
        <w:gridCol w:w="1277"/>
        <w:gridCol w:w="1274"/>
        <w:gridCol w:w="1276"/>
        <w:gridCol w:w="1574"/>
        <w:gridCol w:w="1618"/>
      </w:tblGrid>
      <w:tr>
        <w:trPr>
          <w:trHeight w:val="362" w:hRule="exact"/>
        </w:trPr>
        <w:tc>
          <w:tcPr>
            <w:tcW w:w="1134" w:type="dxa"/>
            <w:tcBorders>
              <w:top w:val="single" w:sz="4" w:space="0" w:color="5B9BD4"/>
              <w:left w:val="nil" w:sz="6" w:space="0" w:color="auto"/>
              <w:bottom w:val="single" w:sz="4" w:space="0" w:color="5B9BD4"/>
              <w:right w:val="nil" w:sz="6" w:space="0" w:color="auto"/>
            </w:tcBorders>
            <w:shd w:val="clear" w:color="auto" w:fill="DEEAF6"/>
          </w:tcPr>
          <w:p>
            <w:pPr/>
          </w:p>
        </w:tc>
        <w:tc>
          <w:tcPr>
            <w:tcW w:w="1418" w:type="dxa"/>
            <w:tcBorders>
              <w:top w:val="single" w:sz="4" w:space="0" w:color="5B9BD4"/>
              <w:left w:val="nil" w:sz="6" w:space="0" w:color="auto"/>
              <w:bottom w:val="single" w:sz="4" w:space="0" w:color="5B9BD4"/>
              <w:right w:val="nil" w:sz="6" w:space="0" w:color="auto"/>
            </w:tcBorders>
          </w:tcPr>
          <w:p>
            <w:pP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
        </w:tc>
        <w:tc>
          <w:tcPr>
            <w:tcW w:w="1274" w:type="dxa"/>
            <w:tcBorders>
              <w:top w:val="single" w:sz="4" w:space="0" w:color="5B9BD4"/>
              <w:left w:val="nil" w:sz="6" w:space="0" w:color="auto"/>
              <w:bottom w:val="single" w:sz="4" w:space="0" w:color="5B9BD4"/>
              <w:right w:val="nil" w:sz="6" w:space="0" w:color="auto"/>
            </w:tcBorders>
          </w:tcPr>
          <w:p>
            <w:pPr/>
          </w:p>
        </w:tc>
        <w:tc>
          <w:tcPr>
            <w:tcW w:w="1276" w:type="dxa"/>
            <w:tcBorders>
              <w:top w:val="single" w:sz="4" w:space="0" w:color="5B9BD4"/>
              <w:left w:val="nil" w:sz="6" w:space="0" w:color="auto"/>
              <w:bottom w:val="single" w:sz="4" w:space="0" w:color="5B9BD4"/>
              <w:right w:val="nil" w:sz="6" w:space="0" w:color="auto"/>
            </w:tcBorders>
            <w:shd w:val="clear" w:color="auto" w:fill="DEEAF6"/>
          </w:tcPr>
          <w:p>
            <w:pPr/>
          </w:p>
        </w:tc>
        <w:tc>
          <w:tcPr>
            <w:tcW w:w="1574" w:type="dxa"/>
            <w:tcBorders>
              <w:top w:val="single" w:sz="4" w:space="0" w:color="5B9BD4"/>
              <w:left w:val="nil" w:sz="6" w:space="0" w:color="auto"/>
              <w:bottom w:val="single" w:sz="4" w:space="0" w:color="5B9BD4"/>
              <w:right w:val="single" w:sz="11" w:space="0" w:color="DEEAF6"/>
            </w:tcBorders>
          </w:tcPr>
          <w:p>
            <w:pPr>
              <w:pStyle w:val="TableParagraph"/>
              <w:spacing w:line="240" w:lineRule="auto" w:before="7"/>
              <w:ind w:left="28" w:right="0"/>
              <w:jc w:val="left"/>
              <w:rPr>
                <w:rFonts w:ascii="宋体" w:hAnsi="宋体" w:cs="宋体" w:eastAsia="宋体" w:hint="default"/>
                <w:sz w:val="18"/>
                <w:szCs w:val="18"/>
              </w:rPr>
            </w:pPr>
            <w:r>
              <w:rPr>
                <w:rFonts w:ascii="宋体" w:hAnsi="宋体" w:cs="宋体" w:eastAsia="宋体" w:hint="default"/>
                <w:sz w:val="18"/>
                <w:szCs w:val="18"/>
              </w:rPr>
              <w:t>激励限售股</w:t>
            </w:r>
          </w:p>
        </w:tc>
        <w:tc>
          <w:tcPr>
            <w:tcW w:w="161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left="13" w:right="0"/>
              <w:jc w:val="left"/>
              <w:rPr>
                <w:rFonts w:ascii="Arial" w:hAnsi="Arial" w:cs="Arial" w:eastAsia="Arial" w:hint="default"/>
                <w:sz w:val="18"/>
                <w:szCs w:val="18"/>
              </w:rPr>
            </w:pPr>
            <w:r>
              <w:rPr>
                <w:rFonts w:ascii="宋体" w:hAnsi="宋体" w:cs="宋体" w:eastAsia="宋体" w:hint="default"/>
                <w:w w:val="105"/>
                <w:sz w:val="18"/>
                <w:szCs w:val="18"/>
              </w:rPr>
              <w:t>合解锁条件</w:t>
            </w:r>
            <w:r>
              <w:rPr>
                <w:rFonts w:ascii="Arial" w:hAnsi="Arial" w:cs="Arial" w:eastAsia="Arial" w:hint="default"/>
                <w:w w:val="105"/>
                <w:sz w:val="18"/>
                <w:szCs w:val="18"/>
              </w:rPr>
              <w:t>[</w:t>
            </w:r>
            <w:r>
              <w:rPr>
                <w:rFonts w:ascii="宋体" w:hAnsi="宋体" w:cs="宋体" w:eastAsia="宋体" w:hint="default"/>
                <w:w w:val="105"/>
                <w:sz w:val="18"/>
                <w:szCs w:val="18"/>
              </w:rPr>
              <w:t>注</w:t>
            </w:r>
            <w:r>
              <w:rPr>
                <w:rFonts w:ascii="Arial" w:hAnsi="Arial" w:cs="Arial" w:eastAsia="Arial" w:hint="default"/>
                <w:w w:val="105"/>
                <w:sz w:val="18"/>
                <w:szCs w:val="18"/>
              </w:rPr>
              <w:t>]</w:t>
            </w:r>
            <w:r>
              <w:rPr>
                <w:rFonts w:ascii="Arial" w:hAnsi="Arial" w:cs="Arial" w:eastAsia="Arial" w:hint="default"/>
                <w:sz w:val="18"/>
                <w:szCs w:val="18"/>
              </w:rPr>
            </w:r>
          </w:p>
        </w:tc>
      </w:tr>
      <w:tr>
        <w:trPr>
          <w:trHeight w:val="714" w:hRule="exact"/>
        </w:trPr>
        <w:tc>
          <w:tcPr>
            <w:tcW w:w="113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郭绪勇</w:t>
            </w:r>
          </w:p>
        </w:tc>
        <w:tc>
          <w:tcPr>
            <w:tcW w:w="1418"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5"/>
              <w:jc w:val="right"/>
              <w:rPr>
                <w:rFonts w:ascii="Arial" w:hAnsi="Arial" w:cs="Arial" w:eastAsia="Arial" w:hint="default"/>
                <w:sz w:val="18"/>
                <w:szCs w:val="18"/>
              </w:rPr>
            </w:pPr>
            <w:r>
              <w:rPr>
                <w:rFonts w:ascii="Arial"/>
                <w:w w:val="95"/>
                <w:sz w:val="18"/>
              </w:rPr>
              <w:t>3,042,500</w:t>
            </w:r>
            <w:r>
              <w:rPr>
                <w:rFonts w:ascii="Arial"/>
                <w:sz w:val="18"/>
              </w:rPr>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7"/>
              <w:jc w:val="right"/>
              <w:rPr>
                <w:rFonts w:ascii="Arial" w:hAnsi="Arial" w:cs="Arial" w:eastAsia="Arial" w:hint="default"/>
                <w:sz w:val="18"/>
                <w:szCs w:val="18"/>
              </w:rPr>
            </w:pPr>
            <w:r>
              <w:rPr>
                <w:rFonts w:ascii="Arial"/>
                <w:w w:val="95"/>
                <w:sz w:val="18"/>
              </w:rPr>
              <w:t>3,042,500</w:t>
            </w:r>
            <w:r>
              <w:rPr>
                <w:rFonts w:ascii="Arial"/>
                <w:sz w:val="18"/>
              </w:rPr>
            </w:r>
          </w:p>
        </w:tc>
        <w:tc>
          <w:tcPr>
            <w:tcW w:w="1274" w:type="dxa"/>
            <w:tcBorders>
              <w:top w:val="single" w:sz="4" w:space="0" w:color="5B9BD4"/>
              <w:left w:val="nil" w:sz="6" w:space="0" w:color="auto"/>
              <w:bottom w:val="single" w:sz="4" w:space="0" w:color="5B9BD4"/>
              <w:right w:val="nil" w:sz="6" w:space="0" w:color="auto"/>
            </w:tcBorders>
          </w:tcPr>
          <w:p>
            <w:pPr/>
          </w:p>
        </w:tc>
        <w:tc>
          <w:tcPr>
            <w:tcW w:w="1276" w:type="dxa"/>
            <w:tcBorders>
              <w:top w:val="single" w:sz="4" w:space="0" w:color="5B9BD4"/>
              <w:left w:val="nil" w:sz="6" w:space="0" w:color="auto"/>
              <w:bottom w:val="single" w:sz="4" w:space="0" w:color="5B9BD4"/>
              <w:right w:val="nil" w:sz="6" w:space="0" w:color="auto"/>
            </w:tcBorders>
            <w:shd w:val="clear" w:color="auto" w:fill="DEEAF6"/>
          </w:tcPr>
          <w:p>
            <w:pPr/>
          </w:p>
        </w:tc>
        <w:tc>
          <w:tcPr>
            <w:tcW w:w="1574" w:type="dxa"/>
            <w:tcBorders>
              <w:top w:val="single" w:sz="4" w:space="0" w:color="5B9BD4"/>
              <w:left w:val="nil" w:sz="6" w:space="0" w:color="auto"/>
              <w:bottom w:val="single" w:sz="4" w:space="0" w:color="5B9BD4"/>
              <w:right w:val="single" w:sz="11" w:space="0" w:color="DEEAF6"/>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61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2" w:lineRule="auto" w:before="46"/>
              <w:ind w:left="13" w:right="25"/>
              <w:jc w:val="left"/>
              <w:rPr>
                <w:rFonts w:ascii="宋体" w:hAnsi="宋体" w:cs="宋体" w:eastAsia="宋体" w:hint="default"/>
                <w:sz w:val="18"/>
                <w:szCs w:val="18"/>
              </w:rPr>
            </w:pPr>
            <w:r>
              <w:rPr>
                <w:rFonts w:ascii="宋体" w:hAnsi="宋体" w:cs="宋体" w:eastAsia="宋体" w:hint="default"/>
                <w:sz w:val="18"/>
                <w:szCs w:val="18"/>
              </w:rPr>
              <w:t>离职满 </w:t>
            </w:r>
            <w:r>
              <w:rPr>
                <w:rFonts w:ascii="Arial" w:hAnsi="Arial" w:cs="Arial" w:eastAsia="Arial" w:hint="default"/>
                <w:sz w:val="18"/>
                <w:szCs w:val="18"/>
              </w:rPr>
              <w:t>18</w:t>
            </w:r>
            <w:r>
              <w:rPr>
                <w:rFonts w:ascii="Arial" w:hAnsi="Arial" w:cs="Arial" w:eastAsia="Arial" w:hint="default"/>
                <w:spacing w:val="-26"/>
                <w:sz w:val="18"/>
                <w:szCs w:val="18"/>
              </w:rPr>
              <w:t> </w:t>
            </w:r>
            <w:r>
              <w:rPr>
                <w:rFonts w:ascii="宋体" w:hAnsi="宋体" w:cs="宋体" w:eastAsia="宋体" w:hint="default"/>
                <w:sz w:val="18"/>
                <w:szCs w:val="18"/>
              </w:rPr>
              <w:t>个月解除 限售</w:t>
            </w:r>
          </w:p>
        </w:tc>
      </w:tr>
      <w:tr>
        <w:trPr>
          <w:trHeight w:val="714" w:hRule="exact"/>
        </w:trPr>
        <w:tc>
          <w:tcPr>
            <w:tcW w:w="113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刘浩</w:t>
            </w:r>
          </w:p>
        </w:tc>
        <w:tc>
          <w:tcPr>
            <w:tcW w:w="1418" w:type="dxa"/>
            <w:tcBorders>
              <w:top w:val="single" w:sz="4" w:space="0" w:color="5B9BD4"/>
              <w:left w:val="nil" w:sz="6" w:space="0" w:color="auto"/>
              <w:bottom w:val="single" w:sz="4" w:space="0" w:color="5B9BD4"/>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5"/>
              <w:jc w:val="right"/>
              <w:rPr>
                <w:rFonts w:ascii="Arial" w:hAnsi="Arial" w:cs="Arial" w:eastAsia="Arial" w:hint="default"/>
                <w:sz w:val="18"/>
                <w:szCs w:val="18"/>
              </w:rPr>
            </w:pPr>
            <w:r>
              <w:rPr>
                <w:rFonts w:ascii="Arial"/>
                <w:w w:val="95"/>
                <w:sz w:val="18"/>
              </w:rPr>
              <w:t>1,342,000</w:t>
            </w:r>
            <w:r>
              <w:rPr>
                <w:rFonts w:ascii="Arial"/>
                <w:sz w:val="18"/>
              </w:rPr>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7"/>
              <w:jc w:val="right"/>
              <w:rPr>
                <w:rFonts w:ascii="Arial" w:hAnsi="Arial" w:cs="Arial" w:eastAsia="Arial" w:hint="default"/>
                <w:sz w:val="18"/>
                <w:szCs w:val="18"/>
              </w:rPr>
            </w:pPr>
            <w:r>
              <w:rPr>
                <w:rFonts w:ascii="Arial"/>
                <w:w w:val="95"/>
                <w:sz w:val="18"/>
              </w:rPr>
              <w:t>582,000</w:t>
            </w:r>
            <w:r>
              <w:rPr>
                <w:rFonts w:ascii="Arial"/>
                <w:sz w:val="18"/>
              </w:rPr>
            </w:r>
          </w:p>
        </w:tc>
        <w:tc>
          <w:tcPr>
            <w:tcW w:w="1274" w:type="dxa"/>
            <w:tcBorders>
              <w:top w:val="single" w:sz="4" w:space="0" w:color="5B9BD4"/>
              <w:left w:val="nil" w:sz="6" w:space="0" w:color="auto"/>
              <w:bottom w:val="single" w:sz="4" w:space="0" w:color="5B9BD4"/>
              <w:right w:val="nil" w:sz="6" w:space="0" w:color="auto"/>
            </w:tcBorders>
          </w:tcPr>
          <w:p>
            <w:pPr/>
          </w:p>
        </w:tc>
        <w:tc>
          <w:tcPr>
            <w:tcW w:w="127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5"/>
              <w:jc w:val="right"/>
              <w:rPr>
                <w:rFonts w:ascii="Arial" w:hAnsi="Arial" w:cs="Arial" w:eastAsia="Arial" w:hint="default"/>
                <w:sz w:val="18"/>
                <w:szCs w:val="18"/>
              </w:rPr>
            </w:pPr>
            <w:r>
              <w:rPr>
                <w:rFonts w:ascii="Arial"/>
                <w:w w:val="95"/>
                <w:sz w:val="18"/>
              </w:rPr>
              <w:t>760,000</w:t>
            </w:r>
            <w:r>
              <w:rPr>
                <w:rFonts w:ascii="Arial"/>
                <w:sz w:val="18"/>
              </w:rPr>
            </w:r>
          </w:p>
        </w:tc>
        <w:tc>
          <w:tcPr>
            <w:tcW w:w="1574" w:type="dxa"/>
            <w:tcBorders>
              <w:top w:val="single" w:sz="4" w:space="0" w:color="5B9BD4"/>
              <w:left w:val="nil" w:sz="6" w:space="0" w:color="auto"/>
              <w:bottom w:val="single" w:sz="4" w:space="0" w:color="5B9BD4"/>
              <w:right w:val="single" w:sz="11" w:space="0" w:color="DEEAF6"/>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61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2" w:lineRule="auto" w:before="46"/>
              <w:ind w:left="13" w:right="26"/>
              <w:jc w:val="left"/>
              <w:rPr>
                <w:rFonts w:ascii="宋体" w:hAnsi="宋体" w:cs="宋体" w:eastAsia="宋体" w:hint="default"/>
                <w:sz w:val="18"/>
                <w:szCs w:val="18"/>
              </w:rPr>
            </w:pPr>
            <w:r>
              <w:rPr>
                <w:rFonts w:ascii="宋体" w:hAnsi="宋体" w:cs="宋体" w:eastAsia="宋体" w:hint="default"/>
                <w:spacing w:val="2"/>
                <w:sz w:val="18"/>
                <w:szCs w:val="18"/>
              </w:rPr>
              <w:t>离职满 </w:t>
            </w:r>
            <w:r>
              <w:rPr>
                <w:rFonts w:ascii="Arial" w:hAnsi="Arial" w:cs="Arial" w:eastAsia="Arial" w:hint="default"/>
                <w:sz w:val="18"/>
                <w:szCs w:val="18"/>
              </w:rPr>
              <w:t>6</w:t>
            </w:r>
            <w:r>
              <w:rPr>
                <w:rFonts w:ascii="Arial" w:hAnsi="Arial" w:cs="Arial" w:eastAsia="Arial" w:hint="default"/>
                <w:spacing w:val="1"/>
                <w:sz w:val="18"/>
                <w:szCs w:val="18"/>
              </w:rPr>
              <w:t> </w:t>
            </w:r>
            <w:r>
              <w:rPr>
                <w:rFonts w:ascii="宋体" w:hAnsi="宋体" w:cs="宋体" w:eastAsia="宋体" w:hint="default"/>
                <w:spacing w:val="3"/>
                <w:sz w:val="18"/>
                <w:szCs w:val="18"/>
              </w:rPr>
              <w:t>个月解除</w:t>
            </w:r>
            <w:r>
              <w:rPr>
                <w:rFonts w:ascii="宋体" w:hAnsi="宋体" w:cs="宋体" w:eastAsia="宋体" w:hint="default"/>
                <w:sz w:val="18"/>
                <w:szCs w:val="18"/>
              </w:rPr>
              <w:t> </w:t>
            </w:r>
            <w:r>
              <w:rPr>
                <w:rFonts w:ascii="Arial" w:hAnsi="Arial" w:cs="Arial" w:eastAsia="Arial" w:hint="default"/>
                <w:sz w:val="18"/>
                <w:szCs w:val="18"/>
              </w:rPr>
              <w:t>50%</w:t>
            </w:r>
            <w:r>
              <w:rPr>
                <w:rFonts w:ascii="宋体" w:hAnsi="宋体" w:cs="宋体" w:eastAsia="宋体" w:hint="default"/>
                <w:sz w:val="18"/>
                <w:szCs w:val="18"/>
              </w:rPr>
              <w:t>限售</w:t>
            </w:r>
          </w:p>
        </w:tc>
      </w:tr>
      <w:tr>
        <w:trPr>
          <w:trHeight w:val="402" w:hRule="exact"/>
        </w:trPr>
        <w:tc>
          <w:tcPr>
            <w:tcW w:w="113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陈蓓</w:t>
            </w:r>
          </w:p>
        </w:tc>
        <w:tc>
          <w:tcPr>
            <w:tcW w:w="1418"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1,220,000</w:t>
            </w:r>
            <w:r>
              <w:rPr>
                <w:rFonts w:ascii="Arial"/>
                <w:sz w:val="18"/>
              </w:rPr>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
        </w:tc>
        <w:tc>
          <w:tcPr>
            <w:tcW w:w="1274" w:type="dxa"/>
            <w:tcBorders>
              <w:top w:val="single" w:sz="4" w:space="0" w:color="5B9BD4"/>
              <w:left w:val="nil" w:sz="6" w:space="0" w:color="auto"/>
              <w:bottom w:val="single" w:sz="4" w:space="0" w:color="5B9BD4"/>
              <w:right w:val="nil" w:sz="6" w:space="0" w:color="auto"/>
            </w:tcBorders>
          </w:tcPr>
          <w:p>
            <w:pPr/>
          </w:p>
        </w:tc>
        <w:tc>
          <w:tcPr>
            <w:tcW w:w="127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w w:val="95"/>
                <w:sz w:val="18"/>
              </w:rPr>
              <w:t>1,220,000</w:t>
            </w:r>
            <w:r>
              <w:rPr>
                <w:rFonts w:ascii="Arial"/>
                <w:sz w:val="18"/>
              </w:rPr>
            </w:r>
          </w:p>
        </w:tc>
        <w:tc>
          <w:tcPr>
            <w:tcW w:w="1574" w:type="dxa"/>
            <w:tcBorders>
              <w:top w:val="single" w:sz="4" w:space="0" w:color="5B9BD4"/>
              <w:left w:val="nil" w:sz="6" w:space="0" w:color="auto"/>
              <w:bottom w:val="single" w:sz="4" w:space="0" w:color="5B9BD4"/>
              <w:right w:val="single" w:sz="11" w:space="0" w:color="DEEAF6"/>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61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Arial" w:hAnsi="Arial" w:cs="Arial" w:eastAsia="Arial" w:hint="default"/>
                <w:sz w:val="18"/>
                <w:szCs w:val="18"/>
              </w:rPr>
            </w:pPr>
            <w:r>
              <w:rPr>
                <w:rFonts w:ascii="宋体" w:hAnsi="宋体" w:cs="宋体" w:eastAsia="宋体" w:hint="default"/>
                <w:sz w:val="18"/>
                <w:szCs w:val="18"/>
              </w:rPr>
              <w:t>不符合解锁条件</w:t>
            </w:r>
            <w:r>
              <w:rPr>
                <w:rFonts w:ascii="Arial" w:hAnsi="Arial" w:cs="Arial" w:eastAsia="Arial" w:hint="default"/>
                <w:sz w:val="18"/>
                <w:szCs w:val="18"/>
              </w:rPr>
              <w:t>[</w:t>
            </w:r>
            <w:r>
              <w:rPr>
                <w:rFonts w:ascii="宋体" w:hAnsi="宋体" w:cs="宋体" w:eastAsia="宋体" w:hint="default"/>
                <w:sz w:val="18"/>
                <w:szCs w:val="18"/>
              </w:rPr>
              <w:t>注</w:t>
            </w:r>
            <w:r>
              <w:rPr>
                <w:rFonts w:ascii="Arial" w:hAnsi="Arial" w:cs="Arial" w:eastAsia="Arial" w:hint="default"/>
                <w:sz w:val="18"/>
                <w:szCs w:val="18"/>
              </w:rPr>
              <w:t>]</w:t>
            </w:r>
          </w:p>
        </w:tc>
      </w:tr>
      <w:tr>
        <w:trPr>
          <w:trHeight w:val="402" w:hRule="exact"/>
        </w:trPr>
        <w:tc>
          <w:tcPr>
            <w:tcW w:w="113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刘红花</w:t>
            </w:r>
          </w:p>
        </w:tc>
        <w:tc>
          <w:tcPr>
            <w:tcW w:w="1418"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756,253</w:t>
            </w:r>
            <w:r>
              <w:rPr>
                <w:rFonts w:ascii="Arial"/>
                <w:sz w:val="18"/>
              </w:rPr>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7"/>
              <w:jc w:val="right"/>
              <w:rPr>
                <w:rFonts w:ascii="Arial" w:hAnsi="Arial" w:cs="Arial" w:eastAsia="Arial" w:hint="default"/>
                <w:sz w:val="18"/>
                <w:szCs w:val="18"/>
              </w:rPr>
            </w:pPr>
            <w:r>
              <w:rPr>
                <w:rFonts w:ascii="Arial"/>
                <w:w w:val="95"/>
                <w:sz w:val="18"/>
              </w:rPr>
              <w:t>358,660</w:t>
            </w:r>
            <w:r>
              <w:rPr>
                <w:rFonts w:ascii="Arial"/>
                <w:sz w:val="18"/>
              </w:rPr>
            </w:r>
          </w:p>
        </w:tc>
        <w:tc>
          <w:tcPr>
            <w:tcW w:w="1274"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111,200</w:t>
            </w:r>
            <w:r>
              <w:rPr>
                <w:rFonts w:ascii="Arial"/>
                <w:sz w:val="18"/>
              </w:rPr>
            </w:r>
          </w:p>
        </w:tc>
        <w:tc>
          <w:tcPr>
            <w:tcW w:w="127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w w:val="95"/>
                <w:sz w:val="18"/>
              </w:rPr>
              <w:t>508,793</w:t>
            </w:r>
            <w:r>
              <w:rPr>
                <w:rFonts w:ascii="Arial"/>
                <w:sz w:val="18"/>
              </w:rPr>
            </w:r>
          </w:p>
        </w:tc>
        <w:tc>
          <w:tcPr>
            <w:tcW w:w="1574" w:type="dxa"/>
            <w:tcBorders>
              <w:top w:val="single" w:sz="4" w:space="0" w:color="5B9BD4"/>
              <w:left w:val="nil" w:sz="6" w:space="0" w:color="auto"/>
              <w:bottom w:val="single" w:sz="4" w:space="0" w:color="5B9BD4"/>
              <w:right w:val="single" w:sz="11" w:space="0" w:color="DEEAF6"/>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61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Arial" w:hAnsi="Arial" w:cs="Arial" w:eastAsia="Arial" w:hint="default"/>
                <w:sz w:val="18"/>
                <w:szCs w:val="18"/>
              </w:rPr>
            </w:pPr>
            <w:r>
              <w:rPr>
                <w:rFonts w:ascii="宋体" w:hAnsi="宋体" w:cs="宋体" w:eastAsia="宋体" w:hint="default"/>
                <w:sz w:val="18"/>
                <w:szCs w:val="18"/>
              </w:rPr>
              <w:t>每年解除</w:t>
            </w:r>
            <w:r>
              <w:rPr>
                <w:rFonts w:ascii="宋体" w:hAnsi="宋体" w:cs="宋体" w:eastAsia="宋体" w:hint="default"/>
                <w:spacing w:val="-65"/>
                <w:sz w:val="18"/>
                <w:szCs w:val="18"/>
              </w:rPr>
              <w:t> </w:t>
            </w:r>
            <w:r>
              <w:rPr>
                <w:rFonts w:ascii="Arial" w:hAnsi="Arial" w:cs="Arial" w:eastAsia="Arial" w:hint="default"/>
                <w:spacing w:val="-2"/>
                <w:sz w:val="18"/>
                <w:szCs w:val="18"/>
              </w:rPr>
              <w:t>25%</w:t>
            </w:r>
            <w:r>
              <w:rPr>
                <w:rFonts w:ascii="Arial" w:hAnsi="Arial" w:cs="Arial" w:eastAsia="Arial" w:hint="default"/>
                <w:sz w:val="18"/>
                <w:szCs w:val="18"/>
              </w:rPr>
            </w:r>
          </w:p>
        </w:tc>
      </w:tr>
      <w:tr>
        <w:trPr>
          <w:trHeight w:val="402" w:hRule="exact"/>
        </w:trPr>
        <w:tc>
          <w:tcPr>
            <w:tcW w:w="113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杨有才</w:t>
            </w:r>
          </w:p>
        </w:tc>
        <w:tc>
          <w:tcPr>
            <w:tcW w:w="1418"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700,000</w:t>
            </w:r>
            <w:r>
              <w:rPr>
                <w:rFonts w:ascii="Arial"/>
                <w:sz w:val="18"/>
              </w:rPr>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
        </w:tc>
        <w:tc>
          <w:tcPr>
            <w:tcW w:w="1274" w:type="dxa"/>
            <w:tcBorders>
              <w:top w:val="single" w:sz="4" w:space="0" w:color="5B9BD4"/>
              <w:left w:val="nil" w:sz="6" w:space="0" w:color="auto"/>
              <w:bottom w:val="single" w:sz="4" w:space="0" w:color="5B9BD4"/>
              <w:right w:val="nil" w:sz="6" w:space="0" w:color="auto"/>
            </w:tcBorders>
          </w:tcPr>
          <w:p>
            <w:pPr/>
          </w:p>
        </w:tc>
        <w:tc>
          <w:tcPr>
            <w:tcW w:w="127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w w:val="95"/>
                <w:sz w:val="18"/>
              </w:rPr>
              <w:t>700,000</w:t>
            </w:r>
            <w:r>
              <w:rPr>
                <w:rFonts w:ascii="Arial"/>
                <w:sz w:val="18"/>
              </w:rPr>
            </w:r>
          </w:p>
        </w:tc>
        <w:tc>
          <w:tcPr>
            <w:tcW w:w="1574" w:type="dxa"/>
            <w:tcBorders>
              <w:top w:val="single" w:sz="4" w:space="0" w:color="5B9BD4"/>
              <w:left w:val="nil" w:sz="6" w:space="0" w:color="auto"/>
              <w:bottom w:val="single" w:sz="4" w:space="0" w:color="5B9BD4"/>
              <w:right w:val="single" w:sz="11" w:space="0" w:color="DEEAF6"/>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61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Arial" w:hAnsi="Arial" w:cs="Arial" w:eastAsia="Arial" w:hint="default"/>
                <w:sz w:val="18"/>
                <w:szCs w:val="18"/>
              </w:rPr>
            </w:pPr>
            <w:r>
              <w:rPr>
                <w:rFonts w:ascii="宋体" w:hAnsi="宋体" w:cs="宋体" w:eastAsia="宋体" w:hint="default"/>
                <w:sz w:val="18"/>
                <w:szCs w:val="18"/>
              </w:rPr>
              <w:t>不符合解锁条件</w:t>
            </w:r>
            <w:r>
              <w:rPr>
                <w:rFonts w:ascii="Arial" w:hAnsi="Arial" w:cs="Arial" w:eastAsia="Arial" w:hint="default"/>
                <w:sz w:val="18"/>
                <w:szCs w:val="18"/>
              </w:rPr>
              <w:t>[</w:t>
            </w:r>
            <w:r>
              <w:rPr>
                <w:rFonts w:ascii="宋体" w:hAnsi="宋体" w:cs="宋体" w:eastAsia="宋体" w:hint="default"/>
                <w:sz w:val="18"/>
                <w:szCs w:val="18"/>
              </w:rPr>
              <w:t>注</w:t>
            </w:r>
            <w:r>
              <w:rPr>
                <w:rFonts w:ascii="Arial" w:hAnsi="Arial" w:cs="Arial" w:eastAsia="Arial" w:hint="default"/>
                <w:sz w:val="18"/>
                <w:szCs w:val="18"/>
              </w:rPr>
              <w:t>]</w:t>
            </w:r>
          </w:p>
        </w:tc>
      </w:tr>
      <w:tr>
        <w:trPr>
          <w:trHeight w:val="402" w:hRule="exact"/>
        </w:trPr>
        <w:tc>
          <w:tcPr>
            <w:tcW w:w="113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余斌</w:t>
            </w:r>
          </w:p>
        </w:tc>
        <w:tc>
          <w:tcPr>
            <w:tcW w:w="1418"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600,000</w:t>
            </w:r>
            <w:r>
              <w:rPr>
                <w:rFonts w:ascii="Arial"/>
                <w:sz w:val="18"/>
              </w:rPr>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
        </w:tc>
        <w:tc>
          <w:tcPr>
            <w:tcW w:w="1274" w:type="dxa"/>
            <w:tcBorders>
              <w:top w:val="single" w:sz="4" w:space="0" w:color="5B9BD4"/>
              <w:left w:val="nil" w:sz="6" w:space="0" w:color="auto"/>
              <w:bottom w:val="single" w:sz="4" w:space="0" w:color="5B9BD4"/>
              <w:right w:val="nil" w:sz="6" w:space="0" w:color="auto"/>
            </w:tcBorders>
          </w:tcPr>
          <w:p>
            <w:pPr/>
          </w:p>
        </w:tc>
        <w:tc>
          <w:tcPr>
            <w:tcW w:w="127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w w:val="95"/>
                <w:sz w:val="18"/>
              </w:rPr>
              <w:t>600,000</w:t>
            </w:r>
            <w:r>
              <w:rPr>
                <w:rFonts w:ascii="Arial"/>
                <w:sz w:val="18"/>
              </w:rPr>
            </w:r>
          </w:p>
        </w:tc>
        <w:tc>
          <w:tcPr>
            <w:tcW w:w="1574" w:type="dxa"/>
            <w:tcBorders>
              <w:top w:val="single" w:sz="4" w:space="0" w:color="5B9BD4"/>
              <w:left w:val="nil" w:sz="6" w:space="0" w:color="auto"/>
              <w:bottom w:val="single" w:sz="4" w:space="0" w:color="5B9BD4"/>
              <w:right w:val="single" w:sz="11" w:space="0" w:color="DEEAF6"/>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61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Arial" w:hAnsi="Arial" w:cs="Arial" w:eastAsia="Arial" w:hint="default"/>
                <w:sz w:val="18"/>
                <w:szCs w:val="18"/>
              </w:rPr>
            </w:pPr>
            <w:r>
              <w:rPr>
                <w:rFonts w:ascii="宋体" w:hAnsi="宋体" w:cs="宋体" w:eastAsia="宋体" w:hint="default"/>
                <w:sz w:val="18"/>
                <w:szCs w:val="18"/>
              </w:rPr>
              <w:t>不符合解锁条件</w:t>
            </w:r>
            <w:r>
              <w:rPr>
                <w:rFonts w:ascii="Arial" w:hAnsi="Arial" w:cs="Arial" w:eastAsia="Arial" w:hint="default"/>
                <w:sz w:val="18"/>
                <w:szCs w:val="18"/>
              </w:rPr>
              <w:t>[</w:t>
            </w:r>
            <w:r>
              <w:rPr>
                <w:rFonts w:ascii="宋体" w:hAnsi="宋体" w:cs="宋体" w:eastAsia="宋体" w:hint="default"/>
                <w:sz w:val="18"/>
                <w:szCs w:val="18"/>
              </w:rPr>
              <w:t>注</w:t>
            </w:r>
            <w:r>
              <w:rPr>
                <w:rFonts w:ascii="Arial" w:hAnsi="Arial" w:cs="Arial" w:eastAsia="Arial" w:hint="default"/>
                <w:sz w:val="18"/>
                <w:szCs w:val="18"/>
              </w:rPr>
              <w:t>]</w:t>
            </w:r>
          </w:p>
        </w:tc>
      </w:tr>
      <w:tr>
        <w:trPr>
          <w:trHeight w:val="402" w:hRule="exact"/>
        </w:trPr>
        <w:tc>
          <w:tcPr>
            <w:tcW w:w="113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蔡军</w:t>
            </w:r>
          </w:p>
        </w:tc>
        <w:tc>
          <w:tcPr>
            <w:tcW w:w="1418"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500,000</w:t>
            </w:r>
            <w:r>
              <w:rPr>
                <w:rFonts w:ascii="Arial"/>
                <w:sz w:val="18"/>
              </w:rPr>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
        </w:tc>
        <w:tc>
          <w:tcPr>
            <w:tcW w:w="1274" w:type="dxa"/>
            <w:tcBorders>
              <w:top w:val="single" w:sz="4" w:space="0" w:color="5B9BD4"/>
              <w:left w:val="nil" w:sz="6" w:space="0" w:color="auto"/>
              <w:bottom w:val="single" w:sz="4" w:space="0" w:color="5B9BD4"/>
              <w:right w:val="nil" w:sz="6" w:space="0" w:color="auto"/>
            </w:tcBorders>
          </w:tcPr>
          <w:p>
            <w:pPr/>
          </w:p>
        </w:tc>
        <w:tc>
          <w:tcPr>
            <w:tcW w:w="127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w w:val="95"/>
                <w:sz w:val="18"/>
              </w:rPr>
              <w:t>500,000</w:t>
            </w:r>
            <w:r>
              <w:rPr>
                <w:rFonts w:ascii="Arial"/>
                <w:sz w:val="18"/>
              </w:rPr>
            </w:r>
          </w:p>
        </w:tc>
        <w:tc>
          <w:tcPr>
            <w:tcW w:w="1574" w:type="dxa"/>
            <w:tcBorders>
              <w:top w:val="single" w:sz="4" w:space="0" w:color="5B9BD4"/>
              <w:left w:val="nil" w:sz="6" w:space="0" w:color="auto"/>
              <w:bottom w:val="single" w:sz="4" w:space="0" w:color="5B9BD4"/>
              <w:right w:val="single" w:sz="11" w:space="0" w:color="DEEAF6"/>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61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Arial" w:hAnsi="Arial" w:cs="Arial" w:eastAsia="Arial" w:hint="default"/>
                <w:sz w:val="18"/>
                <w:szCs w:val="18"/>
              </w:rPr>
            </w:pPr>
            <w:r>
              <w:rPr>
                <w:rFonts w:ascii="宋体" w:hAnsi="宋体" w:cs="宋体" w:eastAsia="宋体" w:hint="default"/>
                <w:sz w:val="18"/>
                <w:szCs w:val="18"/>
              </w:rPr>
              <w:t>不符合解锁条件</w:t>
            </w:r>
            <w:r>
              <w:rPr>
                <w:rFonts w:ascii="Arial" w:hAnsi="Arial" w:cs="Arial" w:eastAsia="Arial" w:hint="default"/>
                <w:sz w:val="18"/>
                <w:szCs w:val="18"/>
              </w:rPr>
              <w:t>[</w:t>
            </w:r>
            <w:r>
              <w:rPr>
                <w:rFonts w:ascii="宋体" w:hAnsi="宋体" w:cs="宋体" w:eastAsia="宋体" w:hint="default"/>
                <w:sz w:val="18"/>
                <w:szCs w:val="18"/>
              </w:rPr>
              <w:t>注</w:t>
            </w:r>
            <w:r>
              <w:rPr>
                <w:rFonts w:ascii="Arial" w:hAnsi="Arial" w:cs="Arial" w:eastAsia="Arial" w:hint="default"/>
                <w:sz w:val="18"/>
                <w:szCs w:val="18"/>
              </w:rPr>
              <w:t>]</w:t>
            </w:r>
          </w:p>
        </w:tc>
      </w:tr>
      <w:tr>
        <w:trPr>
          <w:trHeight w:val="402" w:hRule="exact"/>
        </w:trPr>
        <w:tc>
          <w:tcPr>
            <w:tcW w:w="113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戚亚平</w:t>
            </w:r>
          </w:p>
        </w:tc>
        <w:tc>
          <w:tcPr>
            <w:tcW w:w="1418"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500,000</w:t>
            </w:r>
            <w:r>
              <w:rPr>
                <w:rFonts w:ascii="Arial"/>
                <w:sz w:val="18"/>
              </w:rPr>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
        </w:tc>
        <w:tc>
          <w:tcPr>
            <w:tcW w:w="1274" w:type="dxa"/>
            <w:tcBorders>
              <w:top w:val="single" w:sz="4" w:space="0" w:color="5B9BD4"/>
              <w:left w:val="nil" w:sz="6" w:space="0" w:color="auto"/>
              <w:bottom w:val="single" w:sz="4" w:space="0" w:color="5B9BD4"/>
              <w:right w:val="nil" w:sz="6" w:space="0" w:color="auto"/>
            </w:tcBorders>
          </w:tcPr>
          <w:p>
            <w:pPr/>
          </w:p>
        </w:tc>
        <w:tc>
          <w:tcPr>
            <w:tcW w:w="127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w w:val="95"/>
                <w:sz w:val="18"/>
              </w:rPr>
              <w:t>500,000</w:t>
            </w:r>
            <w:r>
              <w:rPr>
                <w:rFonts w:ascii="Arial"/>
                <w:sz w:val="18"/>
              </w:rPr>
            </w:r>
          </w:p>
        </w:tc>
        <w:tc>
          <w:tcPr>
            <w:tcW w:w="1574" w:type="dxa"/>
            <w:tcBorders>
              <w:top w:val="single" w:sz="4" w:space="0" w:color="5B9BD4"/>
              <w:left w:val="nil" w:sz="6" w:space="0" w:color="auto"/>
              <w:bottom w:val="single" w:sz="4" w:space="0" w:color="5B9BD4"/>
              <w:right w:val="single" w:sz="11" w:space="0" w:color="DEEAF6"/>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61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Arial" w:hAnsi="Arial" w:cs="Arial" w:eastAsia="Arial" w:hint="default"/>
                <w:sz w:val="18"/>
                <w:szCs w:val="18"/>
              </w:rPr>
            </w:pPr>
            <w:r>
              <w:rPr>
                <w:rFonts w:ascii="宋体" w:hAnsi="宋体" w:cs="宋体" w:eastAsia="宋体" w:hint="default"/>
                <w:sz w:val="18"/>
                <w:szCs w:val="18"/>
              </w:rPr>
              <w:t>不符合解锁条件</w:t>
            </w:r>
            <w:r>
              <w:rPr>
                <w:rFonts w:ascii="Arial" w:hAnsi="Arial" w:cs="Arial" w:eastAsia="Arial" w:hint="default"/>
                <w:sz w:val="18"/>
                <w:szCs w:val="18"/>
              </w:rPr>
              <w:t>[</w:t>
            </w:r>
            <w:r>
              <w:rPr>
                <w:rFonts w:ascii="宋体" w:hAnsi="宋体" w:cs="宋体" w:eastAsia="宋体" w:hint="default"/>
                <w:sz w:val="18"/>
                <w:szCs w:val="18"/>
              </w:rPr>
              <w:t>注</w:t>
            </w:r>
            <w:r>
              <w:rPr>
                <w:rFonts w:ascii="Arial" w:hAnsi="Arial" w:cs="Arial" w:eastAsia="Arial" w:hint="default"/>
                <w:sz w:val="18"/>
                <w:szCs w:val="18"/>
              </w:rPr>
              <w:t>]</w:t>
            </w:r>
          </w:p>
        </w:tc>
      </w:tr>
      <w:tr>
        <w:trPr>
          <w:trHeight w:val="402" w:hRule="exact"/>
        </w:trPr>
        <w:tc>
          <w:tcPr>
            <w:tcW w:w="113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粟军</w:t>
            </w:r>
          </w:p>
        </w:tc>
        <w:tc>
          <w:tcPr>
            <w:tcW w:w="1418"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500,000</w:t>
            </w:r>
            <w:r>
              <w:rPr>
                <w:rFonts w:ascii="Arial"/>
                <w:sz w:val="18"/>
              </w:rPr>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
        </w:tc>
        <w:tc>
          <w:tcPr>
            <w:tcW w:w="1274" w:type="dxa"/>
            <w:tcBorders>
              <w:top w:val="single" w:sz="4" w:space="0" w:color="5B9BD4"/>
              <w:left w:val="nil" w:sz="6" w:space="0" w:color="auto"/>
              <w:bottom w:val="single" w:sz="4" w:space="0" w:color="5B9BD4"/>
              <w:right w:val="nil" w:sz="6" w:space="0" w:color="auto"/>
            </w:tcBorders>
          </w:tcPr>
          <w:p>
            <w:pPr/>
          </w:p>
        </w:tc>
        <w:tc>
          <w:tcPr>
            <w:tcW w:w="127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w w:val="95"/>
                <w:sz w:val="18"/>
              </w:rPr>
              <w:t>500,000</w:t>
            </w:r>
            <w:r>
              <w:rPr>
                <w:rFonts w:ascii="Arial"/>
                <w:sz w:val="18"/>
              </w:rPr>
            </w:r>
          </w:p>
        </w:tc>
        <w:tc>
          <w:tcPr>
            <w:tcW w:w="1574" w:type="dxa"/>
            <w:tcBorders>
              <w:top w:val="single" w:sz="4" w:space="0" w:color="5B9BD4"/>
              <w:left w:val="nil" w:sz="6" w:space="0" w:color="auto"/>
              <w:bottom w:val="single" w:sz="4" w:space="0" w:color="5B9BD4"/>
              <w:right w:val="single" w:sz="11" w:space="0" w:color="DEEAF6"/>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61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Arial" w:hAnsi="Arial" w:cs="Arial" w:eastAsia="Arial" w:hint="default"/>
                <w:sz w:val="18"/>
                <w:szCs w:val="18"/>
              </w:rPr>
            </w:pPr>
            <w:r>
              <w:rPr>
                <w:rFonts w:ascii="宋体" w:hAnsi="宋体" w:cs="宋体" w:eastAsia="宋体" w:hint="default"/>
                <w:sz w:val="18"/>
                <w:szCs w:val="18"/>
              </w:rPr>
              <w:t>不符合解锁条件</w:t>
            </w:r>
            <w:r>
              <w:rPr>
                <w:rFonts w:ascii="Arial" w:hAnsi="Arial" w:cs="Arial" w:eastAsia="Arial" w:hint="default"/>
                <w:sz w:val="18"/>
                <w:szCs w:val="18"/>
              </w:rPr>
              <w:t>[</w:t>
            </w:r>
            <w:r>
              <w:rPr>
                <w:rFonts w:ascii="宋体" w:hAnsi="宋体" w:cs="宋体" w:eastAsia="宋体" w:hint="default"/>
                <w:sz w:val="18"/>
                <w:szCs w:val="18"/>
              </w:rPr>
              <w:t>注</w:t>
            </w:r>
            <w:r>
              <w:rPr>
                <w:rFonts w:ascii="Arial" w:hAnsi="Arial" w:cs="Arial" w:eastAsia="Arial" w:hint="default"/>
                <w:sz w:val="18"/>
                <w:szCs w:val="18"/>
              </w:rPr>
              <w:t>]</w:t>
            </w:r>
          </w:p>
        </w:tc>
      </w:tr>
      <w:tr>
        <w:trPr>
          <w:trHeight w:val="402" w:hRule="exact"/>
        </w:trPr>
        <w:tc>
          <w:tcPr>
            <w:tcW w:w="113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王岳峰</w:t>
            </w:r>
          </w:p>
        </w:tc>
        <w:tc>
          <w:tcPr>
            <w:tcW w:w="1418"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500,000</w:t>
            </w:r>
            <w:r>
              <w:rPr>
                <w:rFonts w:ascii="Arial"/>
                <w:sz w:val="18"/>
              </w:rPr>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
        </w:tc>
        <w:tc>
          <w:tcPr>
            <w:tcW w:w="1274" w:type="dxa"/>
            <w:tcBorders>
              <w:top w:val="single" w:sz="4" w:space="0" w:color="5B9BD4"/>
              <w:left w:val="nil" w:sz="6" w:space="0" w:color="auto"/>
              <w:bottom w:val="single" w:sz="4" w:space="0" w:color="5B9BD4"/>
              <w:right w:val="nil" w:sz="6" w:space="0" w:color="auto"/>
            </w:tcBorders>
          </w:tcPr>
          <w:p>
            <w:pPr/>
          </w:p>
        </w:tc>
        <w:tc>
          <w:tcPr>
            <w:tcW w:w="127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w w:val="95"/>
                <w:sz w:val="18"/>
              </w:rPr>
              <w:t>500,000</w:t>
            </w:r>
            <w:r>
              <w:rPr>
                <w:rFonts w:ascii="Arial"/>
                <w:sz w:val="18"/>
              </w:rPr>
            </w:r>
          </w:p>
        </w:tc>
        <w:tc>
          <w:tcPr>
            <w:tcW w:w="1574" w:type="dxa"/>
            <w:tcBorders>
              <w:top w:val="single" w:sz="4" w:space="0" w:color="5B9BD4"/>
              <w:left w:val="nil" w:sz="6" w:space="0" w:color="auto"/>
              <w:bottom w:val="single" w:sz="4" w:space="0" w:color="5B9BD4"/>
              <w:right w:val="single" w:sz="11" w:space="0" w:color="DEEAF6"/>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61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Arial" w:hAnsi="Arial" w:cs="Arial" w:eastAsia="Arial" w:hint="default"/>
                <w:sz w:val="18"/>
                <w:szCs w:val="18"/>
              </w:rPr>
            </w:pPr>
            <w:r>
              <w:rPr>
                <w:rFonts w:ascii="宋体" w:hAnsi="宋体" w:cs="宋体" w:eastAsia="宋体" w:hint="default"/>
                <w:sz w:val="18"/>
                <w:szCs w:val="18"/>
              </w:rPr>
              <w:t>不符合解锁条件</w:t>
            </w:r>
            <w:r>
              <w:rPr>
                <w:rFonts w:ascii="Arial" w:hAnsi="Arial" w:cs="Arial" w:eastAsia="Arial" w:hint="default"/>
                <w:sz w:val="18"/>
                <w:szCs w:val="18"/>
              </w:rPr>
              <w:t>[</w:t>
            </w:r>
            <w:r>
              <w:rPr>
                <w:rFonts w:ascii="宋体" w:hAnsi="宋体" w:cs="宋体" w:eastAsia="宋体" w:hint="default"/>
                <w:sz w:val="18"/>
                <w:szCs w:val="18"/>
              </w:rPr>
              <w:t>注</w:t>
            </w:r>
            <w:r>
              <w:rPr>
                <w:rFonts w:ascii="Arial" w:hAnsi="Arial" w:cs="Arial" w:eastAsia="Arial" w:hint="default"/>
                <w:sz w:val="18"/>
                <w:szCs w:val="18"/>
              </w:rPr>
              <w:t>]</w:t>
            </w:r>
          </w:p>
        </w:tc>
      </w:tr>
      <w:tr>
        <w:trPr>
          <w:trHeight w:val="402" w:hRule="exact"/>
        </w:trPr>
        <w:tc>
          <w:tcPr>
            <w:tcW w:w="113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徐俊</w:t>
            </w:r>
          </w:p>
        </w:tc>
        <w:tc>
          <w:tcPr>
            <w:tcW w:w="1418"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500,000</w:t>
            </w:r>
            <w:r>
              <w:rPr>
                <w:rFonts w:ascii="Arial"/>
                <w:sz w:val="18"/>
              </w:rPr>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
        </w:tc>
        <w:tc>
          <w:tcPr>
            <w:tcW w:w="1274" w:type="dxa"/>
            <w:tcBorders>
              <w:top w:val="single" w:sz="4" w:space="0" w:color="5B9BD4"/>
              <w:left w:val="nil" w:sz="6" w:space="0" w:color="auto"/>
              <w:bottom w:val="single" w:sz="4" w:space="0" w:color="5B9BD4"/>
              <w:right w:val="nil" w:sz="6" w:space="0" w:color="auto"/>
            </w:tcBorders>
          </w:tcPr>
          <w:p>
            <w:pPr/>
          </w:p>
        </w:tc>
        <w:tc>
          <w:tcPr>
            <w:tcW w:w="127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w w:val="95"/>
                <w:sz w:val="18"/>
              </w:rPr>
              <w:t>500,000</w:t>
            </w:r>
            <w:r>
              <w:rPr>
                <w:rFonts w:ascii="Arial"/>
                <w:sz w:val="18"/>
              </w:rPr>
            </w:r>
          </w:p>
        </w:tc>
        <w:tc>
          <w:tcPr>
            <w:tcW w:w="1574" w:type="dxa"/>
            <w:tcBorders>
              <w:top w:val="single" w:sz="4" w:space="0" w:color="5B9BD4"/>
              <w:left w:val="nil" w:sz="6" w:space="0" w:color="auto"/>
              <w:bottom w:val="single" w:sz="4" w:space="0" w:color="5B9BD4"/>
              <w:right w:val="single" w:sz="11" w:space="0" w:color="DEEAF6"/>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61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Arial" w:hAnsi="Arial" w:cs="Arial" w:eastAsia="Arial" w:hint="default"/>
                <w:sz w:val="18"/>
                <w:szCs w:val="18"/>
              </w:rPr>
            </w:pPr>
            <w:r>
              <w:rPr>
                <w:rFonts w:ascii="宋体" w:hAnsi="宋体" w:cs="宋体" w:eastAsia="宋体" w:hint="default"/>
                <w:sz w:val="18"/>
                <w:szCs w:val="18"/>
              </w:rPr>
              <w:t>不符合解锁条件</w:t>
            </w:r>
            <w:r>
              <w:rPr>
                <w:rFonts w:ascii="Arial" w:hAnsi="Arial" w:cs="Arial" w:eastAsia="Arial" w:hint="default"/>
                <w:sz w:val="18"/>
                <w:szCs w:val="18"/>
              </w:rPr>
              <w:t>[</w:t>
            </w:r>
            <w:r>
              <w:rPr>
                <w:rFonts w:ascii="宋体" w:hAnsi="宋体" w:cs="宋体" w:eastAsia="宋体" w:hint="default"/>
                <w:sz w:val="18"/>
                <w:szCs w:val="18"/>
              </w:rPr>
              <w:t>注</w:t>
            </w:r>
            <w:r>
              <w:rPr>
                <w:rFonts w:ascii="Arial" w:hAnsi="Arial" w:cs="Arial" w:eastAsia="Arial" w:hint="default"/>
                <w:sz w:val="18"/>
                <w:szCs w:val="18"/>
              </w:rPr>
              <w:t>]</w:t>
            </w:r>
          </w:p>
        </w:tc>
      </w:tr>
      <w:tr>
        <w:trPr>
          <w:trHeight w:val="402" w:hRule="exact"/>
        </w:trPr>
        <w:tc>
          <w:tcPr>
            <w:tcW w:w="113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范向群</w:t>
            </w:r>
          </w:p>
        </w:tc>
        <w:tc>
          <w:tcPr>
            <w:tcW w:w="1418"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400,000</w:t>
            </w:r>
            <w:r>
              <w:rPr>
                <w:rFonts w:ascii="Arial"/>
                <w:sz w:val="18"/>
              </w:rPr>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
        </w:tc>
        <w:tc>
          <w:tcPr>
            <w:tcW w:w="1274" w:type="dxa"/>
            <w:tcBorders>
              <w:top w:val="single" w:sz="4" w:space="0" w:color="5B9BD4"/>
              <w:left w:val="nil" w:sz="6" w:space="0" w:color="auto"/>
              <w:bottom w:val="single" w:sz="4" w:space="0" w:color="5B9BD4"/>
              <w:right w:val="nil" w:sz="6" w:space="0" w:color="auto"/>
            </w:tcBorders>
          </w:tcPr>
          <w:p>
            <w:pPr/>
          </w:p>
        </w:tc>
        <w:tc>
          <w:tcPr>
            <w:tcW w:w="127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w w:val="95"/>
                <w:sz w:val="18"/>
              </w:rPr>
              <w:t>400,000</w:t>
            </w:r>
            <w:r>
              <w:rPr>
                <w:rFonts w:ascii="Arial"/>
                <w:sz w:val="18"/>
              </w:rPr>
            </w:r>
          </w:p>
        </w:tc>
        <w:tc>
          <w:tcPr>
            <w:tcW w:w="1574" w:type="dxa"/>
            <w:tcBorders>
              <w:top w:val="single" w:sz="4" w:space="0" w:color="5B9BD4"/>
              <w:left w:val="nil" w:sz="6" w:space="0" w:color="auto"/>
              <w:bottom w:val="single" w:sz="4" w:space="0" w:color="5B9BD4"/>
              <w:right w:val="single" w:sz="11" w:space="0" w:color="DEEAF6"/>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61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Arial" w:hAnsi="Arial" w:cs="Arial" w:eastAsia="Arial" w:hint="default"/>
                <w:sz w:val="18"/>
                <w:szCs w:val="18"/>
              </w:rPr>
            </w:pPr>
            <w:r>
              <w:rPr>
                <w:rFonts w:ascii="宋体" w:hAnsi="宋体" w:cs="宋体" w:eastAsia="宋体" w:hint="default"/>
                <w:sz w:val="18"/>
                <w:szCs w:val="18"/>
              </w:rPr>
              <w:t>不符合解锁条件</w:t>
            </w:r>
            <w:r>
              <w:rPr>
                <w:rFonts w:ascii="Arial" w:hAnsi="Arial" w:cs="Arial" w:eastAsia="Arial" w:hint="default"/>
                <w:sz w:val="18"/>
                <w:szCs w:val="18"/>
              </w:rPr>
              <w:t>[</w:t>
            </w:r>
            <w:r>
              <w:rPr>
                <w:rFonts w:ascii="宋体" w:hAnsi="宋体" w:cs="宋体" w:eastAsia="宋体" w:hint="default"/>
                <w:sz w:val="18"/>
                <w:szCs w:val="18"/>
              </w:rPr>
              <w:t>注</w:t>
            </w:r>
            <w:r>
              <w:rPr>
                <w:rFonts w:ascii="Arial" w:hAnsi="Arial" w:cs="Arial" w:eastAsia="Arial" w:hint="default"/>
                <w:sz w:val="18"/>
                <w:szCs w:val="18"/>
              </w:rPr>
              <w:t>]</w:t>
            </w:r>
          </w:p>
        </w:tc>
      </w:tr>
      <w:tr>
        <w:trPr>
          <w:trHeight w:val="402" w:hRule="exact"/>
        </w:trPr>
        <w:tc>
          <w:tcPr>
            <w:tcW w:w="113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蒋利峰</w:t>
            </w:r>
          </w:p>
        </w:tc>
        <w:tc>
          <w:tcPr>
            <w:tcW w:w="1418"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400,000</w:t>
            </w:r>
            <w:r>
              <w:rPr>
                <w:rFonts w:ascii="Arial"/>
                <w:sz w:val="18"/>
              </w:rPr>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
        </w:tc>
        <w:tc>
          <w:tcPr>
            <w:tcW w:w="1274" w:type="dxa"/>
            <w:tcBorders>
              <w:top w:val="single" w:sz="4" w:space="0" w:color="5B9BD4"/>
              <w:left w:val="nil" w:sz="6" w:space="0" w:color="auto"/>
              <w:bottom w:val="single" w:sz="4" w:space="0" w:color="5B9BD4"/>
              <w:right w:val="nil" w:sz="6" w:space="0" w:color="auto"/>
            </w:tcBorders>
          </w:tcPr>
          <w:p>
            <w:pPr/>
          </w:p>
        </w:tc>
        <w:tc>
          <w:tcPr>
            <w:tcW w:w="127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w w:val="95"/>
                <w:sz w:val="18"/>
              </w:rPr>
              <w:t>400,000</w:t>
            </w:r>
            <w:r>
              <w:rPr>
                <w:rFonts w:ascii="Arial"/>
                <w:sz w:val="18"/>
              </w:rPr>
            </w:r>
          </w:p>
        </w:tc>
        <w:tc>
          <w:tcPr>
            <w:tcW w:w="1574" w:type="dxa"/>
            <w:tcBorders>
              <w:top w:val="single" w:sz="4" w:space="0" w:color="5B9BD4"/>
              <w:left w:val="nil" w:sz="6" w:space="0" w:color="auto"/>
              <w:bottom w:val="single" w:sz="4" w:space="0" w:color="5B9BD4"/>
              <w:right w:val="single" w:sz="11" w:space="0" w:color="DEEAF6"/>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61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Arial" w:hAnsi="Arial" w:cs="Arial" w:eastAsia="Arial" w:hint="default"/>
                <w:sz w:val="18"/>
                <w:szCs w:val="18"/>
              </w:rPr>
            </w:pPr>
            <w:r>
              <w:rPr>
                <w:rFonts w:ascii="宋体" w:hAnsi="宋体" w:cs="宋体" w:eastAsia="宋体" w:hint="default"/>
                <w:sz w:val="18"/>
                <w:szCs w:val="18"/>
              </w:rPr>
              <w:t>不符合解锁条件</w:t>
            </w:r>
            <w:r>
              <w:rPr>
                <w:rFonts w:ascii="Arial" w:hAnsi="Arial" w:cs="Arial" w:eastAsia="Arial" w:hint="default"/>
                <w:sz w:val="18"/>
                <w:szCs w:val="18"/>
              </w:rPr>
              <w:t>[</w:t>
            </w:r>
            <w:r>
              <w:rPr>
                <w:rFonts w:ascii="宋体" w:hAnsi="宋体" w:cs="宋体" w:eastAsia="宋体" w:hint="default"/>
                <w:sz w:val="18"/>
                <w:szCs w:val="18"/>
              </w:rPr>
              <w:t>注</w:t>
            </w:r>
            <w:r>
              <w:rPr>
                <w:rFonts w:ascii="Arial" w:hAnsi="Arial" w:cs="Arial" w:eastAsia="Arial" w:hint="default"/>
                <w:sz w:val="18"/>
                <w:szCs w:val="18"/>
              </w:rPr>
              <w:t>]</w:t>
            </w:r>
          </w:p>
        </w:tc>
      </w:tr>
      <w:tr>
        <w:trPr>
          <w:trHeight w:val="402" w:hRule="exact"/>
        </w:trPr>
        <w:tc>
          <w:tcPr>
            <w:tcW w:w="113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马进</w:t>
            </w:r>
          </w:p>
        </w:tc>
        <w:tc>
          <w:tcPr>
            <w:tcW w:w="1418"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400,000</w:t>
            </w:r>
            <w:r>
              <w:rPr>
                <w:rFonts w:ascii="Arial"/>
                <w:sz w:val="18"/>
              </w:rPr>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
        </w:tc>
        <w:tc>
          <w:tcPr>
            <w:tcW w:w="1274" w:type="dxa"/>
            <w:tcBorders>
              <w:top w:val="single" w:sz="4" w:space="0" w:color="5B9BD4"/>
              <w:left w:val="nil" w:sz="6" w:space="0" w:color="auto"/>
              <w:bottom w:val="single" w:sz="4" w:space="0" w:color="5B9BD4"/>
              <w:right w:val="nil" w:sz="6" w:space="0" w:color="auto"/>
            </w:tcBorders>
          </w:tcPr>
          <w:p>
            <w:pPr/>
          </w:p>
        </w:tc>
        <w:tc>
          <w:tcPr>
            <w:tcW w:w="127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w w:val="95"/>
                <w:sz w:val="18"/>
              </w:rPr>
              <w:t>400,000</w:t>
            </w:r>
            <w:r>
              <w:rPr>
                <w:rFonts w:ascii="Arial"/>
                <w:sz w:val="18"/>
              </w:rPr>
            </w:r>
          </w:p>
        </w:tc>
        <w:tc>
          <w:tcPr>
            <w:tcW w:w="1574" w:type="dxa"/>
            <w:tcBorders>
              <w:top w:val="single" w:sz="4" w:space="0" w:color="5B9BD4"/>
              <w:left w:val="nil" w:sz="6" w:space="0" w:color="auto"/>
              <w:bottom w:val="single" w:sz="4" w:space="0" w:color="5B9BD4"/>
              <w:right w:val="single" w:sz="11" w:space="0" w:color="DEEAF6"/>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61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Arial" w:hAnsi="Arial" w:cs="Arial" w:eastAsia="Arial" w:hint="default"/>
                <w:sz w:val="18"/>
                <w:szCs w:val="18"/>
              </w:rPr>
            </w:pPr>
            <w:r>
              <w:rPr>
                <w:rFonts w:ascii="宋体" w:hAnsi="宋体" w:cs="宋体" w:eastAsia="宋体" w:hint="default"/>
                <w:sz w:val="18"/>
                <w:szCs w:val="18"/>
              </w:rPr>
              <w:t>不符合解锁条件</w:t>
            </w:r>
            <w:r>
              <w:rPr>
                <w:rFonts w:ascii="Arial" w:hAnsi="Arial" w:cs="Arial" w:eastAsia="Arial" w:hint="default"/>
                <w:sz w:val="18"/>
                <w:szCs w:val="18"/>
              </w:rPr>
              <w:t>[</w:t>
            </w:r>
            <w:r>
              <w:rPr>
                <w:rFonts w:ascii="宋体" w:hAnsi="宋体" w:cs="宋体" w:eastAsia="宋体" w:hint="default"/>
                <w:sz w:val="18"/>
                <w:szCs w:val="18"/>
              </w:rPr>
              <w:t>注</w:t>
            </w:r>
            <w:r>
              <w:rPr>
                <w:rFonts w:ascii="Arial" w:hAnsi="Arial" w:cs="Arial" w:eastAsia="Arial" w:hint="default"/>
                <w:sz w:val="18"/>
                <w:szCs w:val="18"/>
              </w:rPr>
              <w:t>]</w:t>
            </w:r>
          </w:p>
        </w:tc>
      </w:tr>
      <w:tr>
        <w:trPr>
          <w:trHeight w:val="402" w:hRule="exact"/>
        </w:trPr>
        <w:tc>
          <w:tcPr>
            <w:tcW w:w="113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王德超</w:t>
            </w:r>
          </w:p>
        </w:tc>
        <w:tc>
          <w:tcPr>
            <w:tcW w:w="1418"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400,000</w:t>
            </w:r>
            <w:r>
              <w:rPr>
                <w:rFonts w:ascii="Arial"/>
                <w:sz w:val="18"/>
              </w:rPr>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
        </w:tc>
        <w:tc>
          <w:tcPr>
            <w:tcW w:w="1274" w:type="dxa"/>
            <w:tcBorders>
              <w:top w:val="single" w:sz="4" w:space="0" w:color="5B9BD4"/>
              <w:left w:val="nil" w:sz="6" w:space="0" w:color="auto"/>
              <w:bottom w:val="single" w:sz="4" w:space="0" w:color="5B9BD4"/>
              <w:right w:val="nil" w:sz="6" w:space="0" w:color="auto"/>
            </w:tcBorders>
          </w:tcPr>
          <w:p>
            <w:pPr/>
          </w:p>
        </w:tc>
        <w:tc>
          <w:tcPr>
            <w:tcW w:w="127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w w:val="95"/>
                <w:sz w:val="18"/>
              </w:rPr>
              <w:t>400,000</w:t>
            </w:r>
            <w:r>
              <w:rPr>
                <w:rFonts w:ascii="Arial"/>
                <w:sz w:val="18"/>
              </w:rPr>
            </w:r>
          </w:p>
        </w:tc>
        <w:tc>
          <w:tcPr>
            <w:tcW w:w="1574" w:type="dxa"/>
            <w:tcBorders>
              <w:top w:val="single" w:sz="4" w:space="0" w:color="5B9BD4"/>
              <w:left w:val="nil" w:sz="6" w:space="0" w:color="auto"/>
              <w:bottom w:val="single" w:sz="4" w:space="0" w:color="5B9BD4"/>
              <w:right w:val="single" w:sz="11" w:space="0" w:color="DEEAF6"/>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61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Arial" w:hAnsi="Arial" w:cs="Arial" w:eastAsia="Arial" w:hint="default"/>
                <w:sz w:val="18"/>
                <w:szCs w:val="18"/>
              </w:rPr>
            </w:pPr>
            <w:r>
              <w:rPr>
                <w:rFonts w:ascii="宋体" w:hAnsi="宋体" w:cs="宋体" w:eastAsia="宋体" w:hint="default"/>
                <w:sz w:val="18"/>
                <w:szCs w:val="18"/>
              </w:rPr>
              <w:t>不符合解锁条件</w:t>
            </w:r>
            <w:r>
              <w:rPr>
                <w:rFonts w:ascii="Arial" w:hAnsi="Arial" w:cs="Arial" w:eastAsia="Arial" w:hint="default"/>
                <w:sz w:val="18"/>
                <w:szCs w:val="18"/>
              </w:rPr>
              <w:t>[</w:t>
            </w:r>
            <w:r>
              <w:rPr>
                <w:rFonts w:ascii="宋体" w:hAnsi="宋体" w:cs="宋体" w:eastAsia="宋体" w:hint="default"/>
                <w:sz w:val="18"/>
                <w:szCs w:val="18"/>
              </w:rPr>
              <w:t>注</w:t>
            </w:r>
            <w:r>
              <w:rPr>
                <w:rFonts w:ascii="Arial" w:hAnsi="Arial" w:cs="Arial" w:eastAsia="Arial" w:hint="default"/>
                <w:sz w:val="18"/>
                <w:szCs w:val="18"/>
              </w:rPr>
              <w:t>]</w:t>
            </w:r>
          </w:p>
        </w:tc>
      </w:tr>
      <w:tr>
        <w:trPr>
          <w:trHeight w:val="402" w:hRule="exact"/>
        </w:trPr>
        <w:tc>
          <w:tcPr>
            <w:tcW w:w="113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魏玉泉</w:t>
            </w:r>
          </w:p>
        </w:tc>
        <w:tc>
          <w:tcPr>
            <w:tcW w:w="1418"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400,000</w:t>
            </w:r>
            <w:r>
              <w:rPr>
                <w:rFonts w:ascii="Arial"/>
                <w:sz w:val="18"/>
              </w:rPr>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
        </w:tc>
        <w:tc>
          <w:tcPr>
            <w:tcW w:w="1274" w:type="dxa"/>
            <w:tcBorders>
              <w:top w:val="single" w:sz="4" w:space="0" w:color="5B9BD4"/>
              <w:left w:val="nil" w:sz="6" w:space="0" w:color="auto"/>
              <w:bottom w:val="single" w:sz="4" w:space="0" w:color="5B9BD4"/>
              <w:right w:val="nil" w:sz="6" w:space="0" w:color="auto"/>
            </w:tcBorders>
          </w:tcPr>
          <w:p>
            <w:pPr/>
          </w:p>
        </w:tc>
        <w:tc>
          <w:tcPr>
            <w:tcW w:w="127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w w:val="95"/>
                <w:sz w:val="18"/>
              </w:rPr>
              <w:t>400,000</w:t>
            </w:r>
            <w:r>
              <w:rPr>
                <w:rFonts w:ascii="Arial"/>
                <w:sz w:val="18"/>
              </w:rPr>
            </w:r>
          </w:p>
        </w:tc>
        <w:tc>
          <w:tcPr>
            <w:tcW w:w="1574" w:type="dxa"/>
            <w:tcBorders>
              <w:top w:val="single" w:sz="4" w:space="0" w:color="5B9BD4"/>
              <w:left w:val="nil" w:sz="6" w:space="0" w:color="auto"/>
              <w:bottom w:val="single" w:sz="4" w:space="0" w:color="5B9BD4"/>
              <w:right w:val="single" w:sz="11" w:space="0" w:color="DEEAF6"/>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61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Arial" w:hAnsi="Arial" w:cs="Arial" w:eastAsia="Arial" w:hint="default"/>
                <w:sz w:val="18"/>
                <w:szCs w:val="18"/>
              </w:rPr>
            </w:pPr>
            <w:r>
              <w:rPr>
                <w:rFonts w:ascii="宋体" w:hAnsi="宋体" w:cs="宋体" w:eastAsia="宋体" w:hint="default"/>
                <w:sz w:val="18"/>
                <w:szCs w:val="18"/>
              </w:rPr>
              <w:t>不符合解锁条件</w:t>
            </w:r>
            <w:r>
              <w:rPr>
                <w:rFonts w:ascii="Arial" w:hAnsi="Arial" w:cs="Arial" w:eastAsia="Arial" w:hint="default"/>
                <w:sz w:val="18"/>
                <w:szCs w:val="18"/>
              </w:rPr>
              <w:t>[</w:t>
            </w:r>
            <w:r>
              <w:rPr>
                <w:rFonts w:ascii="宋体" w:hAnsi="宋体" w:cs="宋体" w:eastAsia="宋体" w:hint="default"/>
                <w:sz w:val="18"/>
                <w:szCs w:val="18"/>
              </w:rPr>
              <w:t>注</w:t>
            </w:r>
            <w:r>
              <w:rPr>
                <w:rFonts w:ascii="Arial" w:hAnsi="Arial" w:cs="Arial" w:eastAsia="Arial" w:hint="default"/>
                <w:sz w:val="18"/>
                <w:szCs w:val="18"/>
              </w:rPr>
              <w:t>]</w:t>
            </w:r>
          </w:p>
        </w:tc>
      </w:tr>
      <w:tr>
        <w:trPr>
          <w:trHeight w:val="714" w:hRule="exact"/>
        </w:trPr>
        <w:tc>
          <w:tcPr>
            <w:tcW w:w="113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1418"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5"/>
              <w:jc w:val="right"/>
              <w:rPr>
                <w:rFonts w:ascii="Arial" w:hAnsi="Arial" w:cs="Arial" w:eastAsia="Arial" w:hint="default"/>
                <w:sz w:val="18"/>
                <w:szCs w:val="18"/>
              </w:rPr>
            </w:pPr>
            <w:r>
              <w:rPr>
                <w:rFonts w:ascii="Arial"/>
                <w:w w:val="95"/>
                <w:sz w:val="18"/>
              </w:rPr>
              <w:t>272,025</w:t>
            </w:r>
            <w:r>
              <w:rPr>
                <w:rFonts w:ascii="Arial"/>
                <w:sz w:val="18"/>
              </w:rPr>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7"/>
              <w:jc w:val="right"/>
              <w:rPr>
                <w:rFonts w:ascii="Arial" w:hAnsi="Arial" w:cs="Arial" w:eastAsia="Arial" w:hint="default"/>
                <w:sz w:val="18"/>
                <w:szCs w:val="18"/>
              </w:rPr>
            </w:pPr>
            <w:r>
              <w:rPr>
                <w:rFonts w:ascii="Arial"/>
                <w:w w:val="95"/>
                <w:sz w:val="18"/>
              </w:rPr>
              <w:t>272,025</w:t>
            </w:r>
            <w:r>
              <w:rPr>
                <w:rFonts w:ascii="Arial"/>
                <w:sz w:val="18"/>
              </w:rPr>
            </w:r>
          </w:p>
        </w:tc>
        <w:tc>
          <w:tcPr>
            <w:tcW w:w="1274" w:type="dxa"/>
            <w:tcBorders>
              <w:top w:val="single" w:sz="4" w:space="0" w:color="5B9BD4"/>
              <w:left w:val="nil" w:sz="6" w:space="0" w:color="auto"/>
              <w:bottom w:val="single" w:sz="4" w:space="0" w:color="5B9BD4"/>
              <w:right w:val="nil" w:sz="6" w:space="0" w:color="auto"/>
            </w:tcBorders>
          </w:tcPr>
          <w:p>
            <w:pPr/>
          </w:p>
        </w:tc>
        <w:tc>
          <w:tcPr>
            <w:tcW w:w="1276" w:type="dxa"/>
            <w:tcBorders>
              <w:top w:val="single" w:sz="4" w:space="0" w:color="5B9BD4"/>
              <w:left w:val="nil" w:sz="6" w:space="0" w:color="auto"/>
              <w:bottom w:val="single" w:sz="4" w:space="0" w:color="5B9BD4"/>
              <w:right w:val="nil" w:sz="6" w:space="0" w:color="auto"/>
            </w:tcBorders>
            <w:shd w:val="clear" w:color="auto" w:fill="DEEAF6"/>
          </w:tcPr>
          <w:p>
            <w:pPr/>
          </w:p>
        </w:tc>
        <w:tc>
          <w:tcPr>
            <w:tcW w:w="1574" w:type="dxa"/>
            <w:tcBorders>
              <w:top w:val="single" w:sz="4" w:space="0" w:color="5B9BD4"/>
              <w:left w:val="nil" w:sz="6" w:space="0" w:color="auto"/>
              <w:bottom w:val="single" w:sz="4" w:space="0" w:color="5B9BD4"/>
              <w:right w:val="single" w:sz="11" w:space="0" w:color="DEEAF6"/>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61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2" w:lineRule="auto" w:before="46"/>
              <w:ind w:left="13" w:right="25"/>
              <w:jc w:val="left"/>
              <w:rPr>
                <w:rFonts w:ascii="宋体" w:hAnsi="宋体" w:cs="宋体" w:eastAsia="宋体" w:hint="default"/>
                <w:sz w:val="18"/>
                <w:szCs w:val="18"/>
              </w:rPr>
            </w:pPr>
            <w:r>
              <w:rPr>
                <w:rFonts w:ascii="宋体" w:hAnsi="宋体" w:cs="宋体" w:eastAsia="宋体" w:hint="default"/>
                <w:sz w:val="18"/>
                <w:szCs w:val="18"/>
              </w:rPr>
              <w:t>离职满 </w:t>
            </w:r>
            <w:r>
              <w:rPr>
                <w:rFonts w:ascii="Arial" w:hAnsi="Arial" w:cs="Arial" w:eastAsia="Arial" w:hint="default"/>
                <w:sz w:val="18"/>
                <w:szCs w:val="18"/>
              </w:rPr>
              <w:t>18</w:t>
            </w:r>
            <w:r>
              <w:rPr>
                <w:rFonts w:ascii="Arial" w:hAnsi="Arial" w:cs="Arial" w:eastAsia="Arial" w:hint="default"/>
                <w:spacing w:val="-26"/>
                <w:sz w:val="18"/>
                <w:szCs w:val="18"/>
              </w:rPr>
              <w:t> </w:t>
            </w:r>
            <w:r>
              <w:rPr>
                <w:rFonts w:ascii="宋体" w:hAnsi="宋体" w:cs="宋体" w:eastAsia="宋体" w:hint="default"/>
                <w:sz w:val="18"/>
                <w:szCs w:val="18"/>
              </w:rPr>
              <w:t>个月解除 限售</w:t>
            </w:r>
          </w:p>
        </w:tc>
      </w:tr>
      <w:tr>
        <w:trPr>
          <w:trHeight w:val="402" w:hRule="exact"/>
        </w:trPr>
        <w:tc>
          <w:tcPr>
            <w:tcW w:w="113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康宁</w:t>
            </w:r>
          </w:p>
        </w:tc>
        <w:tc>
          <w:tcPr>
            <w:tcW w:w="1418"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200,000</w:t>
            </w:r>
            <w:r>
              <w:rPr>
                <w:rFonts w:ascii="Arial"/>
                <w:sz w:val="18"/>
              </w:rPr>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
        </w:tc>
        <w:tc>
          <w:tcPr>
            <w:tcW w:w="1274" w:type="dxa"/>
            <w:tcBorders>
              <w:top w:val="single" w:sz="4" w:space="0" w:color="5B9BD4"/>
              <w:left w:val="nil" w:sz="6" w:space="0" w:color="auto"/>
              <w:bottom w:val="single" w:sz="4" w:space="0" w:color="5B9BD4"/>
              <w:right w:val="nil" w:sz="6" w:space="0" w:color="auto"/>
            </w:tcBorders>
          </w:tcPr>
          <w:p>
            <w:pPr/>
          </w:p>
        </w:tc>
        <w:tc>
          <w:tcPr>
            <w:tcW w:w="127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w w:val="95"/>
                <w:sz w:val="18"/>
              </w:rPr>
              <w:t>200,000</w:t>
            </w:r>
            <w:r>
              <w:rPr>
                <w:rFonts w:ascii="Arial"/>
                <w:sz w:val="18"/>
              </w:rPr>
            </w:r>
          </w:p>
        </w:tc>
        <w:tc>
          <w:tcPr>
            <w:tcW w:w="1574" w:type="dxa"/>
            <w:tcBorders>
              <w:top w:val="single" w:sz="4" w:space="0" w:color="5B9BD4"/>
              <w:left w:val="nil" w:sz="6" w:space="0" w:color="auto"/>
              <w:bottom w:val="single" w:sz="4" w:space="0" w:color="5B9BD4"/>
              <w:right w:val="single" w:sz="11" w:space="0" w:color="DEEAF6"/>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61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Arial" w:hAnsi="Arial" w:cs="Arial" w:eastAsia="Arial" w:hint="default"/>
                <w:sz w:val="18"/>
                <w:szCs w:val="18"/>
              </w:rPr>
            </w:pPr>
            <w:r>
              <w:rPr>
                <w:rFonts w:ascii="宋体" w:hAnsi="宋体" w:cs="宋体" w:eastAsia="宋体" w:hint="default"/>
                <w:sz w:val="18"/>
                <w:szCs w:val="18"/>
              </w:rPr>
              <w:t>不符合解锁条件</w:t>
            </w:r>
            <w:r>
              <w:rPr>
                <w:rFonts w:ascii="Arial" w:hAnsi="Arial" w:cs="Arial" w:eastAsia="Arial" w:hint="default"/>
                <w:sz w:val="18"/>
                <w:szCs w:val="18"/>
              </w:rPr>
              <w:t>[</w:t>
            </w:r>
            <w:r>
              <w:rPr>
                <w:rFonts w:ascii="宋体" w:hAnsi="宋体" w:cs="宋体" w:eastAsia="宋体" w:hint="default"/>
                <w:sz w:val="18"/>
                <w:szCs w:val="18"/>
              </w:rPr>
              <w:t>注</w:t>
            </w:r>
            <w:r>
              <w:rPr>
                <w:rFonts w:ascii="Arial" w:hAnsi="Arial" w:cs="Arial" w:eastAsia="Arial" w:hint="default"/>
                <w:sz w:val="18"/>
                <w:szCs w:val="18"/>
              </w:rPr>
              <w:t>]</w:t>
            </w:r>
          </w:p>
        </w:tc>
      </w:tr>
      <w:tr>
        <w:trPr>
          <w:trHeight w:val="402" w:hRule="exact"/>
        </w:trPr>
        <w:tc>
          <w:tcPr>
            <w:tcW w:w="113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刘兴胜</w:t>
            </w:r>
          </w:p>
        </w:tc>
        <w:tc>
          <w:tcPr>
            <w:tcW w:w="1418"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200,000</w:t>
            </w:r>
            <w:r>
              <w:rPr>
                <w:rFonts w:ascii="Arial"/>
                <w:sz w:val="18"/>
              </w:rPr>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
        </w:tc>
        <w:tc>
          <w:tcPr>
            <w:tcW w:w="1274" w:type="dxa"/>
            <w:tcBorders>
              <w:top w:val="single" w:sz="4" w:space="0" w:color="5B9BD4"/>
              <w:left w:val="nil" w:sz="6" w:space="0" w:color="auto"/>
              <w:bottom w:val="single" w:sz="4" w:space="0" w:color="5B9BD4"/>
              <w:right w:val="nil" w:sz="6" w:space="0" w:color="auto"/>
            </w:tcBorders>
          </w:tcPr>
          <w:p>
            <w:pPr/>
          </w:p>
        </w:tc>
        <w:tc>
          <w:tcPr>
            <w:tcW w:w="127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w w:val="95"/>
                <w:sz w:val="18"/>
              </w:rPr>
              <w:t>200,000</w:t>
            </w:r>
            <w:r>
              <w:rPr>
                <w:rFonts w:ascii="Arial"/>
                <w:sz w:val="18"/>
              </w:rPr>
            </w:r>
          </w:p>
        </w:tc>
        <w:tc>
          <w:tcPr>
            <w:tcW w:w="1574" w:type="dxa"/>
            <w:tcBorders>
              <w:top w:val="single" w:sz="4" w:space="0" w:color="5B9BD4"/>
              <w:left w:val="nil" w:sz="6" w:space="0" w:color="auto"/>
              <w:bottom w:val="single" w:sz="4" w:space="0" w:color="5B9BD4"/>
              <w:right w:val="single" w:sz="11" w:space="0" w:color="DEEAF6"/>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61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Arial" w:hAnsi="Arial" w:cs="Arial" w:eastAsia="Arial" w:hint="default"/>
                <w:sz w:val="18"/>
                <w:szCs w:val="18"/>
              </w:rPr>
            </w:pPr>
            <w:r>
              <w:rPr>
                <w:rFonts w:ascii="宋体" w:hAnsi="宋体" w:cs="宋体" w:eastAsia="宋体" w:hint="default"/>
                <w:sz w:val="18"/>
                <w:szCs w:val="18"/>
              </w:rPr>
              <w:t>不符合解锁条件</w:t>
            </w:r>
            <w:r>
              <w:rPr>
                <w:rFonts w:ascii="Arial" w:hAnsi="Arial" w:cs="Arial" w:eastAsia="Arial" w:hint="default"/>
                <w:sz w:val="18"/>
                <w:szCs w:val="18"/>
              </w:rPr>
              <w:t>[</w:t>
            </w:r>
            <w:r>
              <w:rPr>
                <w:rFonts w:ascii="宋体" w:hAnsi="宋体" w:cs="宋体" w:eastAsia="宋体" w:hint="default"/>
                <w:sz w:val="18"/>
                <w:szCs w:val="18"/>
              </w:rPr>
              <w:t>注</w:t>
            </w:r>
            <w:r>
              <w:rPr>
                <w:rFonts w:ascii="Arial" w:hAnsi="Arial" w:cs="Arial" w:eastAsia="Arial" w:hint="default"/>
                <w:sz w:val="18"/>
                <w:szCs w:val="18"/>
              </w:rPr>
              <w:t>]</w:t>
            </w:r>
          </w:p>
        </w:tc>
      </w:tr>
      <w:tr>
        <w:trPr>
          <w:trHeight w:val="402" w:hRule="exact"/>
        </w:trPr>
        <w:tc>
          <w:tcPr>
            <w:tcW w:w="113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杨治</w:t>
            </w:r>
          </w:p>
        </w:tc>
        <w:tc>
          <w:tcPr>
            <w:tcW w:w="1418"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200,000</w:t>
            </w:r>
            <w:r>
              <w:rPr>
                <w:rFonts w:ascii="Arial"/>
                <w:sz w:val="18"/>
              </w:rPr>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
        </w:tc>
        <w:tc>
          <w:tcPr>
            <w:tcW w:w="1274" w:type="dxa"/>
            <w:tcBorders>
              <w:top w:val="single" w:sz="4" w:space="0" w:color="5B9BD4"/>
              <w:left w:val="nil" w:sz="6" w:space="0" w:color="auto"/>
              <w:bottom w:val="single" w:sz="4" w:space="0" w:color="5B9BD4"/>
              <w:right w:val="nil" w:sz="6" w:space="0" w:color="auto"/>
            </w:tcBorders>
          </w:tcPr>
          <w:p>
            <w:pPr/>
          </w:p>
        </w:tc>
        <w:tc>
          <w:tcPr>
            <w:tcW w:w="127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w w:val="95"/>
                <w:sz w:val="18"/>
              </w:rPr>
              <w:t>200,000</w:t>
            </w:r>
            <w:r>
              <w:rPr>
                <w:rFonts w:ascii="Arial"/>
                <w:sz w:val="18"/>
              </w:rPr>
            </w:r>
          </w:p>
        </w:tc>
        <w:tc>
          <w:tcPr>
            <w:tcW w:w="1574" w:type="dxa"/>
            <w:tcBorders>
              <w:top w:val="single" w:sz="4" w:space="0" w:color="5B9BD4"/>
              <w:left w:val="nil" w:sz="6" w:space="0" w:color="auto"/>
              <w:bottom w:val="single" w:sz="4" w:space="0" w:color="5B9BD4"/>
              <w:right w:val="single" w:sz="11" w:space="0" w:color="DEEAF6"/>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61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Arial" w:hAnsi="Arial" w:cs="Arial" w:eastAsia="Arial" w:hint="default"/>
                <w:sz w:val="18"/>
                <w:szCs w:val="18"/>
              </w:rPr>
            </w:pPr>
            <w:r>
              <w:rPr>
                <w:rFonts w:ascii="宋体" w:hAnsi="宋体" w:cs="宋体" w:eastAsia="宋体" w:hint="default"/>
                <w:sz w:val="18"/>
                <w:szCs w:val="18"/>
              </w:rPr>
              <w:t>不符合解锁条件</w:t>
            </w:r>
            <w:r>
              <w:rPr>
                <w:rFonts w:ascii="Arial" w:hAnsi="Arial" w:cs="Arial" w:eastAsia="Arial" w:hint="default"/>
                <w:sz w:val="18"/>
                <w:szCs w:val="18"/>
              </w:rPr>
              <w:t>[</w:t>
            </w:r>
            <w:r>
              <w:rPr>
                <w:rFonts w:ascii="宋体" w:hAnsi="宋体" w:cs="宋体" w:eastAsia="宋体" w:hint="default"/>
                <w:sz w:val="18"/>
                <w:szCs w:val="18"/>
              </w:rPr>
              <w:t>注</w:t>
            </w:r>
            <w:r>
              <w:rPr>
                <w:rFonts w:ascii="Arial" w:hAnsi="Arial" w:cs="Arial" w:eastAsia="Arial" w:hint="default"/>
                <w:sz w:val="18"/>
                <w:szCs w:val="18"/>
              </w:rPr>
              <w:t>]</w:t>
            </w:r>
          </w:p>
        </w:tc>
      </w:tr>
      <w:tr>
        <w:trPr>
          <w:trHeight w:val="402" w:hRule="exact"/>
        </w:trPr>
        <w:tc>
          <w:tcPr>
            <w:tcW w:w="113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李振江</w:t>
            </w:r>
          </w:p>
        </w:tc>
        <w:tc>
          <w:tcPr>
            <w:tcW w:w="1418"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160,000</w:t>
            </w:r>
            <w:r>
              <w:rPr>
                <w:rFonts w:ascii="Arial"/>
                <w:sz w:val="18"/>
              </w:rPr>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
        </w:tc>
        <w:tc>
          <w:tcPr>
            <w:tcW w:w="1274" w:type="dxa"/>
            <w:tcBorders>
              <w:top w:val="single" w:sz="4" w:space="0" w:color="5B9BD4"/>
              <w:left w:val="nil" w:sz="6" w:space="0" w:color="auto"/>
              <w:bottom w:val="single" w:sz="4" w:space="0" w:color="5B9BD4"/>
              <w:right w:val="nil" w:sz="6" w:space="0" w:color="auto"/>
            </w:tcBorders>
          </w:tcPr>
          <w:p>
            <w:pPr/>
          </w:p>
        </w:tc>
        <w:tc>
          <w:tcPr>
            <w:tcW w:w="127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w w:val="95"/>
                <w:sz w:val="18"/>
              </w:rPr>
              <w:t>160,000</w:t>
            </w:r>
            <w:r>
              <w:rPr>
                <w:rFonts w:ascii="Arial"/>
                <w:sz w:val="18"/>
              </w:rPr>
            </w:r>
          </w:p>
        </w:tc>
        <w:tc>
          <w:tcPr>
            <w:tcW w:w="1574" w:type="dxa"/>
            <w:tcBorders>
              <w:top w:val="single" w:sz="4" w:space="0" w:color="5B9BD4"/>
              <w:left w:val="nil" w:sz="6" w:space="0" w:color="auto"/>
              <w:bottom w:val="single" w:sz="4" w:space="0" w:color="5B9BD4"/>
              <w:right w:val="single" w:sz="11" w:space="0" w:color="DEEAF6"/>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61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Arial" w:hAnsi="Arial" w:cs="Arial" w:eastAsia="Arial" w:hint="default"/>
                <w:sz w:val="18"/>
                <w:szCs w:val="18"/>
              </w:rPr>
            </w:pPr>
            <w:r>
              <w:rPr>
                <w:rFonts w:ascii="宋体" w:hAnsi="宋体" w:cs="宋体" w:eastAsia="宋体" w:hint="default"/>
                <w:sz w:val="18"/>
                <w:szCs w:val="18"/>
              </w:rPr>
              <w:t>不符合解锁条件</w:t>
            </w:r>
            <w:r>
              <w:rPr>
                <w:rFonts w:ascii="Arial" w:hAnsi="Arial" w:cs="Arial" w:eastAsia="Arial" w:hint="default"/>
                <w:sz w:val="18"/>
                <w:szCs w:val="18"/>
              </w:rPr>
              <w:t>[</w:t>
            </w:r>
            <w:r>
              <w:rPr>
                <w:rFonts w:ascii="宋体" w:hAnsi="宋体" w:cs="宋体" w:eastAsia="宋体" w:hint="default"/>
                <w:sz w:val="18"/>
                <w:szCs w:val="18"/>
              </w:rPr>
              <w:t>注</w:t>
            </w:r>
            <w:r>
              <w:rPr>
                <w:rFonts w:ascii="Arial" w:hAnsi="Arial" w:cs="Arial" w:eastAsia="Arial" w:hint="default"/>
                <w:sz w:val="18"/>
                <w:szCs w:val="18"/>
              </w:rPr>
              <w:t>]</w:t>
            </w:r>
          </w:p>
        </w:tc>
      </w:tr>
      <w:tr>
        <w:trPr>
          <w:trHeight w:val="402" w:hRule="exact"/>
        </w:trPr>
        <w:tc>
          <w:tcPr>
            <w:tcW w:w="113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米泽东</w:t>
            </w:r>
          </w:p>
        </w:tc>
        <w:tc>
          <w:tcPr>
            <w:tcW w:w="1418"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160,000</w:t>
            </w:r>
            <w:r>
              <w:rPr>
                <w:rFonts w:ascii="Arial"/>
                <w:sz w:val="18"/>
              </w:rPr>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
        </w:tc>
        <w:tc>
          <w:tcPr>
            <w:tcW w:w="1274" w:type="dxa"/>
            <w:tcBorders>
              <w:top w:val="single" w:sz="4" w:space="0" w:color="5B9BD4"/>
              <w:left w:val="nil" w:sz="6" w:space="0" w:color="auto"/>
              <w:bottom w:val="single" w:sz="4" w:space="0" w:color="5B9BD4"/>
              <w:right w:val="nil" w:sz="6" w:space="0" w:color="auto"/>
            </w:tcBorders>
          </w:tcPr>
          <w:p>
            <w:pPr/>
          </w:p>
        </w:tc>
        <w:tc>
          <w:tcPr>
            <w:tcW w:w="127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w w:val="95"/>
                <w:sz w:val="18"/>
              </w:rPr>
              <w:t>160,000</w:t>
            </w:r>
            <w:r>
              <w:rPr>
                <w:rFonts w:ascii="Arial"/>
                <w:sz w:val="18"/>
              </w:rPr>
            </w:r>
          </w:p>
        </w:tc>
        <w:tc>
          <w:tcPr>
            <w:tcW w:w="1574" w:type="dxa"/>
            <w:tcBorders>
              <w:top w:val="single" w:sz="4" w:space="0" w:color="5B9BD4"/>
              <w:left w:val="nil" w:sz="6" w:space="0" w:color="auto"/>
              <w:bottom w:val="single" w:sz="4" w:space="0" w:color="5B9BD4"/>
              <w:right w:val="single" w:sz="11" w:space="0" w:color="DEEAF6"/>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61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Arial" w:hAnsi="Arial" w:cs="Arial" w:eastAsia="Arial" w:hint="default"/>
                <w:sz w:val="18"/>
                <w:szCs w:val="18"/>
              </w:rPr>
            </w:pPr>
            <w:r>
              <w:rPr>
                <w:rFonts w:ascii="宋体" w:hAnsi="宋体" w:cs="宋体" w:eastAsia="宋体" w:hint="default"/>
                <w:sz w:val="18"/>
                <w:szCs w:val="18"/>
              </w:rPr>
              <w:t>不符合解锁条件</w:t>
            </w:r>
            <w:r>
              <w:rPr>
                <w:rFonts w:ascii="Arial" w:hAnsi="Arial" w:cs="Arial" w:eastAsia="Arial" w:hint="default"/>
                <w:sz w:val="18"/>
                <w:szCs w:val="18"/>
              </w:rPr>
              <w:t>[</w:t>
            </w:r>
            <w:r>
              <w:rPr>
                <w:rFonts w:ascii="宋体" w:hAnsi="宋体" w:cs="宋体" w:eastAsia="宋体" w:hint="default"/>
                <w:sz w:val="18"/>
                <w:szCs w:val="18"/>
              </w:rPr>
              <w:t>注</w:t>
            </w:r>
            <w:r>
              <w:rPr>
                <w:rFonts w:ascii="Arial" w:hAnsi="Arial" w:cs="Arial" w:eastAsia="Arial" w:hint="default"/>
                <w:sz w:val="18"/>
                <w:szCs w:val="18"/>
              </w:rPr>
              <w:t>]</w:t>
            </w:r>
          </w:p>
        </w:tc>
      </w:tr>
      <w:tr>
        <w:trPr>
          <w:trHeight w:val="402" w:hRule="exact"/>
        </w:trPr>
        <w:tc>
          <w:tcPr>
            <w:tcW w:w="113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38,619,541</w:t>
            </w:r>
            <w:r>
              <w:rPr>
                <w:rFonts w:ascii="Arial"/>
                <w:sz w:val="18"/>
              </w:rPr>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7"/>
              <w:jc w:val="right"/>
              <w:rPr>
                <w:rFonts w:ascii="Arial" w:hAnsi="Arial" w:cs="Arial" w:eastAsia="Arial" w:hint="default"/>
                <w:sz w:val="18"/>
                <w:szCs w:val="18"/>
              </w:rPr>
            </w:pPr>
            <w:r>
              <w:rPr>
                <w:rFonts w:ascii="Arial"/>
                <w:w w:val="95"/>
                <w:sz w:val="18"/>
              </w:rPr>
              <w:t>5,639,214</w:t>
            </w:r>
            <w:r>
              <w:rPr>
                <w:rFonts w:ascii="Arial"/>
                <w:sz w:val="18"/>
              </w:rPr>
            </w:r>
          </w:p>
        </w:tc>
        <w:tc>
          <w:tcPr>
            <w:tcW w:w="1274"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25"/>
              <w:jc w:val="right"/>
              <w:rPr>
                <w:rFonts w:ascii="Arial" w:hAnsi="Arial" w:cs="Arial" w:eastAsia="Arial" w:hint="default"/>
                <w:sz w:val="18"/>
                <w:szCs w:val="18"/>
              </w:rPr>
            </w:pPr>
            <w:r>
              <w:rPr>
                <w:rFonts w:ascii="Arial"/>
                <w:w w:val="95"/>
                <w:sz w:val="18"/>
              </w:rPr>
              <w:t>1,042,512</w:t>
            </w:r>
            <w:r>
              <w:rPr>
                <w:rFonts w:ascii="Arial"/>
                <w:sz w:val="18"/>
              </w:rPr>
            </w:r>
          </w:p>
        </w:tc>
        <w:tc>
          <w:tcPr>
            <w:tcW w:w="127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5"/>
              <w:jc w:val="right"/>
              <w:rPr>
                <w:rFonts w:ascii="Arial" w:hAnsi="Arial" w:cs="Arial" w:eastAsia="Arial" w:hint="default"/>
                <w:sz w:val="18"/>
                <w:szCs w:val="18"/>
              </w:rPr>
            </w:pPr>
            <w:r>
              <w:rPr>
                <w:rFonts w:ascii="Arial"/>
                <w:w w:val="95"/>
                <w:sz w:val="18"/>
              </w:rPr>
              <w:t>34,022,839</w:t>
            </w:r>
            <w:r>
              <w:rPr>
                <w:rFonts w:ascii="Arial"/>
                <w:sz w:val="18"/>
              </w:rPr>
            </w:r>
          </w:p>
        </w:tc>
        <w:tc>
          <w:tcPr>
            <w:tcW w:w="1574" w:type="dxa"/>
            <w:tcBorders>
              <w:top w:val="single" w:sz="4" w:space="0" w:color="5B9BD4"/>
              <w:left w:val="nil" w:sz="6" w:space="0" w:color="auto"/>
              <w:bottom w:val="single" w:sz="4" w:space="0" w:color="5B9BD4"/>
              <w:right w:val="single" w:sz="11" w:space="0" w:color="DEEAF6"/>
            </w:tcBorders>
          </w:tcPr>
          <w:p>
            <w:pPr>
              <w:pStyle w:val="TableParagraph"/>
              <w:spacing w:line="240" w:lineRule="auto" w:before="88"/>
              <w:ind w:right="0"/>
              <w:jc w:val="center"/>
              <w:rPr>
                <w:rFonts w:ascii="Arial" w:hAnsi="Arial" w:cs="Arial" w:eastAsia="Arial" w:hint="default"/>
                <w:sz w:val="18"/>
                <w:szCs w:val="18"/>
              </w:rPr>
            </w:pPr>
            <w:r>
              <w:rPr>
                <w:rFonts w:ascii="Arial"/>
                <w:sz w:val="18"/>
              </w:rPr>
              <w:t>--</w:t>
            </w:r>
          </w:p>
        </w:tc>
        <w:tc>
          <w:tcPr>
            <w:tcW w:w="161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11"/>
              <w:jc w:val="center"/>
              <w:rPr>
                <w:rFonts w:ascii="Arial" w:hAnsi="Arial" w:cs="Arial" w:eastAsia="Arial" w:hint="default"/>
                <w:sz w:val="18"/>
                <w:szCs w:val="18"/>
              </w:rPr>
            </w:pPr>
            <w:r>
              <w:rPr>
                <w:rFonts w:ascii="Arial"/>
                <w:sz w:val="18"/>
              </w:rPr>
              <w:t>--</w:t>
            </w:r>
          </w:p>
        </w:tc>
      </w:tr>
    </w:tbl>
    <w:p>
      <w:pPr>
        <w:pStyle w:val="BodyText"/>
        <w:spacing w:line="386" w:lineRule="auto" w:before="69"/>
        <w:ind w:right="1121"/>
        <w:jc w:val="left"/>
      </w:pPr>
      <w:r>
        <w:rPr>
          <w:spacing w:val="-4"/>
        </w:rPr>
        <w:t>注：股权激励限售股</w:t>
      </w:r>
      <w:r>
        <w:rPr>
          <w:spacing w:val="-52"/>
        </w:rPr>
        <w:t> </w:t>
      </w:r>
      <w:r>
        <w:rPr>
          <w:rFonts w:ascii="Arial" w:hAnsi="Arial" w:cs="Arial" w:eastAsia="Arial" w:hint="default"/>
        </w:rPr>
        <w:t>1,250</w:t>
      </w:r>
      <w:r>
        <w:rPr>
          <w:rFonts w:ascii="Arial" w:hAnsi="Arial" w:cs="Arial" w:eastAsia="Arial" w:hint="default"/>
          <w:spacing w:val="-6"/>
        </w:rPr>
        <w:t> </w:t>
      </w:r>
      <w:r>
        <w:rPr>
          <w:spacing w:val="-5"/>
        </w:rPr>
        <w:t>万股，因不满足业绩目标，已经于</w:t>
      </w:r>
      <w:r>
        <w:rPr>
          <w:spacing w:val="-52"/>
        </w:rPr>
        <w:t> </w:t>
      </w:r>
      <w:r>
        <w:rPr>
          <w:rFonts w:ascii="Arial" w:hAnsi="Arial" w:cs="Arial" w:eastAsia="Arial" w:hint="default"/>
        </w:rPr>
        <w:t>2016</w:t>
      </w:r>
      <w:r>
        <w:rPr>
          <w:rFonts w:ascii="Arial" w:hAnsi="Arial" w:cs="Arial" w:eastAsia="Arial" w:hint="default"/>
          <w:spacing w:val="-6"/>
        </w:rPr>
        <w:t> </w:t>
      </w:r>
      <w:r>
        <w:rPr/>
        <w:t>年</w:t>
      </w:r>
      <w:r>
        <w:rPr>
          <w:spacing w:val="-53"/>
        </w:rPr>
        <w:t> </w:t>
      </w:r>
      <w:r>
        <w:rPr>
          <w:rFonts w:ascii="Arial" w:hAnsi="Arial" w:cs="Arial" w:eastAsia="Arial" w:hint="default"/>
        </w:rPr>
        <w:t>1</w:t>
      </w:r>
      <w:r>
        <w:rPr>
          <w:rFonts w:ascii="Arial" w:hAnsi="Arial" w:cs="Arial" w:eastAsia="Arial" w:hint="default"/>
          <w:spacing w:val="-6"/>
        </w:rPr>
        <w:t> </w:t>
      </w:r>
      <w:r>
        <w:rPr/>
        <w:t>月</w:t>
      </w:r>
      <w:r>
        <w:rPr>
          <w:spacing w:val="-53"/>
        </w:rPr>
        <w:t> </w:t>
      </w:r>
      <w:r>
        <w:rPr>
          <w:rFonts w:ascii="Arial" w:hAnsi="Arial" w:cs="Arial" w:eastAsia="Arial" w:hint="default"/>
        </w:rPr>
        <w:t>26</w:t>
      </w:r>
      <w:r>
        <w:rPr>
          <w:rFonts w:ascii="Arial" w:hAnsi="Arial" w:cs="Arial" w:eastAsia="Arial" w:hint="default"/>
          <w:spacing w:val="-6"/>
        </w:rPr>
        <w:t> </w:t>
      </w:r>
      <w:r>
        <w:rPr/>
        <w:t>日在中国证券登记结算有限 责任公司深圳分公司完成回购股票的注销手续。</w:t>
      </w:r>
    </w:p>
    <w:p>
      <w:pPr>
        <w:pStyle w:val="Heading1"/>
        <w:spacing w:line="505" w:lineRule="exact"/>
        <w:ind w:left="154" w:right="0"/>
        <w:jc w:val="left"/>
        <w:rPr>
          <w:b w:val="0"/>
          <w:bCs w:val="0"/>
        </w:rPr>
      </w:pPr>
      <w:bookmarkStart w:name="6.2 证券发行与上市情况" w:id="179"/>
      <w:bookmarkEnd w:id="179"/>
      <w:r>
        <w:rPr>
          <w:b w:val="0"/>
          <w:bCs w:val="0"/>
        </w:rPr>
      </w:r>
      <w:bookmarkStart w:name="_bookmark53" w:id="180"/>
      <w:bookmarkEnd w:id="180"/>
      <w:r>
        <w:rPr>
          <w:b w:val="0"/>
          <w:bCs w:val="0"/>
        </w:rPr>
      </w:r>
      <w:r>
        <w:rPr>
          <w:rFonts w:ascii="Trebuchet MS" w:hAnsi="Trebuchet MS" w:cs="Trebuchet MS" w:eastAsia="Trebuchet MS" w:hint="default"/>
        </w:rPr>
        <w:t>6.2</w:t>
      </w:r>
      <w:r>
        <w:rPr>
          <w:rFonts w:ascii="Trebuchet MS" w:hAnsi="Trebuchet MS" w:cs="Trebuchet MS" w:eastAsia="Trebuchet MS" w:hint="default"/>
          <w:spacing w:val="14"/>
        </w:rPr>
        <w:t> </w:t>
      </w:r>
      <w:r>
        <w:rPr/>
        <w:t>证券发行与上市情况</w:t>
      </w:r>
      <w:r>
        <w:rPr>
          <w:b w:val="0"/>
          <w:bCs w:val="0"/>
        </w:rPr>
      </w:r>
    </w:p>
    <w:p>
      <w:pPr>
        <w:spacing w:line="240" w:lineRule="auto" w:before="1"/>
        <w:rPr>
          <w:rFonts w:ascii="Microsoft JhengHei" w:hAnsi="Microsoft JhengHei" w:cs="Microsoft JhengHei" w:eastAsia="Microsoft JhengHei" w:hint="default"/>
          <w:b/>
          <w:bCs/>
          <w:sz w:val="27"/>
          <w:szCs w:val="27"/>
        </w:rPr>
      </w:pPr>
    </w:p>
    <w:p>
      <w:pPr>
        <w:pStyle w:val="Heading2"/>
        <w:spacing w:line="240" w:lineRule="auto"/>
        <w:ind w:left="154" w:right="0"/>
        <w:jc w:val="left"/>
        <w:rPr>
          <w:b w:val="0"/>
          <w:bCs w:val="0"/>
        </w:rPr>
      </w:pPr>
      <w:bookmarkStart w:name="6.2.1 报告期内证券发行（不含优先股）情况" w:id="181"/>
      <w:bookmarkEnd w:id="181"/>
      <w:r>
        <w:rPr>
          <w:b w:val="0"/>
          <w:bCs w:val="0"/>
        </w:rPr>
      </w:r>
      <w:r>
        <w:rPr>
          <w:rFonts w:ascii="Trebuchet MS" w:hAnsi="Trebuchet MS" w:cs="Trebuchet MS" w:eastAsia="Trebuchet MS" w:hint="default"/>
        </w:rPr>
        <w:t>6.2.1</w:t>
      </w:r>
      <w:r>
        <w:rPr>
          <w:rFonts w:ascii="Trebuchet MS" w:hAnsi="Trebuchet MS" w:cs="Trebuchet MS" w:eastAsia="Trebuchet MS" w:hint="default"/>
          <w:spacing w:val="-18"/>
        </w:rPr>
        <w:t> </w:t>
      </w:r>
      <w:r>
        <w:rPr/>
        <w:t>报告期内证券发行（不含优先股）情况</w:t>
      </w:r>
      <w:r>
        <w:rPr>
          <w:b w:val="0"/>
          <w:bCs w:val="0"/>
        </w:rPr>
      </w:r>
    </w:p>
    <w:p>
      <w:pPr>
        <w:spacing w:line="240" w:lineRule="auto" w:before="9"/>
        <w:rPr>
          <w:rFonts w:ascii="Microsoft JhengHei" w:hAnsi="Microsoft JhengHei" w:cs="Microsoft JhengHei" w:eastAsia="Microsoft JhengHei"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2" w:type="dxa"/>
        <w:tblLayout w:type="fixed"/>
        <w:tblCellMar>
          <w:top w:w="0" w:type="dxa"/>
          <w:left w:w="0" w:type="dxa"/>
          <w:bottom w:w="0" w:type="dxa"/>
          <w:right w:w="0" w:type="dxa"/>
        </w:tblCellMar>
        <w:tblLook w:val="01E0"/>
      </w:tblPr>
      <w:tblGrid>
        <w:gridCol w:w="1392"/>
        <w:gridCol w:w="1616"/>
        <w:gridCol w:w="965"/>
        <w:gridCol w:w="1158"/>
        <w:gridCol w:w="1718"/>
        <w:gridCol w:w="1025"/>
        <w:gridCol w:w="1669"/>
      </w:tblGrid>
      <w:tr>
        <w:trPr>
          <w:trHeight w:val="161" w:hRule="exact"/>
        </w:trPr>
        <w:tc>
          <w:tcPr>
            <w:tcW w:w="1392" w:type="dxa"/>
            <w:vMerge w:val="restart"/>
            <w:tcBorders>
              <w:top w:val="single" w:sz="4" w:space="0" w:color="5B9BD4"/>
              <w:left w:val="nil" w:sz="6" w:space="0" w:color="auto"/>
              <w:right w:val="nil" w:sz="6" w:space="0" w:color="auto"/>
            </w:tcBorders>
            <w:shd w:val="clear" w:color="auto" w:fill="DEEAF6"/>
          </w:tcPr>
          <w:p>
            <w:pPr>
              <w:pStyle w:val="TableParagraph"/>
              <w:spacing w:line="319" w:lineRule="auto" w:before="46"/>
              <w:ind w:left="421" w:right="67"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616" w:type="dxa"/>
            <w:tcBorders>
              <w:top w:val="single" w:sz="4" w:space="0" w:color="5B9BD4"/>
              <w:left w:val="nil" w:sz="6" w:space="0" w:color="auto"/>
              <w:bottom w:val="nil" w:sz="6" w:space="0" w:color="auto"/>
              <w:right w:val="nil" w:sz="6" w:space="0" w:color="auto"/>
            </w:tcBorders>
            <w:shd w:val="clear" w:color="auto" w:fill="DEEAF6"/>
          </w:tcPr>
          <w:p>
            <w:pPr/>
          </w:p>
        </w:tc>
        <w:tc>
          <w:tcPr>
            <w:tcW w:w="965"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46"/>
              <w:ind w:left="121"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77"/>
              <w:ind w:left="31"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2876" w:type="dxa"/>
            <w:gridSpan w:val="2"/>
            <w:tcBorders>
              <w:top w:val="single" w:sz="4" w:space="0" w:color="5B9BD4"/>
              <w:left w:val="nil" w:sz="6" w:space="0" w:color="auto"/>
              <w:bottom w:val="nil" w:sz="6" w:space="0" w:color="auto"/>
              <w:right w:val="nil" w:sz="6" w:space="0" w:color="auto"/>
            </w:tcBorders>
            <w:shd w:val="clear" w:color="auto" w:fill="DEEAF6"/>
          </w:tcPr>
          <w:p>
            <w:pPr/>
          </w:p>
        </w:tc>
        <w:tc>
          <w:tcPr>
            <w:tcW w:w="1025" w:type="dxa"/>
            <w:vMerge w:val="restart"/>
            <w:tcBorders>
              <w:top w:val="single" w:sz="4" w:space="0" w:color="5B9BD4"/>
              <w:left w:val="nil" w:sz="6" w:space="0" w:color="auto"/>
              <w:right w:val="nil" w:sz="6" w:space="0" w:color="auto"/>
            </w:tcBorders>
            <w:shd w:val="clear" w:color="auto" w:fill="DEEAF6"/>
          </w:tcPr>
          <w:p>
            <w:pPr>
              <w:pStyle w:val="TableParagraph"/>
              <w:spacing w:line="319" w:lineRule="auto" w:before="46"/>
              <w:ind w:left="242" w:right="60" w:hanging="181"/>
              <w:jc w:val="left"/>
              <w:rPr>
                <w:rFonts w:ascii="宋体" w:hAnsi="宋体" w:cs="宋体" w:eastAsia="宋体" w:hint="default"/>
                <w:sz w:val="18"/>
                <w:szCs w:val="18"/>
              </w:rPr>
            </w:pPr>
            <w:r>
              <w:rPr>
                <w:rFonts w:ascii="宋体" w:hAnsi="宋体" w:cs="宋体" w:eastAsia="宋体" w:hint="default"/>
                <w:sz w:val="18"/>
                <w:szCs w:val="18"/>
              </w:rPr>
              <w:t>获准上市交 易数量</w:t>
            </w:r>
          </w:p>
        </w:tc>
        <w:tc>
          <w:tcPr>
            <w:tcW w:w="1669" w:type="dxa"/>
            <w:tcBorders>
              <w:top w:val="single" w:sz="4" w:space="0" w:color="5B9BD4"/>
              <w:left w:val="nil" w:sz="6" w:space="0" w:color="auto"/>
              <w:bottom w:val="nil" w:sz="6" w:space="0" w:color="auto"/>
              <w:right w:val="nil" w:sz="6" w:space="0" w:color="auto"/>
            </w:tcBorders>
            <w:shd w:val="clear" w:color="auto" w:fill="DEEAF6"/>
          </w:tcPr>
          <w:p>
            <w:pPr/>
          </w:p>
        </w:tc>
      </w:tr>
      <w:tr>
        <w:trPr>
          <w:trHeight w:val="392" w:hRule="exact"/>
        </w:trPr>
        <w:tc>
          <w:tcPr>
            <w:tcW w:w="1392" w:type="dxa"/>
            <w:vMerge/>
            <w:tcBorders>
              <w:left w:val="nil" w:sz="6" w:space="0" w:color="auto"/>
              <w:right w:val="nil" w:sz="6" w:space="0" w:color="auto"/>
            </w:tcBorders>
            <w:shd w:val="clear" w:color="auto" w:fill="DEEAF6"/>
          </w:tcPr>
          <w:p>
            <w:pPr/>
          </w:p>
        </w:tc>
        <w:tc>
          <w:tcPr>
            <w:tcW w:w="1616"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444"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65" w:type="dxa"/>
            <w:vMerge/>
            <w:tcBorders>
              <w:left w:val="nil" w:sz="6" w:space="0" w:color="auto"/>
              <w:right w:val="nil" w:sz="6" w:space="0" w:color="auto"/>
            </w:tcBorders>
            <w:shd w:val="clear" w:color="auto" w:fill="DEEAF6"/>
          </w:tcPr>
          <w:p>
            <w:pPr/>
          </w:p>
        </w:tc>
        <w:tc>
          <w:tcPr>
            <w:tcW w:w="1158"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222"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718"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right="6"/>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025" w:type="dxa"/>
            <w:vMerge/>
            <w:tcBorders>
              <w:left w:val="nil" w:sz="6" w:space="0" w:color="auto"/>
              <w:right w:val="nil" w:sz="6" w:space="0" w:color="auto"/>
            </w:tcBorders>
            <w:shd w:val="clear" w:color="auto" w:fill="DEEAF6"/>
          </w:tcPr>
          <w:p>
            <w:pPr/>
          </w:p>
        </w:tc>
        <w:tc>
          <w:tcPr>
            <w:tcW w:w="1669"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14" w:right="0"/>
              <w:jc w:val="center"/>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166" w:hRule="exact"/>
        </w:trPr>
        <w:tc>
          <w:tcPr>
            <w:tcW w:w="1392" w:type="dxa"/>
            <w:vMerge/>
            <w:tcBorders>
              <w:left w:val="nil" w:sz="6" w:space="0" w:color="auto"/>
              <w:bottom w:val="single" w:sz="4" w:space="0" w:color="5B9BD4"/>
              <w:right w:val="nil" w:sz="6" w:space="0" w:color="auto"/>
            </w:tcBorders>
            <w:shd w:val="clear" w:color="auto" w:fill="DEEAF6"/>
          </w:tcPr>
          <w:p>
            <w:pPr/>
          </w:p>
        </w:tc>
        <w:tc>
          <w:tcPr>
            <w:tcW w:w="1616" w:type="dxa"/>
            <w:tcBorders>
              <w:top w:val="nil" w:sz="6" w:space="0" w:color="auto"/>
              <w:left w:val="nil" w:sz="6" w:space="0" w:color="auto"/>
              <w:bottom w:val="single" w:sz="4" w:space="0" w:color="5B9BD4"/>
              <w:right w:val="nil" w:sz="6" w:space="0" w:color="auto"/>
            </w:tcBorders>
            <w:shd w:val="clear" w:color="auto" w:fill="DEEAF6"/>
          </w:tcPr>
          <w:p>
            <w:pPr/>
          </w:p>
        </w:tc>
        <w:tc>
          <w:tcPr>
            <w:tcW w:w="965" w:type="dxa"/>
            <w:vMerge/>
            <w:tcBorders>
              <w:left w:val="nil" w:sz="6" w:space="0" w:color="auto"/>
              <w:bottom w:val="single" w:sz="4" w:space="0" w:color="5B9BD4"/>
              <w:right w:val="nil" w:sz="6" w:space="0" w:color="auto"/>
            </w:tcBorders>
            <w:shd w:val="clear" w:color="auto" w:fill="DEEAF6"/>
          </w:tcPr>
          <w:p>
            <w:pPr/>
          </w:p>
        </w:tc>
        <w:tc>
          <w:tcPr>
            <w:tcW w:w="2876" w:type="dxa"/>
            <w:gridSpan w:val="2"/>
            <w:tcBorders>
              <w:top w:val="nil" w:sz="6" w:space="0" w:color="auto"/>
              <w:left w:val="nil" w:sz="6" w:space="0" w:color="auto"/>
              <w:bottom w:val="single" w:sz="4" w:space="0" w:color="5B9BD4"/>
              <w:right w:val="nil" w:sz="6" w:space="0" w:color="auto"/>
            </w:tcBorders>
            <w:shd w:val="clear" w:color="auto" w:fill="DEEAF6"/>
          </w:tcPr>
          <w:p>
            <w:pPr/>
          </w:p>
        </w:tc>
        <w:tc>
          <w:tcPr>
            <w:tcW w:w="1025" w:type="dxa"/>
            <w:vMerge/>
            <w:tcBorders>
              <w:left w:val="nil" w:sz="6" w:space="0" w:color="auto"/>
              <w:bottom w:val="single" w:sz="4" w:space="0" w:color="5B9BD4"/>
              <w:right w:val="nil" w:sz="6" w:space="0" w:color="auto"/>
            </w:tcBorders>
            <w:shd w:val="clear" w:color="auto" w:fill="DEEAF6"/>
          </w:tcPr>
          <w:p>
            <w:pPr/>
          </w:p>
        </w:tc>
        <w:tc>
          <w:tcPr>
            <w:tcW w:w="1669" w:type="dxa"/>
            <w:tcBorders>
              <w:top w:val="nil" w:sz="6" w:space="0" w:color="auto"/>
              <w:left w:val="nil" w:sz="6" w:space="0" w:color="auto"/>
              <w:bottom w:val="single" w:sz="4" w:space="0" w:color="5B9BD4"/>
              <w:right w:val="nil" w:sz="6" w:space="0" w:color="auto"/>
            </w:tcBorders>
            <w:shd w:val="clear" w:color="auto" w:fill="DEEAF6"/>
          </w:tcPr>
          <w:p>
            <w:pPr/>
          </w:p>
        </w:tc>
      </w:tr>
      <w:tr>
        <w:trPr>
          <w:trHeight w:val="392" w:hRule="exact"/>
        </w:trPr>
        <w:tc>
          <w:tcPr>
            <w:tcW w:w="9542" w:type="dxa"/>
            <w:gridSpan w:val="7"/>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1"/>
              <w:ind w:left="13"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78" w:hRule="exact"/>
        </w:trPr>
        <w:tc>
          <w:tcPr>
            <w:tcW w:w="1392"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51"/>
              <w:ind w:left="13" w:right="115"/>
              <w:jc w:val="left"/>
              <w:rPr>
                <w:rFonts w:ascii="宋体" w:hAnsi="宋体" w:cs="宋体" w:eastAsia="宋体" w:hint="default"/>
                <w:sz w:val="18"/>
                <w:szCs w:val="18"/>
              </w:rPr>
            </w:pPr>
            <w:r>
              <w:rPr>
                <w:rFonts w:ascii="宋体" w:hAnsi="宋体" w:cs="宋体" w:eastAsia="宋体" w:hint="default"/>
                <w:sz w:val="18"/>
                <w:szCs w:val="18"/>
              </w:rPr>
              <w:t>深圳市爱施德股 份有限公司</w:t>
            </w:r>
          </w:p>
          <w:p>
            <w:pPr>
              <w:pStyle w:val="TableParagraph"/>
              <w:spacing w:line="240" w:lineRule="auto" w:before="19"/>
              <w:ind w:left="13"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0"/>
                <w:sz w:val="18"/>
                <w:szCs w:val="18"/>
              </w:rPr>
              <w:t> </w:t>
            </w:r>
            <w:r>
              <w:rPr>
                <w:rFonts w:ascii="宋体" w:hAnsi="宋体" w:cs="宋体" w:eastAsia="宋体" w:hint="default"/>
                <w:sz w:val="18"/>
                <w:szCs w:val="18"/>
              </w:rPr>
              <w:t>年公司债券</w:t>
            </w:r>
          </w:p>
          <w:p>
            <w:pPr>
              <w:pStyle w:val="TableParagraph"/>
              <w:spacing w:line="240" w:lineRule="auto" w:before="65"/>
              <w:ind w:left="13" w:right="0"/>
              <w:jc w:val="left"/>
              <w:rPr>
                <w:rFonts w:ascii="宋体" w:hAnsi="宋体" w:cs="宋体" w:eastAsia="宋体" w:hint="default"/>
                <w:sz w:val="18"/>
                <w:szCs w:val="18"/>
              </w:rPr>
            </w:pPr>
            <w:r>
              <w:rPr>
                <w:rFonts w:ascii="宋体" w:hAnsi="宋体" w:cs="宋体" w:eastAsia="宋体" w:hint="default"/>
                <w:sz w:val="18"/>
                <w:szCs w:val="18"/>
              </w:rPr>
              <w:t>（第一期）</w:t>
            </w:r>
          </w:p>
        </w:tc>
        <w:tc>
          <w:tcPr>
            <w:tcW w:w="1616" w:type="dxa"/>
            <w:vMerge w:val="restart"/>
            <w:tcBorders>
              <w:top w:val="single" w:sz="4" w:space="0" w:color="5B9BD4"/>
              <w:left w:val="single" w:sz="12" w:space="0" w:color="DEEAF6"/>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0"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w:hAnsi="Arial" w:cs="Arial" w:eastAsia="Arial" w:hint="default"/>
                <w:sz w:val="18"/>
                <w:szCs w:val="18"/>
              </w:rPr>
              <w:t>11</w:t>
            </w:r>
            <w:r>
              <w:rPr>
                <w:rFonts w:ascii="Arial" w:hAnsi="Arial" w:cs="Arial" w:eastAsia="Arial"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13</w:t>
            </w:r>
            <w:r>
              <w:rPr>
                <w:rFonts w:ascii="Arial" w:hAnsi="Arial" w:cs="Arial" w:eastAsia="Arial" w:hint="default"/>
                <w:spacing w:val="-12"/>
                <w:sz w:val="18"/>
                <w:szCs w:val="18"/>
              </w:rPr>
              <w:t> </w:t>
            </w:r>
            <w:r>
              <w:rPr>
                <w:rFonts w:ascii="宋体" w:hAnsi="宋体" w:cs="宋体" w:eastAsia="宋体" w:hint="default"/>
                <w:sz w:val="18"/>
                <w:szCs w:val="18"/>
              </w:rPr>
              <w:t>日</w:t>
            </w:r>
          </w:p>
        </w:tc>
        <w:tc>
          <w:tcPr>
            <w:tcW w:w="965" w:type="dxa"/>
            <w:tcBorders>
              <w:top w:val="single" w:sz="4" w:space="0" w:color="5B9BD4"/>
              <w:left w:val="nil" w:sz="6" w:space="0" w:color="auto"/>
              <w:bottom w:val="nil" w:sz="6" w:space="0" w:color="auto"/>
              <w:right w:val="nil" w:sz="6" w:space="0" w:color="auto"/>
            </w:tcBorders>
            <w:shd w:val="clear" w:color="auto" w:fill="DEEAF6"/>
          </w:tcPr>
          <w:p>
            <w:pPr/>
          </w:p>
        </w:tc>
        <w:tc>
          <w:tcPr>
            <w:tcW w:w="1158"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25" w:right="0"/>
              <w:jc w:val="left"/>
              <w:rPr>
                <w:rFonts w:ascii="Arial" w:hAnsi="Arial" w:cs="Arial" w:eastAsia="Arial" w:hint="default"/>
                <w:sz w:val="18"/>
                <w:szCs w:val="18"/>
              </w:rPr>
            </w:pPr>
            <w:r>
              <w:rPr>
                <w:rFonts w:ascii="Arial"/>
                <w:sz w:val="18"/>
              </w:rPr>
              <w:t>6,000,000</w:t>
            </w:r>
          </w:p>
        </w:tc>
        <w:tc>
          <w:tcPr>
            <w:tcW w:w="1718" w:type="dxa"/>
            <w:tcBorders>
              <w:top w:val="single" w:sz="4" w:space="0" w:color="5B9BD4"/>
              <w:left w:val="nil" w:sz="6" w:space="0" w:color="auto"/>
              <w:bottom w:val="nil" w:sz="6" w:space="0" w:color="auto"/>
              <w:right w:val="nil" w:sz="6" w:space="0" w:color="auto"/>
            </w:tcBorders>
            <w:shd w:val="clear" w:color="auto" w:fill="DEEAF6"/>
          </w:tcPr>
          <w:p>
            <w:pPr/>
          </w:p>
        </w:tc>
        <w:tc>
          <w:tcPr>
            <w:tcW w:w="1025"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99" w:right="0"/>
              <w:jc w:val="left"/>
              <w:rPr>
                <w:rFonts w:ascii="Arial" w:hAnsi="Arial" w:cs="Arial" w:eastAsia="Arial" w:hint="default"/>
                <w:sz w:val="18"/>
                <w:szCs w:val="18"/>
              </w:rPr>
            </w:pPr>
            <w:r>
              <w:rPr>
                <w:rFonts w:ascii="Arial"/>
                <w:sz w:val="18"/>
              </w:rPr>
              <w:t>6,000,000</w:t>
            </w:r>
          </w:p>
        </w:tc>
        <w:tc>
          <w:tcPr>
            <w:tcW w:w="1669" w:type="dxa"/>
            <w:tcBorders>
              <w:top w:val="single" w:sz="4" w:space="0" w:color="5B9BD4"/>
              <w:left w:val="nil" w:sz="6" w:space="0" w:color="auto"/>
              <w:bottom w:val="nil" w:sz="6" w:space="0" w:color="auto"/>
              <w:right w:val="nil" w:sz="6" w:space="0" w:color="auto"/>
            </w:tcBorders>
            <w:shd w:val="clear" w:color="auto" w:fill="DEEAF6"/>
          </w:tcPr>
          <w:p>
            <w:pPr/>
          </w:p>
        </w:tc>
      </w:tr>
      <w:tr>
        <w:trPr>
          <w:trHeight w:val="392" w:hRule="exact"/>
        </w:trPr>
        <w:tc>
          <w:tcPr>
            <w:tcW w:w="1392" w:type="dxa"/>
            <w:vMerge/>
            <w:tcBorders>
              <w:left w:val="nil" w:sz="6" w:space="0" w:color="auto"/>
              <w:right w:val="nil" w:sz="6" w:space="0" w:color="auto"/>
            </w:tcBorders>
            <w:shd w:val="clear" w:color="auto" w:fill="DEEAF6"/>
          </w:tcPr>
          <w:p>
            <w:pPr/>
          </w:p>
        </w:tc>
        <w:tc>
          <w:tcPr>
            <w:tcW w:w="1616" w:type="dxa"/>
            <w:vMerge/>
            <w:tcBorders>
              <w:left w:val="single" w:sz="12" w:space="0" w:color="DEEAF6"/>
              <w:right w:val="nil" w:sz="6" w:space="0" w:color="auto"/>
            </w:tcBorders>
          </w:tcPr>
          <w:p>
            <w:pPr/>
          </w:p>
        </w:tc>
        <w:tc>
          <w:tcPr>
            <w:tcW w:w="965"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left="13" w:right="0"/>
              <w:jc w:val="left"/>
              <w:rPr>
                <w:rFonts w:ascii="Arial" w:hAnsi="Arial" w:cs="Arial" w:eastAsia="Arial" w:hint="default"/>
                <w:sz w:val="18"/>
                <w:szCs w:val="18"/>
              </w:rPr>
            </w:pPr>
            <w:r>
              <w:rPr>
                <w:rFonts w:ascii="Arial"/>
                <w:sz w:val="18"/>
              </w:rPr>
              <w:t>5.95%</w:t>
            </w:r>
          </w:p>
        </w:tc>
        <w:tc>
          <w:tcPr>
            <w:tcW w:w="1158" w:type="dxa"/>
            <w:vMerge/>
            <w:tcBorders>
              <w:left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right="111"/>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02</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02</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025" w:type="dxa"/>
            <w:vMerge/>
            <w:tcBorders>
              <w:left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right="48"/>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11</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13</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73" w:hRule="exact"/>
        </w:trPr>
        <w:tc>
          <w:tcPr>
            <w:tcW w:w="1392" w:type="dxa"/>
            <w:vMerge/>
            <w:tcBorders>
              <w:left w:val="nil" w:sz="6" w:space="0" w:color="auto"/>
              <w:bottom w:val="single" w:sz="4" w:space="0" w:color="5B9BD4"/>
              <w:right w:val="nil" w:sz="6" w:space="0" w:color="auto"/>
            </w:tcBorders>
            <w:shd w:val="clear" w:color="auto" w:fill="DEEAF6"/>
          </w:tcPr>
          <w:p>
            <w:pPr/>
          </w:p>
        </w:tc>
        <w:tc>
          <w:tcPr>
            <w:tcW w:w="1616" w:type="dxa"/>
            <w:vMerge/>
            <w:tcBorders>
              <w:left w:val="single" w:sz="12" w:space="0" w:color="DEEAF6"/>
              <w:bottom w:val="single" w:sz="4" w:space="0" w:color="5B9BD4"/>
              <w:right w:val="nil" w:sz="6" w:space="0" w:color="auto"/>
            </w:tcBorders>
          </w:tcPr>
          <w:p>
            <w:pPr/>
          </w:p>
        </w:tc>
        <w:tc>
          <w:tcPr>
            <w:tcW w:w="965" w:type="dxa"/>
            <w:tcBorders>
              <w:top w:val="nil" w:sz="6" w:space="0" w:color="auto"/>
              <w:left w:val="nil" w:sz="6" w:space="0" w:color="auto"/>
              <w:bottom w:val="single" w:sz="4" w:space="0" w:color="5B9BD4"/>
              <w:right w:val="nil" w:sz="6" w:space="0" w:color="auto"/>
            </w:tcBorders>
            <w:shd w:val="clear" w:color="auto" w:fill="DEEAF6"/>
          </w:tcPr>
          <w:p>
            <w:pPr/>
          </w:p>
        </w:tc>
        <w:tc>
          <w:tcPr>
            <w:tcW w:w="1158" w:type="dxa"/>
            <w:vMerge/>
            <w:tcBorders>
              <w:left w:val="nil" w:sz="6" w:space="0" w:color="auto"/>
              <w:bottom w:val="single" w:sz="4" w:space="0" w:color="5B9BD4"/>
              <w:right w:val="nil" w:sz="6" w:space="0" w:color="auto"/>
            </w:tcBorders>
          </w:tcPr>
          <w:p>
            <w:pPr/>
          </w:p>
        </w:tc>
        <w:tc>
          <w:tcPr>
            <w:tcW w:w="1718" w:type="dxa"/>
            <w:tcBorders>
              <w:top w:val="nil" w:sz="6" w:space="0" w:color="auto"/>
              <w:left w:val="nil" w:sz="6" w:space="0" w:color="auto"/>
              <w:bottom w:val="single" w:sz="4" w:space="0" w:color="5B9BD4"/>
              <w:right w:val="nil" w:sz="6" w:space="0" w:color="auto"/>
            </w:tcBorders>
            <w:shd w:val="clear" w:color="auto" w:fill="DEEAF6"/>
          </w:tcPr>
          <w:p>
            <w:pPr/>
          </w:p>
        </w:tc>
        <w:tc>
          <w:tcPr>
            <w:tcW w:w="1025" w:type="dxa"/>
            <w:vMerge/>
            <w:tcBorders>
              <w:left w:val="nil" w:sz="6" w:space="0" w:color="auto"/>
              <w:bottom w:val="single" w:sz="4" w:space="0" w:color="5B9BD4"/>
              <w:right w:val="nil" w:sz="6" w:space="0" w:color="auto"/>
            </w:tcBorders>
          </w:tcPr>
          <w:p>
            <w:pPr/>
          </w:p>
        </w:tc>
        <w:tc>
          <w:tcPr>
            <w:tcW w:w="1669" w:type="dxa"/>
            <w:tcBorders>
              <w:top w:val="nil" w:sz="6" w:space="0" w:color="auto"/>
              <w:left w:val="nil" w:sz="6" w:space="0" w:color="auto"/>
              <w:bottom w:val="single" w:sz="4" w:space="0" w:color="5B9BD4"/>
              <w:right w:val="nil" w:sz="6" w:space="0" w:color="auto"/>
            </w:tcBorders>
            <w:shd w:val="clear" w:color="auto" w:fill="DEEAF6"/>
          </w:tcPr>
          <w:p>
            <w:pPr/>
          </w:p>
        </w:tc>
      </w:tr>
    </w:tbl>
    <w:p>
      <w:pPr>
        <w:pStyle w:val="BodyText"/>
        <w:spacing w:line="408" w:lineRule="auto" w:before="58"/>
        <w:ind w:left="574" w:right="0"/>
        <w:jc w:val="left"/>
      </w:pPr>
      <w:r>
        <w:rPr/>
        <w:t>报告期内证券发行（不含优先股）情况的说明： </w:t>
      </w:r>
      <w:r>
        <w:rPr>
          <w:rFonts w:ascii="Arial" w:hAnsi="Arial" w:cs="Arial" w:eastAsia="Arial" w:hint="default"/>
          <w:spacing w:val="-6"/>
          <w:w w:val="99"/>
        </w:rPr>
        <w:t>2014</w:t>
      </w:r>
      <w:r>
        <w:rPr>
          <w:spacing w:val="-6"/>
          <w:w w:val="99"/>
        </w:rPr>
        <w:t>年</w:t>
      </w:r>
      <w:r>
        <w:rPr>
          <w:rFonts w:ascii="Arial" w:hAnsi="Arial" w:cs="Arial" w:eastAsia="Arial" w:hint="default"/>
          <w:spacing w:val="-6"/>
          <w:w w:val="99"/>
        </w:rPr>
        <w:t>11</w:t>
      </w:r>
      <w:r>
        <w:rPr>
          <w:spacing w:val="-6"/>
          <w:w w:val="99"/>
        </w:rPr>
        <w:t>月</w:t>
      </w:r>
      <w:r>
        <w:rPr>
          <w:rFonts w:ascii="Arial" w:hAnsi="Arial" w:cs="Arial" w:eastAsia="Arial" w:hint="default"/>
          <w:spacing w:val="-6"/>
          <w:w w:val="99"/>
        </w:rPr>
        <w:t>18</w:t>
      </w:r>
      <w:r>
        <w:rPr>
          <w:spacing w:val="-6"/>
          <w:w w:val="99"/>
        </w:rPr>
        <w:t>日，</w:t>
      </w:r>
      <w:r>
        <w:rPr>
          <w:rFonts w:ascii="Arial" w:hAnsi="Arial" w:cs="Arial" w:eastAsia="Arial" w:hint="default"/>
          <w:spacing w:val="-6"/>
          <w:w w:val="99"/>
        </w:rPr>
        <w:t>2014</w:t>
      </w:r>
      <w:r>
        <w:rPr>
          <w:spacing w:val="-6"/>
          <w:w w:val="99"/>
        </w:rPr>
        <w:t>年第五次临时股东大会审议通过了《关于公司符合发行公司债券条件的议案》、</w:t>
      </w:r>
    </w:p>
    <w:p>
      <w:pPr>
        <w:pStyle w:val="BodyText"/>
        <w:spacing w:line="408" w:lineRule="auto" w:before="14"/>
        <w:ind w:left="574" w:right="1114" w:hanging="420"/>
        <w:jc w:val="left"/>
      </w:pPr>
      <w:r>
        <w:rPr/>
        <w:t>《关于本次发行公司债券方案的议案》等相关议案。 公司于</w:t>
      </w:r>
      <w:r>
        <w:rPr>
          <w:rFonts w:ascii="Arial" w:hAnsi="Arial" w:cs="Arial" w:eastAsia="Arial" w:hint="default"/>
        </w:rPr>
        <w:t>2015</w:t>
      </w:r>
      <w:r>
        <w:rPr/>
        <w:t>年</w:t>
      </w:r>
      <w:r>
        <w:rPr>
          <w:rFonts w:ascii="Arial" w:hAnsi="Arial" w:cs="Arial" w:eastAsia="Arial" w:hint="default"/>
        </w:rPr>
        <w:t>9</w:t>
      </w:r>
      <w:r>
        <w:rPr/>
        <w:t>月</w:t>
      </w:r>
      <w:r>
        <w:rPr>
          <w:rFonts w:ascii="Arial" w:hAnsi="Arial" w:cs="Arial" w:eastAsia="Arial" w:hint="default"/>
        </w:rPr>
        <w:t>22</w:t>
      </w:r>
      <w:r>
        <w:rPr/>
        <w:t>日收到中国证券监督管理委员会《关于核准深圳市爱施德股份有限公司公开发行</w:t>
      </w:r>
    </w:p>
    <w:p>
      <w:pPr>
        <w:pStyle w:val="BodyText"/>
        <w:spacing w:line="388" w:lineRule="auto" w:before="14"/>
        <w:ind w:left="154" w:right="1127"/>
        <w:jc w:val="left"/>
      </w:pPr>
      <w:r>
        <w:rPr>
          <w:spacing w:val="-3"/>
        </w:rPr>
        <w:t>公司债券的批复》（证监许可【</w:t>
      </w:r>
      <w:r>
        <w:rPr>
          <w:rFonts w:ascii="Arial" w:hAnsi="Arial" w:cs="Arial" w:eastAsia="Arial" w:hint="default"/>
          <w:spacing w:val="-3"/>
        </w:rPr>
        <w:t>2015</w:t>
      </w:r>
      <w:r>
        <w:rPr>
          <w:spacing w:val="-3"/>
        </w:rPr>
        <w:t>】</w:t>
      </w:r>
      <w:r>
        <w:rPr>
          <w:rFonts w:ascii="Arial" w:hAnsi="Arial" w:cs="Arial" w:eastAsia="Arial" w:hint="default"/>
          <w:spacing w:val="-3"/>
        </w:rPr>
        <w:t>2135</w:t>
      </w:r>
      <w:r>
        <w:rPr>
          <w:spacing w:val="-3"/>
        </w:rPr>
        <w:t>号）核准公司向社会公开发行面值不超过</w:t>
      </w:r>
      <w:r>
        <w:rPr>
          <w:rFonts w:ascii="Arial" w:hAnsi="Arial" w:cs="Arial" w:eastAsia="Arial" w:hint="default"/>
          <w:spacing w:val="-3"/>
        </w:rPr>
        <w:t>12</w:t>
      </w:r>
      <w:r>
        <w:rPr>
          <w:spacing w:val="-3"/>
        </w:rPr>
        <w:t>亿元的公司债券。</w:t>
      </w:r>
      <w:r>
        <w:rPr>
          <w:spacing w:val="-95"/>
        </w:rPr>
        <w:t> </w:t>
      </w:r>
      <w:r>
        <w:rPr/>
        <w:t>公司在核准发行之日起</w:t>
      </w:r>
      <w:r>
        <w:rPr>
          <w:rFonts w:ascii="Arial" w:hAnsi="Arial" w:cs="Arial" w:eastAsia="Arial" w:hint="default"/>
        </w:rPr>
        <w:t>6</w:t>
      </w:r>
      <w:r>
        <w:rPr/>
        <w:t>个月内完成首期发行，面值不少于总发行面值的</w:t>
      </w:r>
      <w:r>
        <w:rPr>
          <w:rFonts w:ascii="Arial" w:hAnsi="Arial" w:cs="Arial" w:eastAsia="Arial" w:hint="default"/>
        </w:rPr>
        <w:t>50%</w:t>
      </w:r>
      <w:r>
        <w:rPr/>
        <w:t>。</w:t>
      </w:r>
    </w:p>
    <w:p>
      <w:pPr>
        <w:pStyle w:val="BodyText"/>
        <w:spacing w:line="388" w:lineRule="auto" w:before="32"/>
        <w:ind w:left="154" w:right="1129" w:firstLine="420"/>
        <w:jc w:val="both"/>
      </w:pPr>
      <w:r>
        <w:rPr/>
        <w:t>公司于</w:t>
      </w:r>
      <w:r>
        <w:rPr>
          <w:rFonts w:ascii="Arial" w:hAnsi="Arial" w:cs="Arial" w:eastAsia="Arial" w:hint="default"/>
        </w:rPr>
        <w:t>2015</w:t>
      </w:r>
      <w:r>
        <w:rPr/>
        <w:t>年</w:t>
      </w:r>
      <w:r>
        <w:rPr>
          <w:rFonts w:ascii="Arial" w:hAnsi="Arial" w:cs="Arial" w:eastAsia="Arial" w:hint="default"/>
        </w:rPr>
        <w:t>11</w:t>
      </w:r>
      <w:r>
        <w:rPr/>
        <w:t>月</w:t>
      </w:r>
      <w:r>
        <w:rPr>
          <w:rFonts w:ascii="Arial" w:hAnsi="Arial" w:cs="Arial" w:eastAsia="Arial" w:hint="default"/>
        </w:rPr>
        <w:t>11</w:t>
      </w:r>
      <w:r>
        <w:rPr/>
        <w:t>日披露了《深圳市爱施德股份有限公司公开发行</w:t>
      </w:r>
      <w:r>
        <w:rPr>
          <w:rFonts w:ascii="Arial" w:hAnsi="Arial" w:cs="Arial" w:eastAsia="Arial" w:hint="default"/>
        </w:rPr>
        <w:t>2015</w:t>
      </w:r>
      <w:r>
        <w:rPr/>
        <w:t>年公司债券（第一期）发 </w:t>
      </w:r>
      <w:r>
        <w:rPr>
          <w:spacing w:val="-2"/>
        </w:rPr>
        <w:t>行公告》。本次债券采取分期发行的方式，其中深圳市爱施德股份有限公司</w:t>
      </w:r>
      <w:r>
        <w:rPr>
          <w:rFonts w:ascii="Arial" w:hAnsi="Arial" w:cs="Arial" w:eastAsia="Arial" w:hint="default"/>
          <w:spacing w:val="-2"/>
        </w:rPr>
        <w:t>2015</w:t>
      </w:r>
      <w:r>
        <w:rPr>
          <w:spacing w:val="-2"/>
        </w:rPr>
        <w:t>年公司债券（第一期）发</w:t>
      </w:r>
      <w:r>
        <w:rPr>
          <w:spacing w:val="-81"/>
        </w:rPr>
        <w:t> </w:t>
      </w:r>
      <w:r>
        <w:rPr>
          <w:spacing w:val="-81"/>
        </w:rPr>
      </w:r>
      <w:r>
        <w:rPr/>
        <w:t>行规模为</w:t>
      </w:r>
      <w:r>
        <w:rPr>
          <w:rFonts w:ascii="Arial" w:hAnsi="Arial" w:cs="Arial" w:eastAsia="Arial" w:hint="default"/>
        </w:rPr>
        <w:t>6</w:t>
      </w:r>
      <w:r>
        <w:rPr/>
        <w:t>亿元，发行日期为</w:t>
      </w:r>
      <w:r>
        <w:rPr>
          <w:rFonts w:ascii="Arial" w:hAnsi="Arial" w:cs="Arial" w:eastAsia="Arial" w:hint="default"/>
        </w:rPr>
        <w:t>2015</w:t>
      </w:r>
      <w:r>
        <w:rPr/>
        <w:t>年</w:t>
      </w:r>
      <w:r>
        <w:rPr>
          <w:rFonts w:ascii="Arial" w:hAnsi="Arial" w:cs="Arial" w:eastAsia="Arial" w:hint="default"/>
        </w:rPr>
        <w:t>11</w:t>
      </w:r>
      <w:r>
        <w:rPr/>
        <w:t>月</w:t>
      </w:r>
      <w:r>
        <w:rPr>
          <w:rFonts w:ascii="Arial" w:hAnsi="Arial" w:cs="Arial" w:eastAsia="Arial" w:hint="default"/>
        </w:rPr>
        <w:t>13</w:t>
      </w:r>
      <w:r>
        <w:rPr/>
        <w:t>日。</w:t>
      </w:r>
    </w:p>
    <w:p>
      <w:pPr>
        <w:pStyle w:val="BodyText"/>
        <w:spacing w:line="388" w:lineRule="auto" w:before="33"/>
        <w:ind w:right="1130" w:firstLine="420"/>
        <w:jc w:val="both"/>
      </w:pPr>
      <w:r>
        <w:rPr>
          <w:spacing w:val="-1"/>
        </w:rPr>
        <w:t>公司于</w:t>
      </w:r>
      <w:r>
        <w:rPr>
          <w:rFonts w:ascii="Arial" w:hAnsi="Arial" w:cs="Arial" w:eastAsia="Arial" w:hint="default"/>
          <w:spacing w:val="-1"/>
        </w:rPr>
        <w:t>2016</w:t>
      </w:r>
      <w:r>
        <w:rPr>
          <w:spacing w:val="-1"/>
        </w:rPr>
        <w:t>年</w:t>
      </w:r>
      <w:r>
        <w:rPr>
          <w:rFonts w:ascii="Arial" w:hAnsi="Arial" w:cs="Arial" w:eastAsia="Arial" w:hint="default"/>
          <w:spacing w:val="-1"/>
        </w:rPr>
        <w:t>1</w:t>
      </w:r>
      <w:r>
        <w:rPr>
          <w:spacing w:val="-1"/>
        </w:rPr>
        <w:t>月</w:t>
      </w:r>
      <w:r>
        <w:rPr>
          <w:rFonts w:ascii="Arial" w:hAnsi="Arial" w:cs="Arial" w:eastAsia="Arial" w:hint="default"/>
          <w:spacing w:val="-1"/>
        </w:rPr>
        <w:t>29</w:t>
      </w:r>
      <w:r>
        <w:rPr>
          <w:spacing w:val="-1"/>
        </w:rPr>
        <w:t>日披露了《深圳市爱施德股份有限公司公开发行</w:t>
      </w:r>
      <w:r>
        <w:rPr>
          <w:rFonts w:ascii="Arial" w:hAnsi="Arial" w:cs="Arial" w:eastAsia="Arial" w:hint="default"/>
          <w:spacing w:val="-1"/>
        </w:rPr>
        <w:t>2015</w:t>
      </w:r>
      <w:r>
        <w:rPr>
          <w:spacing w:val="-1"/>
        </w:rPr>
        <w:t>年公司债券（第一期）上市</w:t>
      </w:r>
      <w:r>
        <w:rPr/>
        <w:t> </w:t>
      </w:r>
      <w:r>
        <w:rPr>
          <w:spacing w:val="-2"/>
        </w:rPr>
        <w:t>公告书》。经深圳证券交易所同意，本期债券于</w:t>
      </w:r>
      <w:r>
        <w:rPr>
          <w:rFonts w:ascii="Arial" w:hAnsi="Arial" w:cs="Arial" w:eastAsia="Arial" w:hint="default"/>
          <w:spacing w:val="-2"/>
        </w:rPr>
        <w:t>2016</w:t>
      </w:r>
      <w:r>
        <w:rPr>
          <w:spacing w:val="-2"/>
        </w:rPr>
        <w:t>年</w:t>
      </w:r>
      <w:r>
        <w:rPr>
          <w:rFonts w:ascii="Arial" w:hAnsi="Arial" w:cs="Arial" w:eastAsia="Arial" w:hint="default"/>
          <w:spacing w:val="-2"/>
        </w:rPr>
        <w:t>2</w:t>
      </w:r>
      <w:r>
        <w:rPr>
          <w:spacing w:val="-2"/>
        </w:rPr>
        <w:t>月</w:t>
      </w:r>
      <w:r>
        <w:rPr>
          <w:rFonts w:ascii="Arial" w:hAnsi="Arial" w:cs="Arial" w:eastAsia="Arial" w:hint="default"/>
          <w:spacing w:val="-2"/>
        </w:rPr>
        <w:t>2</w:t>
      </w:r>
      <w:r>
        <w:rPr>
          <w:spacing w:val="-2"/>
        </w:rPr>
        <w:t>日起在深交所集中竞价系统和综合协议交易平</w:t>
      </w:r>
      <w:r>
        <w:rPr>
          <w:spacing w:val="-103"/>
        </w:rPr>
        <w:t> </w:t>
      </w:r>
      <w:r>
        <w:rPr/>
        <w:t>台挂牌交易。本期债券简称为“15深爱01”，上市代码为：</w:t>
      </w:r>
      <w:r>
        <w:rPr>
          <w:rFonts w:ascii="Arial" w:hAnsi="Arial" w:cs="Arial" w:eastAsia="Arial" w:hint="default"/>
        </w:rPr>
        <w:t>112293</w:t>
      </w:r>
      <w:r>
        <w:rPr/>
        <w:t>。</w:t>
      </w: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bookmarkStart w:name="6.2.2 公司股份总数及股东结构的变动、公司资产和负债结构的变动情况说明" w:id="182"/>
      <w:bookmarkEnd w:id="182"/>
      <w:r>
        <w:rPr>
          <w:b w:val="0"/>
          <w:bCs w:val="0"/>
        </w:rPr>
      </w:r>
      <w:r>
        <w:rPr>
          <w:rFonts w:ascii="Trebuchet MS" w:hAnsi="Trebuchet MS" w:cs="Trebuchet MS" w:eastAsia="Trebuchet MS" w:hint="default"/>
        </w:rPr>
        <w:t>6.2.2</w:t>
      </w:r>
      <w:r>
        <w:rPr>
          <w:rFonts w:ascii="Trebuchet MS" w:hAnsi="Trebuchet MS" w:cs="Trebuchet MS" w:eastAsia="Trebuchet MS" w:hint="default"/>
          <w:spacing w:val="-18"/>
        </w:rPr>
        <w:t> </w:t>
      </w:r>
      <w:r>
        <w:rPr/>
        <w:t>公司股份总数及股东结构的变动、公司资产和负债结构的变动情况说明</w:t>
      </w:r>
      <w:r>
        <w:rPr>
          <w:b w:val="0"/>
          <w:bCs w:val="0"/>
        </w:rPr>
      </w:r>
    </w:p>
    <w:p>
      <w:pPr>
        <w:spacing w:line="240" w:lineRule="auto" w:before="9"/>
        <w:rPr>
          <w:rFonts w:ascii="Microsoft JhengHei" w:hAnsi="Microsoft JhengHei" w:cs="Microsoft JhengHei" w:eastAsia="Microsoft JhengHei"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2"/>
          <w:szCs w:val="12"/>
        </w:rPr>
      </w:pPr>
    </w:p>
    <w:p>
      <w:pPr>
        <w:pStyle w:val="BodyText"/>
        <w:spacing w:line="408" w:lineRule="auto"/>
        <w:ind w:left="573" w:right="0"/>
        <w:jc w:val="left"/>
      </w:pPr>
      <w:r>
        <w:rPr/>
        <w:t>公司股份总数变动情况说明： </w:t>
      </w:r>
      <w:r>
        <w:rPr>
          <w:spacing w:val="-1"/>
        </w:rPr>
        <w:t>报告期内，公司第二期股票期权激励计划第一个行权期符合行权条件的激励对象自主行权股票期权共</w:t>
      </w:r>
    </w:p>
    <w:p>
      <w:pPr>
        <w:pStyle w:val="BodyText"/>
        <w:spacing w:line="388" w:lineRule="auto" w:before="46"/>
        <w:ind w:right="1125"/>
        <w:jc w:val="left"/>
      </w:pPr>
      <w:r>
        <w:rPr>
          <w:spacing w:val="-5"/>
        </w:rPr>
        <w:t>计</w:t>
      </w:r>
      <w:r>
        <w:rPr>
          <w:rFonts w:ascii="Arial" w:hAnsi="Arial" w:cs="Arial" w:eastAsia="Arial" w:hint="default"/>
          <w:spacing w:val="-5"/>
        </w:rPr>
        <w:t>2,634,573</w:t>
      </w:r>
      <w:r>
        <w:rPr>
          <w:spacing w:val="-5"/>
        </w:rPr>
        <w:t>股，总股数增加</w:t>
      </w:r>
      <w:r>
        <w:rPr>
          <w:rFonts w:ascii="Arial" w:hAnsi="Arial" w:cs="Arial" w:eastAsia="Arial" w:hint="default"/>
          <w:spacing w:val="-5"/>
        </w:rPr>
        <w:t>2,634,573</w:t>
      </w:r>
      <w:r>
        <w:rPr>
          <w:spacing w:val="-5"/>
        </w:rPr>
        <w:t>股，因此，截止本报告期末，公司发行在外的总股数为</w:t>
      </w:r>
      <w:r>
        <w:rPr>
          <w:rFonts w:ascii="Arial" w:hAnsi="Arial" w:cs="Arial" w:eastAsia="Arial" w:hint="default"/>
          <w:spacing w:val="-5"/>
        </w:rPr>
        <w:t>1,003,884,839</w:t>
      </w:r>
      <w:r>
        <w:rPr>
          <w:rFonts w:ascii="Arial" w:hAnsi="Arial" w:cs="Arial" w:eastAsia="Arial" w:hint="default"/>
          <w:spacing w:val="-39"/>
        </w:rPr>
        <w:t> </w:t>
      </w:r>
      <w:r>
        <w:rPr>
          <w:rFonts w:ascii="Arial" w:hAnsi="Arial" w:cs="Arial" w:eastAsia="Arial" w:hint="default"/>
          <w:spacing w:val="-39"/>
        </w:rPr>
      </w:r>
      <w:r>
        <w:rPr/>
        <w:t>股。</w:t>
      </w:r>
    </w:p>
    <w:p>
      <w:pPr>
        <w:pStyle w:val="BodyText"/>
        <w:spacing w:line="393" w:lineRule="auto" w:before="63"/>
        <w:ind w:right="1131" w:firstLine="420"/>
        <w:jc w:val="both"/>
      </w:pPr>
      <w:r>
        <w:rPr/>
        <w:t>报告期内，因公司首期股票期权与限制性股票激励计划各行权</w:t>
      </w:r>
      <w:r>
        <w:rPr>
          <w:rFonts w:ascii="Arial" w:hAnsi="Arial" w:cs="Arial" w:eastAsia="Arial" w:hint="default"/>
        </w:rPr>
        <w:t>/</w:t>
      </w:r>
      <w:r>
        <w:rPr/>
        <w:t>解锁期均未能达到考核目标，未满足 权益工具可行权</w:t>
      </w:r>
      <w:r>
        <w:rPr>
          <w:rFonts w:ascii="Arial" w:hAnsi="Arial" w:cs="Arial" w:eastAsia="Arial" w:hint="default"/>
        </w:rPr>
        <w:t>/</w:t>
      </w:r>
      <w:r>
        <w:rPr/>
        <w:t>解锁条件而全部失效。公司已向激励对象授予的</w:t>
      </w:r>
      <w:r>
        <w:rPr>
          <w:rFonts w:ascii="Arial" w:hAnsi="Arial" w:cs="Arial" w:eastAsia="Arial" w:hint="default"/>
        </w:rPr>
        <w:t>1250</w:t>
      </w:r>
      <w:r>
        <w:rPr/>
        <w:t>万股限制性股票于</w:t>
      </w:r>
      <w:r>
        <w:rPr>
          <w:rFonts w:ascii="Arial" w:hAnsi="Arial" w:cs="Arial" w:eastAsia="Arial" w:hint="default"/>
        </w:rPr>
        <w:t>2016</w:t>
      </w:r>
      <w:r>
        <w:rPr/>
        <w:t>年</w:t>
      </w:r>
      <w:r>
        <w:rPr>
          <w:rFonts w:ascii="Arial" w:hAnsi="Arial" w:cs="Arial" w:eastAsia="Arial" w:hint="default"/>
        </w:rPr>
        <w:t>1</w:t>
      </w:r>
      <w:r>
        <w:rPr/>
        <w:t>月</w:t>
      </w:r>
      <w:r>
        <w:rPr>
          <w:rFonts w:ascii="Arial" w:hAnsi="Arial" w:cs="Arial" w:eastAsia="Arial" w:hint="default"/>
        </w:rPr>
        <w:t>26</w:t>
      </w:r>
      <w:r>
        <w:rPr/>
        <w:t>日</w:t>
      </w:r>
      <w:r>
        <w:rPr>
          <w:spacing w:val="-9"/>
        </w:rPr>
        <w:t> </w:t>
      </w:r>
      <w:r>
        <w:rPr>
          <w:spacing w:val="-1"/>
        </w:rPr>
        <w:t>在中国证券登记结算有限责任公司深圳分公司完成回购注销登记手续。本次回购注销完成后，公司股份总</w:t>
      </w:r>
      <w:r>
        <w:rPr>
          <w:spacing w:val="-81"/>
        </w:rPr>
        <w:t> </w:t>
      </w:r>
      <w:r>
        <w:rPr>
          <w:spacing w:val="-81"/>
        </w:rPr>
      </w:r>
      <w:r>
        <w:rPr/>
        <w:t>数由</w:t>
      </w:r>
      <w:r>
        <w:rPr>
          <w:rFonts w:ascii="Arial" w:hAnsi="Arial" w:cs="Arial" w:eastAsia="Arial" w:hint="default"/>
        </w:rPr>
        <w:t>100,388.4839</w:t>
      </w:r>
      <w:r>
        <w:rPr/>
        <w:t>万股变更为</w:t>
      </w:r>
      <w:r>
        <w:rPr>
          <w:rFonts w:ascii="Arial" w:hAnsi="Arial" w:cs="Arial" w:eastAsia="Arial" w:hint="default"/>
        </w:rPr>
        <w:t>99,138.4839</w:t>
      </w:r>
      <w:r>
        <w:rPr/>
        <w:t>万股。</w:t>
      </w:r>
    </w:p>
    <w:p>
      <w:pPr>
        <w:spacing w:after="0" w:line="393" w:lineRule="auto"/>
        <w:jc w:val="both"/>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pStyle w:val="Heading2"/>
        <w:spacing w:line="240" w:lineRule="auto" w:before="93"/>
        <w:ind w:right="0"/>
        <w:jc w:val="left"/>
        <w:rPr>
          <w:b w:val="0"/>
          <w:bCs w:val="0"/>
        </w:rPr>
      </w:pPr>
      <w:bookmarkStart w:name="6.2.3 现存的内部职工股情况" w:id="183"/>
      <w:bookmarkEnd w:id="183"/>
      <w:r>
        <w:rPr>
          <w:b w:val="0"/>
          <w:bCs w:val="0"/>
        </w:rPr>
      </w:r>
      <w:r>
        <w:rPr>
          <w:rFonts w:ascii="Trebuchet MS" w:hAnsi="Trebuchet MS" w:cs="Trebuchet MS" w:eastAsia="Trebuchet MS" w:hint="default"/>
        </w:rPr>
        <w:t>6.2.3</w:t>
      </w:r>
      <w:r>
        <w:rPr>
          <w:rFonts w:ascii="Trebuchet MS" w:hAnsi="Trebuchet MS" w:cs="Trebuchet MS" w:eastAsia="Trebuchet MS" w:hint="default"/>
          <w:spacing w:val="-18"/>
        </w:rPr>
        <w:t> </w:t>
      </w:r>
      <w:r>
        <w:rPr/>
        <w:t>现存的内部职工股情况</w:t>
      </w:r>
      <w:r>
        <w:rPr>
          <w:b w:val="0"/>
          <w:bCs w:val="0"/>
        </w:rPr>
      </w:r>
    </w:p>
    <w:p>
      <w:pPr>
        <w:spacing w:line="240" w:lineRule="auto" w:before="9"/>
        <w:rPr>
          <w:rFonts w:ascii="Microsoft JhengHei" w:hAnsi="Microsoft JhengHei" w:cs="Microsoft JhengHei" w:eastAsia="Microsoft JhengHei"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pStyle w:val="Heading1"/>
        <w:spacing w:line="240" w:lineRule="auto" w:before="75"/>
        <w:ind w:right="0"/>
        <w:jc w:val="left"/>
        <w:rPr>
          <w:b w:val="0"/>
          <w:bCs w:val="0"/>
        </w:rPr>
      </w:pPr>
      <w:bookmarkStart w:name="6.3 股东和实际控制人情况" w:id="184"/>
      <w:bookmarkEnd w:id="184"/>
      <w:r>
        <w:rPr>
          <w:b w:val="0"/>
          <w:bCs w:val="0"/>
        </w:rPr>
      </w:r>
      <w:bookmarkStart w:name="_bookmark54" w:id="185"/>
      <w:bookmarkEnd w:id="185"/>
      <w:r>
        <w:rPr>
          <w:b w:val="0"/>
          <w:bCs w:val="0"/>
        </w:rPr>
      </w:r>
      <w:r>
        <w:rPr>
          <w:rFonts w:ascii="Trebuchet MS" w:hAnsi="Trebuchet MS" w:cs="Trebuchet MS" w:eastAsia="Trebuchet MS" w:hint="default"/>
        </w:rPr>
        <w:t>6.3</w:t>
      </w:r>
      <w:r>
        <w:rPr>
          <w:rFonts w:ascii="Trebuchet MS" w:hAnsi="Trebuchet MS" w:cs="Trebuchet MS" w:eastAsia="Trebuchet MS" w:hint="default"/>
          <w:spacing w:val="14"/>
        </w:rPr>
        <w:t> </w:t>
      </w:r>
      <w:r>
        <w:rPr/>
        <w:t>股东和实际控制人情况</w:t>
      </w:r>
      <w:r>
        <w:rPr>
          <w:b w:val="0"/>
          <w:bCs w:val="0"/>
        </w:rPr>
      </w:r>
    </w:p>
    <w:p>
      <w:pPr>
        <w:spacing w:line="240" w:lineRule="auto" w:before="1"/>
        <w:rPr>
          <w:rFonts w:ascii="Microsoft JhengHei" w:hAnsi="Microsoft JhengHei" w:cs="Microsoft JhengHei" w:eastAsia="Microsoft JhengHei" w:hint="default"/>
          <w:b/>
          <w:bCs/>
          <w:sz w:val="27"/>
          <w:szCs w:val="27"/>
        </w:rPr>
      </w:pPr>
    </w:p>
    <w:p>
      <w:pPr>
        <w:pStyle w:val="Heading2"/>
        <w:spacing w:line="240" w:lineRule="auto"/>
        <w:ind w:right="0"/>
        <w:jc w:val="left"/>
        <w:rPr>
          <w:b w:val="0"/>
          <w:bCs w:val="0"/>
        </w:rPr>
      </w:pPr>
      <w:bookmarkStart w:name="6.3.1 公司股东数量及持股情况" w:id="186"/>
      <w:bookmarkEnd w:id="186"/>
      <w:r>
        <w:rPr>
          <w:b w:val="0"/>
          <w:bCs w:val="0"/>
        </w:rPr>
      </w:r>
      <w:r>
        <w:rPr>
          <w:rFonts w:ascii="Trebuchet MS" w:hAnsi="Trebuchet MS" w:cs="Trebuchet MS" w:eastAsia="Trebuchet MS" w:hint="default"/>
        </w:rPr>
        <w:t>6.3.1</w:t>
      </w:r>
      <w:r>
        <w:rPr>
          <w:rFonts w:ascii="Trebuchet MS" w:hAnsi="Trebuchet MS" w:cs="Trebuchet MS" w:eastAsia="Trebuchet MS" w:hint="default"/>
          <w:spacing w:val="-18"/>
        </w:rPr>
        <w:t> </w:t>
      </w:r>
      <w:r>
        <w:rPr/>
        <w:t>公司股东数量及持股情况</w:t>
      </w:r>
      <w:r>
        <w:rPr>
          <w:b w:val="0"/>
          <w:bCs w:val="0"/>
        </w:rPr>
      </w:r>
    </w:p>
    <w:p>
      <w:pPr>
        <w:spacing w:line="240" w:lineRule="auto" w:before="14"/>
        <w:rPr>
          <w:rFonts w:ascii="Microsoft JhengHei" w:hAnsi="Microsoft JhengHei" w:cs="Microsoft JhengHei" w:eastAsia="Microsoft JhengHei" w:hint="default"/>
          <w:b/>
          <w:bCs/>
          <w:sz w:val="25"/>
          <w:szCs w:val="25"/>
        </w:rPr>
      </w:pPr>
    </w:p>
    <w:p>
      <w:pPr>
        <w:spacing w:before="29"/>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6"/>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220"/>
        <w:gridCol w:w="1208"/>
        <w:gridCol w:w="805"/>
        <w:gridCol w:w="328"/>
        <w:gridCol w:w="888"/>
        <w:gridCol w:w="335"/>
        <w:gridCol w:w="760"/>
        <w:gridCol w:w="408"/>
        <w:gridCol w:w="698"/>
        <w:gridCol w:w="527"/>
        <w:gridCol w:w="593"/>
        <w:gridCol w:w="864"/>
        <w:gridCol w:w="978"/>
      </w:tblGrid>
      <w:tr>
        <w:trPr>
          <w:trHeight w:val="161" w:hRule="exact"/>
        </w:trPr>
        <w:tc>
          <w:tcPr>
            <w:tcW w:w="1220" w:type="dxa"/>
            <w:vMerge w:val="restart"/>
            <w:tcBorders>
              <w:top w:val="single" w:sz="4" w:space="0" w:color="5B9BD4"/>
              <w:left w:val="nil" w:sz="6" w:space="0" w:color="auto"/>
              <w:right w:val="nil" w:sz="6" w:space="0" w:color="auto"/>
            </w:tcBorders>
            <w:shd w:val="clear" w:color="auto" w:fill="DEEAF6"/>
          </w:tcPr>
          <w:p>
            <w:pPr/>
          </w:p>
        </w:tc>
        <w:tc>
          <w:tcPr>
            <w:tcW w:w="1208"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80" w:right="0"/>
              <w:jc w:val="left"/>
              <w:rPr>
                <w:rFonts w:ascii="Arial" w:hAnsi="Arial" w:cs="Arial" w:eastAsia="Arial" w:hint="default"/>
                <w:sz w:val="18"/>
                <w:szCs w:val="18"/>
              </w:rPr>
            </w:pPr>
            <w:r>
              <w:rPr>
                <w:rFonts w:ascii="Arial"/>
                <w:sz w:val="18"/>
              </w:rPr>
              <w:t>47,087</w:t>
            </w:r>
          </w:p>
        </w:tc>
        <w:tc>
          <w:tcPr>
            <w:tcW w:w="1133" w:type="dxa"/>
            <w:gridSpan w:val="2"/>
            <w:tcBorders>
              <w:top w:val="single" w:sz="4" w:space="0" w:color="5B9BD4"/>
              <w:left w:val="nil" w:sz="6" w:space="0" w:color="auto"/>
              <w:bottom w:val="nil" w:sz="6" w:space="0" w:color="auto"/>
              <w:right w:val="nil" w:sz="6" w:space="0" w:color="auto"/>
            </w:tcBorders>
            <w:shd w:val="clear" w:color="auto" w:fill="DEEAF6"/>
          </w:tcPr>
          <w:p>
            <w:pPr/>
          </w:p>
        </w:tc>
        <w:tc>
          <w:tcPr>
            <w:tcW w:w="1223" w:type="dxa"/>
            <w:gridSpan w:val="2"/>
            <w:vMerge w:val="restart"/>
            <w:tcBorders>
              <w:top w:val="single" w:sz="4" w:space="0" w:color="5B9BD4"/>
              <w:left w:val="nil" w:sz="6" w:space="0" w:color="auto"/>
              <w:right w:val="single" w:sz="11" w:space="0" w:color="DEEAF6"/>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32" w:right="0"/>
              <w:jc w:val="left"/>
              <w:rPr>
                <w:rFonts w:ascii="Arial" w:hAnsi="Arial" w:cs="Arial" w:eastAsia="Arial" w:hint="default"/>
                <w:sz w:val="18"/>
                <w:szCs w:val="18"/>
              </w:rPr>
            </w:pPr>
            <w:r>
              <w:rPr>
                <w:rFonts w:ascii="Arial"/>
                <w:sz w:val="18"/>
              </w:rPr>
              <w:t>65,188</w:t>
            </w:r>
          </w:p>
        </w:tc>
        <w:tc>
          <w:tcPr>
            <w:tcW w:w="1168" w:type="dxa"/>
            <w:gridSpan w:val="2"/>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6"/>
              <w:ind w:left="13" w:right="7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3" w:right="1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Arial" w:hAnsi="Arial" w:cs="Arial" w:eastAsia="Arial" w:hint="default"/>
                <w:sz w:val="18"/>
                <w:szCs w:val="18"/>
              </w:rPr>
              <w:t>8</w:t>
            </w:r>
            <w:r>
              <w:rPr>
                <w:rFonts w:ascii="宋体" w:hAnsi="宋体" w:cs="宋体" w:eastAsia="宋体" w:hint="default"/>
                <w:sz w:val="18"/>
                <w:szCs w:val="18"/>
              </w:rPr>
              <w:t>）</w:t>
            </w:r>
          </w:p>
        </w:tc>
        <w:tc>
          <w:tcPr>
            <w:tcW w:w="1226" w:type="dxa"/>
            <w:gridSpan w:val="2"/>
            <w:vMerge w:val="restart"/>
            <w:tcBorders>
              <w:top w:val="single" w:sz="4" w:space="0" w:color="5B9BD4"/>
              <w:left w:val="single" w:sz="11" w:space="0" w:color="DEEAF6"/>
              <w:right w:val="single" w:sz="11" w:space="0" w:color="DEEAF6"/>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5"/>
              <w:jc w:val="right"/>
              <w:rPr>
                <w:rFonts w:ascii="Arial" w:hAnsi="Arial" w:cs="Arial" w:eastAsia="Arial" w:hint="default"/>
                <w:sz w:val="18"/>
                <w:szCs w:val="18"/>
              </w:rPr>
            </w:pPr>
            <w:r>
              <w:rPr>
                <w:rFonts w:ascii="Arial"/>
                <w:w w:val="99"/>
                <w:sz w:val="18"/>
              </w:rPr>
              <w:t>0</w:t>
            </w:r>
            <w:r>
              <w:rPr>
                <w:rFonts w:ascii="Arial"/>
                <w:sz w:val="18"/>
              </w:rPr>
            </w:r>
          </w:p>
        </w:tc>
        <w:tc>
          <w:tcPr>
            <w:tcW w:w="1457" w:type="dxa"/>
            <w:gridSpan w:val="2"/>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6"/>
              <w:ind w:left="13" w:right="1"/>
              <w:jc w:val="left"/>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股东总数（如有）</w:t>
            </w:r>
          </w:p>
          <w:p>
            <w:pPr>
              <w:pStyle w:val="TableParagraph"/>
              <w:spacing w:line="240" w:lineRule="auto" w:before="20"/>
              <w:ind w:left="13"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8"/>
                <w:sz w:val="18"/>
                <w:szCs w:val="18"/>
              </w:rPr>
              <w:t> </w:t>
            </w:r>
            <w:r>
              <w:rPr>
                <w:rFonts w:ascii="Arial" w:hAnsi="Arial" w:cs="Arial" w:eastAsia="Arial" w:hint="default"/>
                <w:sz w:val="18"/>
                <w:szCs w:val="18"/>
              </w:rPr>
              <w:t>8</w:t>
            </w:r>
            <w:r>
              <w:rPr>
                <w:rFonts w:ascii="宋体" w:hAnsi="宋体" w:cs="宋体" w:eastAsia="宋体" w:hint="default"/>
                <w:sz w:val="18"/>
                <w:szCs w:val="18"/>
              </w:rPr>
              <w:t>）</w:t>
            </w:r>
          </w:p>
        </w:tc>
        <w:tc>
          <w:tcPr>
            <w:tcW w:w="978" w:type="dxa"/>
            <w:vMerge w:val="restart"/>
            <w:tcBorders>
              <w:top w:val="single" w:sz="4" w:space="0" w:color="5B9BD4"/>
              <w:left w:val="single" w:sz="12" w:space="0" w:color="DEEAF6"/>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2"/>
              <w:jc w:val="right"/>
              <w:rPr>
                <w:rFonts w:ascii="Arial" w:hAnsi="Arial" w:cs="Arial" w:eastAsia="Arial" w:hint="default"/>
                <w:sz w:val="18"/>
                <w:szCs w:val="18"/>
              </w:rPr>
            </w:pPr>
            <w:r>
              <w:rPr>
                <w:rFonts w:ascii="Arial"/>
                <w:w w:val="99"/>
                <w:sz w:val="18"/>
              </w:rPr>
              <w:t>0</w:t>
            </w:r>
            <w:r>
              <w:rPr>
                <w:rFonts w:ascii="Arial"/>
                <w:sz w:val="18"/>
              </w:rPr>
            </w:r>
          </w:p>
        </w:tc>
      </w:tr>
      <w:tr>
        <w:trPr>
          <w:trHeight w:val="312" w:hRule="exact"/>
        </w:trPr>
        <w:tc>
          <w:tcPr>
            <w:tcW w:w="1220" w:type="dxa"/>
            <w:vMerge/>
            <w:tcBorders>
              <w:left w:val="nil" w:sz="6" w:space="0" w:color="auto"/>
              <w:bottom w:val="nil" w:sz="6" w:space="0" w:color="auto"/>
              <w:right w:val="nil" w:sz="6" w:space="0" w:color="auto"/>
            </w:tcBorders>
            <w:shd w:val="clear" w:color="auto" w:fill="DEEAF6"/>
          </w:tcPr>
          <w:p>
            <w:pPr/>
          </w:p>
        </w:tc>
        <w:tc>
          <w:tcPr>
            <w:tcW w:w="1208" w:type="dxa"/>
            <w:vMerge/>
            <w:tcBorders>
              <w:left w:val="nil" w:sz="6" w:space="0" w:color="auto"/>
              <w:right w:val="nil" w:sz="6" w:space="0" w:color="auto"/>
            </w:tcBorders>
          </w:tcPr>
          <w:p>
            <w:pPr/>
          </w:p>
        </w:tc>
        <w:tc>
          <w:tcPr>
            <w:tcW w:w="1133" w:type="dxa"/>
            <w:gridSpan w:val="2"/>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22" w:right="74"/>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23" w:type="dxa"/>
            <w:gridSpan w:val="2"/>
            <w:vMerge/>
            <w:tcBorders>
              <w:left w:val="nil" w:sz="6" w:space="0" w:color="auto"/>
              <w:right w:val="single" w:sz="11" w:space="0" w:color="DEEAF6"/>
            </w:tcBorders>
          </w:tcPr>
          <w:p>
            <w:pPr/>
          </w:p>
        </w:tc>
        <w:tc>
          <w:tcPr>
            <w:tcW w:w="1168" w:type="dxa"/>
            <w:gridSpan w:val="2"/>
            <w:vMerge/>
            <w:tcBorders>
              <w:left w:val="nil" w:sz="6" w:space="0" w:color="auto"/>
              <w:right w:val="nil" w:sz="6" w:space="0" w:color="auto"/>
            </w:tcBorders>
            <w:shd w:val="clear" w:color="auto" w:fill="DEEAF6"/>
          </w:tcPr>
          <w:p>
            <w:pPr/>
          </w:p>
        </w:tc>
        <w:tc>
          <w:tcPr>
            <w:tcW w:w="1226" w:type="dxa"/>
            <w:gridSpan w:val="2"/>
            <w:vMerge/>
            <w:tcBorders>
              <w:left w:val="single" w:sz="11" w:space="0" w:color="DEEAF6"/>
              <w:right w:val="single" w:sz="11" w:space="0" w:color="DEEAF6"/>
            </w:tcBorders>
          </w:tcPr>
          <w:p>
            <w:pPr/>
          </w:p>
        </w:tc>
        <w:tc>
          <w:tcPr>
            <w:tcW w:w="1457" w:type="dxa"/>
            <w:gridSpan w:val="2"/>
            <w:vMerge/>
            <w:tcBorders>
              <w:left w:val="nil" w:sz="6" w:space="0" w:color="auto"/>
              <w:right w:val="nil" w:sz="6" w:space="0" w:color="auto"/>
            </w:tcBorders>
            <w:shd w:val="clear" w:color="auto" w:fill="DEEAF6"/>
          </w:tcPr>
          <w:p>
            <w:pPr/>
          </w:p>
        </w:tc>
        <w:tc>
          <w:tcPr>
            <w:tcW w:w="978" w:type="dxa"/>
            <w:vMerge/>
            <w:tcBorders>
              <w:left w:val="single" w:sz="12" w:space="0" w:color="DEEAF6"/>
              <w:right w:val="nil" w:sz="6" w:space="0" w:color="auto"/>
            </w:tcBorders>
          </w:tcPr>
          <w:p>
            <w:pPr/>
          </w:p>
        </w:tc>
      </w:tr>
      <w:tr>
        <w:trPr>
          <w:trHeight w:val="704" w:hRule="exact"/>
        </w:trPr>
        <w:tc>
          <w:tcPr>
            <w:tcW w:w="1220" w:type="dxa"/>
            <w:tcBorders>
              <w:top w:val="nil" w:sz="6" w:space="0" w:color="auto"/>
              <w:left w:val="nil" w:sz="6" w:space="0" w:color="auto"/>
              <w:bottom w:val="nil" w:sz="6" w:space="0" w:color="auto"/>
              <w:right w:val="nil" w:sz="6" w:space="0" w:color="auto"/>
            </w:tcBorders>
            <w:shd w:val="clear" w:color="auto" w:fill="DEEAF6"/>
          </w:tcPr>
          <w:p>
            <w:pPr>
              <w:pStyle w:val="TableParagraph"/>
              <w:spacing w:line="316" w:lineRule="auto" w:before="46"/>
              <w:ind w:left="13" w:right="124"/>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vMerge/>
            <w:tcBorders>
              <w:left w:val="nil" w:sz="6" w:space="0" w:color="auto"/>
              <w:right w:val="nil" w:sz="6" w:space="0" w:color="auto"/>
            </w:tcBorders>
          </w:tcPr>
          <w:p>
            <w:pPr/>
          </w:p>
        </w:tc>
        <w:tc>
          <w:tcPr>
            <w:tcW w:w="1133" w:type="dxa"/>
            <w:gridSpan w:val="2"/>
            <w:vMerge/>
            <w:tcBorders>
              <w:left w:val="nil" w:sz="6" w:space="0" w:color="auto"/>
              <w:right w:val="nil" w:sz="6" w:space="0" w:color="auto"/>
            </w:tcBorders>
            <w:shd w:val="clear" w:color="auto" w:fill="DEEAF6"/>
          </w:tcPr>
          <w:p>
            <w:pPr/>
          </w:p>
        </w:tc>
        <w:tc>
          <w:tcPr>
            <w:tcW w:w="1223" w:type="dxa"/>
            <w:gridSpan w:val="2"/>
            <w:vMerge/>
            <w:tcBorders>
              <w:left w:val="nil" w:sz="6" w:space="0" w:color="auto"/>
              <w:right w:val="single" w:sz="11" w:space="0" w:color="DEEAF6"/>
            </w:tcBorders>
          </w:tcPr>
          <w:p>
            <w:pPr/>
          </w:p>
        </w:tc>
        <w:tc>
          <w:tcPr>
            <w:tcW w:w="1168" w:type="dxa"/>
            <w:gridSpan w:val="2"/>
            <w:vMerge/>
            <w:tcBorders>
              <w:left w:val="nil" w:sz="6" w:space="0" w:color="auto"/>
              <w:right w:val="nil" w:sz="6" w:space="0" w:color="auto"/>
            </w:tcBorders>
            <w:shd w:val="clear" w:color="auto" w:fill="DEEAF6"/>
          </w:tcPr>
          <w:p>
            <w:pPr/>
          </w:p>
        </w:tc>
        <w:tc>
          <w:tcPr>
            <w:tcW w:w="1226" w:type="dxa"/>
            <w:gridSpan w:val="2"/>
            <w:vMerge/>
            <w:tcBorders>
              <w:left w:val="single" w:sz="11" w:space="0" w:color="DEEAF6"/>
              <w:right w:val="single" w:sz="11" w:space="0" w:color="DEEAF6"/>
            </w:tcBorders>
          </w:tcPr>
          <w:p>
            <w:pPr/>
          </w:p>
        </w:tc>
        <w:tc>
          <w:tcPr>
            <w:tcW w:w="1457" w:type="dxa"/>
            <w:gridSpan w:val="2"/>
            <w:vMerge/>
            <w:tcBorders>
              <w:left w:val="nil" w:sz="6" w:space="0" w:color="auto"/>
              <w:right w:val="nil" w:sz="6" w:space="0" w:color="auto"/>
            </w:tcBorders>
            <w:shd w:val="clear" w:color="auto" w:fill="DEEAF6"/>
          </w:tcPr>
          <w:p>
            <w:pPr/>
          </w:p>
        </w:tc>
        <w:tc>
          <w:tcPr>
            <w:tcW w:w="978" w:type="dxa"/>
            <w:vMerge/>
            <w:tcBorders>
              <w:left w:val="single" w:sz="12" w:space="0" w:color="DEEAF6"/>
              <w:right w:val="nil" w:sz="6" w:space="0" w:color="auto"/>
            </w:tcBorders>
          </w:tcPr>
          <w:p>
            <w:pPr/>
          </w:p>
        </w:tc>
      </w:tr>
      <w:tr>
        <w:trPr>
          <w:trHeight w:val="312" w:hRule="exact"/>
        </w:trPr>
        <w:tc>
          <w:tcPr>
            <w:tcW w:w="1220" w:type="dxa"/>
            <w:vMerge w:val="restart"/>
            <w:tcBorders>
              <w:top w:val="nil" w:sz="6" w:space="0" w:color="auto"/>
              <w:left w:val="nil" w:sz="6" w:space="0" w:color="auto"/>
              <w:right w:val="nil" w:sz="6" w:space="0" w:color="auto"/>
            </w:tcBorders>
            <w:shd w:val="clear" w:color="auto" w:fill="DEEAF6"/>
          </w:tcPr>
          <w:p>
            <w:pPr/>
          </w:p>
        </w:tc>
        <w:tc>
          <w:tcPr>
            <w:tcW w:w="1208" w:type="dxa"/>
            <w:vMerge/>
            <w:tcBorders>
              <w:left w:val="nil" w:sz="6" w:space="0" w:color="auto"/>
              <w:right w:val="nil" w:sz="6" w:space="0" w:color="auto"/>
            </w:tcBorders>
          </w:tcPr>
          <w:p>
            <w:pPr/>
          </w:p>
        </w:tc>
        <w:tc>
          <w:tcPr>
            <w:tcW w:w="1133" w:type="dxa"/>
            <w:gridSpan w:val="2"/>
            <w:vMerge/>
            <w:tcBorders>
              <w:left w:val="nil" w:sz="6" w:space="0" w:color="auto"/>
              <w:bottom w:val="nil" w:sz="6" w:space="0" w:color="auto"/>
              <w:right w:val="nil" w:sz="6" w:space="0" w:color="auto"/>
            </w:tcBorders>
            <w:shd w:val="clear" w:color="auto" w:fill="DEEAF6"/>
          </w:tcPr>
          <w:p>
            <w:pPr/>
          </w:p>
        </w:tc>
        <w:tc>
          <w:tcPr>
            <w:tcW w:w="1223" w:type="dxa"/>
            <w:gridSpan w:val="2"/>
            <w:vMerge/>
            <w:tcBorders>
              <w:left w:val="nil" w:sz="6" w:space="0" w:color="auto"/>
              <w:right w:val="single" w:sz="11" w:space="0" w:color="DEEAF6"/>
            </w:tcBorders>
          </w:tcPr>
          <w:p>
            <w:pPr/>
          </w:p>
        </w:tc>
        <w:tc>
          <w:tcPr>
            <w:tcW w:w="1168" w:type="dxa"/>
            <w:gridSpan w:val="2"/>
            <w:vMerge/>
            <w:tcBorders>
              <w:left w:val="nil" w:sz="6" w:space="0" w:color="auto"/>
              <w:right w:val="nil" w:sz="6" w:space="0" w:color="auto"/>
            </w:tcBorders>
            <w:shd w:val="clear" w:color="auto" w:fill="DEEAF6"/>
          </w:tcPr>
          <w:p>
            <w:pPr/>
          </w:p>
        </w:tc>
        <w:tc>
          <w:tcPr>
            <w:tcW w:w="1226" w:type="dxa"/>
            <w:gridSpan w:val="2"/>
            <w:vMerge/>
            <w:tcBorders>
              <w:left w:val="single" w:sz="11" w:space="0" w:color="DEEAF6"/>
              <w:right w:val="single" w:sz="11" w:space="0" w:color="DEEAF6"/>
            </w:tcBorders>
          </w:tcPr>
          <w:p>
            <w:pPr/>
          </w:p>
        </w:tc>
        <w:tc>
          <w:tcPr>
            <w:tcW w:w="1457" w:type="dxa"/>
            <w:gridSpan w:val="2"/>
            <w:vMerge/>
            <w:tcBorders>
              <w:left w:val="nil" w:sz="6" w:space="0" w:color="auto"/>
              <w:right w:val="nil" w:sz="6" w:space="0" w:color="auto"/>
            </w:tcBorders>
            <w:shd w:val="clear" w:color="auto" w:fill="DEEAF6"/>
          </w:tcPr>
          <w:p>
            <w:pPr/>
          </w:p>
        </w:tc>
        <w:tc>
          <w:tcPr>
            <w:tcW w:w="978" w:type="dxa"/>
            <w:vMerge/>
            <w:tcBorders>
              <w:left w:val="single" w:sz="12" w:space="0" w:color="DEEAF6"/>
              <w:right w:val="nil" w:sz="6" w:space="0" w:color="auto"/>
            </w:tcBorders>
          </w:tcPr>
          <w:p>
            <w:pPr/>
          </w:p>
        </w:tc>
      </w:tr>
      <w:tr>
        <w:trPr>
          <w:trHeight w:val="166" w:hRule="exact"/>
        </w:trPr>
        <w:tc>
          <w:tcPr>
            <w:tcW w:w="1220" w:type="dxa"/>
            <w:vMerge/>
            <w:tcBorders>
              <w:left w:val="nil" w:sz="6" w:space="0" w:color="auto"/>
              <w:bottom w:val="single" w:sz="4" w:space="0" w:color="5B9BD4"/>
              <w:right w:val="nil" w:sz="6" w:space="0" w:color="auto"/>
            </w:tcBorders>
            <w:shd w:val="clear" w:color="auto" w:fill="DEEAF6"/>
          </w:tcPr>
          <w:p>
            <w:pPr/>
          </w:p>
        </w:tc>
        <w:tc>
          <w:tcPr>
            <w:tcW w:w="1208" w:type="dxa"/>
            <w:vMerge/>
            <w:tcBorders>
              <w:left w:val="nil" w:sz="6" w:space="0" w:color="auto"/>
              <w:bottom w:val="single" w:sz="4" w:space="0" w:color="5B9BD4"/>
              <w:right w:val="nil" w:sz="6" w:space="0" w:color="auto"/>
            </w:tcBorders>
          </w:tcPr>
          <w:p>
            <w:pPr/>
          </w:p>
        </w:tc>
        <w:tc>
          <w:tcPr>
            <w:tcW w:w="1133" w:type="dxa"/>
            <w:gridSpan w:val="2"/>
            <w:tcBorders>
              <w:top w:val="nil" w:sz="6" w:space="0" w:color="auto"/>
              <w:left w:val="nil" w:sz="6" w:space="0" w:color="auto"/>
              <w:bottom w:val="single" w:sz="4" w:space="0" w:color="5B9BD4"/>
              <w:right w:val="nil" w:sz="6" w:space="0" w:color="auto"/>
            </w:tcBorders>
            <w:shd w:val="clear" w:color="auto" w:fill="DEEAF6"/>
          </w:tcPr>
          <w:p>
            <w:pPr/>
          </w:p>
        </w:tc>
        <w:tc>
          <w:tcPr>
            <w:tcW w:w="1223" w:type="dxa"/>
            <w:gridSpan w:val="2"/>
            <w:vMerge/>
            <w:tcBorders>
              <w:left w:val="nil" w:sz="6" w:space="0" w:color="auto"/>
              <w:bottom w:val="single" w:sz="4" w:space="0" w:color="5B9BD4"/>
              <w:right w:val="single" w:sz="11" w:space="0" w:color="DEEAF6"/>
            </w:tcBorders>
          </w:tcPr>
          <w:p>
            <w:pPr/>
          </w:p>
        </w:tc>
        <w:tc>
          <w:tcPr>
            <w:tcW w:w="1168" w:type="dxa"/>
            <w:gridSpan w:val="2"/>
            <w:vMerge/>
            <w:tcBorders>
              <w:left w:val="nil" w:sz="6" w:space="0" w:color="auto"/>
              <w:bottom w:val="single" w:sz="4" w:space="0" w:color="5B9BD4"/>
              <w:right w:val="nil" w:sz="6" w:space="0" w:color="auto"/>
            </w:tcBorders>
            <w:shd w:val="clear" w:color="auto" w:fill="DEEAF6"/>
          </w:tcPr>
          <w:p>
            <w:pPr/>
          </w:p>
        </w:tc>
        <w:tc>
          <w:tcPr>
            <w:tcW w:w="1226" w:type="dxa"/>
            <w:gridSpan w:val="2"/>
            <w:vMerge/>
            <w:tcBorders>
              <w:left w:val="single" w:sz="11" w:space="0" w:color="DEEAF6"/>
              <w:bottom w:val="single" w:sz="4" w:space="0" w:color="5B9BD4"/>
              <w:right w:val="single" w:sz="11" w:space="0" w:color="DEEAF6"/>
            </w:tcBorders>
          </w:tcPr>
          <w:p>
            <w:pPr/>
          </w:p>
        </w:tc>
        <w:tc>
          <w:tcPr>
            <w:tcW w:w="1457" w:type="dxa"/>
            <w:gridSpan w:val="2"/>
            <w:vMerge/>
            <w:tcBorders>
              <w:left w:val="nil" w:sz="6" w:space="0" w:color="auto"/>
              <w:bottom w:val="single" w:sz="4" w:space="0" w:color="5B9BD4"/>
              <w:right w:val="nil" w:sz="6" w:space="0" w:color="auto"/>
            </w:tcBorders>
            <w:shd w:val="clear" w:color="auto" w:fill="DEEAF6"/>
          </w:tcPr>
          <w:p>
            <w:pPr/>
          </w:p>
        </w:tc>
        <w:tc>
          <w:tcPr>
            <w:tcW w:w="978" w:type="dxa"/>
            <w:vMerge/>
            <w:tcBorders>
              <w:left w:val="single" w:sz="12" w:space="0" w:color="DEEAF6"/>
              <w:bottom w:val="single" w:sz="4" w:space="0" w:color="5B9BD4"/>
              <w:right w:val="nil" w:sz="6" w:space="0" w:color="auto"/>
            </w:tcBorders>
          </w:tcPr>
          <w:p>
            <w:pPr/>
          </w:p>
        </w:tc>
      </w:tr>
      <w:tr>
        <w:trPr>
          <w:trHeight w:val="392" w:hRule="exact"/>
        </w:trPr>
        <w:tc>
          <w:tcPr>
            <w:tcW w:w="9613" w:type="dxa"/>
            <w:gridSpan w:val="13"/>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1"/>
              <w:ind w:left="3079"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54"/>
                <w:sz w:val="18"/>
                <w:szCs w:val="18"/>
              </w:rPr>
              <w:t> </w:t>
            </w:r>
            <w:r>
              <w:rPr>
                <w:rFonts w:ascii="Arial" w:hAnsi="Arial" w:cs="Arial" w:eastAsia="Arial"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54"/>
                <w:sz w:val="18"/>
                <w:szCs w:val="18"/>
              </w:rPr>
              <w:t> </w:t>
            </w:r>
            <w:r>
              <w:rPr>
                <w:rFonts w:ascii="Arial" w:hAnsi="Arial" w:cs="Arial" w:eastAsia="Arial" w:hint="default"/>
                <w:sz w:val="18"/>
                <w:szCs w:val="18"/>
              </w:rPr>
              <w:t>10</w:t>
            </w:r>
            <w:r>
              <w:rPr>
                <w:rFonts w:ascii="Arial" w:hAnsi="Arial" w:cs="Arial" w:eastAsia="Arial" w:hint="default"/>
                <w:spacing w:val="-14"/>
                <w:sz w:val="18"/>
                <w:szCs w:val="18"/>
              </w:rPr>
              <w:t> </w:t>
            </w:r>
            <w:r>
              <w:rPr>
                <w:rFonts w:ascii="宋体" w:hAnsi="宋体" w:cs="宋体" w:eastAsia="宋体" w:hint="default"/>
                <w:sz w:val="18"/>
                <w:szCs w:val="18"/>
              </w:rPr>
              <w:t>名股东持股情况</w:t>
            </w:r>
          </w:p>
        </w:tc>
      </w:tr>
      <w:tr>
        <w:trPr>
          <w:trHeight w:val="166" w:hRule="exact"/>
        </w:trPr>
        <w:tc>
          <w:tcPr>
            <w:tcW w:w="3233" w:type="dxa"/>
            <w:gridSpan w:val="3"/>
            <w:vMerge w:val="restart"/>
            <w:tcBorders>
              <w:top w:val="single" w:sz="4" w:space="0" w:color="5B9BD4"/>
              <w:left w:val="nil" w:sz="6" w:space="0" w:color="auto"/>
              <w:right w:val="nil" w:sz="6" w:space="0" w:color="auto"/>
            </w:tcBorders>
            <w:shd w:val="clear" w:color="auto" w:fill="DEEAF6"/>
          </w:tcPr>
          <w:p>
            <w:pPr/>
          </w:p>
        </w:tc>
        <w:tc>
          <w:tcPr>
            <w:tcW w:w="2310" w:type="dxa"/>
            <w:gridSpan w:val="4"/>
            <w:tcBorders>
              <w:top w:val="single" w:sz="4" w:space="0" w:color="5B9BD4"/>
              <w:left w:val="nil" w:sz="6" w:space="0" w:color="auto"/>
              <w:bottom w:val="nil" w:sz="6" w:space="0" w:color="auto"/>
              <w:right w:val="nil" w:sz="6" w:space="0" w:color="auto"/>
            </w:tcBorders>
            <w:shd w:val="clear" w:color="auto" w:fill="DEEAF6"/>
          </w:tcPr>
          <w:p>
            <w:pPr/>
          </w:p>
        </w:tc>
        <w:tc>
          <w:tcPr>
            <w:tcW w:w="1106" w:type="dxa"/>
            <w:gridSpan w:val="2"/>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51"/>
              <w:ind w:left="102" w:right="101"/>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20" w:type="dxa"/>
            <w:gridSpan w:val="2"/>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51"/>
              <w:ind w:left="116" w:right="102"/>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843" w:type="dxa"/>
            <w:gridSpan w:val="2"/>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51"/>
              <w:ind w:left="30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3233" w:type="dxa"/>
            <w:gridSpan w:val="3"/>
            <w:vMerge/>
            <w:tcBorders>
              <w:left w:val="nil" w:sz="6" w:space="0" w:color="auto"/>
              <w:bottom w:val="nil" w:sz="6" w:space="0" w:color="auto"/>
              <w:right w:val="nil" w:sz="6" w:space="0" w:color="auto"/>
            </w:tcBorders>
            <w:shd w:val="clear" w:color="auto" w:fill="DEEAF6"/>
          </w:tcPr>
          <w:p>
            <w:pPr/>
          </w:p>
        </w:tc>
        <w:tc>
          <w:tcPr>
            <w:tcW w:w="1216" w:type="dxa"/>
            <w:gridSpan w:val="2"/>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424" w:right="69" w:hanging="360"/>
              <w:jc w:val="left"/>
              <w:rPr>
                <w:rFonts w:ascii="宋体" w:hAnsi="宋体" w:cs="宋体" w:eastAsia="宋体" w:hint="default"/>
                <w:sz w:val="18"/>
                <w:szCs w:val="18"/>
              </w:rPr>
            </w:pPr>
            <w:r>
              <w:rPr>
                <w:rFonts w:ascii="宋体" w:hAnsi="宋体" w:cs="宋体" w:eastAsia="宋体" w:hint="default"/>
                <w:sz w:val="18"/>
                <w:szCs w:val="18"/>
              </w:rPr>
              <w:t>报告期末持股 数量</w:t>
            </w:r>
          </w:p>
        </w:tc>
        <w:tc>
          <w:tcPr>
            <w:tcW w:w="1095" w:type="dxa"/>
            <w:gridSpan w:val="2"/>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94" w:right="98"/>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106" w:type="dxa"/>
            <w:gridSpan w:val="2"/>
            <w:vMerge/>
            <w:tcBorders>
              <w:left w:val="nil" w:sz="6" w:space="0" w:color="auto"/>
              <w:right w:val="nil" w:sz="6" w:space="0" w:color="auto"/>
            </w:tcBorders>
            <w:shd w:val="clear" w:color="auto" w:fill="DEEAF6"/>
          </w:tcPr>
          <w:p>
            <w:pPr/>
          </w:p>
        </w:tc>
        <w:tc>
          <w:tcPr>
            <w:tcW w:w="1120" w:type="dxa"/>
            <w:gridSpan w:val="2"/>
            <w:vMerge/>
            <w:tcBorders>
              <w:left w:val="nil" w:sz="6" w:space="0" w:color="auto"/>
              <w:right w:val="nil" w:sz="6" w:space="0" w:color="auto"/>
            </w:tcBorders>
            <w:shd w:val="clear" w:color="auto" w:fill="DEEAF6"/>
          </w:tcPr>
          <w:p>
            <w:pPr/>
          </w:p>
        </w:tc>
        <w:tc>
          <w:tcPr>
            <w:tcW w:w="1843" w:type="dxa"/>
            <w:gridSpan w:val="2"/>
            <w:vMerge/>
            <w:tcBorders>
              <w:left w:val="nil" w:sz="6" w:space="0" w:color="auto"/>
              <w:right w:val="nil" w:sz="6" w:space="0" w:color="auto"/>
            </w:tcBorders>
            <w:shd w:val="clear" w:color="auto" w:fill="DEEAF6"/>
          </w:tcPr>
          <w:p>
            <w:pPr/>
          </w:p>
        </w:tc>
      </w:tr>
      <w:tr>
        <w:trPr>
          <w:trHeight w:val="140" w:hRule="exact"/>
        </w:trPr>
        <w:tc>
          <w:tcPr>
            <w:tcW w:w="1220" w:type="dxa"/>
            <w:vMerge w:val="restart"/>
            <w:tcBorders>
              <w:top w:val="nil" w:sz="6" w:space="0" w:color="auto"/>
              <w:left w:val="nil" w:sz="6" w:space="0" w:color="auto"/>
              <w:right w:val="nil" w:sz="6" w:space="0" w:color="auto"/>
            </w:tcBorders>
            <w:shd w:val="clear" w:color="auto" w:fill="DEEAF6"/>
          </w:tcPr>
          <w:p>
            <w:pPr>
              <w:pStyle w:val="TableParagraph"/>
              <w:spacing w:line="240" w:lineRule="auto" w:before="46"/>
              <w:ind w:left="25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08" w:type="dxa"/>
            <w:vMerge w:val="restart"/>
            <w:tcBorders>
              <w:top w:val="nil" w:sz="6" w:space="0" w:color="auto"/>
              <w:left w:val="nil" w:sz="6" w:space="0" w:color="auto"/>
              <w:right w:val="nil" w:sz="6" w:space="0" w:color="auto"/>
            </w:tcBorders>
            <w:shd w:val="clear" w:color="auto" w:fill="DEEAF6"/>
          </w:tcPr>
          <w:p>
            <w:pPr>
              <w:pStyle w:val="TableParagraph"/>
              <w:spacing w:line="240" w:lineRule="auto" w:before="46"/>
              <w:ind w:left="26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05" w:type="dxa"/>
            <w:vMerge w:val="restart"/>
            <w:tcBorders>
              <w:top w:val="nil" w:sz="6" w:space="0" w:color="auto"/>
              <w:left w:val="nil" w:sz="6" w:space="0" w:color="auto"/>
              <w:right w:val="nil" w:sz="6" w:space="0" w:color="auto"/>
            </w:tcBorders>
            <w:shd w:val="clear" w:color="auto" w:fill="DEEAF6"/>
          </w:tcPr>
          <w:p>
            <w:pPr>
              <w:pStyle w:val="TableParagraph"/>
              <w:spacing w:line="240" w:lineRule="auto" w:before="46"/>
              <w:ind w:left="4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216" w:type="dxa"/>
            <w:gridSpan w:val="2"/>
            <w:vMerge/>
            <w:tcBorders>
              <w:left w:val="nil" w:sz="6" w:space="0" w:color="auto"/>
              <w:right w:val="nil" w:sz="6" w:space="0" w:color="auto"/>
            </w:tcBorders>
            <w:shd w:val="clear" w:color="auto" w:fill="DEEAF6"/>
          </w:tcPr>
          <w:p>
            <w:pPr/>
          </w:p>
        </w:tc>
        <w:tc>
          <w:tcPr>
            <w:tcW w:w="1095" w:type="dxa"/>
            <w:gridSpan w:val="2"/>
            <w:vMerge/>
            <w:tcBorders>
              <w:left w:val="nil" w:sz="6" w:space="0" w:color="auto"/>
              <w:right w:val="nil" w:sz="6" w:space="0" w:color="auto"/>
            </w:tcBorders>
            <w:shd w:val="clear" w:color="auto" w:fill="DEEAF6"/>
          </w:tcPr>
          <w:p>
            <w:pPr/>
          </w:p>
        </w:tc>
        <w:tc>
          <w:tcPr>
            <w:tcW w:w="1106" w:type="dxa"/>
            <w:gridSpan w:val="2"/>
            <w:vMerge/>
            <w:tcBorders>
              <w:left w:val="nil" w:sz="6" w:space="0" w:color="auto"/>
              <w:right w:val="nil" w:sz="6" w:space="0" w:color="auto"/>
            </w:tcBorders>
            <w:shd w:val="clear" w:color="auto" w:fill="DEEAF6"/>
          </w:tcPr>
          <w:p>
            <w:pPr/>
          </w:p>
        </w:tc>
        <w:tc>
          <w:tcPr>
            <w:tcW w:w="1120" w:type="dxa"/>
            <w:gridSpan w:val="2"/>
            <w:vMerge/>
            <w:tcBorders>
              <w:left w:val="nil" w:sz="6" w:space="0" w:color="auto"/>
              <w:right w:val="nil" w:sz="6" w:space="0" w:color="auto"/>
            </w:tcBorders>
            <w:shd w:val="clear" w:color="auto" w:fill="DEEAF6"/>
          </w:tcPr>
          <w:p>
            <w:pPr/>
          </w:p>
        </w:tc>
        <w:tc>
          <w:tcPr>
            <w:tcW w:w="1843" w:type="dxa"/>
            <w:gridSpan w:val="2"/>
            <w:vMerge/>
            <w:tcBorders>
              <w:left w:val="nil" w:sz="6" w:space="0" w:color="auto"/>
              <w:bottom w:val="single" w:sz="4" w:space="0" w:color="5B9BD4"/>
              <w:right w:val="nil" w:sz="6" w:space="0" w:color="auto"/>
            </w:tcBorders>
            <w:shd w:val="clear" w:color="auto" w:fill="DEEAF6"/>
          </w:tcPr>
          <w:p>
            <w:pPr/>
          </w:p>
        </w:tc>
      </w:tr>
      <w:tr>
        <w:trPr>
          <w:trHeight w:val="252" w:hRule="exact"/>
        </w:trPr>
        <w:tc>
          <w:tcPr>
            <w:tcW w:w="1220" w:type="dxa"/>
            <w:vMerge/>
            <w:tcBorders>
              <w:left w:val="nil" w:sz="6" w:space="0" w:color="auto"/>
              <w:bottom w:val="nil" w:sz="6" w:space="0" w:color="auto"/>
              <w:right w:val="nil" w:sz="6" w:space="0" w:color="auto"/>
            </w:tcBorders>
            <w:shd w:val="clear" w:color="auto" w:fill="DEEAF6"/>
          </w:tcPr>
          <w:p>
            <w:pPr/>
          </w:p>
        </w:tc>
        <w:tc>
          <w:tcPr>
            <w:tcW w:w="1208" w:type="dxa"/>
            <w:vMerge/>
            <w:tcBorders>
              <w:left w:val="nil" w:sz="6" w:space="0" w:color="auto"/>
              <w:bottom w:val="nil" w:sz="6" w:space="0" w:color="auto"/>
              <w:right w:val="nil" w:sz="6" w:space="0" w:color="auto"/>
            </w:tcBorders>
            <w:shd w:val="clear" w:color="auto" w:fill="DEEAF6"/>
          </w:tcPr>
          <w:p>
            <w:pPr/>
          </w:p>
        </w:tc>
        <w:tc>
          <w:tcPr>
            <w:tcW w:w="805" w:type="dxa"/>
            <w:vMerge/>
            <w:tcBorders>
              <w:left w:val="nil" w:sz="6" w:space="0" w:color="auto"/>
              <w:bottom w:val="nil" w:sz="6" w:space="0" w:color="auto"/>
              <w:right w:val="nil" w:sz="6" w:space="0" w:color="auto"/>
            </w:tcBorders>
            <w:shd w:val="clear" w:color="auto" w:fill="DEEAF6"/>
          </w:tcPr>
          <w:p>
            <w:pPr/>
          </w:p>
        </w:tc>
        <w:tc>
          <w:tcPr>
            <w:tcW w:w="1216" w:type="dxa"/>
            <w:gridSpan w:val="2"/>
            <w:vMerge/>
            <w:tcBorders>
              <w:left w:val="nil" w:sz="6" w:space="0" w:color="auto"/>
              <w:right w:val="nil" w:sz="6" w:space="0" w:color="auto"/>
            </w:tcBorders>
            <w:shd w:val="clear" w:color="auto" w:fill="DEEAF6"/>
          </w:tcPr>
          <w:p>
            <w:pPr/>
          </w:p>
        </w:tc>
        <w:tc>
          <w:tcPr>
            <w:tcW w:w="1095" w:type="dxa"/>
            <w:gridSpan w:val="2"/>
            <w:vMerge/>
            <w:tcBorders>
              <w:left w:val="nil" w:sz="6" w:space="0" w:color="auto"/>
              <w:right w:val="nil" w:sz="6" w:space="0" w:color="auto"/>
            </w:tcBorders>
            <w:shd w:val="clear" w:color="auto" w:fill="DEEAF6"/>
          </w:tcPr>
          <w:p>
            <w:pPr/>
          </w:p>
        </w:tc>
        <w:tc>
          <w:tcPr>
            <w:tcW w:w="1106" w:type="dxa"/>
            <w:gridSpan w:val="2"/>
            <w:vMerge/>
            <w:tcBorders>
              <w:left w:val="nil" w:sz="6" w:space="0" w:color="auto"/>
              <w:right w:val="nil" w:sz="6" w:space="0" w:color="auto"/>
            </w:tcBorders>
            <w:shd w:val="clear" w:color="auto" w:fill="DEEAF6"/>
          </w:tcPr>
          <w:p>
            <w:pPr/>
          </w:p>
        </w:tc>
        <w:tc>
          <w:tcPr>
            <w:tcW w:w="1120" w:type="dxa"/>
            <w:gridSpan w:val="2"/>
            <w:vMerge/>
            <w:tcBorders>
              <w:left w:val="nil" w:sz="6" w:space="0" w:color="auto"/>
              <w:right w:val="nil" w:sz="6" w:space="0" w:color="auto"/>
            </w:tcBorders>
            <w:shd w:val="clear" w:color="auto" w:fill="DEEAF6"/>
          </w:tcPr>
          <w:p>
            <w:pPr/>
          </w:p>
        </w:tc>
        <w:tc>
          <w:tcPr>
            <w:tcW w:w="864"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101"/>
              <w:ind w:left="7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78"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101"/>
              <w:ind w:left="316"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3233" w:type="dxa"/>
            <w:gridSpan w:val="3"/>
            <w:vMerge w:val="restart"/>
            <w:tcBorders>
              <w:top w:val="nil" w:sz="6" w:space="0" w:color="auto"/>
              <w:left w:val="nil" w:sz="6" w:space="0" w:color="auto"/>
              <w:right w:val="nil" w:sz="6" w:space="0" w:color="auto"/>
            </w:tcBorders>
            <w:shd w:val="clear" w:color="auto" w:fill="DEEAF6"/>
          </w:tcPr>
          <w:p>
            <w:pPr/>
          </w:p>
        </w:tc>
        <w:tc>
          <w:tcPr>
            <w:tcW w:w="1216" w:type="dxa"/>
            <w:gridSpan w:val="2"/>
            <w:vMerge/>
            <w:tcBorders>
              <w:left w:val="nil" w:sz="6" w:space="0" w:color="auto"/>
              <w:bottom w:val="nil" w:sz="6" w:space="0" w:color="auto"/>
              <w:right w:val="nil" w:sz="6" w:space="0" w:color="auto"/>
            </w:tcBorders>
            <w:shd w:val="clear" w:color="auto" w:fill="DEEAF6"/>
          </w:tcPr>
          <w:p>
            <w:pPr/>
          </w:p>
        </w:tc>
        <w:tc>
          <w:tcPr>
            <w:tcW w:w="1095" w:type="dxa"/>
            <w:gridSpan w:val="2"/>
            <w:vMerge/>
            <w:tcBorders>
              <w:left w:val="nil" w:sz="6" w:space="0" w:color="auto"/>
              <w:bottom w:val="nil" w:sz="6" w:space="0" w:color="auto"/>
              <w:right w:val="nil" w:sz="6" w:space="0" w:color="auto"/>
            </w:tcBorders>
            <w:shd w:val="clear" w:color="auto" w:fill="DEEAF6"/>
          </w:tcPr>
          <w:p>
            <w:pPr/>
          </w:p>
        </w:tc>
        <w:tc>
          <w:tcPr>
            <w:tcW w:w="1106" w:type="dxa"/>
            <w:gridSpan w:val="2"/>
            <w:vMerge/>
            <w:tcBorders>
              <w:left w:val="nil" w:sz="6" w:space="0" w:color="auto"/>
              <w:right w:val="nil" w:sz="6" w:space="0" w:color="auto"/>
            </w:tcBorders>
            <w:shd w:val="clear" w:color="auto" w:fill="DEEAF6"/>
          </w:tcPr>
          <w:p>
            <w:pPr/>
          </w:p>
        </w:tc>
        <w:tc>
          <w:tcPr>
            <w:tcW w:w="1120" w:type="dxa"/>
            <w:gridSpan w:val="2"/>
            <w:vMerge/>
            <w:tcBorders>
              <w:left w:val="nil" w:sz="6" w:space="0" w:color="auto"/>
              <w:right w:val="nil" w:sz="6" w:space="0" w:color="auto"/>
            </w:tcBorders>
            <w:shd w:val="clear" w:color="auto" w:fill="DEEAF6"/>
          </w:tcPr>
          <w:p>
            <w:pPr/>
          </w:p>
        </w:tc>
        <w:tc>
          <w:tcPr>
            <w:tcW w:w="864" w:type="dxa"/>
            <w:vMerge/>
            <w:tcBorders>
              <w:left w:val="nil" w:sz="6" w:space="0" w:color="auto"/>
              <w:right w:val="nil" w:sz="6" w:space="0" w:color="auto"/>
            </w:tcBorders>
            <w:shd w:val="clear" w:color="auto" w:fill="DEEAF6"/>
          </w:tcPr>
          <w:p>
            <w:pPr/>
          </w:p>
        </w:tc>
        <w:tc>
          <w:tcPr>
            <w:tcW w:w="978" w:type="dxa"/>
            <w:vMerge/>
            <w:tcBorders>
              <w:left w:val="nil" w:sz="6" w:space="0" w:color="auto"/>
              <w:right w:val="nil" w:sz="6" w:space="0" w:color="auto"/>
            </w:tcBorders>
            <w:shd w:val="clear" w:color="auto" w:fill="DEEAF6"/>
          </w:tcPr>
          <w:p>
            <w:pPr/>
          </w:p>
        </w:tc>
      </w:tr>
      <w:tr>
        <w:trPr>
          <w:trHeight w:val="161" w:hRule="exact"/>
        </w:trPr>
        <w:tc>
          <w:tcPr>
            <w:tcW w:w="3233" w:type="dxa"/>
            <w:gridSpan w:val="3"/>
            <w:vMerge/>
            <w:tcBorders>
              <w:left w:val="nil" w:sz="6" w:space="0" w:color="auto"/>
              <w:bottom w:val="single" w:sz="4" w:space="0" w:color="5B9BD4"/>
              <w:right w:val="nil" w:sz="6" w:space="0" w:color="auto"/>
            </w:tcBorders>
            <w:shd w:val="clear" w:color="auto" w:fill="DEEAF6"/>
          </w:tcPr>
          <w:p>
            <w:pPr/>
          </w:p>
        </w:tc>
        <w:tc>
          <w:tcPr>
            <w:tcW w:w="2310" w:type="dxa"/>
            <w:gridSpan w:val="4"/>
            <w:tcBorders>
              <w:top w:val="nil" w:sz="6" w:space="0" w:color="auto"/>
              <w:left w:val="nil" w:sz="6" w:space="0" w:color="auto"/>
              <w:bottom w:val="single" w:sz="4" w:space="0" w:color="5B9BD4"/>
              <w:right w:val="nil" w:sz="6" w:space="0" w:color="auto"/>
            </w:tcBorders>
            <w:shd w:val="clear" w:color="auto" w:fill="DEEAF6"/>
          </w:tcPr>
          <w:p>
            <w:pPr/>
          </w:p>
        </w:tc>
        <w:tc>
          <w:tcPr>
            <w:tcW w:w="1106" w:type="dxa"/>
            <w:gridSpan w:val="2"/>
            <w:vMerge/>
            <w:tcBorders>
              <w:left w:val="nil" w:sz="6" w:space="0" w:color="auto"/>
              <w:bottom w:val="single" w:sz="4" w:space="0" w:color="5B9BD4"/>
              <w:right w:val="nil" w:sz="6" w:space="0" w:color="auto"/>
            </w:tcBorders>
            <w:shd w:val="clear" w:color="auto" w:fill="DEEAF6"/>
          </w:tcPr>
          <w:p>
            <w:pPr/>
          </w:p>
        </w:tc>
        <w:tc>
          <w:tcPr>
            <w:tcW w:w="1120" w:type="dxa"/>
            <w:gridSpan w:val="2"/>
            <w:vMerge/>
            <w:tcBorders>
              <w:left w:val="nil" w:sz="6" w:space="0" w:color="auto"/>
              <w:bottom w:val="single" w:sz="4" w:space="0" w:color="5B9BD4"/>
              <w:right w:val="nil" w:sz="6" w:space="0" w:color="auto"/>
            </w:tcBorders>
            <w:shd w:val="clear" w:color="auto" w:fill="DEEAF6"/>
          </w:tcPr>
          <w:p>
            <w:pPr/>
          </w:p>
        </w:tc>
        <w:tc>
          <w:tcPr>
            <w:tcW w:w="864" w:type="dxa"/>
            <w:vMerge/>
            <w:tcBorders>
              <w:left w:val="nil" w:sz="6" w:space="0" w:color="auto"/>
              <w:bottom w:val="single" w:sz="4" w:space="0" w:color="5B9BD4"/>
              <w:right w:val="nil" w:sz="6" w:space="0" w:color="auto"/>
            </w:tcBorders>
            <w:shd w:val="clear" w:color="auto" w:fill="DEEAF6"/>
          </w:tcPr>
          <w:p>
            <w:pPr/>
          </w:p>
        </w:tc>
        <w:tc>
          <w:tcPr>
            <w:tcW w:w="978" w:type="dxa"/>
            <w:vMerge/>
            <w:tcBorders>
              <w:left w:val="nil" w:sz="6" w:space="0" w:color="auto"/>
              <w:bottom w:val="single" w:sz="4" w:space="0" w:color="5B9BD4"/>
              <w:right w:val="nil" w:sz="6" w:space="0" w:color="auto"/>
            </w:tcBorders>
            <w:shd w:val="clear" w:color="auto" w:fill="DEEAF6"/>
          </w:tcPr>
          <w:p>
            <w:pPr/>
          </w:p>
        </w:tc>
      </w:tr>
      <w:tr>
        <w:trPr>
          <w:trHeight w:val="161" w:hRule="exact"/>
        </w:trPr>
        <w:tc>
          <w:tcPr>
            <w:tcW w:w="1220" w:type="dxa"/>
            <w:vMerge w:val="restart"/>
            <w:tcBorders>
              <w:top w:val="single" w:sz="4" w:space="0" w:color="5B9BD4"/>
              <w:left w:val="nil" w:sz="6" w:space="0" w:color="auto"/>
              <w:right w:val="nil" w:sz="6" w:space="0" w:color="auto"/>
            </w:tcBorders>
            <w:shd w:val="clear" w:color="auto" w:fill="DEEAF6"/>
          </w:tcPr>
          <w:p>
            <w:pPr>
              <w:pStyle w:val="TableParagraph"/>
              <w:spacing w:line="319" w:lineRule="auto" w:before="46"/>
              <w:ind w:left="13" w:right="124"/>
              <w:jc w:val="both"/>
              <w:rPr>
                <w:rFonts w:ascii="宋体" w:hAnsi="宋体" w:cs="宋体" w:eastAsia="宋体" w:hint="default"/>
                <w:sz w:val="18"/>
                <w:szCs w:val="18"/>
              </w:rPr>
            </w:pPr>
            <w:r>
              <w:rPr>
                <w:rFonts w:ascii="宋体" w:hAnsi="宋体" w:cs="宋体" w:eastAsia="宋体" w:hint="default"/>
                <w:sz w:val="18"/>
                <w:szCs w:val="18"/>
              </w:rPr>
              <w:t>深圳市神州通 投资集团有限 公司</w:t>
            </w:r>
          </w:p>
        </w:tc>
        <w:tc>
          <w:tcPr>
            <w:tcW w:w="1208" w:type="dxa"/>
            <w:vMerge w:val="restart"/>
            <w:tcBorders>
              <w:top w:val="single" w:sz="4" w:space="0" w:color="5B9BD4"/>
              <w:left w:val="single" w:sz="12" w:space="0" w:color="DEEAF6"/>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46" w:right="64"/>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805" w:type="dxa"/>
            <w:vMerge w:val="restart"/>
            <w:tcBorders>
              <w:top w:val="single" w:sz="4" w:space="0" w:color="5B9BD4"/>
              <w:left w:val="nil" w:sz="6" w:space="0" w:color="auto"/>
              <w:right w:val="nil" w:sz="6" w:space="0" w:color="auto"/>
            </w:tcBorders>
            <w:shd w:val="clear" w:color="auto" w:fill="DEEAF6"/>
          </w:tcPr>
          <w:p>
            <w:pPr/>
          </w:p>
        </w:tc>
        <w:tc>
          <w:tcPr>
            <w:tcW w:w="1216" w:type="dxa"/>
            <w:gridSpan w:val="2"/>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82" w:right="0"/>
              <w:jc w:val="left"/>
              <w:rPr>
                <w:rFonts w:ascii="Arial" w:hAnsi="Arial" w:cs="Arial" w:eastAsia="Arial" w:hint="default"/>
                <w:sz w:val="18"/>
                <w:szCs w:val="18"/>
              </w:rPr>
            </w:pPr>
            <w:r>
              <w:rPr>
                <w:rFonts w:ascii="Arial"/>
                <w:sz w:val="18"/>
              </w:rPr>
              <w:t>562,203,586</w:t>
            </w:r>
          </w:p>
        </w:tc>
        <w:tc>
          <w:tcPr>
            <w:tcW w:w="1095" w:type="dxa"/>
            <w:gridSpan w:val="2"/>
            <w:vMerge w:val="restart"/>
            <w:tcBorders>
              <w:top w:val="single" w:sz="4" w:space="0" w:color="5B9BD4"/>
              <w:left w:val="nil" w:sz="6" w:space="0" w:color="auto"/>
              <w:right w:val="nil" w:sz="6" w:space="0" w:color="auto"/>
            </w:tcBorders>
            <w:shd w:val="clear" w:color="auto" w:fill="DEEAF6"/>
          </w:tcPr>
          <w:p>
            <w:pPr/>
          </w:p>
        </w:tc>
        <w:tc>
          <w:tcPr>
            <w:tcW w:w="1106" w:type="dxa"/>
            <w:gridSpan w:val="2"/>
            <w:vMerge w:val="restart"/>
            <w:tcBorders>
              <w:top w:val="single" w:sz="4" w:space="0" w:color="5B9BD4"/>
              <w:left w:val="nil" w:sz="6" w:space="0" w:color="auto"/>
              <w:right w:val="nil" w:sz="6" w:space="0" w:color="auto"/>
            </w:tcBorders>
          </w:tcPr>
          <w:p>
            <w:pPr/>
          </w:p>
        </w:tc>
        <w:tc>
          <w:tcPr>
            <w:tcW w:w="1120" w:type="dxa"/>
            <w:gridSpan w:val="2"/>
            <w:vMerge w:val="restart"/>
            <w:tcBorders>
              <w:top w:val="single" w:sz="4" w:space="0" w:color="5B9BD4"/>
              <w:left w:val="nil" w:sz="6" w:space="0" w:color="auto"/>
              <w:right w:val="nil" w:sz="6" w:space="0" w:color="auto"/>
            </w:tcBorders>
            <w:shd w:val="clear" w:color="auto" w:fill="DEEAF6"/>
          </w:tcPr>
          <w:p>
            <w:pPr/>
          </w:p>
        </w:tc>
        <w:tc>
          <w:tcPr>
            <w:tcW w:w="864" w:type="dxa"/>
            <w:vMerge w:val="restart"/>
            <w:tcBorders>
              <w:top w:val="single" w:sz="48" w:space="0" w:color="DEEAF6"/>
              <w:left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78" w:type="dxa"/>
            <w:tcBorders>
              <w:top w:val="single" w:sz="4" w:space="0" w:color="5B9BD4"/>
              <w:left w:val="nil" w:sz="6" w:space="0" w:color="auto"/>
              <w:bottom w:val="nil" w:sz="6" w:space="0" w:color="auto"/>
              <w:right w:val="nil" w:sz="6" w:space="0" w:color="auto"/>
            </w:tcBorders>
            <w:shd w:val="clear" w:color="auto" w:fill="DEEAF6"/>
          </w:tcPr>
          <w:p>
            <w:pPr/>
          </w:p>
        </w:tc>
      </w:tr>
      <w:tr>
        <w:trPr>
          <w:trHeight w:val="156" w:hRule="exact"/>
        </w:trPr>
        <w:tc>
          <w:tcPr>
            <w:tcW w:w="1220" w:type="dxa"/>
            <w:vMerge/>
            <w:tcBorders>
              <w:left w:val="nil" w:sz="6" w:space="0" w:color="auto"/>
              <w:right w:val="nil" w:sz="6" w:space="0" w:color="auto"/>
            </w:tcBorders>
            <w:shd w:val="clear" w:color="auto" w:fill="DEEAF6"/>
          </w:tcPr>
          <w:p>
            <w:pPr/>
          </w:p>
        </w:tc>
        <w:tc>
          <w:tcPr>
            <w:tcW w:w="1208" w:type="dxa"/>
            <w:vMerge/>
            <w:tcBorders>
              <w:left w:val="single" w:sz="12" w:space="0" w:color="DEEAF6"/>
              <w:right w:val="nil" w:sz="6" w:space="0" w:color="auto"/>
            </w:tcBorders>
          </w:tcPr>
          <w:p>
            <w:pPr/>
          </w:p>
        </w:tc>
        <w:tc>
          <w:tcPr>
            <w:tcW w:w="805" w:type="dxa"/>
            <w:vMerge/>
            <w:tcBorders>
              <w:left w:val="nil" w:sz="6" w:space="0" w:color="auto"/>
              <w:bottom w:val="nil" w:sz="6" w:space="0" w:color="auto"/>
              <w:right w:val="nil" w:sz="6" w:space="0" w:color="auto"/>
            </w:tcBorders>
            <w:shd w:val="clear" w:color="auto" w:fill="DEEAF6"/>
          </w:tcPr>
          <w:p>
            <w:pPr/>
          </w:p>
        </w:tc>
        <w:tc>
          <w:tcPr>
            <w:tcW w:w="1216" w:type="dxa"/>
            <w:gridSpan w:val="2"/>
            <w:vMerge/>
            <w:tcBorders>
              <w:left w:val="nil" w:sz="6" w:space="0" w:color="auto"/>
              <w:right w:val="nil" w:sz="6" w:space="0" w:color="auto"/>
            </w:tcBorders>
          </w:tcPr>
          <w:p>
            <w:pPr/>
          </w:p>
        </w:tc>
        <w:tc>
          <w:tcPr>
            <w:tcW w:w="1095" w:type="dxa"/>
            <w:gridSpan w:val="2"/>
            <w:vMerge/>
            <w:tcBorders>
              <w:left w:val="nil" w:sz="6" w:space="0" w:color="auto"/>
              <w:bottom w:val="nil" w:sz="6" w:space="0" w:color="auto"/>
              <w:right w:val="nil" w:sz="6" w:space="0" w:color="auto"/>
            </w:tcBorders>
            <w:shd w:val="clear" w:color="auto" w:fill="DEEAF6"/>
          </w:tcPr>
          <w:p>
            <w:pPr/>
          </w:p>
        </w:tc>
        <w:tc>
          <w:tcPr>
            <w:tcW w:w="1106" w:type="dxa"/>
            <w:gridSpan w:val="2"/>
            <w:vMerge/>
            <w:tcBorders>
              <w:left w:val="nil" w:sz="6" w:space="0" w:color="auto"/>
              <w:right w:val="nil" w:sz="6" w:space="0" w:color="auto"/>
            </w:tcBorders>
          </w:tcPr>
          <w:p>
            <w:pPr/>
          </w:p>
        </w:tc>
        <w:tc>
          <w:tcPr>
            <w:tcW w:w="1120" w:type="dxa"/>
            <w:gridSpan w:val="2"/>
            <w:vMerge/>
            <w:tcBorders>
              <w:left w:val="nil" w:sz="6" w:space="0" w:color="auto"/>
              <w:bottom w:val="nil" w:sz="6" w:space="0" w:color="auto"/>
              <w:right w:val="nil" w:sz="6" w:space="0" w:color="auto"/>
            </w:tcBorders>
            <w:shd w:val="clear" w:color="auto" w:fill="DEEAF6"/>
          </w:tcPr>
          <w:p>
            <w:pPr/>
          </w:p>
        </w:tc>
        <w:tc>
          <w:tcPr>
            <w:tcW w:w="864" w:type="dxa"/>
            <w:vMerge/>
            <w:tcBorders>
              <w:left w:val="nil" w:sz="6" w:space="0" w:color="auto"/>
              <w:right w:val="nil" w:sz="6" w:space="0" w:color="auto"/>
            </w:tcBorders>
          </w:tcPr>
          <w:p>
            <w:pPr/>
          </w:p>
        </w:tc>
        <w:tc>
          <w:tcPr>
            <w:tcW w:w="978" w:type="dxa"/>
            <w:vMerge w:val="restart"/>
            <w:tcBorders>
              <w:top w:val="nil" w:sz="6" w:space="0" w:color="auto"/>
              <w:left w:val="nil" w:sz="6" w:space="0" w:color="auto"/>
              <w:right w:val="nil" w:sz="6" w:space="0" w:color="auto"/>
            </w:tcBorders>
            <w:shd w:val="clear" w:color="auto" w:fill="DEEAF6"/>
          </w:tcPr>
          <w:p>
            <w:pPr>
              <w:pStyle w:val="TableParagraph"/>
              <w:spacing w:line="240" w:lineRule="auto" w:before="88"/>
              <w:ind w:right="12"/>
              <w:jc w:val="right"/>
              <w:rPr>
                <w:rFonts w:ascii="Arial" w:hAnsi="Arial" w:cs="Arial" w:eastAsia="Arial" w:hint="default"/>
                <w:sz w:val="18"/>
                <w:szCs w:val="18"/>
              </w:rPr>
            </w:pPr>
            <w:r>
              <w:rPr>
                <w:rFonts w:ascii="Arial"/>
                <w:w w:val="95"/>
                <w:sz w:val="18"/>
              </w:rPr>
              <w:t>417,120,00</w:t>
            </w:r>
            <w:r>
              <w:rPr>
                <w:rFonts w:ascii="Arial"/>
                <w:sz w:val="18"/>
              </w:rPr>
            </w:r>
          </w:p>
          <w:p>
            <w:pPr>
              <w:pStyle w:val="TableParagraph"/>
              <w:spacing w:line="240" w:lineRule="auto" w:before="105"/>
              <w:ind w:right="12"/>
              <w:jc w:val="right"/>
              <w:rPr>
                <w:rFonts w:ascii="Arial" w:hAnsi="Arial" w:cs="Arial" w:eastAsia="Arial" w:hint="default"/>
                <w:sz w:val="18"/>
                <w:szCs w:val="18"/>
              </w:rPr>
            </w:pPr>
            <w:r>
              <w:rPr>
                <w:rFonts w:ascii="Arial"/>
                <w:w w:val="99"/>
                <w:sz w:val="18"/>
              </w:rPr>
              <w:t>0</w:t>
            </w:r>
            <w:r>
              <w:rPr>
                <w:rFonts w:ascii="Arial"/>
                <w:sz w:val="18"/>
              </w:rPr>
            </w:r>
          </w:p>
        </w:tc>
      </w:tr>
      <w:tr>
        <w:trPr>
          <w:trHeight w:val="393" w:hRule="exact"/>
        </w:trPr>
        <w:tc>
          <w:tcPr>
            <w:tcW w:w="1220" w:type="dxa"/>
            <w:vMerge/>
            <w:tcBorders>
              <w:left w:val="nil" w:sz="6" w:space="0" w:color="auto"/>
              <w:right w:val="nil" w:sz="6" w:space="0" w:color="auto"/>
            </w:tcBorders>
            <w:shd w:val="clear" w:color="auto" w:fill="DEEAF6"/>
          </w:tcPr>
          <w:p>
            <w:pPr/>
          </w:p>
        </w:tc>
        <w:tc>
          <w:tcPr>
            <w:tcW w:w="1208" w:type="dxa"/>
            <w:vMerge/>
            <w:tcBorders>
              <w:left w:val="single" w:sz="12" w:space="0" w:color="DEEAF6"/>
              <w:right w:val="nil" w:sz="6" w:space="0" w:color="auto"/>
            </w:tcBorders>
          </w:tcPr>
          <w:p>
            <w:pPr/>
          </w:p>
        </w:tc>
        <w:tc>
          <w:tcPr>
            <w:tcW w:w="805"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24"/>
              <w:jc w:val="right"/>
              <w:rPr>
                <w:rFonts w:ascii="Arial" w:hAnsi="Arial" w:cs="Arial" w:eastAsia="Arial" w:hint="default"/>
                <w:sz w:val="18"/>
                <w:szCs w:val="18"/>
              </w:rPr>
            </w:pPr>
            <w:r>
              <w:rPr>
                <w:rFonts w:ascii="Arial"/>
                <w:w w:val="95"/>
                <w:sz w:val="18"/>
              </w:rPr>
              <w:t>56.00%</w:t>
            </w:r>
            <w:r>
              <w:rPr>
                <w:rFonts w:ascii="Arial"/>
                <w:sz w:val="18"/>
              </w:rPr>
            </w:r>
          </w:p>
        </w:tc>
        <w:tc>
          <w:tcPr>
            <w:tcW w:w="1216" w:type="dxa"/>
            <w:gridSpan w:val="2"/>
            <w:vMerge/>
            <w:tcBorders>
              <w:left w:val="nil" w:sz="6" w:space="0" w:color="auto"/>
              <w:right w:val="nil" w:sz="6" w:space="0" w:color="auto"/>
            </w:tcBorders>
          </w:tcPr>
          <w:p>
            <w:pPr/>
          </w:p>
        </w:tc>
        <w:tc>
          <w:tcPr>
            <w:tcW w:w="1095" w:type="dxa"/>
            <w:gridSpan w:val="2"/>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left="110" w:right="0"/>
              <w:jc w:val="left"/>
              <w:rPr>
                <w:rFonts w:ascii="Arial" w:hAnsi="Arial" w:cs="Arial" w:eastAsia="Arial" w:hint="default"/>
                <w:sz w:val="18"/>
                <w:szCs w:val="18"/>
              </w:rPr>
            </w:pPr>
            <w:r>
              <w:rPr>
                <w:rFonts w:ascii="Arial"/>
                <w:sz w:val="18"/>
              </w:rPr>
              <w:t>-42,500,000</w:t>
            </w:r>
          </w:p>
        </w:tc>
        <w:tc>
          <w:tcPr>
            <w:tcW w:w="1106" w:type="dxa"/>
            <w:gridSpan w:val="2"/>
            <w:vMerge/>
            <w:tcBorders>
              <w:left w:val="nil" w:sz="6" w:space="0" w:color="auto"/>
              <w:right w:val="nil" w:sz="6" w:space="0" w:color="auto"/>
            </w:tcBorders>
          </w:tcPr>
          <w:p>
            <w:pPr/>
          </w:p>
        </w:tc>
        <w:tc>
          <w:tcPr>
            <w:tcW w:w="1120" w:type="dxa"/>
            <w:gridSpan w:val="2"/>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left="108" w:right="0"/>
              <w:jc w:val="left"/>
              <w:rPr>
                <w:rFonts w:ascii="Arial" w:hAnsi="Arial" w:cs="Arial" w:eastAsia="Arial" w:hint="default"/>
                <w:sz w:val="18"/>
                <w:szCs w:val="18"/>
              </w:rPr>
            </w:pPr>
            <w:r>
              <w:rPr>
                <w:rFonts w:ascii="Arial"/>
                <w:sz w:val="18"/>
              </w:rPr>
              <w:t>562,203,586</w:t>
            </w:r>
          </w:p>
        </w:tc>
        <w:tc>
          <w:tcPr>
            <w:tcW w:w="864" w:type="dxa"/>
            <w:vMerge/>
            <w:tcBorders>
              <w:left w:val="nil" w:sz="6" w:space="0" w:color="auto"/>
              <w:right w:val="nil" w:sz="6" w:space="0" w:color="auto"/>
            </w:tcBorders>
          </w:tcPr>
          <w:p>
            <w:pPr/>
          </w:p>
        </w:tc>
        <w:tc>
          <w:tcPr>
            <w:tcW w:w="978" w:type="dxa"/>
            <w:vMerge/>
            <w:tcBorders>
              <w:left w:val="nil" w:sz="6" w:space="0" w:color="auto"/>
              <w:right w:val="nil" w:sz="6" w:space="0" w:color="auto"/>
            </w:tcBorders>
            <w:shd w:val="clear" w:color="auto" w:fill="DEEAF6"/>
          </w:tcPr>
          <w:p>
            <w:pPr/>
          </w:p>
        </w:tc>
      </w:tr>
      <w:tr>
        <w:trPr>
          <w:trHeight w:val="156" w:hRule="exact"/>
        </w:trPr>
        <w:tc>
          <w:tcPr>
            <w:tcW w:w="1220" w:type="dxa"/>
            <w:vMerge/>
            <w:tcBorders>
              <w:left w:val="nil" w:sz="6" w:space="0" w:color="auto"/>
              <w:right w:val="nil" w:sz="6" w:space="0" w:color="auto"/>
            </w:tcBorders>
            <w:shd w:val="clear" w:color="auto" w:fill="DEEAF6"/>
          </w:tcPr>
          <w:p>
            <w:pPr/>
          </w:p>
        </w:tc>
        <w:tc>
          <w:tcPr>
            <w:tcW w:w="1208" w:type="dxa"/>
            <w:vMerge/>
            <w:tcBorders>
              <w:left w:val="single" w:sz="12" w:space="0" w:color="DEEAF6"/>
              <w:right w:val="nil" w:sz="6" w:space="0" w:color="auto"/>
            </w:tcBorders>
          </w:tcPr>
          <w:p>
            <w:pPr/>
          </w:p>
        </w:tc>
        <w:tc>
          <w:tcPr>
            <w:tcW w:w="805" w:type="dxa"/>
            <w:vMerge w:val="restart"/>
            <w:tcBorders>
              <w:top w:val="nil" w:sz="6" w:space="0" w:color="auto"/>
              <w:left w:val="nil" w:sz="6" w:space="0" w:color="auto"/>
              <w:right w:val="nil" w:sz="6" w:space="0" w:color="auto"/>
            </w:tcBorders>
            <w:shd w:val="clear" w:color="auto" w:fill="DEEAF6"/>
          </w:tcPr>
          <w:p>
            <w:pPr/>
          </w:p>
        </w:tc>
        <w:tc>
          <w:tcPr>
            <w:tcW w:w="1216" w:type="dxa"/>
            <w:gridSpan w:val="2"/>
            <w:vMerge/>
            <w:tcBorders>
              <w:left w:val="nil" w:sz="6" w:space="0" w:color="auto"/>
              <w:right w:val="nil" w:sz="6" w:space="0" w:color="auto"/>
            </w:tcBorders>
          </w:tcPr>
          <w:p>
            <w:pPr/>
          </w:p>
        </w:tc>
        <w:tc>
          <w:tcPr>
            <w:tcW w:w="1095" w:type="dxa"/>
            <w:gridSpan w:val="2"/>
            <w:vMerge w:val="restart"/>
            <w:tcBorders>
              <w:top w:val="nil" w:sz="6" w:space="0" w:color="auto"/>
              <w:left w:val="nil" w:sz="6" w:space="0" w:color="auto"/>
              <w:right w:val="nil" w:sz="6" w:space="0" w:color="auto"/>
            </w:tcBorders>
            <w:shd w:val="clear" w:color="auto" w:fill="DEEAF6"/>
          </w:tcPr>
          <w:p>
            <w:pPr/>
          </w:p>
        </w:tc>
        <w:tc>
          <w:tcPr>
            <w:tcW w:w="1106" w:type="dxa"/>
            <w:gridSpan w:val="2"/>
            <w:vMerge/>
            <w:tcBorders>
              <w:left w:val="nil" w:sz="6" w:space="0" w:color="auto"/>
              <w:right w:val="nil" w:sz="6" w:space="0" w:color="auto"/>
            </w:tcBorders>
          </w:tcPr>
          <w:p>
            <w:pPr/>
          </w:p>
        </w:tc>
        <w:tc>
          <w:tcPr>
            <w:tcW w:w="1120" w:type="dxa"/>
            <w:gridSpan w:val="2"/>
            <w:vMerge w:val="restart"/>
            <w:tcBorders>
              <w:top w:val="nil" w:sz="6" w:space="0" w:color="auto"/>
              <w:left w:val="nil" w:sz="6" w:space="0" w:color="auto"/>
              <w:right w:val="nil" w:sz="6" w:space="0" w:color="auto"/>
            </w:tcBorders>
            <w:shd w:val="clear" w:color="auto" w:fill="DEEAF6"/>
          </w:tcPr>
          <w:p>
            <w:pPr/>
          </w:p>
        </w:tc>
        <w:tc>
          <w:tcPr>
            <w:tcW w:w="864" w:type="dxa"/>
            <w:vMerge/>
            <w:tcBorders>
              <w:left w:val="nil" w:sz="6" w:space="0" w:color="auto"/>
              <w:right w:val="nil" w:sz="6" w:space="0" w:color="auto"/>
            </w:tcBorders>
          </w:tcPr>
          <w:p>
            <w:pPr/>
          </w:p>
        </w:tc>
        <w:tc>
          <w:tcPr>
            <w:tcW w:w="978" w:type="dxa"/>
            <w:vMerge/>
            <w:tcBorders>
              <w:left w:val="nil" w:sz="6" w:space="0" w:color="auto"/>
              <w:bottom w:val="nil" w:sz="6" w:space="0" w:color="auto"/>
              <w:right w:val="nil" w:sz="6" w:space="0" w:color="auto"/>
            </w:tcBorders>
            <w:shd w:val="clear" w:color="auto" w:fill="DEEAF6"/>
          </w:tcPr>
          <w:p>
            <w:pPr/>
          </w:p>
        </w:tc>
      </w:tr>
      <w:tr>
        <w:trPr>
          <w:trHeight w:val="161" w:hRule="exact"/>
        </w:trPr>
        <w:tc>
          <w:tcPr>
            <w:tcW w:w="1220" w:type="dxa"/>
            <w:vMerge/>
            <w:tcBorders>
              <w:left w:val="nil" w:sz="6" w:space="0" w:color="auto"/>
              <w:bottom w:val="single" w:sz="4" w:space="0" w:color="5B9BD4"/>
              <w:right w:val="nil" w:sz="6" w:space="0" w:color="auto"/>
            </w:tcBorders>
            <w:shd w:val="clear" w:color="auto" w:fill="DEEAF6"/>
          </w:tcPr>
          <w:p>
            <w:pPr/>
          </w:p>
        </w:tc>
        <w:tc>
          <w:tcPr>
            <w:tcW w:w="1208" w:type="dxa"/>
            <w:vMerge/>
            <w:tcBorders>
              <w:left w:val="single" w:sz="12" w:space="0" w:color="DEEAF6"/>
              <w:bottom w:val="single" w:sz="4" w:space="0" w:color="5B9BD4"/>
              <w:right w:val="nil" w:sz="6" w:space="0" w:color="auto"/>
            </w:tcBorders>
          </w:tcPr>
          <w:p>
            <w:pPr/>
          </w:p>
        </w:tc>
        <w:tc>
          <w:tcPr>
            <w:tcW w:w="805" w:type="dxa"/>
            <w:vMerge/>
            <w:tcBorders>
              <w:left w:val="nil" w:sz="6" w:space="0" w:color="auto"/>
              <w:bottom w:val="single" w:sz="4" w:space="0" w:color="5B9BD4"/>
              <w:right w:val="nil" w:sz="6" w:space="0" w:color="auto"/>
            </w:tcBorders>
            <w:shd w:val="clear" w:color="auto" w:fill="DEEAF6"/>
          </w:tcPr>
          <w:p>
            <w:pPr/>
          </w:p>
        </w:tc>
        <w:tc>
          <w:tcPr>
            <w:tcW w:w="1216" w:type="dxa"/>
            <w:gridSpan w:val="2"/>
            <w:vMerge/>
            <w:tcBorders>
              <w:left w:val="nil" w:sz="6" w:space="0" w:color="auto"/>
              <w:bottom w:val="single" w:sz="4" w:space="0" w:color="5B9BD4"/>
              <w:right w:val="nil" w:sz="6" w:space="0" w:color="auto"/>
            </w:tcBorders>
          </w:tcPr>
          <w:p>
            <w:pPr/>
          </w:p>
        </w:tc>
        <w:tc>
          <w:tcPr>
            <w:tcW w:w="1095" w:type="dxa"/>
            <w:gridSpan w:val="2"/>
            <w:vMerge/>
            <w:tcBorders>
              <w:left w:val="nil" w:sz="6" w:space="0" w:color="auto"/>
              <w:bottom w:val="single" w:sz="4" w:space="0" w:color="5B9BD4"/>
              <w:right w:val="nil" w:sz="6" w:space="0" w:color="auto"/>
            </w:tcBorders>
            <w:shd w:val="clear" w:color="auto" w:fill="DEEAF6"/>
          </w:tcPr>
          <w:p>
            <w:pPr/>
          </w:p>
        </w:tc>
        <w:tc>
          <w:tcPr>
            <w:tcW w:w="1106" w:type="dxa"/>
            <w:gridSpan w:val="2"/>
            <w:vMerge/>
            <w:tcBorders>
              <w:left w:val="nil" w:sz="6" w:space="0" w:color="auto"/>
              <w:bottom w:val="single" w:sz="4" w:space="0" w:color="5B9BD4"/>
              <w:right w:val="nil" w:sz="6" w:space="0" w:color="auto"/>
            </w:tcBorders>
          </w:tcPr>
          <w:p>
            <w:pPr/>
          </w:p>
        </w:tc>
        <w:tc>
          <w:tcPr>
            <w:tcW w:w="1120" w:type="dxa"/>
            <w:gridSpan w:val="2"/>
            <w:vMerge/>
            <w:tcBorders>
              <w:left w:val="nil" w:sz="6" w:space="0" w:color="auto"/>
              <w:bottom w:val="single" w:sz="4" w:space="0" w:color="5B9BD4"/>
              <w:right w:val="nil" w:sz="6" w:space="0" w:color="auto"/>
            </w:tcBorders>
            <w:shd w:val="clear" w:color="auto" w:fill="DEEAF6"/>
          </w:tcPr>
          <w:p>
            <w:pPr/>
          </w:p>
        </w:tc>
        <w:tc>
          <w:tcPr>
            <w:tcW w:w="864" w:type="dxa"/>
            <w:vMerge/>
            <w:tcBorders>
              <w:left w:val="nil" w:sz="6" w:space="0" w:color="auto"/>
              <w:bottom w:val="single" w:sz="4" w:space="0" w:color="5B9BD4"/>
              <w:right w:val="nil" w:sz="6" w:space="0" w:color="auto"/>
            </w:tcBorders>
          </w:tcPr>
          <w:p>
            <w:pPr/>
          </w:p>
        </w:tc>
        <w:tc>
          <w:tcPr>
            <w:tcW w:w="978" w:type="dxa"/>
            <w:tcBorders>
              <w:top w:val="nil" w:sz="6" w:space="0" w:color="auto"/>
              <w:left w:val="nil" w:sz="6" w:space="0" w:color="auto"/>
              <w:bottom w:val="single" w:sz="4" w:space="0" w:color="5B9BD4"/>
              <w:right w:val="nil" w:sz="6" w:space="0" w:color="auto"/>
            </w:tcBorders>
            <w:shd w:val="clear" w:color="auto" w:fill="DEEAF6"/>
          </w:tcPr>
          <w:p>
            <w:pPr/>
          </w:p>
        </w:tc>
      </w:tr>
      <w:tr>
        <w:trPr>
          <w:trHeight w:val="317" w:hRule="exact"/>
        </w:trPr>
        <w:tc>
          <w:tcPr>
            <w:tcW w:w="1220"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6"/>
              <w:ind w:left="13" w:right="124"/>
              <w:jc w:val="both"/>
              <w:rPr>
                <w:rFonts w:ascii="宋体" w:hAnsi="宋体" w:cs="宋体" w:eastAsia="宋体" w:hint="default"/>
                <w:sz w:val="18"/>
                <w:szCs w:val="18"/>
              </w:rPr>
            </w:pPr>
            <w:r>
              <w:rPr>
                <w:rFonts w:ascii="宋体" w:hAnsi="宋体" w:cs="宋体" w:eastAsia="宋体" w:hint="default"/>
                <w:sz w:val="18"/>
                <w:szCs w:val="18"/>
              </w:rPr>
              <w:t>深圳市全球星 投资管理有限 公司</w:t>
            </w:r>
          </w:p>
        </w:tc>
        <w:tc>
          <w:tcPr>
            <w:tcW w:w="1208" w:type="dxa"/>
            <w:vMerge w:val="restart"/>
            <w:tcBorders>
              <w:top w:val="single" w:sz="4" w:space="0" w:color="5B9BD4"/>
              <w:left w:val="single" w:sz="12" w:space="0" w:color="DEEAF6"/>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6" w:right="64"/>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805" w:type="dxa"/>
            <w:tcBorders>
              <w:top w:val="single" w:sz="4" w:space="0" w:color="5B9BD4"/>
              <w:left w:val="nil" w:sz="6" w:space="0" w:color="auto"/>
              <w:bottom w:val="nil" w:sz="6" w:space="0" w:color="auto"/>
              <w:right w:val="nil" w:sz="6" w:space="0" w:color="auto"/>
            </w:tcBorders>
            <w:shd w:val="clear" w:color="auto" w:fill="DEEAF6"/>
          </w:tcPr>
          <w:p>
            <w:pPr/>
          </w:p>
        </w:tc>
        <w:tc>
          <w:tcPr>
            <w:tcW w:w="1216" w:type="dxa"/>
            <w:gridSpan w:val="2"/>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82" w:right="0"/>
              <w:jc w:val="left"/>
              <w:rPr>
                <w:rFonts w:ascii="Arial" w:hAnsi="Arial" w:cs="Arial" w:eastAsia="Arial" w:hint="default"/>
                <w:sz w:val="18"/>
                <w:szCs w:val="18"/>
              </w:rPr>
            </w:pPr>
            <w:r>
              <w:rPr>
                <w:rFonts w:ascii="Arial"/>
                <w:sz w:val="18"/>
              </w:rPr>
              <w:t>101,500,000</w:t>
            </w:r>
          </w:p>
        </w:tc>
        <w:tc>
          <w:tcPr>
            <w:tcW w:w="1095" w:type="dxa"/>
            <w:gridSpan w:val="2"/>
            <w:tcBorders>
              <w:top w:val="single" w:sz="4" w:space="0" w:color="5B9BD4"/>
              <w:left w:val="nil" w:sz="6" w:space="0" w:color="auto"/>
              <w:bottom w:val="nil" w:sz="6" w:space="0" w:color="auto"/>
              <w:right w:val="nil" w:sz="6" w:space="0" w:color="auto"/>
            </w:tcBorders>
            <w:shd w:val="clear" w:color="auto" w:fill="DEEAF6"/>
          </w:tcPr>
          <w:p>
            <w:pPr/>
          </w:p>
        </w:tc>
        <w:tc>
          <w:tcPr>
            <w:tcW w:w="1106" w:type="dxa"/>
            <w:gridSpan w:val="2"/>
            <w:vMerge w:val="restart"/>
            <w:tcBorders>
              <w:top w:val="single" w:sz="4" w:space="0" w:color="5B9BD4"/>
              <w:left w:val="nil" w:sz="6" w:space="0" w:color="auto"/>
              <w:right w:val="nil" w:sz="6" w:space="0" w:color="auto"/>
            </w:tcBorders>
          </w:tcPr>
          <w:p>
            <w:pPr/>
          </w:p>
        </w:tc>
        <w:tc>
          <w:tcPr>
            <w:tcW w:w="1120" w:type="dxa"/>
            <w:gridSpan w:val="2"/>
            <w:tcBorders>
              <w:top w:val="single" w:sz="4" w:space="0" w:color="5B9BD4"/>
              <w:left w:val="nil" w:sz="6" w:space="0" w:color="auto"/>
              <w:bottom w:val="nil" w:sz="6" w:space="0" w:color="auto"/>
              <w:right w:val="nil" w:sz="6" w:space="0" w:color="auto"/>
            </w:tcBorders>
            <w:shd w:val="clear" w:color="auto" w:fill="DEEAF6"/>
          </w:tcPr>
          <w:p>
            <w:pPr/>
          </w:p>
        </w:tc>
        <w:tc>
          <w:tcPr>
            <w:tcW w:w="864"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59"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78" w:type="dxa"/>
            <w:tcBorders>
              <w:top w:val="single" w:sz="4" w:space="0" w:color="5B9BD4"/>
              <w:left w:val="nil" w:sz="6" w:space="0" w:color="auto"/>
              <w:bottom w:val="nil" w:sz="6" w:space="0" w:color="auto"/>
              <w:right w:val="nil" w:sz="6" w:space="0" w:color="auto"/>
            </w:tcBorders>
            <w:shd w:val="clear" w:color="auto" w:fill="DEEAF6"/>
          </w:tcPr>
          <w:p>
            <w:pPr/>
          </w:p>
        </w:tc>
      </w:tr>
      <w:tr>
        <w:trPr>
          <w:trHeight w:val="392" w:hRule="exact"/>
        </w:trPr>
        <w:tc>
          <w:tcPr>
            <w:tcW w:w="1220" w:type="dxa"/>
            <w:vMerge/>
            <w:tcBorders>
              <w:left w:val="nil" w:sz="6" w:space="0" w:color="auto"/>
              <w:right w:val="nil" w:sz="6" w:space="0" w:color="auto"/>
            </w:tcBorders>
            <w:shd w:val="clear" w:color="auto" w:fill="DEEAF6"/>
          </w:tcPr>
          <w:p>
            <w:pPr/>
          </w:p>
        </w:tc>
        <w:tc>
          <w:tcPr>
            <w:tcW w:w="1208" w:type="dxa"/>
            <w:vMerge/>
            <w:tcBorders>
              <w:left w:val="single" w:sz="12" w:space="0" w:color="DEEAF6"/>
              <w:right w:val="nil" w:sz="6" w:space="0" w:color="auto"/>
            </w:tcBorders>
          </w:tcPr>
          <w:p>
            <w:pPr/>
          </w:p>
        </w:tc>
        <w:tc>
          <w:tcPr>
            <w:tcW w:w="805"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24"/>
              <w:jc w:val="right"/>
              <w:rPr>
                <w:rFonts w:ascii="Arial" w:hAnsi="Arial" w:cs="Arial" w:eastAsia="Arial" w:hint="default"/>
                <w:sz w:val="18"/>
                <w:szCs w:val="18"/>
              </w:rPr>
            </w:pPr>
            <w:r>
              <w:rPr>
                <w:rFonts w:ascii="Arial"/>
                <w:w w:val="95"/>
                <w:sz w:val="18"/>
              </w:rPr>
              <w:t>10.11%</w:t>
            </w:r>
            <w:r>
              <w:rPr>
                <w:rFonts w:ascii="Arial"/>
                <w:sz w:val="18"/>
              </w:rPr>
            </w:r>
          </w:p>
        </w:tc>
        <w:tc>
          <w:tcPr>
            <w:tcW w:w="1216" w:type="dxa"/>
            <w:gridSpan w:val="2"/>
            <w:vMerge/>
            <w:tcBorders>
              <w:left w:val="nil" w:sz="6" w:space="0" w:color="auto"/>
              <w:right w:val="nil" w:sz="6" w:space="0" w:color="auto"/>
            </w:tcBorders>
          </w:tcPr>
          <w:p>
            <w:pPr/>
          </w:p>
        </w:tc>
        <w:tc>
          <w:tcPr>
            <w:tcW w:w="1095" w:type="dxa"/>
            <w:gridSpan w:val="2"/>
            <w:tcBorders>
              <w:top w:val="nil" w:sz="6" w:space="0" w:color="auto"/>
              <w:left w:val="nil" w:sz="6" w:space="0" w:color="auto"/>
              <w:bottom w:val="nil" w:sz="6" w:space="0" w:color="auto"/>
              <w:right w:val="nil" w:sz="6" w:space="0" w:color="auto"/>
            </w:tcBorders>
            <w:shd w:val="clear" w:color="auto" w:fill="DEEAF6"/>
          </w:tcPr>
          <w:p>
            <w:pPr/>
          </w:p>
        </w:tc>
        <w:tc>
          <w:tcPr>
            <w:tcW w:w="1106" w:type="dxa"/>
            <w:gridSpan w:val="2"/>
            <w:vMerge/>
            <w:tcBorders>
              <w:left w:val="nil" w:sz="6" w:space="0" w:color="auto"/>
              <w:right w:val="nil" w:sz="6" w:space="0" w:color="auto"/>
            </w:tcBorders>
          </w:tcPr>
          <w:p>
            <w:pPr/>
          </w:p>
        </w:tc>
        <w:tc>
          <w:tcPr>
            <w:tcW w:w="1120" w:type="dxa"/>
            <w:gridSpan w:val="2"/>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left="108" w:right="0"/>
              <w:jc w:val="left"/>
              <w:rPr>
                <w:rFonts w:ascii="Arial" w:hAnsi="Arial" w:cs="Arial" w:eastAsia="Arial" w:hint="default"/>
                <w:sz w:val="18"/>
                <w:szCs w:val="18"/>
              </w:rPr>
            </w:pPr>
            <w:r>
              <w:rPr>
                <w:rFonts w:ascii="Arial"/>
                <w:sz w:val="18"/>
              </w:rPr>
              <w:t>101,500,000</w:t>
            </w:r>
          </w:p>
        </w:tc>
        <w:tc>
          <w:tcPr>
            <w:tcW w:w="864" w:type="dxa"/>
            <w:vMerge/>
            <w:tcBorders>
              <w:left w:val="nil" w:sz="6" w:space="0" w:color="auto"/>
              <w:right w:val="nil" w:sz="6" w:space="0" w:color="auto"/>
            </w:tcBorders>
          </w:tcPr>
          <w:p>
            <w:pPr/>
          </w:p>
        </w:tc>
        <w:tc>
          <w:tcPr>
            <w:tcW w:w="978"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left="51" w:right="0"/>
              <w:jc w:val="center"/>
              <w:rPr>
                <w:rFonts w:ascii="Arial" w:hAnsi="Arial" w:cs="Arial" w:eastAsia="Arial" w:hint="default"/>
                <w:sz w:val="18"/>
                <w:szCs w:val="18"/>
              </w:rPr>
            </w:pPr>
            <w:r>
              <w:rPr>
                <w:rFonts w:ascii="Arial"/>
                <w:sz w:val="18"/>
              </w:rPr>
              <w:t>98,450,000</w:t>
            </w:r>
          </w:p>
        </w:tc>
      </w:tr>
      <w:tr>
        <w:trPr>
          <w:trHeight w:val="317" w:hRule="exact"/>
        </w:trPr>
        <w:tc>
          <w:tcPr>
            <w:tcW w:w="1220" w:type="dxa"/>
            <w:vMerge/>
            <w:tcBorders>
              <w:left w:val="nil" w:sz="6" w:space="0" w:color="auto"/>
              <w:bottom w:val="single" w:sz="4" w:space="0" w:color="5B9BD4"/>
              <w:right w:val="nil" w:sz="6" w:space="0" w:color="auto"/>
            </w:tcBorders>
            <w:shd w:val="clear" w:color="auto" w:fill="DEEAF6"/>
          </w:tcPr>
          <w:p>
            <w:pPr/>
          </w:p>
        </w:tc>
        <w:tc>
          <w:tcPr>
            <w:tcW w:w="1208" w:type="dxa"/>
            <w:vMerge/>
            <w:tcBorders>
              <w:left w:val="single" w:sz="12" w:space="0" w:color="DEEAF6"/>
              <w:bottom w:val="single" w:sz="4" w:space="0" w:color="5B9BD4"/>
              <w:right w:val="nil" w:sz="6" w:space="0" w:color="auto"/>
            </w:tcBorders>
          </w:tcPr>
          <w:p>
            <w:pPr/>
          </w:p>
        </w:tc>
        <w:tc>
          <w:tcPr>
            <w:tcW w:w="805" w:type="dxa"/>
            <w:tcBorders>
              <w:top w:val="nil" w:sz="6" w:space="0" w:color="auto"/>
              <w:left w:val="nil" w:sz="6" w:space="0" w:color="auto"/>
              <w:bottom w:val="single" w:sz="4" w:space="0" w:color="5B9BD4"/>
              <w:right w:val="nil" w:sz="6" w:space="0" w:color="auto"/>
            </w:tcBorders>
            <w:shd w:val="clear" w:color="auto" w:fill="DEEAF6"/>
          </w:tcPr>
          <w:p>
            <w:pPr/>
          </w:p>
        </w:tc>
        <w:tc>
          <w:tcPr>
            <w:tcW w:w="1216" w:type="dxa"/>
            <w:gridSpan w:val="2"/>
            <w:vMerge/>
            <w:tcBorders>
              <w:left w:val="nil" w:sz="6" w:space="0" w:color="auto"/>
              <w:bottom w:val="single" w:sz="4" w:space="0" w:color="5B9BD4"/>
              <w:right w:val="nil" w:sz="6" w:space="0" w:color="auto"/>
            </w:tcBorders>
          </w:tcPr>
          <w:p>
            <w:pPr/>
          </w:p>
        </w:tc>
        <w:tc>
          <w:tcPr>
            <w:tcW w:w="1095" w:type="dxa"/>
            <w:gridSpan w:val="2"/>
            <w:tcBorders>
              <w:top w:val="nil" w:sz="6" w:space="0" w:color="auto"/>
              <w:left w:val="nil" w:sz="6" w:space="0" w:color="auto"/>
              <w:bottom w:val="single" w:sz="4" w:space="0" w:color="5B9BD4"/>
              <w:right w:val="nil" w:sz="6" w:space="0" w:color="auto"/>
            </w:tcBorders>
            <w:shd w:val="clear" w:color="auto" w:fill="DEEAF6"/>
          </w:tcPr>
          <w:p>
            <w:pPr/>
          </w:p>
        </w:tc>
        <w:tc>
          <w:tcPr>
            <w:tcW w:w="1106" w:type="dxa"/>
            <w:gridSpan w:val="2"/>
            <w:vMerge/>
            <w:tcBorders>
              <w:left w:val="nil" w:sz="6" w:space="0" w:color="auto"/>
              <w:bottom w:val="single" w:sz="4" w:space="0" w:color="5B9BD4"/>
              <w:right w:val="nil" w:sz="6" w:space="0" w:color="auto"/>
            </w:tcBorders>
          </w:tcPr>
          <w:p>
            <w:pPr/>
          </w:p>
        </w:tc>
        <w:tc>
          <w:tcPr>
            <w:tcW w:w="1120" w:type="dxa"/>
            <w:gridSpan w:val="2"/>
            <w:tcBorders>
              <w:top w:val="nil" w:sz="6" w:space="0" w:color="auto"/>
              <w:left w:val="nil" w:sz="6" w:space="0" w:color="auto"/>
              <w:bottom w:val="single" w:sz="4" w:space="0" w:color="5B9BD4"/>
              <w:right w:val="nil" w:sz="6" w:space="0" w:color="auto"/>
            </w:tcBorders>
            <w:shd w:val="clear" w:color="auto" w:fill="DEEAF6"/>
          </w:tcPr>
          <w:p>
            <w:pPr/>
          </w:p>
        </w:tc>
        <w:tc>
          <w:tcPr>
            <w:tcW w:w="864" w:type="dxa"/>
            <w:vMerge/>
            <w:tcBorders>
              <w:left w:val="nil" w:sz="6" w:space="0" w:color="auto"/>
              <w:bottom w:val="single" w:sz="4" w:space="0" w:color="5B9BD4"/>
              <w:right w:val="nil" w:sz="6" w:space="0" w:color="auto"/>
            </w:tcBorders>
          </w:tcPr>
          <w:p>
            <w:pPr/>
          </w:p>
        </w:tc>
        <w:tc>
          <w:tcPr>
            <w:tcW w:w="978" w:type="dxa"/>
            <w:tcBorders>
              <w:top w:val="nil" w:sz="6" w:space="0" w:color="auto"/>
              <w:left w:val="nil" w:sz="6" w:space="0" w:color="auto"/>
              <w:bottom w:val="single" w:sz="4" w:space="0" w:color="5B9BD4"/>
              <w:right w:val="nil" w:sz="6" w:space="0" w:color="auto"/>
            </w:tcBorders>
            <w:shd w:val="clear" w:color="auto" w:fill="DEEAF6"/>
          </w:tcPr>
          <w:p>
            <w:pPr/>
          </w:p>
        </w:tc>
      </w:tr>
      <w:tr>
        <w:trPr>
          <w:trHeight w:val="317" w:hRule="exact"/>
        </w:trPr>
        <w:tc>
          <w:tcPr>
            <w:tcW w:w="1220"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6"/>
              <w:ind w:left="13" w:right="124"/>
              <w:jc w:val="both"/>
              <w:rPr>
                <w:rFonts w:ascii="宋体" w:hAnsi="宋体" w:cs="宋体" w:eastAsia="宋体" w:hint="default"/>
                <w:sz w:val="18"/>
                <w:szCs w:val="18"/>
              </w:rPr>
            </w:pPr>
            <w:r>
              <w:rPr>
                <w:rFonts w:ascii="宋体" w:hAnsi="宋体" w:cs="宋体" w:eastAsia="宋体" w:hint="default"/>
                <w:sz w:val="18"/>
                <w:szCs w:val="18"/>
              </w:rPr>
              <w:t>新余全球星投 资管理有限公 司</w:t>
            </w:r>
          </w:p>
        </w:tc>
        <w:tc>
          <w:tcPr>
            <w:tcW w:w="1208" w:type="dxa"/>
            <w:vMerge w:val="restart"/>
            <w:tcBorders>
              <w:top w:val="single" w:sz="4" w:space="0" w:color="5B9BD4"/>
              <w:left w:val="single" w:sz="12" w:space="0" w:color="DEEAF6"/>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6" w:right="64"/>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805" w:type="dxa"/>
            <w:tcBorders>
              <w:top w:val="single" w:sz="4" w:space="0" w:color="5B9BD4"/>
              <w:left w:val="nil" w:sz="6" w:space="0" w:color="auto"/>
              <w:bottom w:val="nil" w:sz="6" w:space="0" w:color="auto"/>
              <w:right w:val="nil" w:sz="6" w:space="0" w:color="auto"/>
            </w:tcBorders>
            <w:shd w:val="clear" w:color="auto" w:fill="DEEAF6"/>
          </w:tcPr>
          <w:p>
            <w:pPr/>
          </w:p>
        </w:tc>
        <w:tc>
          <w:tcPr>
            <w:tcW w:w="1216" w:type="dxa"/>
            <w:gridSpan w:val="2"/>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82" w:right="0"/>
              <w:jc w:val="left"/>
              <w:rPr>
                <w:rFonts w:ascii="Arial" w:hAnsi="Arial" w:cs="Arial" w:eastAsia="Arial" w:hint="default"/>
                <w:sz w:val="18"/>
                <w:szCs w:val="18"/>
              </w:rPr>
            </w:pPr>
            <w:r>
              <w:rPr>
                <w:rFonts w:ascii="Arial"/>
                <w:sz w:val="18"/>
              </w:rPr>
              <w:t>92,800,000</w:t>
            </w:r>
          </w:p>
        </w:tc>
        <w:tc>
          <w:tcPr>
            <w:tcW w:w="1095" w:type="dxa"/>
            <w:gridSpan w:val="2"/>
            <w:tcBorders>
              <w:top w:val="single" w:sz="4" w:space="0" w:color="5B9BD4"/>
              <w:left w:val="nil" w:sz="6" w:space="0" w:color="auto"/>
              <w:bottom w:val="nil" w:sz="6" w:space="0" w:color="auto"/>
              <w:right w:val="nil" w:sz="6" w:space="0" w:color="auto"/>
            </w:tcBorders>
            <w:shd w:val="clear" w:color="auto" w:fill="DEEAF6"/>
          </w:tcPr>
          <w:p>
            <w:pPr/>
          </w:p>
        </w:tc>
        <w:tc>
          <w:tcPr>
            <w:tcW w:w="1106" w:type="dxa"/>
            <w:gridSpan w:val="2"/>
            <w:vMerge w:val="restart"/>
            <w:tcBorders>
              <w:top w:val="single" w:sz="4" w:space="0" w:color="5B9BD4"/>
              <w:left w:val="nil" w:sz="6" w:space="0" w:color="auto"/>
              <w:right w:val="nil" w:sz="6" w:space="0" w:color="auto"/>
            </w:tcBorders>
          </w:tcPr>
          <w:p>
            <w:pPr/>
          </w:p>
        </w:tc>
        <w:tc>
          <w:tcPr>
            <w:tcW w:w="1120" w:type="dxa"/>
            <w:gridSpan w:val="2"/>
            <w:tcBorders>
              <w:top w:val="single" w:sz="4" w:space="0" w:color="5B9BD4"/>
              <w:left w:val="nil" w:sz="6" w:space="0" w:color="auto"/>
              <w:bottom w:val="nil" w:sz="6" w:space="0" w:color="auto"/>
              <w:right w:val="nil" w:sz="6" w:space="0" w:color="auto"/>
            </w:tcBorders>
            <w:shd w:val="clear" w:color="auto" w:fill="DEEAF6"/>
          </w:tcPr>
          <w:p>
            <w:pPr/>
          </w:p>
        </w:tc>
        <w:tc>
          <w:tcPr>
            <w:tcW w:w="864"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59"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78" w:type="dxa"/>
            <w:tcBorders>
              <w:top w:val="single" w:sz="4" w:space="0" w:color="5B9BD4"/>
              <w:left w:val="nil" w:sz="6" w:space="0" w:color="auto"/>
              <w:bottom w:val="nil" w:sz="6" w:space="0" w:color="auto"/>
              <w:right w:val="nil" w:sz="6" w:space="0" w:color="auto"/>
            </w:tcBorders>
            <w:shd w:val="clear" w:color="auto" w:fill="DEEAF6"/>
          </w:tcPr>
          <w:p>
            <w:pPr/>
          </w:p>
        </w:tc>
      </w:tr>
      <w:tr>
        <w:trPr>
          <w:trHeight w:val="392" w:hRule="exact"/>
        </w:trPr>
        <w:tc>
          <w:tcPr>
            <w:tcW w:w="1220" w:type="dxa"/>
            <w:vMerge/>
            <w:tcBorders>
              <w:left w:val="nil" w:sz="6" w:space="0" w:color="auto"/>
              <w:right w:val="nil" w:sz="6" w:space="0" w:color="auto"/>
            </w:tcBorders>
            <w:shd w:val="clear" w:color="auto" w:fill="DEEAF6"/>
          </w:tcPr>
          <w:p>
            <w:pPr/>
          </w:p>
        </w:tc>
        <w:tc>
          <w:tcPr>
            <w:tcW w:w="1208" w:type="dxa"/>
            <w:vMerge/>
            <w:tcBorders>
              <w:left w:val="single" w:sz="12" w:space="0" w:color="DEEAF6"/>
              <w:right w:val="nil" w:sz="6" w:space="0" w:color="auto"/>
            </w:tcBorders>
          </w:tcPr>
          <w:p>
            <w:pPr/>
          </w:p>
        </w:tc>
        <w:tc>
          <w:tcPr>
            <w:tcW w:w="805"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24"/>
              <w:jc w:val="right"/>
              <w:rPr>
                <w:rFonts w:ascii="Arial" w:hAnsi="Arial" w:cs="Arial" w:eastAsia="Arial" w:hint="default"/>
                <w:sz w:val="18"/>
                <w:szCs w:val="18"/>
              </w:rPr>
            </w:pPr>
            <w:r>
              <w:rPr>
                <w:rFonts w:ascii="Arial"/>
                <w:w w:val="95"/>
                <w:sz w:val="18"/>
              </w:rPr>
              <w:t>9.24%</w:t>
            </w:r>
            <w:r>
              <w:rPr>
                <w:rFonts w:ascii="Arial"/>
                <w:sz w:val="18"/>
              </w:rPr>
            </w:r>
          </w:p>
        </w:tc>
        <w:tc>
          <w:tcPr>
            <w:tcW w:w="1216" w:type="dxa"/>
            <w:gridSpan w:val="2"/>
            <w:vMerge/>
            <w:tcBorders>
              <w:left w:val="nil" w:sz="6" w:space="0" w:color="auto"/>
              <w:right w:val="nil" w:sz="6" w:space="0" w:color="auto"/>
            </w:tcBorders>
          </w:tcPr>
          <w:p>
            <w:pPr/>
          </w:p>
        </w:tc>
        <w:tc>
          <w:tcPr>
            <w:tcW w:w="1095" w:type="dxa"/>
            <w:gridSpan w:val="2"/>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left="209" w:right="0"/>
              <w:jc w:val="left"/>
              <w:rPr>
                <w:rFonts w:ascii="Arial" w:hAnsi="Arial" w:cs="Arial" w:eastAsia="Arial" w:hint="default"/>
                <w:sz w:val="18"/>
                <w:szCs w:val="18"/>
              </w:rPr>
            </w:pPr>
            <w:r>
              <w:rPr>
                <w:rFonts w:ascii="Arial"/>
                <w:sz w:val="18"/>
              </w:rPr>
              <w:t>-2,200,000</w:t>
            </w:r>
          </w:p>
        </w:tc>
        <w:tc>
          <w:tcPr>
            <w:tcW w:w="1106" w:type="dxa"/>
            <w:gridSpan w:val="2"/>
            <w:vMerge/>
            <w:tcBorders>
              <w:left w:val="nil" w:sz="6" w:space="0" w:color="auto"/>
              <w:right w:val="nil" w:sz="6" w:space="0" w:color="auto"/>
            </w:tcBorders>
          </w:tcPr>
          <w:p>
            <w:pPr/>
          </w:p>
        </w:tc>
        <w:tc>
          <w:tcPr>
            <w:tcW w:w="1120" w:type="dxa"/>
            <w:gridSpan w:val="2"/>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left="208" w:right="0"/>
              <w:jc w:val="left"/>
              <w:rPr>
                <w:rFonts w:ascii="Arial" w:hAnsi="Arial" w:cs="Arial" w:eastAsia="Arial" w:hint="default"/>
                <w:sz w:val="18"/>
                <w:szCs w:val="18"/>
              </w:rPr>
            </w:pPr>
            <w:r>
              <w:rPr>
                <w:rFonts w:ascii="Arial"/>
                <w:sz w:val="18"/>
              </w:rPr>
              <w:t>92,800,000</w:t>
            </w:r>
          </w:p>
        </w:tc>
        <w:tc>
          <w:tcPr>
            <w:tcW w:w="864" w:type="dxa"/>
            <w:vMerge/>
            <w:tcBorders>
              <w:left w:val="nil" w:sz="6" w:space="0" w:color="auto"/>
              <w:right w:val="nil" w:sz="6" w:space="0" w:color="auto"/>
            </w:tcBorders>
          </w:tcPr>
          <w:p>
            <w:pPr/>
          </w:p>
        </w:tc>
        <w:tc>
          <w:tcPr>
            <w:tcW w:w="978"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left="51" w:right="0"/>
              <w:jc w:val="center"/>
              <w:rPr>
                <w:rFonts w:ascii="Arial" w:hAnsi="Arial" w:cs="Arial" w:eastAsia="Arial" w:hint="default"/>
                <w:sz w:val="18"/>
                <w:szCs w:val="18"/>
              </w:rPr>
            </w:pPr>
            <w:r>
              <w:rPr>
                <w:rFonts w:ascii="Arial"/>
                <w:sz w:val="18"/>
              </w:rPr>
              <w:t>40,000,000</w:t>
            </w:r>
          </w:p>
        </w:tc>
      </w:tr>
      <w:tr>
        <w:trPr>
          <w:trHeight w:val="317" w:hRule="exact"/>
        </w:trPr>
        <w:tc>
          <w:tcPr>
            <w:tcW w:w="1220" w:type="dxa"/>
            <w:vMerge/>
            <w:tcBorders>
              <w:left w:val="nil" w:sz="6" w:space="0" w:color="auto"/>
              <w:bottom w:val="single" w:sz="4" w:space="0" w:color="5B9BD4"/>
              <w:right w:val="nil" w:sz="6" w:space="0" w:color="auto"/>
            </w:tcBorders>
            <w:shd w:val="clear" w:color="auto" w:fill="DEEAF6"/>
          </w:tcPr>
          <w:p>
            <w:pPr/>
          </w:p>
        </w:tc>
        <w:tc>
          <w:tcPr>
            <w:tcW w:w="1208" w:type="dxa"/>
            <w:vMerge/>
            <w:tcBorders>
              <w:left w:val="single" w:sz="12" w:space="0" w:color="DEEAF6"/>
              <w:bottom w:val="single" w:sz="4" w:space="0" w:color="5B9BD4"/>
              <w:right w:val="nil" w:sz="6" w:space="0" w:color="auto"/>
            </w:tcBorders>
          </w:tcPr>
          <w:p>
            <w:pPr/>
          </w:p>
        </w:tc>
        <w:tc>
          <w:tcPr>
            <w:tcW w:w="805" w:type="dxa"/>
            <w:tcBorders>
              <w:top w:val="nil" w:sz="6" w:space="0" w:color="auto"/>
              <w:left w:val="nil" w:sz="6" w:space="0" w:color="auto"/>
              <w:bottom w:val="single" w:sz="4" w:space="0" w:color="5B9BD4"/>
              <w:right w:val="nil" w:sz="6" w:space="0" w:color="auto"/>
            </w:tcBorders>
            <w:shd w:val="clear" w:color="auto" w:fill="DEEAF6"/>
          </w:tcPr>
          <w:p>
            <w:pPr/>
          </w:p>
        </w:tc>
        <w:tc>
          <w:tcPr>
            <w:tcW w:w="1216" w:type="dxa"/>
            <w:gridSpan w:val="2"/>
            <w:vMerge/>
            <w:tcBorders>
              <w:left w:val="nil" w:sz="6" w:space="0" w:color="auto"/>
              <w:bottom w:val="single" w:sz="4" w:space="0" w:color="5B9BD4"/>
              <w:right w:val="nil" w:sz="6" w:space="0" w:color="auto"/>
            </w:tcBorders>
          </w:tcPr>
          <w:p>
            <w:pPr/>
          </w:p>
        </w:tc>
        <w:tc>
          <w:tcPr>
            <w:tcW w:w="1095" w:type="dxa"/>
            <w:gridSpan w:val="2"/>
            <w:tcBorders>
              <w:top w:val="nil" w:sz="6" w:space="0" w:color="auto"/>
              <w:left w:val="nil" w:sz="6" w:space="0" w:color="auto"/>
              <w:bottom w:val="single" w:sz="4" w:space="0" w:color="5B9BD4"/>
              <w:right w:val="nil" w:sz="6" w:space="0" w:color="auto"/>
            </w:tcBorders>
            <w:shd w:val="clear" w:color="auto" w:fill="DEEAF6"/>
          </w:tcPr>
          <w:p>
            <w:pPr/>
          </w:p>
        </w:tc>
        <w:tc>
          <w:tcPr>
            <w:tcW w:w="1106" w:type="dxa"/>
            <w:gridSpan w:val="2"/>
            <w:vMerge/>
            <w:tcBorders>
              <w:left w:val="nil" w:sz="6" w:space="0" w:color="auto"/>
              <w:bottom w:val="single" w:sz="4" w:space="0" w:color="5B9BD4"/>
              <w:right w:val="nil" w:sz="6" w:space="0" w:color="auto"/>
            </w:tcBorders>
          </w:tcPr>
          <w:p>
            <w:pPr/>
          </w:p>
        </w:tc>
        <w:tc>
          <w:tcPr>
            <w:tcW w:w="1120" w:type="dxa"/>
            <w:gridSpan w:val="2"/>
            <w:tcBorders>
              <w:top w:val="nil" w:sz="6" w:space="0" w:color="auto"/>
              <w:left w:val="nil" w:sz="6" w:space="0" w:color="auto"/>
              <w:bottom w:val="single" w:sz="4" w:space="0" w:color="5B9BD4"/>
              <w:right w:val="nil" w:sz="6" w:space="0" w:color="auto"/>
            </w:tcBorders>
            <w:shd w:val="clear" w:color="auto" w:fill="DEEAF6"/>
          </w:tcPr>
          <w:p>
            <w:pPr/>
          </w:p>
        </w:tc>
        <w:tc>
          <w:tcPr>
            <w:tcW w:w="864" w:type="dxa"/>
            <w:vMerge/>
            <w:tcBorders>
              <w:left w:val="nil" w:sz="6" w:space="0" w:color="auto"/>
              <w:bottom w:val="single" w:sz="4" w:space="0" w:color="5B9BD4"/>
              <w:right w:val="nil" w:sz="6" w:space="0" w:color="auto"/>
            </w:tcBorders>
          </w:tcPr>
          <w:p>
            <w:pPr/>
          </w:p>
        </w:tc>
        <w:tc>
          <w:tcPr>
            <w:tcW w:w="978" w:type="dxa"/>
            <w:tcBorders>
              <w:top w:val="nil" w:sz="6" w:space="0" w:color="auto"/>
              <w:left w:val="nil" w:sz="6" w:space="0" w:color="auto"/>
              <w:bottom w:val="single" w:sz="4" w:space="0" w:color="5B9BD4"/>
              <w:right w:val="nil" w:sz="6" w:space="0" w:color="auto"/>
            </w:tcBorders>
            <w:shd w:val="clear" w:color="auto" w:fill="DEEAF6"/>
          </w:tcPr>
          <w:p>
            <w:pPr/>
          </w:p>
        </w:tc>
      </w:tr>
      <w:tr>
        <w:trPr>
          <w:trHeight w:val="402" w:hRule="exact"/>
        </w:trPr>
        <w:tc>
          <w:tcPr>
            <w:tcW w:w="122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黄绍武</w:t>
            </w:r>
          </w:p>
        </w:tc>
        <w:tc>
          <w:tcPr>
            <w:tcW w:w="1208" w:type="dxa"/>
            <w:tcBorders>
              <w:top w:val="single" w:sz="4" w:space="0" w:color="5B9BD4"/>
              <w:left w:val="single" w:sz="12" w:space="0" w:color="DEEAF6"/>
              <w:bottom w:val="single" w:sz="4" w:space="0" w:color="5B9BD4"/>
              <w:right w:val="single" w:sz="12" w:space="0" w:color="DEEAF6"/>
            </w:tcBorders>
          </w:tcPr>
          <w:p>
            <w:pPr>
              <w:pStyle w:val="TableParagraph"/>
              <w:spacing w:line="240" w:lineRule="auto" w:before="46"/>
              <w:ind w:left="4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0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4"/>
              <w:jc w:val="right"/>
              <w:rPr>
                <w:rFonts w:ascii="Arial" w:hAnsi="Arial" w:cs="Arial" w:eastAsia="Arial" w:hint="default"/>
                <w:sz w:val="18"/>
                <w:szCs w:val="18"/>
              </w:rPr>
            </w:pPr>
            <w:r>
              <w:rPr>
                <w:rFonts w:ascii="Arial"/>
                <w:w w:val="95"/>
                <w:sz w:val="18"/>
              </w:rPr>
              <w:t>1.57%</w:t>
            </w:r>
            <w:r>
              <w:rPr>
                <w:rFonts w:ascii="Arial"/>
                <w:sz w:val="18"/>
              </w:rPr>
            </w:r>
          </w:p>
        </w:tc>
        <w:tc>
          <w:tcPr>
            <w:tcW w:w="1216" w:type="dxa"/>
            <w:gridSpan w:val="2"/>
            <w:tcBorders>
              <w:top w:val="single" w:sz="4" w:space="0" w:color="5B9BD4"/>
              <w:left w:val="single" w:sz="12" w:space="0" w:color="DEEAF6"/>
              <w:bottom w:val="single" w:sz="4" w:space="0" w:color="5B9BD4"/>
              <w:right w:val="single" w:sz="12" w:space="0" w:color="DEEAF6"/>
            </w:tcBorders>
          </w:tcPr>
          <w:p>
            <w:pPr>
              <w:pStyle w:val="TableParagraph"/>
              <w:spacing w:line="240" w:lineRule="auto" w:before="88"/>
              <w:ind w:left="268" w:right="0"/>
              <w:jc w:val="left"/>
              <w:rPr>
                <w:rFonts w:ascii="Arial" w:hAnsi="Arial" w:cs="Arial" w:eastAsia="Arial" w:hint="default"/>
                <w:sz w:val="18"/>
                <w:szCs w:val="18"/>
              </w:rPr>
            </w:pPr>
            <w:r>
              <w:rPr>
                <w:rFonts w:ascii="Arial"/>
                <w:sz w:val="18"/>
              </w:rPr>
              <w:t>15,768,692</w:t>
            </w:r>
          </w:p>
        </w:tc>
        <w:tc>
          <w:tcPr>
            <w:tcW w:w="1095"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left="419" w:right="0"/>
              <w:jc w:val="left"/>
              <w:rPr>
                <w:rFonts w:ascii="Arial" w:hAnsi="Arial" w:cs="Arial" w:eastAsia="Arial" w:hint="default"/>
                <w:sz w:val="18"/>
                <w:szCs w:val="18"/>
              </w:rPr>
            </w:pPr>
            <w:r>
              <w:rPr>
                <w:rFonts w:ascii="Arial"/>
                <w:sz w:val="18"/>
              </w:rPr>
              <w:t>551,412</w:t>
            </w:r>
          </w:p>
        </w:tc>
        <w:tc>
          <w:tcPr>
            <w:tcW w:w="1106" w:type="dxa"/>
            <w:gridSpan w:val="2"/>
            <w:tcBorders>
              <w:top w:val="single" w:sz="4" w:space="0" w:color="5B9BD4"/>
              <w:left w:val="single" w:sz="12" w:space="0" w:color="DEEAF6"/>
              <w:bottom w:val="single" w:sz="4" w:space="0" w:color="5B9BD4"/>
              <w:right w:val="single" w:sz="12" w:space="0" w:color="DEEAF6"/>
            </w:tcBorders>
          </w:tcPr>
          <w:p>
            <w:pPr>
              <w:pStyle w:val="TableParagraph"/>
              <w:spacing w:line="240" w:lineRule="auto" w:before="88"/>
              <w:ind w:left="166" w:right="0"/>
              <w:jc w:val="left"/>
              <w:rPr>
                <w:rFonts w:ascii="Arial" w:hAnsi="Arial" w:cs="Arial" w:eastAsia="Arial" w:hint="default"/>
                <w:sz w:val="18"/>
                <w:szCs w:val="18"/>
              </w:rPr>
            </w:pPr>
            <w:r>
              <w:rPr>
                <w:rFonts w:ascii="Arial"/>
                <w:sz w:val="18"/>
              </w:rPr>
              <w:t>11,826,519</w:t>
            </w:r>
          </w:p>
        </w:tc>
        <w:tc>
          <w:tcPr>
            <w:tcW w:w="1120"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left="307" w:right="0"/>
              <w:jc w:val="left"/>
              <w:rPr>
                <w:rFonts w:ascii="Arial" w:hAnsi="Arial" w:cs="Arial" w:eastAsia="Arial" w:hint="default"/>
                <w:sz w:val="18"/>
                <w:szCs w:val="18"/>
              </w:rPr>
            </w:pPr>
            <w:r>
              <w:rPr>
                <w:rFonts w:ascii="Arial"/>
                <w:sz w:val="18"/>
              </w:rPr>
              <w:t>3,942,173</w:t>
            </w:r>
          </w:p>
        </w:tc>
        <w:tc>
          <w:tcPr>
            <w:tcW w:w="864" w:type="dxa"/>
            <w:tcBorders>
              <w:top w:val="single" w:sz="4" w:space="0" w:color="5B9BD4"/>
              <w:left w:val="single" w:sz="11" w:space="0" w:color="DEEAF6"/>
              <w:bottom w:val="single" w:sz="4" w:space="0" w:color="5B9BD4"/>
              <w:right w:val="single" w:sz="11" w:space="0" w:color="DEEAF6"/>
            </w:tcBorders>
          </w:tcPr>
          <w:p>
            <w:pPr/>
          </w:p>
        </w:tc>
        <w:tc>
          <w:tcPr>
            <w:tcW w:w="97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402" w:hRule="exact"/>
        </w:trPr>
        <w:tc>
          <w:tcPr>
            <w:tcW w:w="122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黄文辉</w:t>
            </w:r>
          </w:p>
        </w:tc>
        <w:tc>
          <w:tcPr>
            <w:tcW w:w="1208" w:type="dxa"/>
            <w:tcBorders>
              <w:top w:val="single" w:sz="4" w:space="0" w:color="5B9BD4"/>
              <w:left w:val="single" w:sz="12" w:space="0" w:color="DEEAF6"/>
              <w:bottom w:val="single" w:sz="4" w:space="0" w:color="5B9BD4"/>
              <w:right w:val="single" w:sz="12" w:space="0" w:color="DEEAF6"/>
            </w:tcBorders>
          </w:tcPr>
          <w:p>
            <w:pPr>
              <w:pStyle w:val="TableParagraph"/>
              <w:spacing w:line="240" w:lineRule="auto" w:before="46"/>
              <w:ind w:left="4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0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4"/>
              <w:jc w:val="right"/>
              <w:rPr>
                <w:rFonts w:ascii="Arial" w:hAnsi="Arial" w:cs="Arial" w:eastAsia="Arial" w:hint="default"/>
                <w:sz w:val="18"/>
                <w:szCs w:val="18"/>
              </w:rPr>
            </w:pPr>
            <w:r>
              <w:rPr>
                <w:rFonts w:ascii="Arial"/>
                <w:w w:val="95"/>
                <w:sz w:val="18"/>
              </w:rPr>
              <w:t>1.15%</w:t>
            </w:r>
            <w:r>
              <w:rPr>
                <w:rFonts w:ascii="Arial"/>
                <w:sz w:val="18"/>
              </w:rPr>
            </w:r>
          </w:p>
        </w:tc>
        <w:tc>
          <w:tcPr>
            <w:tcW w:w="1216" w:type="dxa"/>
            <w:gridSpan w:val="2"/>
            <w:tcBorders>
              <w:top w:val="single" w:sz="4" w:space="0" w:color="5B9BD4"/>
              <w:left w:val="single" w:sz="12" w:space="0" w:color="DEEAF6"/>
              <w:bottom w:val="single" w:sz="4" w:space="0" w:color="5B9BD4"/>
              <w:right w:val="single" w:sz="12" w:space="0" w:color="DEEAF6"/>
            </w:tcBorders>
          </w:tcPr>
          <w:p>
            <w:pPr>
              <w:pStyle w:val="TableParagraph"/>
              <w:spacing w:line="240" w:lineRule="auto" w:before="88"/>
              <w:ind w:left="268" w:right="0"/>
              <w:jc w:val="left"/>
              <w:rPr>
                <w:rFonts w:ascii="Arial" w:hAnsi="Arial" w:cs="Arial" w:eastAsia="Arial" w:hint="default"/>
                <w:sz w:val="18"/>
                <w:szCs w:val="18"/>
              </w:rPr>
            </w:pPr>
            <w:r>
              <w:rPr>
                <w:rFonts w:ascii="Arial"/>
                <w:sz w:val="18"/>
              </w:rPr>
              <w:t>11,515,500</w:t>
            </w:r>
          </w:p>
        </w:tc>
        <w:tc>
          <w:tcPr>
            <w:tcW w:w="1095"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left="359" w:right="0"/>
              <w:jc w:val="left"/>
              <w:rPr>
                <w:rFonts w:ascii="Arial" w:hAnsi="Arial" w:cs="Arial" w:eastAsia="Arial" w:hint="default"/>
                <w:sz w:val="18"/>
                <w:szCs w:val="18"/>
              </w:rPr>
            </w:pPr>
            <w:r>
              <w:rPr>
                <w:rFonts w:ascii="Arial"/>
                <w:sz w:val="18"/>
              </w:rPr>
              <w:t>-816,500</w:t>
            </w:r>
          </w:p>
        </w:tc>
        <w:tc>
          <w:tcPr>
            <w:tcW w:w="1106" w:type="dxa"/>
            <w:gridSpan w:val="2"/>
            <w:tcBorders>
              <w:top w:val="single" w:sz="4" w:space="0" w:color="5B9BD4"/>
              <w:left w:val="single" w:sz="12" w:space="0" w:color="DEEAF6"/>
              <w:bottom w:val="single" w:sz="4" w:space="0" w:color="5B9BD4"/>
              <w:right w:val="single" w:sz="12" w:space="0" w:color="DEEAF6"/>
            </w:tcBorders>
          </w:tcPr>
          <w:p>
            <w:pPr>
              <w:pStyle w:val="TableParagraph"/>
              <w:spacing w:line="240" w:lineRule="auto" w:before="88"/>
              <w:ind w:left="265" w:right="0"/>
              <w:jc w:val="left"/>
              <w:rPr>
                <w:rFonts w:ascii="Arial" w:hAnsi="Arial" w:cs="Arial" w:eastAsia="Arial" w:hint="default"/>
                <w:sz w:val="18"/>
                <w:szCs w:val="18"/>
              </w:rPr>
            </w:pPr>
            <w:r>
              <w:rPr>
                <w:rFonts w:ascii="Arial"/>
                <w:sz w:val="18"/>
              </w:rPr>
              <w:t>9,386,625</w:t>
            </w:r>
          </w:p>
        </w:tc>
        <w:tc>
          <w:tcPr>
            <w:tcW w:w="1120"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left="307" w:right="0"/>
              <w:jc w:val="left"/>
              <w:rPr>
                <w:rFonts w:ascii="Arial" w:hAnsi="Arial" w:cs="Arial" w:eastAsia="Arial" w:hint="default"/>
                <w:sz w:val="18"/>
                <w:szCs w:val="18"/>
              </w:rPr>
            </w:pPr>
            <w:r>
              <w:rPr>
                <w:rFonts w:ascii="Arial"/>
                <w:sz w:val="18"/>
              </w:rPr>
              <w:t>2,128,875</w:t>
            </w:r>
          </w:p>
        </w:tc>
        <w:tc>
          <w:tcPr>
            <w:tcW w:w="864" w:type="dxa"/>
            <w:tcBorders>
              <w:top w:val="single" w:sz="4" w:space="0" w:color="5B9BD4"/>
              <w:left w:val="single" w:sz="11" w:space="0" w:color="DEEAF6"/>
              <w:bottom w:val="single" w:sz="4" w:space="0" w:color="5B9BD4"/>
              <w:right w:val="single" w:sz="11" w:space="0" w:color="DEEAF6"/>
            </w:tcBorders>
          </w:tcPr>
          <w:p>
            <w:pPr/>
          </w:p>
        </w:tc>
        <w:tc>
          <w:tcPr>
            <w:tcW w:w="97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402" w:hRule="exact"/>
        </w:trPr>
        <w:tc>
          <w:tcPr>
            <w:tcW w:w="122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杨小萍</w:t>
            </w:r>
          </w:p>
        </w:tc>
        <w:tc>
          <w:tcPr>
            <w:tcW w:w="1208" w:type="dxa"/>
            <w:tcBorders>
              <w:top w:val="single" w:sz="4" w:space="0" w:color="5B9BD4"/>
              <w:left w:val="single" w:sz="12" w:space="0" w:color="DEEAF6"/>
              <w:bottom w:val="single" w:sz="4" w:space="0" w:color="5B9BD4"/>
              <w:right w:val="single" w:sz="12" w:space="0" w:color="DEEAF6"/>
            </w:tcBorders>
          </w:tcPr>
          <w:p>
            <w:pPr>
              <w:pStyle w:val="TableParagraph"/>
              <w:spacing w:line="240" w:lineRule="auto" w:before="46"/>
              <w:ind w:left="4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0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4"/>
              <w:jc w:val="right"/>
              <w:rPr>
                <w:rFonts w:ascii="Arial" w:hAnsi="Arial" w:cs="Arial" w:eastAsia="Arial" w:hint="default"/>
                <w:sz w:val="18"/>
                <w:szCs w:val="18"/>
              </w:rPr>
            </w:pPr>
            <w:r>
              <w:rPr>
                <w:rFonts w:ascii="Arial"/>
                <w:w w:val="95"/>
                <w:sz w:val="18"/>
              </w:rPr>
              <w:t>0.94%</w:t>
            </w:r>
            <w:r>
              <w:rPr>
                <w:rFonts w:ascii="Arial"/>
                <w:sz w:val="18"/>
              </w:rPr>
            </w:r>
          </w:p>
        </w:tc>
        <w:tc>
          <w:tcPr>
            <w:tcW w:w="1216" w:type="dxa"/>
            <w:gridSpan w:val="2"/>
            <w:tcBorders>
              <w:top w:val="single" w:sz="4" w:space="0" w:color="5B9BD4"/>
              <w:left w:val="single" w:sz="12" w:space="0" w:color="DEEAF6"/>
              <w:bottom w:val="single" w:sz="4" w:space="0" w:color="5B9BD4"/>
              <w:right w:val="single" w:sz="12" w:space="0" w:color="DEEAF6"/>
            </w:tcBorders>
          </w:tcPr>
          <w:p>
            <w:pPr>
              <w:pStyle w:val="TableParagraph"/>
              <w:spacing w:line="240" w:lineRule="auto" w:before="88"/>
              <w:ind w:left="367" w:right="0"/>
              <w:jc w:val="left"/>
              <w:rPr>
                <w:rFonts w:ascii="Arial" w:hAnsi="Arial" w:cs="Arial" w:eastAsia="Arial" w:hint="default"/>
                <w:sz w:val="18"/>
                <w:szCs w:val="18"/>
              </w:rPr>
            </w:pPr>
            <w:r>
              <w:rPr>
                <w:rFonts w:ascii="Arial"/>
                <w:sz w:val="18"/>
              </w:rPr>
              <w:t>9,394,300</w:t>
            </w:r>
          </w:p>
        </w:tc>
        <w:tc>
          <w:tcPr>
            <w:tcW w:w="1095"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left="269" w:right="0"/>
              <w:jc w:val="left"/>
              <w:rPr>
                <w:rFonts w:ascii="Arial" w:hAnsi="Arial" w:cs="Arial" w:eastAsia="Arial" w:hint="default"/>
                <w:sz w:val="18"/>
                <w:szCs w:val="18"/>
              </w:rPr>
            </w:pPr>
            <w:r>
              <w:rPr>
                <w:rFonts w:ascii="Arial"/>
                <w:sz w:val="18"/>
              </w:rPr>
              <w:t>9,394,300</w:t>
            </w:r>
          </w:p>
        </w:tc>
        <w:tc>
          <w:tcPr>
            <w:tcW w:w="1106" w:type="dxa"/>
            <w:gridSpan w:val="2"/>
            <w:tcBorders>
              <w:top w:val="single" w:sz="4" w:space="0" w:color="5B9BD4"/>
              <w:left w:val="single" w:sz="12" w:space="0" w:color="DEEAF6"/>
              <w:bottom w:val="single" w:sz="4" w:space="0" w:color="5B9BD4"/>
              <w:right w:val="single" w:sz="12" w:space="0" w:color="DEEAF6"/>
            </w:tcBorders>
          </w:tcPr>
          <w:p>
            <w:pPr/>
          </w:p>
        </w:tc>
        <w:tc>
          <w:tcPr>
            <w:tcW w:w="1120"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left="307" w:right="0"/>
              <w:jc w:val="left"/>
              <w:rPr>
                <w:rFonts w:ascii="Arial" w:hAnsi="Arial" w:cs="Arial" w:eastAsia="Arial" w:hint="default"/>
                <w:sz w:val="18"/>
                <w:szCs w:val="18"/>
              </w:rPr>
            </w:pPr>
            <w:r>
              <w:rPr>
                <w:rFonts w:ascii="Arial"/>
                <w:sz w:val="18"/>
              </w:rPr>
              <w:t>9,394,300</w:t>
            </w:r>
          </w:p>
        </w:tc>
        <w:tc>
          <w:tcPr>
            <w:tcW w:w="864" w:type="dxa"/>
            <w:tcBorders>
              <w:top w:val="single" w:sz="4" w:space="0" w:color="5B9BD4"/>
              <w:left w:val="single" w:sz="11" w:space="0" w:color="DEEAF6"/>
              <w:bottom w:val="single" w:sz="4" w:space="0" w:color="5B9BD4"/>
              <w:right w:val="single" w:sz="11" w:space="0" w:color="DEEAF6"/>
            </w:tcBorders>
          </w:tcPr>
          <w:p>
            <w:pPr/>
          </w:p>
        </w:tc>
        <w:tc>
          <w:tcPr>
            <w:tcW w:w="97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402" w:hRule="exact"/>
        </w:trPr>
        <w:tc>
          <w:tcPr>
            <w:tcW w:w="122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莫凯文</w:t>
            </w:r>
          </w:p>
        </w:tc>
        <w:tc>
          <w:tcPr>
            <w:tcW w:w="1208" w:type="dxa"/>
            <w:tcBorders>
              <w:top w:val="single" w:sz="4" w:space="0" w:color="5B9BD4"/>
              <w:left w:val="single" w:sz="12" w:space="0" w:color="DEEAF6"/>
              <w:bottom w:val="single" w:sz="4" w:space="0" w:color="5B9BD4"/>
              <w:right w:val="single" w:sz="12" w:space="0" w:color="DEEAF6"/>
            </w:tcBorders>
          </w:tcPr>
          <w:p>
            <w:pPr>
              <w:pStyle w:val="TableParagraph"/>
              <w:spacing w:line="240" w:lineRule="auto" w:before="46"/>
              <w:ind w:left="4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0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4"/>
              <w:jc w:val="right"/>
              <w:rPr>
                <w:rFonts w:ascii="Arial" w:hAnsi="Arial" w:cs="Arial" w:eastAsia="Arial" w:hint="default"/>
                <w:sz w:val="18"/>
                <w:szCs w:val="18"/>
              </w:rPr>
            </w:pPr>
            <w:r>
              <w:rPr>
                <w:rFonts w:ascii="Arial"/>
                <w:w w:val="95"/>
                <w:sz w:val="18"/>
              </w:rPr>
              <w:t>0.57%</w:t>
            </w:r>
            <w:r>
              <w:rPr>
                <w:rFonts w:ascii="Arial"/>
                <w:sz w:val="18"/>
              </w:rPr>
            </w:r>
          </w:p>
        </w:tc>
        <w:tc>
          <w:tcPr>
            <w:tcW w:w="1216" w:type="dxa"/>
            <w:gridSpan w:val="2"/>
            <w:tcBorders>
              <w:top w:val="single" w:sz="4" w:space="0" w:color="5B9BD4"/>
              <w:left w:val="single" w:sz="12" w:space="0" w:color="DEEAF6"/>
              <w:bottom w:val="single" w:sz="4" w:space="0" w:color="5B9BD4"/>
              <w:right w:val="single" w:sz="12" w:space="0" w:color="DEEAF6"/>
            </w:tcBorders>
          </w:tcPr>
          <w:p>
            <w:pPr>
              <w:pStyle w:val="TableParagraph"/>
              <w:spacing w:line="240" w:lineRule="auto" w:before="88"/>
              <w:ind w:left="367" w:right="0"/>
              <w:jc w:val="left"/>
              <w:rPr>
                <w:rFonts w:ascii="Arial" w:hAnsi="Arial" w:cs="Arial" w:eastAsia="Arial" w:hint="default"/>
                <w:sz w:val="18"/>
                <w:szCs w:val="18"/>
              </w:rPr>
            </w:pPr>
            <w:r>
              <w:rPr>
                <w:rFonts w:ascii="Arial"/>
                <w:sz w:val="18"/>
              </w:rPr>
              <w:t>5,750,000</w:t>
            </w:r>
          </w:p>
        </w:tc>
        <w:tc>
          <w:tcPr>
            <w:tcW w:w="1095"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left="269" w:right="0"/>
              <w:jc w:val="left"/>
              <w:rPr>
                <w:rFonts w:ascii="Arial" w:hAnsi="Arial" w:cs="Arial" w:eastAsia="Arial" w:hint="default"/>
                <w:sz w:val="18"/>
                <w:szCs w:val="18"/>
              </w:rPr>
            </w:pPr>
            <w:r>
              <w:rPr>
                <w:rFonts w:ascii="Arial"/>
                <w:sz w:val="18"/>
              </w:rPr>
              <w:t>5,750,000</w:t>
            </w:r>
          </w:p>
        </w:tc>
        <w:tc>
          <w:tcPr>
            <w:tcW w:w="1106" w:type="dxa"/>
            <w:gridSpan w:val="2"/>
            <w:tcBorders>
              <w:top w:val="single" w:sz="4" w:space="0" w:color="5B9BD4"/>
              <w:left w:val="single" w:sz="12" w:space="0" w:color="DEEAF6"/>
              <w:bottom w:val="single" w:sz="4" w:space="0" w:color="5B9BD4"/>
              <w:right w:val="single" w:sz="12" w:space="0" w:color="DEEAF6"/>
            </w:tcBorders>
          </w:tcPr>
          <w:p>
            <w:pPr/>
          </w:p>
        </w:tc>
        <w:tc>
          <w:tcPr>
            <w:tcW w:w="1120"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left="307" w:right="0"/>
              <w:jc w:val="left"/>
              <w:rPr>
                <w:rFonts w:ascii="Arial" w:hAnsi="Arial" w:cs="Arial" w:eastAsia="Arial" w:hint="default"/>
                <w:sz w:val="18"/>
                <w:szCs w:val="18"/>
              </w:rPr>
            </w:pPr>
            <w:r>
              <w:rPr>
                <w:rFonts w:ascii="Arial"/>
                <w:sz w:val="18"/>
              </w:rPr>
              <w:t>5,750,000</w:t>
            </w:r>
          </w:p>
        </w:tc>
        <w:tc>
          <w:tcPr>
            <w:tcW w:w="864" w:type="dxa"/>
            <w:tcBorders>
              <w:top w:val="single" w:sz="4" w:space="0" w:color="5B9BD4"/>
              <w:left w:val="single" w:sz="11" w:space="0" w:color="DEEAF6"/>
              <w:bottom w:val="single" w:sz="4" w:space="0" w:color="5B9BD4"/>
              <w:right w:val="single" w:sz="11" w:space="0" w:color="DEEAF6"/>
            </w:tcBorders>
          </w:tcPr>
          <w:p>
            <w:pPr/>
          </w:p>
        </w:tc>
        <w:tc>
          <w:tcPr>
            <w:tcW w:w="97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402" w:hRule="exact"/>
        </w:trPr>
        <w:tc>
          <w:tcPr>
            <w:tcW w:w="122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史先龙</w:t>
            </w:r>
          </w:p>
        </w:tc>
        <w:tc>
          <w:tcPr>
            <w:tcW w:w="1208" w:type="dxa"/>
            <w:tcBorders>
              <w:top w:val="single" w:sz="4" w:space="0" w:color="5B9BD4"/>
              <w:left w:val="single" w:sz="12" w:space="0" w:color="DEEAF6"/>
              <w:bottom w:val="single" w:sz="4" w:space="0" w:color="5B9BD4"/>
              <w:right w:val="single" w:sz="12" w:space="0" w:color="DEEAF6"/>
            </w:tcBorders>
          </w:tcPr>
          <w:p>
            <w:pPr>
              <w:pStyle w:val="TableParagraph"/>
              <w:spacing w:line="240" w:lineRule="auto" w:before="46"/>
              <w:ind w:left="4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0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4"/>
              <w:jc w:val="right"/>
              <w:rPr>
                <w:rFonts w:ascii="Arial" w:hAnsi="Arial" w:cs="Arial" w:eastAsia="Arial" w:hint="default"/>
                <w:sz w:val="18"/>
                <w:szCs w:val="18"/>
              </w:rPr>
            </w:pPr>
            <w:r>
              <w:rPr>
                <w:rFonts w:ascii="Arial"/>
                <w:w w:val="95"/>
                <w:sz w:val="18"/>
              </w:rPr>
              <w:t>0.45%</w:t>
            </w:r>
            <w:r>
              <w:rPr>
                <w:rFonts w:ascii="Arial"/>
                <w:sz w:val="18"/>
              </w:rPr>
            </w:r>
          </w:p>
        </w:tc>
        <w:tc>
          <w:tcPr>
            <w:tcW w:w="1216" w:type="dxa"/>
            <w:gridSpan w:val="2"/>
            <w:tcBorders>
              <w:top w:val="single" w:sz="4" w:space="0" w:color="5B9BD4"/>
              <w:left w:val="single" w:sz="12" w:space="0" w:color="DEEAF6"/>
              <w:bottom w:val="single" w:sz="4" w:space="0" w:color="5B9BD4"/>
              <w:right w:val="single" w:sz="12" w:space="0" w:color="DEEAF6"/>
            </w:tcBorders>
          </w:tcPr>
          <w:p>
            <w:pPr>
              <w:pStyle w:val="TableParagraph"/>
              <w:spacing w:line="240" w:lineRule="auto" w:before="88"/>
              <w:ind w:left="367" w:right="0"/>
              <w:jc w:val="left"/>
              <w:rPr>
                <w:rFonts w:ascii="Arial" w:hAnsi="Arial" w:cs="Arial" w:eastAsia="Arial" w:hint="default"/>
                <w:sz w:val="18"/>
                <w:szCs w:val="18"/>
              </w:rPr>
            </w:pPr>
            <w:r>
              <w:rPr>
                <w:rFonts w:ascii="Arial"/>
                <w:sz w:val="18"/>
              </w:rPr>
              <w:t>4,496,304</w:t>
            </w:r>
          </w:p>
        </w:tc>
        <w:tc>
          <w:tcPr>
            <w:tcW w:w="1095"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left="269" w:right="0"/>
              <w:jc w:val="left"/>
              <w:rPr>
                <w:rFonts w:ascii="Arial" w:hAnsi="Arial" w:cs="Arial" w:eastAsia="Arial" w:hint="default"/>
                <w:sz w:val="18"/>
                <w:szCs w:val="18"/>
              </w:rPr>
            </w:pPr>
            <w:r>
              <w:rPr>
                <w:rFonts w:ascii="Arial"/>
                <w:sz w:val="18"/>
              </w:rPr>
              <w:t>4,496,304</w:t>
            </w:r>
          </w:p>
        </w:tc>
        <w:tc>
          <w:tcPr>
            <w:tcW w:w="1106" w:type="dxa"/>
            <w:gridSpan w:val="2"/>
            <w:tcBorders>
              <w:top w:val="single" w:sz="4" w:space="0" w:color="5B9BD4"/>
              <w:left w:val="single" w:sz="12" w:space="0" w:color="DEEAF6"/>
              <w:bottom w:val="single" w:sz="4" w:space="0" w:color="5B9BD4"/>
              <w:right w:val="single" w:sz="12" w:space="0" w:color="DEEAF6"/>
            </w:tcBorders>
          </w:tcPr>
          <w:p>
            <w:pPr/>
          </w:p>
        </w:tc>
        <w:tc>
          <w:tcPr>
            <w:tcW w:w="1120"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left="307" w:right="0"/>
              <w:jc w:val="left"/>
              <w:rPr>
                <w:rFonts w:ascii="Arial" w:hAnsi="Arial" w:cs="Arial" w:eastAsia="Arial" w:hint="default"/>
                <w:sz w:val="18"/>
                <w:szCs w:val="18"/>
              </w:rPr>
            </w:pPr>
            <w:r>
              <w:rPr>
                <w:rFonts w:ascii="Arial"/>
                <w:sz w:val="18"/>
              </w:rPr>
              <w:t>4,496,304</w:t>
            </w:r>
          </w:p>
        </w:tc>
        <w:tc>
          <w:tcPr>
            <w:tcW w:w="864" w:type="dxa"/>
            <w:tcBorders>
              <w:top w:val="single" w:sz="4" w:space="0" w:color="5B9BD4"/>
              <w:left w:val="single" w:sz="11" w:space="0" w:color="DEEAF6"/>
              <w:bottom w:val="single" w:sz="4" w:space="0" w:color="5B9BD4"/>
              <w:right w:val="single" w:sz="11" w:space="0" w:color="DEEAF6"/>
            </w:tcBorders>
          </w:tcPr>
          <w:p>
            <w:pPr/>
          </w:p>
        </w:tc>
        <w:tc>
          <w:tcPr>
            <w:tcW w:w="97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402" w:hRule="exact"/>
        </w:trPr>
        <w:tc>
          <w:tcPr>
            <w:tcW w:w="122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夏小华</w:t>
            </w:r>
          </w:p>
        </w:tc>
        <w:tc>
          <w:tcPr>
            <w:tcW w:w="1208" w:type="dxa"/>
            <w:tcBorders>
              <w:top w:val="single" w:sz="4" w:space="0" w:color="5B9BD4"/>
              <w:left w:val="single" w:sz="12" w:space="0" w:color="DEEAF6"/>
              <w:bottom w:val="single" w:sz="4" w:space="0" w:color="5B9BD4"/>
              <w:right w:val="single" w:sz="12" w:space="0" w:color="DEEAF6"/>
            </w:tcBorders>
          </w:tcPr>
          <w:p>
            <w:pPr>
              <w:pStyle w:val="TableParagraph"/>
              <w:spacing w:line="240" w:lineRule="auto" w:before="46"/>
              <w:ind w:left="4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0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24"/>
              <w:jc w:val="right"/>
              <w:rPr>
                <w:rFonts w:ascii="Arial" w:hAnsi="Arial" w:cs="Arial" w:eastAsia="Arial" w:hint="default"/>
                <w:sz w:val="18"/>
                <w:szCs w:val="18"/>
              </w:rPr>
            </w:pPr>
            <w:r>
              <w:rPr>
                <w:rFonts w:ascii="Arial"/>
                <w:w w:val="95"/>
                <w:sz w:val="18"/>
              </w:rPr>
              <w:t>0.38%</w:t>
            </w:r>
            <w:r>
              <w:rPr>
                <w:rFonts w:ascii="Arial"/>
                <w:sz w:val="18"/>
              </w:rPr>
            </w:r>
          </w:p>
        </w:tc>
        <w:tc>
          <w:tcPr>
            <w:tcW w:w="1216" w:type="dxa"/>
            <w:gridSpan w:val="2"/>
            <w:tcBorders>
              <w:top w:val="single" w:sz="4" w:space="0" w:color="5B9BD4"/>
              <w:left w:val="single" w:sz="12" w:space="0" w:color="DEEAF6"/>
              <w:bottom w:val="single" w:sz="4" w:space="0" w:color="5B9BD4"/>
              <w:right w:val="single" w:sz="12" w:space="0" w:color="DEEAF6"/>
            </w:tcBorders>
          </w:tcPr>
          <w:p>
            <w:pPr>
              <w:pStyle w:val="TableParagraph"/>
              <w:spacing w:line="240" w:lineRule="auto" w:before="88"/>
              <w:ind w:left="367" w:right="0"/>
              <w:jc w:val="left"/>
              <w:rPr>
                <w:rFonts w:ascii="Arial" w:hAnsi="Arial" w:cs="Arial" w:eastAsia="Arial" w:hint="default"/>
                <w:sz w:val="18"/>
                <w:szCs w:val="18"/>
              </w:rPr>
            </w:pPr>
            <w:r>
              <w:rPr>
                <w:rFonts w:ascii="Arial"/>
                <w:sz w:val="18"/>
              </w:rPr>
              <w:t>3,810,002</w:t>
            </w:r>
          </w:p>
        </w:tc>
        <w:tc>
          <w:tcPr>
            <w:tcW w:w="1095"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left="359" w:right="0"/>
              <w:jc w:val="left"/>
              <w:rPr>
                <w:rFonts w:ascii="Arial" w:hAnsi="Arial" w:cs="Arial" w:eastAsia="Arial" w:hint="default"/>
                <w:sz w:val="18"/>
                <w:szCs w:val="18"/>
              </w:rPr>
            </w:pPr>
            <w:r>
              <w:rPr>
                <w:rFonts w:ascii="Arial"/>
                <w:sz w:val="18"/>
              </w:rPr>
              <w:t>-794,801</w:t>
            </w:r>
          </w:p>
        </w:tc>
        <w:tc>
          <w:tcPr>
            <w:tcW w:w="1106" w:type="dxa"/>
            <w:gridSpan w:val="2"/>
            <w:tcBorders>
              <w:top w:val="single" w:sz="4" w:space="0" w:color="5B9BD4"/>
              <w:left w:val="single" w:sz="12" w:space="0" w:color="DEEAF6"/>
              <w:bottom w:val="single" w:sz="4" w:space="0" w:color="5B9BD4"/>
              <w:right w:val="single" w:sz="12" w:space="0" w:color="DEEAF6"/>
            </w:tcBorders>
          </w:tcPr>
          <w:p>
            <w:pPr>
              <w:pStyle w:val="TableParagraph"/>
              <w:spacing w:line="240" w:lineRule="auto" w:before="88"/>
              <w:ind w:left="265" w:right="0"/>
              <w:jc w:val="left"/>
              <w:rPr>
                <w:rFonts w:ascii="Arial" w:hAnsi="Arial" w:cs="Arial" w:eastAsia="Arial" w:hint="default"/>
                <w:sz w:val="18"/>
                <w:szCs w:val="18"/>
              </w:rPr>
            </w:pPr>
            <w:r>
              <w:rPr>
                <w:rFonts w:ascii="Arial"/>
                <w:sz w:val="18"/>
              </w:rPr>
              <w:t>3,600,902</w:t>
            </w:r>
          </w:p>
        </w:tc>
        <w:tc>
          <w:tcPr>
            <w:tcW w:w="1120"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left="458" w:right="0"/>
              <w:jc w:val="left"/>
              <w:rPr>
                <w:rFonts w:ascii="Arial" w:hAnsi="Arial" w:cs="Arial" w:eastAsia="Arial" w:hint="default"/>
                <w:sz w:val="18"/>
                <w:szCs w:val="18"/>
              </w:rPr>
            </w:pPr>
            <w:r>
              <w:rPr>
                <w:rFonts w:ascii="Arial"/>
                <w:sz w:val="18"/>
              </w:rPr>
              <w:t>209,100</w:t>
            </w:r>
          </w:p>
        </w:tc>
        <w:tc>
          <w:tcPr>
            <w:tcW w:w="864" w:type="dxa"/>
            <w:tcBorders>
              <w:top w:val="single" w:sz="4" w:space="0" w:color="5B9BD4"/>
              <w:left w:val="single" w:sz="11" w:space="0" w:color="DEEAF6"/>
              <w:bottom w:val="single" w:sz="4" w:space="0" w:color="5B9BD4"/>
              <w:right w:val="single" w:sz="11" w:space="0" w:color="DEEAF6"/>
            </w:tcBorders>
          </w:tcPr>
          <w:p>
            <w:pPr/>
          </w:p>
        </w:tc>
        <w:tc>
          <w:tcPr>
            <w:tcW w:w="97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17" w:hRule="exact"/>
        </w:trPr>
        <w:tc>
          <w:tcPr>
            <w:tcW w:w="1220" w:type="dxa"/>
            <w:vMerge w:val="restart"/>
            <w:tcBorders>
              <w:top w:val="single" w:sz="4" w:space="0" w:color="5B9BD4"/>
              <w:left w:val="nil" w:sz="6" w:space="0" w:color="auto"/>
              <w:right w:val="nil" w:sz="6" w:space="0" w:color="auto"/>
            </w:tcBorders>
            <w:shd w:val="clear" w:color="auto" w:fill="DEEAF6"/>
          </w:tcPr>
          <w:p>
            <w:pPr>
              <w:pStyle w:val="TableParagraph"/>
              <w:spacing w:line="319" w:lineRule="auto" w:before="46"/>
              <w:ind w:left="13" w:right="124"/>
              <w:jc w:val="both"/>
              <w:rPr>
                <w:rFonts w:ascii="宋体" w:hAnsi="宋体" w:cs="宋体" w:eastAsia="宋体" w:hint="default"/>
                <w:sz w:val="18"/>
                <w:szCs w:val="18"/>
              </w:rPr>
            </w:pPr>
            <w:r>
              <w:rPr>
                <w:rFonts w:ascii="宋体" w:hAnsi="宋体" w:cs="宋体" w:eastAsia="宋体" w:hint="default"/>
                <w:sz w:val="18"/>
                <w:szCs w:val="18"/>
              </w:rPr>
              <w:t>海通证券股份 有限公司约定 购回专用账户</w:t>
            </w:r>
          </w:p>
        </w:tc>
        <w:tc>
          <w:tcPr>
            <w:tcW w:w="1208" w:type="dxa"/>
            <w:vMerge w:val="restart"/>
            <w:tcBorders>
              <w:top w:val="single" w:sz="4" w:space="0" w:color="5B9BD4"/>
              <w:left w:val="single" w:sz="12" w:space="0" w:color="DEEAF6"/>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5" w:type="dxa"/>
            <w:tcBorders>
              <w:top w:val="single" w:sz="4" w:space="0" w:color="5B9BD4"/>
              <w:left w:val="nil" w:sz="6" w:space="0" w:color="auto"/>
              <w:bottom w:val="nil" w:sz="6" w:space="0" w:color="auto"/>
              <w:right w:val="nil" w:sz="6" w:space="0" w:color="auto"/>
            </w:tcBorders>
            <w:shd w:val="clear" w:color="auto" w:fill="DEEAF6"/>
          </w:tcPr>
          <w:p>
            <w:pPr/>
          </w:p>
        </w:tc>
        <w:tc>
          <w:tcPr>
            <w:tcW w:w="1216" w:type="dxa"/>
            <w:gridSpan w:val="2"/>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82" w:right="0"/>
              <w:jc w:val="left"/>
              <w:rPr>
                <w:rFonts w:ascii="Arial" w:hAnsi="Arial" w:cs="Arial" w:eastAsia="Arial" w:hint="default"/>
                <w:sz w:val="18"/>
                <w:szCs w:val="18"/>
              </w:rPr>
            </w:pPr>
            <w:r>
              <w:rPr>
                <w:rFonts w:ascii="Arial"/>
                <w:sz w:val="18"/>
              </w:rPr>
              <w:t>2,750,000</w:t>
            </w:r>
          </w:p>
        </w:tc>
        <w:tc>
          <w:tcPr>
            <w:tcW w:w="1095" w:type="dxa"/>
            <w:gridSpan w:val="2"/>
            <w:tcBorders>
              <w:top w:val="single" w:sz="4" w:space="0" w:color="5B9BD4"/>
              <w:left w:val="nil" w:sz="6" w:space="0" w:color="auto"/>
              <w:bottom w:val="nil" w:sz="6" w:space="0" w:color="auto"/>
              <w:right w:val="nil" w:sz="6" w:space="0" w:color="auto"/>
            </w:tcBorders>
            <w:shd w:val="clear" w:color="auto" w:fill="DEEAF6"/>
          </w:tcPr>
          <w:p>
            <w:pPr/>
          </w:p>
        </w:tc>
        <w:tc>
          <w:tcPr>
            <w:tcW w:w="1106" w:type="dxa"/>
            <w:gridSpan w:val="2"/>
            <w:vMerge w:val="restart"/>
            <w:tcBorders>
              <w:top w:val="single" w:sz="4" w:space="0" w:color="5B9BD4"/>
              <w:left w:val="nil" w:sz="6" w:space="0" w:color="auto"/>
              <w:right w:val="nil" w:sz="6" w:space="0" w:color="auto"/>
            </w:tcBorders>
          </w:tcPr>
          <w:p>
            <w:pPr/>
          </w:p>
        </w:tc>
        <w:tc>
          <w:tcPr>
            <w:tcW w:w="1120" w:type="dxa"/>
            <w:gridSpan w:val="2"/>
            <w:tcBorders>
              <w:top w:val="single" w:sz="4" w:space="0" w:color="5B9BD4"/>
              <w:left w:val="nil" w:sz="6" w:space="0" w:color="auto"/>
              <w:bottom w:val="nil" w:sz="6" w:space="0" w:color="auto"/>
              <w:right w:val="nil" w:sz="6" w:space="0" w:color="auto"/>
            </w:tcBorders>
            <w:shd w:val="clear" w:color="auto" w:fill="DEEAF6"/>
          </w:tcPr>
          <w:p>
            <w:pPr/>
          </w:p>
        </w:tc>
        <w:tc>
          <w:tcPr>
            <w:tcW w:w="864" w:type="dxa"/>
            <w:vMerge w:val="restart"/>
            <w:tcBorders>
              <w:top w:val="single" w:sz="4" w:space="0" w:color="5B9BD4"/>
              <w:left w:val="nil" w:sz="6" w:space="0" w:color="auto"/>
              <w:right w:val="nil" w:sz="6" w:space="0" w:color="auto"/>
            </w:tcBorders>
          </w:tcPr>
          <w:p>
            <w:pPr/>
          </w:p>
        </w:tc>
        <w:tc>
          <w:tcPr>
            <w:tcW w:w="978" w:type="dxa"/>
            <w:tcBorders>
              <w:top w:val="single" w:sz="4" w:space="0" w:color="5B9BD4"/>
              <w:left w:val="nil" w:sz="6" w:space="0" w:color="auto"/>
              <w:bottom w:val="nil" w:sz="6" w:space="0" w:color="auto"/>
              <w:right w:val="nil" w:sz="6" w:space="0" w:color="auto"/>
            </w:tcBorders>
            <w:shd w:val="clear" w:color="auto" w:fill="DEEAF6"/>
          </w:tcPr>
          <w:p>
            <w:pPr/>
          </w:p>
        </w:tc>
      </w:tr>
      <w:tr>
        <w:trPr>
          <w:trHeight w:val="393" w:hRule="exact"/>
        </w:trPr>
        <w:tc>
          <w:tcPr>
            <w:tcW w:w="1220" w:type="dxa"/>
            <w:vMerge/>
            <w:tcBorders>
              <w:left w:val="nil" w:sz="6" w:space="0" w:color="auto"/>
              <w:right w:val="nil" w:sz="6" w:space="0" w:color="auto"/>
            </w:tcBorders>
            <w:shd w:val="clear" w:color="auto" w:fill="DEEAF6"/>
          </w:tcPr>
          <w:p>
            <w:pPr/>
          </w:p>
        </w:tc>
        <w:tc>
          <w:tcPr>
            <w:tcW w:w="1208" w:type="dxa"/>
            <w:vMerge/>
            <w:tcBorders>
              <w:left w:val="single" w:sz="12" w:space="0" w:color="DEEAF6"/>
              <w:right w:val="nil" w:sz="6" w:space="0" w:color="auto"/>
            </w:tcBorders>
          </w:tcPr>
          <w:p>
            <w:pPr/>
          </w:p>
        </w:tc>
        <w:tc>
          <w:tcPr>
            <w:tcW w:w="805"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right="24"/>
              <w:jc w:val="right"/>
              <w:rPr>
                <w:rFonts w:ascii="Arial" w:hAnsi="Arial" w:cs="Arial" w:eastAsia="Arial" w:hint="default"/>
                <w:sz w:val="18"/>
                <w:szCs w:val="18"/>
              </w:rPr>
            </w:pPr>
            <w:r>
              <w:rPr>
                <w:rFonts w:ascii="Arial"/>
                <w:w w:val="95"/>
                <w:sz w:val="18"/>
              </w:rPr>
              <w:t>0.27%</w:t>
            </w:r>
            <w:r>
              <w:rPr>
                <w:rFonts w:ascii="Arial"/>
                <w:sz w:val="18"/>
              </w:rPr>
            </w:r>
          </w:p>
        </w:tc>
        <w:tc>
          <w:tcPr>
            <w:tcW w:w="1216" w:type="dxa"/>
            <w:gridSpan w:val="2"/>
            <w:vMerge/>
            <w:tcBorders>
              <w:left w:val="nil" w:sz="6" w:space="0" w:color="auto"/>
              <w:right w:val="nil" w:sz="6" w:space="0" w:color="auto"/>
            </w:tcBorders>
          </w:tcPr>
          <w:p>
            <w:pPr/>
          </w:p>
        </w:tc>
        <w:tc>
          <w:tcPr>
            <w:tcW w:w="1095" w:type="dxa"/>
            <w:gridSpan w:val="2"/>
            <w:tcBorders>
              <w:top w:val="nil" w:sz="6" w:space="0" w:color="auto"/>
              <w:left w:val="nil" w:sz="6" w:space="0" w:color="auto"/>
              <w:bottom w:val="nil" w:sz="6" w:space="0" w:color="auto"/>
              <w:right w:val="nil" w:sz="6" w:space="0" w:color="auto"/>
            </w:tcBorders>
            <w:shd w:val="clear" w:color="auto" w:fill="DEEAF6"/>
          </w:tcPr>
          <w:p>
            <w:pPr/>
          </w:p>
        </w:tc>
        <w:tc>
          <w:tcPr>
            <w:tcW w:w="1106" w:type="dxa"/>
            <w:gridSpan w:val="2"/>
            <w:vMerge/>
            <w:tcBorders>
              <w:left w:val="nil" w:sz="6" w:space="0" w:color="auto"/>
              <w:right w:val="nil" w:sz="6" w:space="0" w:color="auto"/>
            </w:tcBorders>
          </w:tcPr>
          <w:p>
            <w:pPr/>
          </w:p>
        </w:tc>
        <w:tc>
          <w:tcPr>
            <w:tcW w:w="1120" w:type="dxa"/>
            <w:gridSpan w:val="2"/>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88"/>
              <w:ind w:left="307" w:right="0"/>
              <w:jc w:val="left"/>
              <w:rPr>
                <w:rFonts w:ascii="Arial" w:hAnsi="Arial" w:cs="Arial" w:eastAsia="Arial" w:hint="default"/>
                <w:sz w:val="18"/>
                <w:szCs w:val="18"/>
              </w:rPr>
            </w:pPr>
            <w:r>
              <w:rPr>
                <w:rFonts w:ascii="Arial"/>
                <w:sz w:val="18"/>
              </w:rPr>
              <w:t>2,750,000</w:t>
            </w:r>
          </w:p>
        </w:tc>
        <w:tc>
          <w:tcPr>
            <w:tcW w:w="864" w:type="dxa"/>
            <w:vMerge/>
            <w:tcBorders>
              <w:left w:val="nil" w:sz="6" w:space="0" w:color="auto"/>
              <w:right w:val="nil" w:sz="6" w:space="0" w:color="auto"/>
            </w:tcBorders>
          </w:tcPr>
          <w:p>
            <w:pPr/>
          </w:p>
        </w:tc>
        <w:tc>
          <w:tcPr>
            <w:tcW w:w="978" w:type="dxa"/>
            <w:tcBorders>
              <w:top w:val="nil" w:sz="6" w:space="0" w:color="auto"/>
              <w:left w:val="nil" w:sz="6" w:space="0" w:color="auto"/>
              <w:bottom w:val="nil" w:sz="6" w:space="0" w:color="auto"/>
              <w:right w:val="nil" w:sz="6" w:space="0" w:color="auto"/>
            </w:tcBorders>
            <w:shd w:val="clear" w:color="auto" w:fill="DEEAF6"/>
          </w:tcPr>
          <w:p>
            <w:pPr/>
          </w:p>
        </w:tc>
      </w:tr>
      <w:tr>
        <w:trPr>
          <w:trHeight w:val="322" w:hRule="exact"/>
        </w:trPr>
        <w:tc>
          <w:tcPr>
            <w:tcW w:w="1220" w:type="dxa"/>
            <w:vMerge/>
            <w:tcBorders>
              <w:left w:val="nil" w:sz="6" w:space="0" w:color="auto"/>
              <w:bottom w:val="single" w:sz="4" w:space="0" w:color="5B9BD4"/>
              <w:right w:val="nil" w:sz="6" w:space="0" w:color="auto"/>
            </w:tcBorders>
            <w:shd w:val="clear" w:color="auto" w:fill="DEEAF6"/>
          </w:tcPr>
          <w:p>
            <w:pPr/>
          </w:p>
        </w:tc>
        <w:tc>
          <w:tcPr>
            <w:tcW w:w="1208" w:type="dxa"/>
            <w:vMerge/>
            <w:tcBorders>
              <w:left w:val="single" w:sz="12" w:space="0" w:color="DEEAF6"/>
              <w:bottom w:val="single" w:sz="4" w:space="0" w:color="5B9BD4"/>
              <w:right w:val="nil" w:sz="6" w:space="0" w:color="auto"/>
            </w:tcBorders>
          </w:tcPr>
          <w:p>
            <w:pPr/>
          </w:p>
        </w:tc>
        <w:tc>
          <w:tcPr>
            <w:tcW w:w="805" w:type="dxa"/>
            <w:tcBorders>
              <w:top w:val="nil" w:sz="6" w:space="0" w:color="auto"/>
              <w:left w:val="nil" w:sz="6" w:space="0" w:color="auto"/>
              <w:bottom w:val="single" w:sz="4" w:space="0" w:color="5B9BD4"/>
              <w:right w:val="nil" w:sz="6" w:space="0" w:color="auto"/>
            </w:tcBorders>
            <w:shd w:val="clear" w:color="auto" w:fill="DEEAF6"/>
          </w:tcPr>
          <w:p>
            <w:pPr/>
          </w:p>
        </w:tc>
        <w:tc>
          <w:tcPr>
            <w:tcW w:w="1216" w:type="dxa"/>
            <w:gridSpan w:val="2"/>
            <w:vMerge/>
            <w:tcBorders>
              <w:left w:val="nil" w:sz="6" w:space="0" w:color="auto"/>
              <w:bottom w:val="single" w:sz="4" w:space="0" w:color="5B9BD4"/>
              <w:right w:val="nil" w:sz="6" w:space="0" w:color="auto"/>
            </w:tcBorders>
          </w:tcPr>
          <w:p>
            <w:pPr/>
          </w:p>
        </w:tc>
        <w:tc>
          <w:tcPr>
            <w:tcW w:w="1095" w:type="dxa"/>
            <w:gridSpan w:val="2"/>
            <w:tcBorders>
              <w:top w:val="nil" w:sz="6" w:space="0" w:color="auto"/>
              <w:left w:val="nil" w:sz="6" w:space="0" w:color="auto"/>
              <w:bottom w:val="single" w:sz="4" w:space="0" w:color="5B9BD4"/>
              <w:right w:val="nil" w:sz="6" w:space="0" w:color="auto"/>
            </w:tcBorders>
            <w:shd w:val="clear" w:color="auto" w:fill="DEEAF6"/>
          </w:tcPr>
          <w:p>
            <w:pPr/>
          </w:p>
        </w:tc>
        <w:tc>
          <w:tcPr>
            <w:tcW w:w="1106" w:type="dxa"/>
            <w:gridSpan w:val="2"/>
            <w:vMerge/>
            <w:tcBorders>
              <w:left w:val="nil" w:sz="6" w:space="0" w:color="auto"/>
              <w:bottom w:val="single" w:sz="4" w:space="0" w:color="5B9BD4"/>
              <w:right w:val="nil" w:sz="6" w:space="0" w:color="auto"/>
            </w:tcBorders>
          </w:tcPr>
          <w:p>
            <w:pPr/>
          </w:p>
        </w:tc>
        <w:tc>
          <w:tcPr>
            <w:tcW w:w="1120" w:type="dxa"/>
            <w:gridSpan w:val="2"/>
            <w:tcBorders>
              <w:top w:val="nil" w:sz="6" w:space="0" w:color="auto"/>
              <w:left w:val="nil" w:sz="6" w:space="0" w:color="auto"/>
              <w:bottom w:val="single" w:sz="4" w:space="0" w:color="5B9BD4"/>
              <w:right w:val="nil" w:sz="6" w:space="0" w:color="auto"/>
            </w:tcBorders>
            <w:shd w:val="clear" w:color="auto" w:fill="DEEAF6"/>
          </w:tcPr>
          <w:p>
            <w:pPr/>
          </w:p>
        </w:tc>
        <w:tc>
          <w:tcPr>
            <w:tcW w:w="864" w:type="dxa"/>
            <w:vMerge/>
            <w:tcBorders>
              <w:left w:val="nil" w:sz="6" w:space="0" w:color="auto"/>
              <w:bottom w:val="single" w:sz="4" w:space="0" w:color="5B9BD4"/>
              <w:right w:val="nil" w:sz="6" w:space="0" w:color="auto"/>
            </w:tcBorders>
          </w:tcPr>
          <w:p>
            <w:pPr/>
          </w:p>
        </w:tc>
        <w:tc>
          <w:tcPr>
            <w:tcW w:w="978" w:type="dxa"/>
            <w:tcBorders>
              <w:top w:val="nil" w:sz="6" w:space="0" w:color="auto"/>
              <w:left w:val="nil" w:sz="6" w:space="0" w:color="auto"/>
              <w:bottom w:val="single" w:sz="4" w:space="0" w:color="5B9BD4"/>
              <w:right w:val="nil" w:sz="6" w:space="0" w:color="auto"/>
            </w:tcBorders>
            <w:shd w:val="clear" w:color="auto" w:fill="DEEAF6"/>
          </w:tcPr>
          <w:p>
            <w:pPr/>
          </w:p>
        </w:tc>
      </w:tr>
      <w:tr>
        <w:trPr>
          <w:trHeight w:val="136" w:hRule="exact"/>
        </w:trPr>
        <w:tc>
          <w:tcPr>
            <w:tcW w:w="2428" w:type="dxa"/>
            <w:gridSpan w:val="2"/>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1"/>
              <w:ind w:left="13" w:right="73"/>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7"/>
                <w:sz w:val="18"/>
                <w:szCs w:val="18"/>
              </w:rPr>
              <w:t> </w:t>
            </w:r>
            <w:r>
              <w:rPr>
                <w:rFonts w:ascii="Arial" w:hAnsi="Arial" w:cs="Arial" w:eastAsia="Arial" w:hint="default"/>
                <w:sz w:val="18"/>
                <w:szCs w:val="18"/>
              </w:rPr>
              <w:t>10</w:t>
            </w:r>
            <w:r>
              <w:rPr>
                <w:rFonts w:ascii="Arial" w:hAnsi="Arial" w:cs="Arial" w:eastAsia="Arial" w:hint="default"/>
                <w:spacing w:val="-6"/>
                <w:sz w:val="18"/>
                <w:szCs w:val="18"/>
              </w:rPr>
              <w:t> </w:t>
            </w:r>
            <w:r>
              <w:rPr>
                <w:rFonts w:ascii="宋体" w:hAnsi="宋体" w:cs="宋体" w:eastAsia="宋体" w:hint="default"/>
                <w:sz w:val="18"/>
                <w:szCs w:val="18"/>
              </w:rPr>
              <w:t>名股东的情况</w:t>
            </w:r>
          </w:p>
        </w:tc>
        <w:tc>
          <w:tcPr>
            <w:tcW w:w="7185" w:type="dxa"/>
            <w:gridSpan w:val="11"/>
            <w:tcBorders>
              <w:top w:val="single" w:sz="4" w:space="0" w:color="5B9BD4"/>
              <w:left w:val="nil" w:sz="6" w:space="0" w:color="auto"/>
              <w:bottom w:val="nil" w:sz="6" w:space="0" w:color="auto"/>
              <w:right w:val="nil" w:sz="6" w:space="0" w:color="auto"/>
            </w:tcBorders>
            <w:shd w:val="clear" w:color="auto" w:fill="DEEAF6"/>
          </w:tcPr>
          <w:p>
            <w:pPr/>
          </w:p>
        </w:tc>
      </w:tr>
      <w:tr>
        <w:trPr>
          <w:trHeight w:val="392" w:hRule="exact"/>
        </w:trPr>
        <w:tc>
          <w:tcPr>
            <w:tcW w:w="2428" w:type="dxa"/>
            <w:gridSpan w:val="2"/>
            <w:vMerge/>
            <w:tcBorders>
              <w:left w:val="nil" w:sz="6" w:space="0" w:color="auto"/>
              <w:right w:val="nil" w:sz="6" w:space="0" w:color="auto"/>
            </w:tcBorders>
            <w:shd w:val="clear" w:color="auto" w:fill="DEEAF6"/>
          </w:tcPr>
          <w:p>
            <w:pPr/>
          </w:p>
        </w:tc>
        <w:tc>
          <w:tcPr>
            <w:tcW w:w="7185" w:type="dxa"/>
            <w:gridSpan w:val="11"/>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3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41" w:hRule="exact"/>
        </w:trPr>
        <w:tc>
          <w:tcPr>
            <w:tcW w:w="2428" w:type="dxa"/>
            <w:gridSpan w:val="2"/>
            <w:vMerge/>
            <w:tcBorders>
              <w:left w:val="nil" w:sz="6" w:space="0" w:color="auto"/>
              <w:bottom w:val="single" w:sz="4" w:space="0" w:color="5B9BD4"/>
              <w:right w:val="nil" w:sz="6" w:space="0" w:color="auto"/>
            </w:tcBorders>
            <w:shd w:val="clear" w:color="auto" w:fill="DEEAF6"/>
          </w:tcPr>
          <w:p>
            <w:pPr/>
          </w:p>
        </w:tc>
        <w:tc>
          <w:tcPr>
            <w:tcW w:w="7185" w:type="dxa"/>
            <w:gridSpan w:val="11"/>
            <w:tcBorders>
              <w:top w:val="nil" w:sz="6" w:space="0" w:color="auto"/>
              <w:left w:val="nil" w:sz="6" w:space="0" w:color="auto"/>
              <w:bottom w:val="single" w:sz="4" w:space="0" w:color="5B9BD4"/>
              <w:right w:val="nil" w:sz="6" w:space="0" w:color="auto"/>
            </w:tcBorders>
            <w:shd w:val="clear" w:color="auto" w:fill="DEEAF6"/>
          </w:tcPr>
          <w:p>
            <w:pPr/>
          </w:p>
        </w:tc>
      </w:tr>
    </w:tbl>
    <w:p>
      <w:pPr>
        <w:spacing w:after="0"/>
        <w:sectPr>
          <w:pgSz w:w="11910" w:h="16840"/>
          <w:pgMar w:header="877" w:footer="979" w:top="1100" w:bottom="1160" w:left="980" w:right="0"/>
        </w:sectPr>
      </w:pPr>
    </w:p>
    <w:p>
      <w:pPr>
        <w:spacing w:line="240" w:lineRule="auto" w:before="0"/>
        <w:rPr>
          <w:rFonts w:ascii="宋体" w:hAnsi="宋体" w:cs="宋体" w:eastAsia="宋体" w:hint="default"/>
          <w:sz w:val="20"/>
          <w:szCs w:val="20"/>
        </w:rPr>
      </w:pPr>
      <w:r>
        <w:rPr/>
        <w:pict>
          <v:shape style="position:absolute;margin-left:57.150002pt;margin-top:71.999985pt;width:481.7pt;height:689.5pt;mso-position-horizontal-relative:page;mso-position-vertical-relative:page;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38"/>
                    <w:gridCol w:w="422"/>
                    <w:gridCol w:w="4012"/>
                    <w:gridCol w:w="1322"/>
                    <w:gridCol w:w="1426"/>
                  </w:tblGrid>
                  <w:tr>
                    <w:trPr>
                      <w:trHeight w:val="362" w:hRule="exact"/>
                    </w:trPr>
                    <w:tc>
                      <w:tcPr>
                        <w:tcW w:w="243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left="13"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Arial" w:hAnsi="Arial" w:cs="Arial" w:eastAsia="Arial" w:hint="default"/>
                            <w:spacing w:val="-1"/>
                            <w:w w:val="99"/>
                            <w:sz w:val="18"/>
                            <w:szCs w:val="18"/>
                          </w:rPr>
                          <w:t>3</w:t>
                        </w:r>
                        <w:r>
                          <w:rPr>
                            <w:rFonts w:ascii="宋体" w:hAnsi="宋体" w:cs="宋体" w:eastAsia="宋体" w:hint="default"/>
                            <w:sz w:val="18"/>
                            <w:szCs w:val="18"/>
                          </w:rPr>
                          <w:t>）</w:t>
                        </w:r>
                      </w:p>
                    </w:tc>
                    <w:tc>
                      <w:tcPr>
                        <w:tcW w:w="7181" w:type="dxa"/>
                        <w:gridSpan w:val="4"/>
                        <w:tcBorders>
                          <w:top w:val="single" w:sz="4" w:space="0" w:color="5B9BD4"/>
                          <w:left w:val="nil" w:sz="6" w:space="0" w:color="auto"/>
                          <w:bottom w:val="single" w:sz="4" w:space="0" w:color="5B9BD4"/>
                          <w:right w:val="nil" w:sz="6" w:space="0" w:color="auto"/>
                        </w:tcBorders>
                        <w:shd w:val="clear" w:color="auto" w:fill="DEEAF6"/>
                      </w:tcPr>
                      <w:p>
                        <w:pPr/>
                      </w:p>
                    </w:tc>
                  </w:tr>
                  <w:tr>
                    <w:trPr>
                      <w:trHeight w:val="1293" w:hRule="exact"/>
                    </w:trPr>
                    <w:tc>
                      <w:tcPr>
                        <w:tcW w:w="2438" w:type="dxa"/>
                        <w:tcBorders>
                          <w:top w:val="single" w:sz="4" w:space="0" w:color="5B9BD4"/>
                          <w:left w:val="nil" w:sz="6" w:space="0" w:color="auto"/>
                          <w:bottom w:val="nil" w:sz="6" w:space="0" w:color="auto"/>
                          <w:right w:val="nil" w:sz="6" w:space="0" w:color="auto"/>
                        </w:tcBorders>
                        <w:shd w:val="clear" w:color="auto" w:fill="DEEAF6"/>
                      </w:tcPr>
                      <w:p>
                        <w:pPr/>
                      </w:p>
                    </w:tc>
                    <w:tc>
                      <w:tcPr>
                        <w:tcW w:w="7181" w:type="dxa"/>
                        <w:gridSpan w:val="4"/>
                        <w:vMerge w:val="restart"/>
                        <w:tcBorders>
                          <w:top w:val="single" w:sz="4" w:space="0" w:color="5B9BD4"/>
                          <w:left w:val="nil" w:sz="6" w:space="0" w:color="auto"/>
                          <w:right w:val="nil" w:sz="6" w:space="0" w:color="auto"/>
                        </w:tcBorders>
                      </w:tcPr>
                      <w:p>
                        <w:pPr>
                          <w:pStyle w:val="TableParagraph"/>
                          <w:spacing w:line="307" w:lineRule="auto" w:before="46"/>
                          <w:ind w:left="28" w:right="19"/>
                          <w:jc w:val="both"/>
                          <w:rPr>
                            <w:rFonts w:ascii="宋体" w:hAnsi="宋体" w:cs="宋体" w:eastAsia="宋体" w:hint="default"/>
                            <w:sz w:val="18"/>
                            <w:szCs w:val="18"/>
                          </w:rPr>
                        </w:pPr>
                        <w:r>
                          <w:rPr>
                            <w:rFonts w:ascii="Arial" w:hAnsi="Arial" w:cs="Arial" w:eastAsia="Arial" w:hint="default"/>
                            <w:w w:val="95"/>
                            <w:sz w:val="18"/>
                            <w:szCs w:val="18"/>
                          </w:rPr>
                          <w:t>1</w:t>
                        </w:r>
                        <w:r>
                          <w:rPr>
                            <w:rFonts w:ascii="宋体" w:hAnsi="宋体" w:cs="宋体" w:eastAsia="宋体" w:hint="default"/>
                            <w:w w:val="95"/>
                            <w:sz w:val="18"/>
                            <w:szCs w:val="18"/>
                          </w:rPr>
                          <w:t>、黄绍武先生持有深圳市神州通投资集团有限公司 </w:t>
                        </w:r>
                        <w:r>
                          <w:rPr>
                            <w:rFonts w:ascii="Arial" w:hAnsi="Arial" w:cs="Arial" w:eastAsia="Arial" w:hint="default"/>
                            <w:spacing w:val="-3"/>
                            <w:w w:val="95"/>
                            <w:sz w:val="18"/>
                            <w:szCs w:val="18"/>
                          </w:rPr>
                          <w:t>66.37%</w:t>
                        </w:r>
                        <w:r>
                          <w:rPr>
                            <w:rFonts w:ascii="宋体" w:hAnsi="宋体" w:cs="宋体" w:eastAsia="宋体" w:hint="default"/>
                            <w:spacing w:val="-3"/>
                            <w:w w:val="95"/>
                            <w:sz w:val="18"/>
                            <w:szCs w:val="18"/>
                          </w:rPr>
                          <w:t>的股权，并持有深圳市全球星投</w:t>
                        </w:r>
                        <w:r>
                          <w:rPr>
                            <w:rFonts w:ascii="宋体" w:hAnsi="宋体" w:cs="宋体" w:eastAsia="宋体" w:hint="default"/>
                            <w:spacing w:val="-70"/>
                            <w:w w:val="95"/>
                            <w:sz w:val="18"/>
                            <w:szCs w:val="18"/>
                          </w:rPr>
                          <w:t> </w:t>
                        </w:r>
                        <w:r>
                          <w:rPr>
                            <w:rFonts w:ascii="宋体" w:hAnsi="宋体" w:cs="宋体" w:eastAsia="宋体" w:hint="default"/>
                            <w:spacing w:val="-70"/>
                            <w:w w:val="95"/>
                            <w:sz w:val="18"/>
                            <w:szCs w:val="18"/>
                          </w:rPr>
                        </w:r>
                        <w:r>
                          <w:rPr>
                            <w:rFonts w:ascii="宋体" w:hAnsi="宋体" w:cs="宋体" w:eastAsia="宋体" w:hint="default"/>
                            <w:sz w:val="18"/>
                            <w:szCs w:val="18"/>
                          </w:rPr>
                          <w:t>资管理有限公司</w:t>
                        </w:r>
                        <w:r>
                          <w:rPr>
                            <w:rFonts w:ascii="宋体" w:hAnsi="宋体" w:cs="宋体" w:eastAsia="宋体" w:hint="default"/>
                            <w:spacing w:val="-61"/>
                            <w:sz w:val="18"/>
                            <w:szCs w:val="18"/>
                          </w:rPr>
                          <w:t> </w:t>
                        </w:r>
                        <w:r>
                          <w:rPr>
                            <w:rFonts w:ascii="Arial" w:hAnsi="Arial" w:cs="Arial" w:eastAsia="Arial" w:hint="default"/>
                            <w:sz w:val="18"/>
                            <w:szCs w:val="18"/>
                          </w:rPr>
                          <w:t>66.37%</w:t>
                        </w:r>
                        <w:r>
                          <w:rPr>
                            <w:rFonts w:ascii="宋体" w:hAnsi="宋体" w:cs="宋体" w:eastAsia="宋体" w:hint="default"/>
                            <w:sz w:val="18"/>
                            <w:szCs w:val="18"/>
                          </w:rPr>
                          <w:t>的股权，新余全球星投资管理有限公司为深圳市全球星投资管理有 </w:t>
                        </w:r>
                        <w:r>
                          <w:rPr>
                            <w:rFonts w:ascii="宋体" w:hAnsi="宋体" w:cs="宋体" w:eastAsia="宋体" w:hint="default"/>
                            <w:spacing w:val="-2"/>
                            <w:sz w:val="18"/>
                            <w:szCs w:val="18"/>
                          </w:rPr>
                          <w:t>限公司的全资子公司。黄绍武先生与深圳市神州通投资集团有限公司、深圳市全球星投资管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理有限公司、新余全球星投资管理有限公司构成关联股东的关系。</w:t>
                        </w:r>
                      </w:p>
                      <w:p>
                        <w:pPr>
                          <w:pStyle w:val="TableParagraph"/>
                          <w:spacing w:line="312" w:lineRule="auto" w:before="65"/>
                          <w:ind w:left="28" w:right="19"/>
                          <w:jc w:val="both"/>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、黄文辉先生为深圳市神州通投资集团有限公司的董事、深圳市全球星投资管理有限公司 </w:t>
                        </w:r>
                        <w:r>
                          <w:rPr>
                            <w:rFonts w:ascii="宋体" w:hAnsi="宋体" w:cs="宋体" w:eastAsia="宋体" w:hint="default"/>
                            <w:spacing w:val="-2"/>
                            <w:sz w:val="18"/>
                            <w:szCs w:val="18"/>
                          </w:rPr>
                          <w:t>董事，新余全球星投资管理有限公司为深圳市全球星投资管理有限公司的全资子公司。黄文</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辉先生与深圳市神州通投资集团有限公司、深圳市全球星投资管理有限公司、新余全球星投</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资管理有限公司构成关联关系。</w:t>
                        </w:r>
                      </w:p>
                      <w:p>
                        <w:pPr>
                          <w:pStyle w:val="TableParagraph"/>
                          <w:spacing w:line="302" w:lineRule="auto" w:before="61"/>
                          <w:ind w:left="28" w:right="18"/>
                          <w:jc w:val="both"/>
                          <w:rPr>
                            <w:rFonts w:ascii="宋体" w:hAnsi="宋体" w:cs="宋体" w:eastAsia="宋体" w:hint="default"/>
                            <w:sz w:val="18"/>
                            <w:szCs w:val="18"/>
                          </w:rPr>
                        </w:pPr>
                        <w:r>
                          <w:rPr>
                            <w:rFonts w:ascii="Arial" w:hAnsi="Arial" w:cs="Arial" w:eastAsia="Arial" w:hint="default"/>
                            <w:spacing w:val="-5"/>
                            <w:sz w:val="18"/>
                            <w:szCs w:val="18"/>
                          </w:rPr>
                          <w:t>3</w:t>
                        </w:r>
                        <w:r>
                          <w:rPr>
                            <w:rFonts w:ascii="宋体" w:hAnsi="宋体" w:cs="宋体" w:eastAsia="宋体" w:hint="default"/>
                            <w:spacing w:val="-5"/>
                            <w:sz w:val="18"/>
                            <w:szCs w:val="18"/>
                          </w:rPr>
                          <w:t>、未知公司前</w:t>
                        </w:r>
                        <w:r>
                          <w:rPr>
                            <w:rFonts w:ascii="宋体" w:hAnsi="宋体" w:cs="宋体" w:eastAsia="宋体" w:hint="default"/>
                            <w:spacing w:val="-44"/>
                            <w:sz w:val="18"/>
                            <w:szCs w:val="18"/>
                          </w:rPr>
                          <w:t> </w:t>
                        </w:r>
                        <w:r>
                          <w:rPr>
                            <w:rFonts w:ascii="Arial" w:hAnsi="Arial" w:cs="Arial" w:eastAsia="Arial" w:hint="default"/>
                            <w:sz w:val="18"/>
                            <w:szCs w:val="18"/>
                          </w:rPr>
                          <w:t>10</w:t>
                        </w:r>
                        <w:r>
                          <w:rPr>
                            <w:rFonts w:ascii="Arial" w:hAnsi="Arial" w:cs="Arial" w:eastAsia="Arial" w:hint="default"/>
                            <w:spacing w:val="-6"/>
                            <w:sz w:val="18"/>
                            <w:szCs w:val="18"/>
                          </w:rPr>
                          <w:t> </w:t>
                        </w:r>
                        <w:r>
                          <w:rPr>
                            <w:rFonts w:ascii="宋体" w:hAnsi="宋体" w:cs="宋体" w:eastAsia="宋体" w:hint="default"/>
                            <w:sz w:val="18"/>
                            <w:szCs w:val="18"/>
                          </w:rPr>
                          <w:t>名无限售条件股东中其他股东之间及其与前</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6"/>
                            <w:sz w:val="18"/>
                            <w:szCs w:val="18"/>
                          </w:rPr>
                          <w:t> </w:t>
                        </w:r>
                        <w:r>
                          <w:rPr>
                            <w:rFonts w:ascii="宋体" w:hAnsi="宋体" w:cs="宋体" w:eastAsia="宋体" w:hint="default"/>
                            <w:sz w:val="18"/>
                            <w:szCs w:val="18"/>
                          </w:rPr>
                          <w:t>名股东之间是否存在关联 关系，也未知是否存在《上市公司收购管理办法》中规定的一致行动人的情况。</w:t>
                        </w:r>
                      </w:p>
                    </w:tc>
                  </w:tr>
                  <w:tr>
                    <w:trPr>
                      <w:trHeight w:val="704" w:hRule="exact"/>
                    </w:trPr>
                    <w:tc>
                      <w:tcPr>
                        <w:tcW w:w="2438" w:type="dxa"/>
                        <w:tcBorders>
                          <w:top w:val="nil" w:sz="6" w:space="0" w:color="auto"/>
                          <w:left w:val="nil" w:sz="6" w:space="0" w:color="auto"/>
                          <w:bottom w:val="nil" w:sz="6" w:space="0" w:color="auto"/>
                          <w:right w:val="nil" w:sz="6" w:space="0" w:color="auto"/>
                        </w:tcBorders>
                        <w:shd w:val="clear" w:color="auto" w:fill="DEEAF6"/>
                      </w:tcPr>
                      <w:p>
                        <w:pPr>
                          <w:pStyle w:val="TableParagraph"/>
                          <w:spacing w:line="319" w:lineRule="auto" w:before="46"/>
                          <w:ind w:left="13" w:right="82"/>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81" w:type="dxa"/>
                        <w:gridSpan w:val="4"/>
                        <w:vMerge/>
                        <w:tcBorders>
                          <w:left w:val="nil" w:sz="6" w:space="0" w:color="auto"/>
                          <w:right w:val="nil" w:sz="6" w:space="0" w:color="auto"/>
                        </w:tcBorders>
                      </w:tcPr>
                      <w:p>
                        <w:pPr/>
                      </w:p>
                    </w:tc>
                  </w:tr>
                  <w:tr>
                    <w:trPr>
                      <w:trHeight w:val="1293" w:hRule="exact"/>
                    </w:trPr>
                    <w:tc>
                      <w:tcPr>
                        <w:tcW w:w="2438" w:type="dxa"/>
                        <w:tcBorders>
                          <w:top w:val="nil" w:sz="6" w:space="0" w:color="auto"/>
                          <w:left w:val="nil" w:sz="6" w:space="0" w:color="auto"/>
                          <w:bottom w:val="single" w:sz="4" w:space="0" w:color="5B9BD4"/>
                          <w:right w:val="nil" w:sz="6" w:space="0" w:color="auto"/>
                        </w:tcBorders>
                        <w:shd w:val="clear" w:color="auto" w:fill="DEEAF6"/>
                      </w:tcPr>
                      <w:p>
                        <w:pPr/>
                      </w:p>
                    </w:tc>
                    <w:tc>
                      <w:tcPr>
                        <w:tcW w:w="7181" w:type="dxa"/>
                        <w:gridSpan w:val="4"/>
                        <w:vMerge/>
                        <w:tcBorders>
                          <w:left w:val="nil" w:sz="6" w:space="0" w:color="auto"/>
                          <w:bottom w:val="single" w:sz="4" w:space="0" w:color="5B9BD4"/>
                          <w:right w:val="nil" w:sz="6" w:space="0" w:color="auto"/>
                        </w:tcBorders>
                      </w:tcPr>
                      <w:p>
                        <w:pPr/>
                      </w:p>
                    </w:tc>
                  </w:tr>
                  <w:tr>
                    <w:trPr>
                      <w:trHeight w:val="402" w:hRule="exact"/>
                    </w:trPr>
                    <w:tc>
                      <w:tcPr>
                        <w:tcW w:w="9620" w:type="dxa"/>
                        <w:gridSpan w:val="5"/>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 w:right="6"/>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7"/>
                            <w:sz w:val="18"/>
                            <w:szCs w:val="18"/>
                          </w:rPr>
                          <w:t> </w:t>
                        </w:r>
                        <w:r>
                          <w:rPr>
                            <w:rFonts w:ascii="Arial" w:hAnsi="Arial" w:cs="Arial" w:eastAsia="Arial" w:hint="default"/>
                            <w:sz w:val="18"/>
                            <w:szCs w:val="18"/>
                          </w:rPr>
                          <w:t>10</w:t>
                        </w:r>
                        <w:r>
                          <w:rPr>
                            <w:rFonts w:ascii="Arial" w:hAnsi="Arial" w:cs="Arial" w:eastAsia="Arial" w:hint="default"/>
                            <w:spacing w:val="-7"/>
                            <w:sz w:val="18"/>
                            <w:szCs w:val="18"/>
                          </w:rPr>
                          <w:t> </w:t>
                        </w:r>
                        <w:r>
                          <w:rPr>
                            <w:rFonts w:ascii="宋体" w:hAnsi="宋体" w:cs="宋体" w:eastAsia="宋体" w:hint="default"/>
                            <w:sz w:val="18"/>
                            <w:szCs w:val="18"/>
                          </w:rPr>
                          <w:t>名无限售条件股东持股情况</w:t>
                        </w:r>
                      </w:p>
                    </w:tc>
                  </w:tr>
                  <w:tr>
                    <w:trPr>
                      <w:trHeight w:val="206" w:hRule="exact"/>
                    </w:trPr>
                    <w:tc>
                      <w:tcPr>
                        <w:tcW w:w="6872" w:type="dxa"/>
                        <w:gridSpan w:val="3"/>
                        <w:tcBorders>
                          <w:top w:val="single" w:sz="4" w:space="0" w:color="5B9BD4"/>
                          <w:left w:val="nil" w:sz="6" w:space="0" w:color="auto"/>
                          <w:bottom w:val="nil" w:sz="6" w:space="0" w:color="auto"/>
                          <w:right w:val="nil" w:sz="6" w:space="0" w:color="auto"/>
                        </w:tcBorders>
                        <w:shd w:val="clear" w:color="auto" w:fill="DEEAF6"/>
                      </w:tcPr>
                      <w:p>
                        <w:pPr/>
                      </w:p>
                    </w:tc>
                    <w:tc>
                      <w:tcPr>
                        <w:tcW w:w="2748" w:type="dxa"/>
                        <w:gridSpan w:val="2"/>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47"/>
                          <w:ind w:right="5"/>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60" w:type="dxa"/>
                        <w:gridSpan w:val="2"/>
                        <w:vMerge w:val="restart"/>
                        <w:tcBorders>
                          <w:top w:val="nil" w:sz="6" w:space="0" w:color="auto"/>
                          <w:left w:val="nil" w:sz="6" w:space="0" w:color="auto"/>
                          <w:right w:val="nil" w:sz="6" w:space="0" w:color="auto"/>
                        </w:tcBorders>
                        <w:shd w:val="clear" w:color="auto" w:fill="DEEAF6"/>
                      </w:tcPr>
                      <w:p>
                        <w:pPr>
                          <w:pStyle w:val="TableParagraph"/>
                          <w:spacing w:line="240" w:lineRule="auto" w:before="46"/>
                          <w:ind w:right="5"/>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012" w:type="dxa"/>
                        <w:vMerge w:val="restart"/>
                        <w:tcBorders>
                          <w:top w:val="nil" w:sz="6" w:space="0" w:color="auto"/>
                          <w:left w:val="nil" w:sz="6" w:space="0" w:color="auto"/>
                          <w:right w:val="nil" w:sz="6" w:space="0" w:color="auto"/>
                        </w:tcBorders>
                        <w:shd w:val="clear" w:color="auto" w:fill="DEEAF6"/>
                      </w:tcPr>
                      <w:p>
                        <w:pPr>
                          <w:pStyle w:val="TableParagraph"/>
                          <w:spacing w:line="240" w:lineRule="auto" w:before="46"/>
                          <w:ind w:left="651"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48" w:type="dxa"/>
                        <w:gridSpan w:val="2"/>
                        <w:vMerge/>
                        <w:tcBorders>
                          <w:left w:val="nil" w:sz="6" w:space="0" w:color="auto"/>
                          <w:bottom w:val="single" w:sz="4" w:space="0" w:color="5B9BD4"/>
                          <w:right w:val="nil" w:sz="6" w:space="0" w:color="auto"/>
                        </w:tcBorders>
                        <w:shd w:val="clear" w:color="auto" w:fill="DEEAF6"/>
                      </w:tcPr>
                      <w:p>
                        <w:pPr/>
                      </w:p>
                    </w:tc>
                  </w:tr>
                  <w:tr>
                    <w:trPr>
                      <w:trHeight w:val="202" w:hRule="exact"/>
                    </w:trPr>
                    <w:tc>
                      <w:tcPr>
                        <w:tcW w:w="2860" w:type="dxa"/>
                        <w:gridSpan w:val="2"/>
                        <w:vMerge/>
                        <w:tcBorders>
                          <w:left w:val="nil" w:sz="6" w:space="0" w:color="auto"/>
                          <w:bottom w:val="nil" w:sz="6" w:space="0" w:color="auto"/>
                          <w:right w:val="nil" w:sz="6" w:space="0" w:color="auto"/>
                        </w:tcBorders>
                        <w:shd w:val="clear" w:color="auto" w:fill="DEEAF6"/>
                      </w:tcPr>
                      <w:p>
                        <w:pPr/>
                      </w:p>
                    </w:tc>
                    <w:tc>
                      <w:tcPr>
                        <w:tcW w:w="4012" w:type="dxa"/>
                        <w:vMerge/>
                        <w:tcBorders>
                          <w:left w:val="nil" w:sz="6" w:space="0" w:color="auto"/>
                          <w:bottom w:val="nil" w:sz="6" w:space="0" w:color="auto"/>
                          <w:right w:val="nil" w:sz="6" w:space="0" w:color="auto"/>
                        </w:tcBorders>
                        <w:shd w:val="clear" w:color="auto" w:fill="DEEAF6"/>
                      </w:tcPr>
                      <w:p>
                        <w:pPr/>
                      </w:p>
                    </w:tc>
                    <w:tc>
                      <w:tcPr>
                        <w:tcW w:w="1322"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52"/>
                          <w:ind w:left="29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426"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52"/>
                          <w:ind w:left="20"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5" w:hRule="exact"/>
                    </w:trPr>
                    <w:tc>
                      <w:tcPr>
                        <w:tcW w:w="6872" w:type="dxa"/>
                        <w:gridSpan w:val="3"/>
                        <w:tcBorders>
                          <w:top w:val="nil" w:sz="6" w:space="0" w:color="auto"/>
                          <w:left w:val="nil" w:sz="6" w:space="0" w:color="auto"/>
                          <w:bottom w:val="single" w:sz="4" w:space="0" w:color="5B9BD4"/>
                          <w:right w:val="nil" w:sz="6" w:space="0" w:color="auto"/>
                        </w:tcBorders>
                        <w:shd w:val="clear" w:color="auto" w:fill="DEEAF6"/>
                      </w:tcPr>
                      <w:p>
                        <w:pPr/>
                      </w:p>
                    </w:tc>
                    <w:tc>
                      <w:tcPr>
                        <w:tcW w:w="1322" w:type="dxa"/>
                        <w:vMerge/>
                        <w:tcBorders>
                          <w:left w:val="nil" w:sz="6" w:space="0" w:color="auto"/>
                          <w:bottom w:val="single" w:sz="4" w:space="0" w:color="5B9BD4"/>
                          <w:right w:val="nil" w:sz="6" w:space="0" w:color="auto"/>
                        </w:tcBorders>
                        <w:shd w:val="clear" w:color="auto" w:fill="DEEAF6"/>
                      </w:tcPr>
                      <w:p>
                        <w:pPr/>
                      </w:p>
                    </w:tc>
                    <w:tc>
                      <w:tcPr>
                        <w:tcW w:w="1426" w:type="dxa"/>
                        <w:vMerge/>
                        <w:tcBorders>
                          <w:left w:val="nil" w:sz="6" w:space="0" w:color="auto"/>
                          <w:bottom w:val="single" w:sz="4" w:space="0" w:color="5B9BD4"/>
                          <w:right w:val="nil" w:sz="6" w:space="0" w:color="auto"/>
                        </w:tcBorders>
                        <w:shd w:val="clear" w:color="auto" w:fill="DEEAF6"/>
                      </w:tcPr>
                      <w:p>
                        <w:pPr/>
                      </w:p>
                    </w:tc>
                  </w:tr>
                  <w:tr>
                    <w:trPr>
                      <w:trHeight w:val="402" w:hRule="exact"/>
                    </w:trPr>
                    <w:tc>
                      <w:tcPr>
                        <w:tcW w:w="2860"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深圳市神州通投资集团有限公司</w:t>
                        </w:r>
                      </w:p>
                    </w:tc>
                    <w:tc>
                      <w:tcPr>
                        <w:tcW w:w="4012"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89"/>
                          <w:ind w:right="26"/>
                          <w:jc w:val="right"/>
                          <w:rPr>
                            <w:rFonts w:ascii="Arial" w:hAnsi="Arial" w:cs="Arial" w:eastAsia="Arial" w:hint="default"/>
                            <w:sz w:val="18"/>
                            <w:szCs w:val="18"/>
                          </w:rPr>
                        </w:pPr>
                        <w:r>
                          <w:rPr>
                            <w:rFonts w:ascii="Arial"/>
                            <w:w w:val="95"/>
                            <w:sz w:val="18"/>
                          </w:rPr>
                          <w:t>562,203,586</w:t>
                        </w:r>
                        <w:r>
                          <w:rPr>
                            <w:rFonts w:ascii="Arial"/>
                            <w:sz w:val="18"/>
                          </w:rPr>
                        </w:r>
                      </w:p>
                    </w:tc>
                    <w:tc>
                      <w:tcPr>
                        <w:tcW w:w="132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26"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89"/>
                          <w:ind w:right="19"/>
                          <w:jc w:val="right"/>
                          <w:rPr>
                            <w:rFonts w:ascii="Arial" w:hAnsi="Arial" w:cs="Arial" w:eastAsia="Arial" w:hint="default"/>
                            <w:sz w:val="18"/>
                            <w:szCs w:val="18"/>
                          </w:rPr>
                        </w:pPr>
                        <w:r>
                          <w:rPr>
                            <w:rFonts w:ascii="Arial"/>
                            <w:w w:val="95"/>
                            <w:sz w:val="18"/>
                          </w:rPr>
                          <w:t>562,203,586</w:t>
                        </w:r>
                        <w:r>
                          <w:rPr>
                            <w:rFonts w:ascii="Arial"/>
                            <w:sz w:val="18"/>
                          </w:rPr>
                        </w:r>
                      </w:p>
                    </w:tc>
                  </w:tr>
                  <w:tr>
                    <w:trPr>
                      <w:trHeight w:val="402" w:hRule="exact"/>
                    </w:trPr>
                    <w:tc>
                      <w:tcPr>
                        <w:tcW w:w="2860"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深圳市全球星投资管理有限公司</w:t>
                        </w:r>
                      </w:p>
                    </w:tc>
                    <w:tc>
                      <w:tcPr>
                        <w:tcW w:w="4012"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89"/>
                          <w:ind w:right="26"/>
                          <w:jc w:val="right"/>
                          <w:rPr>
                            <w:rFonts w:ascii="Arial" w:hAnsi="Arial" w:cs="Arial" w:eastAsia="Arial" w:hint="default"/>
                            <w:sz w:val="18"/>
                            <w:szCs w:val="18"/>
                          </w:rPr>
                        </w:pPr>
                        <w:r>
                          <w:rPr>
                            <w:rFonts w:ascii="Arial"/>
                            <w:w w:val="95"/>
                            <w:sz w:val="18"/>
                          </w:rPr>
                          <w:t>101,500,000</w:t>
                        </w:r>
                        <w:r>
                          <w:rPr>
                            <w:rFonts w:ascii="Arial"/>
                            <w:sz w:val="18"/>
                          </w:rPr>
                        </w:r>
                      </w:p>
                    </w:tc>
                    <w:tc>
                      <w:tcPr>
                        <w:tcW w:w="132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26"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89"/>
                          <w:ind w:right="19"/>
                          <w:jc w:val="right"/>
                          <w:rPr>
                            <w:rFonts w:ascii="Arial" w:hAnsi="Arial" w:cs="Arial" w:eastAsia="Arial" w:hint="default"/>
                            <w:sz w:val="18"/>
                            <w:szCs w:val="18"/>
                          </w:rPr>
                        </w:pPr>
                        <w:r>
                          <w:rPr>
                            <w:rFonts w:ascii="Arial"/>
                            <w:w w:val="95"/>
                            <w:sz w:val="18"/>
                          </w:rPr>
                          <w:t>101,500,000</w:t>
                        </w:r>
                        <w:r>
                          <w:rPr>
                            <w:rFonts w:ascii="Arial"/>
                            <w:sz w:val="18"/>
                          </w:rPr>
                        </w:r>
                      </w:p>
                    </w:tc>
                  </w:tr>
                  <w:tr>
                    <w:trPr>
                      <w:trHeight w:val="402" w:hRule="exact"/>
                    </w:trPr>
                    <w:tc>
                      <w:tcPr>
                        <w:tcW w:w="2860"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新余全球星投资管理有限公司</w:t>
                        </w:r>
                      </w:p>
                    </w:tc>
                    <w:tc>
                      <w:tcPr>
                        <w:tcW w:w="4012"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89"/>
                          <w:ind w:right="26"/>
                          <w:jc w:val="right"/>
                          <w:rPr>
                            <w:rFonts w:ascii="Arial" w:hAnsi="Arial" w:cs="Arial" w:eastAsia="Arial" w:hint="default"/>
                            <w:sz w:val="18"/>
                            <w:szCs w:val="18"/>
                          </w:rPr>
                        </w:pPr>
                        <w:r>
                          <w:rPr>
                            <w:rFonts w:ascii="Arial"/>
                            <w:w w:val="95"/>
                            <w:sz w:val="18"/>
                          </w:rPr>
                          <w:t>92,800,000</w:t>
                        </w:r>
                        <w:r>
                          <w:rPr>
                            <w:rFonts w:ascii="Arial"/>
                            <w:sz w:val="18"/>
                          </w:rPr>
                        </w:r>
                      </w:p>
                    </w:tc>
                    <w:tc>
                      <w:tcPr>
                        <w:tcW w:w="132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26"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89"/>
                          <w:ind w:right="19"/>
                          <w:jc w:val="right"/>
                          <w:rPr>
                            <w:rFonts w:ascii="Arial" w:hAnsi="Arial" w:cs="Arial" w:eastAsia="Arial" w:hint="default"/>
                            <w:sz w:val="18"/>
                            <w:szCs w:val="18"/>
                          </w:rPr>
                        </w:pPr>
                        <w:r>
                          <w:rPr>
                            <w:rFonts w:ascii="Arial"/>
                            <w:w w:val="95"/>
                            <w:sz w:val="18"/>
                          </w:rPr>
                          <w:t>92,800,000</w:t>
                        </w:r>
                        <w:r>
                          <w:rPr>
                            <w:rFonts w:ascii="Arial"/>
                            <w:sz w:val="18"/>
                          </w:rPr>
                        </w:r>
                      </w:p>
                    </w:tc>
                  </w:tr>
                  <w:tr>
                    <w:trPr>
                      <w:trHeight w:val="402" w:hRule="exact"/>
                    </w:trPr>
                    <w:tc>
                      <w:tcPr>
                        <w:tcW w:w="2860"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杨小萍</w:t>
                        </w:r>
                      </w:p>
                    </w:tc>
                    <w:tc>
                      <w:tcPr>
                        <w:tcW w:w="4012"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89"/>
                          <w:ind w:right="26"/>
                          <w:jc w:val="right"/>
                          <w:rPr>
                            <w:rFonts w:ascii="Arial" w:hAnsi="Arial" w:cs="Arial" w:eastAsia="Arial" w:hint="default"/>
                            <w:sz w:val="18"/>
                            <w:szCs w:val="18"/>
                          </w:rPr>
                        </w:pPr>
                        <w:r>
                          <w:rPr>
                            <w:rFonts w:ascii="Arial"/>
                            <w:w w:val="95"/>
                            <w:sz w:val="18"/>
                          </w:rPr>
                          <w:t>9,394,300</w:t>
                        </w:r>
                        <w:r>
                          <w:rPr>
                            <w:rFonts w:ascii="Arial"/>
                            <w:sz w:val="18"/>
                          </w:rPr>
                        </w:r>
                      </w:p>
                    </w:tc>
                    <w:tc>
                      <w:tcPr>
                        <w:tcW w:w="132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26"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89"/>
                          <w:ind w:right="19"/>
                          <w:jc w:val="right"/>
                          <w:rPr>
                            <w:rFonts w:ascii="Arial" w:hAnsi="Arial" w:cs="Arial" w:eastAsia="Arial" w:hint="default"/>
                            <w:sz w:val="18"/>
                            <w:szCs w:val="18"/>
                          </w:rPr>
                        </w:pPr>
                        <w:r>
                          <w:rPr>
                            <w:rFonts w:ascii="Arial"/>
                            <w:w w:val="95"/>
                            <w:sz w:val="18"/>
                          </w:rPr>
                          <w:t>9,394,300</w:t>
                        </w:r>
                        <w:r>
                          <w:rPr>
                            <w:rFonts w:ascii="Arial"/>
                            <w:sz w:val="18"/>
                          </w:rPr>
                        </w:r>
                      </w:p>
                    </w:tc>
                  </w:tr>
                  <w:tr>
                    <w:trPr>
                      <w:trHeight w:val="402" w:hRule="exact"/>
                    </w:trPr>
                    <w:tc>
                      <w:tcPr>
                        <w:tcW w:w="2860"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莫凯文</w:t>
                        </w:r>
                      </w:p>
                    </w:tc>
                    <w:tc>
                      <w:tcPr>
                        <w:tcW w:w="4012"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89"/>
                          <w:ind w:right="26"/>
                          <w:jc w:val="right"/>
                          <w:rPr>
                            <w:rFonts w:ascii="Arial" w:hAnsi="Arial" w:cs="Arial" w:eastAsia="Arial" w:hint="default"/>
                            <w:sz w:val="18"/>
                            <w:szCs w:val="18"/>
                          </w:rPr>
                        </w:pPr>
                        <w:r>
                          <w:rPr>
                            <w:rFonts w:ascii="Arial"/>
                            <w:w w:val="95"/>
                            <w:sz w:val="18"/>
                          </w:rPr>
                          <w:t>5,750,000</w:t>
                        </w:r>
                        <w:r>
                          <w:rPr>
                            <w:rFonts w:ascii="Arial"/>
                            <w:sz w:val="18"/>
                          </w:rPr>
                        </w:r>
                      </w:p>
                    </w:tc>
                    <w:tc>
                      <w:tcPr>
                        <w:tcW w:w="132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26"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89"/>
                          <w:ind w:right="19"/>
                          <w:jc w:val="right"/>
                          <w:rPr>
                            <w:rFonts w:ascii="Arial" w:hAnsi="Arial" w:cs="Arial" w:eastAsia="Arial" w:hint="default"/>
                            <w:sz w:val="18"/>
                            <w:szCs w:val="18"/>
                          </w:rPr>
                        </w:pPr>
                        <w:r>
                          <w:rPr>
                            <w:rFonts w:ascii="Arial"/>
                            <w:w w:val="95"/>
                            <w:sz w:val="18"/>
                          </w:rPr>
                          <w:t>5,750,000</w:t>
                        </w:r>
                        <w:r>
                          <w:rPr>
                            <w:rFonts w:ascii="Arial"/>
                            <w:sz w:val="18"/>
                          </w:rPr>
                        </w:r>
                      </w:p>
                    </w:tc>
                  </w:tr>
                  <w:tr>
                    <w:trPr>
                      <w:trHeight w:val="402" w:hRule="exact"/>
                    </w:trPr>
                    <w:tc>
                      <w:tcPr>
                        <w:tcW w:w="2860"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8"/>
                          <w:ind w:left="13" w:right="0"/>
                          <w:jc w:val="left"/>
                          <w:rPr>
                            <w:rFonts w:ascii="宋体" w:hAnsi="宋体" w:cs="宋体" w:eastAsia="宋体" w:hint="default"/>
                            <w:sz w:val="18"/>
                            <w:szCs w:val="18"/>
                          </w:rPr>
                        </w:pPr>
                        <w:r>
                          <w:rPr>
                            <w:rFonts w:ascii="宋体" w:hAnsi="宋体" w:cs="宋体" w:eastAsia="宋体" w:hint="default"/>
                            <w:sz w:val="18"/>
                            <w:szCs w:val="18"/>
                          </w:rPr>
                          <w:t>史先龙</w:t>
                        </w:r>
                      </w:p>
                    </w:tc>
                    <w:tc>
                      <w:tcPr>
                        <w:tcW w:w="4012"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89"/>
                          <w:ind w:right="26"/>
                          <w:jc w:val="right"/>
                          <w:rPr>
                            <w:rFonts w:ascii="Arial" w:hAnsi="Arial" w:cs="Arial" w:eastAsia="Arial" w:hint="default"/>
                            <w:sz w:val="18"/>
                            <w:szCs w:val="18"/>
                          </w:rPr>
                        </w:pPr>
                        <w:r>
                          <w:rPr>
                            <w:rFonts w:ascii="Arial"/>
                            <w:w w:val="95"/>
                            <w:sz w:val="18"/>
                          </w:rPr>
                          <w:t>4,496,304</w:t>
                        </w:r>
                        <w:r>
                          <w:rPr>
                            <w:rFonts w:ascii="Arial"/>
                            <w:sz w:val="18"/>
                          </w:rPr>
                        </w:r>
                      </w:p>
                    </w:tc>
                    <w:tc>
                      <w:tcPr>
                        <w:tcW w:w="132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8"/>
                          <w:ind w:left="1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26"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89"/>
                          <w:ind w:right="19"/>
                          <w:jc w:val="right"/>
                          <w:rPr>
                            <w:rFonts w:ascii="Arial" w:hAnsi="Arial" w:cs="Arial" w:eastAsia="Arial" w:hint="default"/>
                            <w:sz w:val="18"/>
                            <w:szCs w:val="18"/>
                          </w:rPr>
                        </w:pPr>
                        <w:r>
                          <w:rPr>
                            <w:rFonts w:ascii="Arial"/>
                            <w:w w:val="95"/>
                            <w:sz w:val="18"/>
                          </w:rPr>
                          <w:t>4,496,304</w:t>
                        </w:r>
                        <w:r>
                          <w:rPr>
                            <w:rFonts w:ascii="Arial"/>
                            <w:sz w:val="18"/>
                          </w:rPr>
                        </w:r>
                      </w:p>
                    </w:tc>
                  </w:tr>
                  <w:tr>
                    <w:trPr>
                      <w:trHeight w:val="402" w:hRule="exact"/>
                    </w:trPr>
                    <w:tc>
                      <w:tcPr>
                        <w:tcW w:w="2860"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黄绍武</w:t>
                        </w:r>
                      </w:p>
                    </w:tc>
                    <w:tc>
                      <w:tcPr>
                        <w:tcW w:w="4012"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89"/>
                          <w:ind w:right="26"/>
                          <w:jc w:val="right"/>
                          <w:rPr>
                            <w:rFonts w:ascii="Arial" w:hAnsi="Arial" w:cs="Arial" w:eastAsia="Arial" w:hint="default"/>
                            <w:sz w:val="18"/>
                            <w:szCs w:val="18"/>
                          </w:rPr>
                        </w:pPr>
                        <w:r>
                          <w:rPr>
                            <w:rFonts w:ascii="Arial"/>
                            <w:w w:val="95"/>
                            <w:sz w:val="18"/>
                          </w:rPr>
                          <w:t>3,942,173</w:t>
                        </w:r>
                        <w:r>
                          <w:rPr>
                            <w:rFonts w:ascii="Arial"/>
                            <w:sz w:val="18"/>
                          </w:rPr>
                        </w:r>
                      </w:p>
                    </w:tc>
                    <w:tc>
                      <w:tcPr>
                        <w:tcW w:w="132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26"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89"/>
                          <w:ind w:right="19"/>
                          <w:jc w:val="right"/>
                          <w:rPr>
                            <w:rFonts w:ascii="Arial" w:hAnsi="Arial" w:cs="Arial" w:eastAsia="Arial" w:hint="default"/>
                            <w:sz w:val="18"/>
                            <w:szCs w:val="18"/>
                          </w:rPr>
                        </w:pPr>
                        <w:r>
                          <w:rPr>
                            <w:rFonts w:ascii="Arial"/>
                            <w:w w:val="95"/>
                            <w:sz w:val="18"/>
                          </w:rPr>
                          <w:t>3,942,173</w:t>
                        </w:r>
                        <w:r>
                          <w:rPr>
                            <w:rFonts w:ascii="Arial"/>
                            <w:sz w:val="18"/>
                          </w:rPr>
                        </w:r>
                      </w:p>
                    </w:tc>
                  </w:tr>
                  <w:tr>
                    <w:trPr>
                      <w:trHeight w:val="162" w:hRule="exact"/>
                    </w:trPr>
                    <w:tc>
                      <w:tcPr>
                        <w:tcW w:w="2860" w:type="dxa"/>
                        <w:gridSpan w:val="2"/>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7"/>
                          <w:ind w:left="13" w:right="144"/>
                          <w:jc w:val="left"/>
                          <w:rPr>
                            <w:rFonts w:ascii="宋体" w:hAnsi="宋体" w:cs="宋体" w:eastAsia="宋体" w:hint="default"/>
                            <w:sz w:val="18"/>
                            <w:szCs w:val="18"/>
                          </w:rPr>
                        </w:pPr>
                        <w:r>
                          <w:rPr>
                            <w:rFonts w:ascii="宋体" w:hAnsi="宋体" w:cs="宋体" w:eastAsia="宋体" w:hint="default"/>
                            <w:sz w:val="18"/>
                            <w:szCs w:val="18"/>
                          </w:rPr>
                          <w:t>海通证券股份有限公司约定购回专 用账户</w:t>
                        </w:r>
                      </w:p>
                    </w:tc>
                    <w:tc>
                      <w:tcPr>
                        <w:tcW w:w="4012" w:type="dxa"/>
                        <w:vMerge w:val="restart"/>
                        <w:tcBorders>
                          <w:top w:val="single" w:sz="4" w:space="0" w:color="5B9BD4"/>
                          <w:left w:val="single" w:sz="12" w:space="0" w:color="DEEAF6"/>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40"/>
                          <w:jc w:val="right"/>
                          <w:rPr>
                            <w:rFonts w:ascii="Arial" w:hAnsi="Arial" w:cs="Arial" w:eastAsia="Arial" w:hint="default"/>
                            <w:sz w:val="18"/>
                            <w:szCs w:val="18"/>
                          </w:rPr>
                        </w:pPr>
                        <w:r>
                          <w:rPr>
                            <w:rFonts w:ascii="Arial"/>
                            <w:w w:val="95"/>
                            <w:sz w:val="18"/>
                          </w:rPr>
                          <w:t>2,750,000</w:t>
                        </w:r>
                        <w:r>
                          <w:rPr>
                            <w:rFonts w:ascii="Arial"/>
                            <w:sz w:val="18"/>
                          </w:rPr>
                        </w:r>
                      </w:p>
                    </w:tc>
                    <w:tc>
                      <w:tcPr>
                        <w:tcW w:w="1322" w:type="dxa"/>
                        <w:tcBorders>
                          <w:top w:val="single" w:sz="4" w:space="0" w:color="5B9BD4"/>
                          <w:left w:val="nil" w:sz="6" w:space="0" w:color="auto"/>
                          <w:bottom w:val="nil" w:sz="6" w:space="0" w:color="auto"/>
                          <w:right w:val="nil" w:sz="6" w:space="0" w:color="auto"/>
                        </w:tcBorders>
                        <w:shd w:val="clear" w:color="auto" w:fill="DEEAF6"/>
                      </w:tcPr>
                      <w:p>
                        <w:pPr/>
                      </w:p>
                    </w:tc>
                    <w:tc>
                      <w:tcPr>
                        <w:tcW w:w="1426" w:type="dxa"/>
                        <w:vMerge w:val="restart"/>
                        <w:tcBorders>
                          <w:top w:val="single" w:sz="4" w:space="0" w:color="5B9BD4"/>
                          <w:left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06" w:right="0"/>
                          <w:jc w:val="left"/>
                          <w:rPr>
                            <w:rFonts w:ascii="Arial" w:hAnsi="Arial" w:cs="Arial" w:eastAsia="Arial" w:hint="default"/>
                            <w:sz w:val="18"/>
                            <w:szCs w:val="18"/>
                          </w:rPr>
                        </w:pPr>
                        <w:r>
                          <w:rPr>
                            <w:rFonts w:ascii="Arial"/>
                            <w:sz w:val="18"/>
                          </w:rPr>
                          <w:t>2,750,000</w:t>
                        </w:r>
                      </w:p>
                    </w:tc>
                  </w:tr>
                  <w:tr>
                    <w:trPr>
                      <w:trHeight w:val="391" w:hRule="exact"/>
                    </w:trPr>
                    <w:tc>
                      <w:tcPr>
                        <w:tcW w:w="2860" w:type="dxa"/>
                        <w:gridSpan w:val="2"/>
                        <w:vMerge/>
                        <w:tcBorders>
                          <w:left w:val="nil" w:sz="6" w:space="0" w:color="auto"/>
                          <w:right w:val="nil" w:sz="6" w:space="0" w:color="auto"/>
                        </w:tcBorders>
                        <w:shd w:val="clear" w:color="auto" w:fill="DEEAF6"/>
                      </w:tcPr>
                      <w:p>
                        <w:pPr/>
                      </w:p>
                    </w:tc>
                    <w:tc>
                      <w:tcPr>
                        <w:tcW w:w="4012" w:type="dxa"/>
                        <w:vMerge/>
                        <w:tcBorders>
                          <w:left w:val="single" w:sz="12" w:space="0" w:color="DEEAF6"/>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26" w:type="dxa"/>
                        <w:vMerge/>
                        <w:tcBorders>
                          <w:left w:val="nil" w:sz="6" w:space="0" w:color="auto"/>
                          <w:right w:val="nil" w:sz="6" w:space="0" w:color="auto"/>
                        </w:tcBorders>
                      </w:tcPr>
                      <w:p>
                        <w:pPr/>
                      </w:p>
                    </w:tc>
                  </w:tr>
                  <w:tr>
                    <w:trPr>
                      <w:trHeight w:val="161" w:hRule="exact"/>
                    </w:trPr>
                    <w:tc>
                      <w:tcPr>
                        <w:tcW w:w="2860" w:type="dxa"/>
                        <w:gridSpan w:val="2"/>
                        <w:vMerge/>
                        <w:tcBorders>
                          <w:left w:val="nil" w:sz="6" w:space="0" w:color="auto"/>
                          <w:bottom w:val="single" w:sz="4" w:space="0" w:color="5B9BD4"/>
                          <w:right w:val="nil" w:sz="6" w:space="0" w:color="auto"/>
                        </w:tcBorders>
                        <w:shd w:val="clear" w:color="auto" w:fill="DEEAF6"/>
                      </w:tcPr>
                      <w:p>
                        <w:pPr/>
                      </w:p>
                    </w:tc>
                    <w:tc>
                      <w:tcPr>
                        <w:tcW w:w="4012" w:type="dxa"/>
                        <w:vMerge/>
                        <w:tcBorders>
                          <w:left w:val="single" w:sz="12" w:space="0" w:color="DEEAF6"/>
                          <w:bottom w:val="single" w:sz="4" w:space="0" w:color="5B9BD4"/>
                          <w:right w:val="nil" w:sz="6" w:space="0" w:color="auto"/>
                        </w:tcBorders>
                      </w:tcPr>
                      <w:p>
                        <w:pPr/>
                      </w:p>
                    </w:tc>
                    <w:tc>
                      <w:tcPr>
                        <w:tcW w:w="1322" w:type="dxa"/>
                        <w:tcBorders>
                          <w:top w:val="nil" w:sz="6" w:space="0" w:color="auto"/>
                          <w:left w:val="nil" w:sz="6" w:space="0" w:color="auto"/>
                          <w:bottom w:val="single" w:sz="4" w:space="0" w:color="5B9BD4"/>
                          <w:right w:val="nil" w:sz="6" w:space="0" w:color="auto"/>
                        </w:tcBorders>
                        <w:shd w:val="clear" w:color="auto" w:fill="DEEAF6"/>
                      </w:tcPr>
                      <w:p>
                        <w:pPr/>
                      </w:p>
                    </w:tc>
                    <w:tc>
                      <w:tcPr>
                        <w:tcW w:w="1426" w:type="dxa"/>
                        <w:vMerge/>
                        <w:tcBorders>
                          <w:left w:val="nil" w:sz="6" w:space="0" w:color="auto"/>
                          <w:bottom w:val="single" w:sz="4" w:space="0" w:color="5B9BD4"/>
                          <w:right w:val="nil" w:sz="6" w:space="0" w:color="auto"/>
                        </w:tcBorders>
                      </w:tcPr>
                      <w:p>
                        <w:pPr/>
                      </w:p>
                    </w:tc>
                  </w:tr>
                  <w:tr>
                    <w:trPr>
                      <w:trHeight w:val="402" w:hRule="exact"/>
                    </w:trPr>
                    <w:tc>
                      <w:tcPr>
                        <w:tcW w:w="2860"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4012"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89"/>
                          <w:ind w:right="26"/>
                          <w:jc w:val="right"/>
                          <w:rPr>
                            <w:rFonts w:ascii="Arial" w:hAnsi="Arial" w:cs="Arial" w:eastAsia="Arial" w:hint="default"/>
                            <w:sz w:val="18"/>
                            <w:szCs w:val="18"/>
                          </w:rPr>
                        </w:pPr>
                        <w:r>
                          <w:rPr>
                            <w:rFonts w:ascii="Arial"/>
                            <w:w w:val="95"/>
                            <w:sz w:val="18"/>
                          </w:rPr>
                          <w:t>2,370,949</w:t>
                        </w:r>
                        <w:r>
                          <w:rPr>
                            <w:rFonts w:ascii="Arial"/>
                            <w:sz w:val="18"/>
                          </w:rPr>
                        </w:r>
                      </w:p>
                    </w:tc>
                    <w:tc>
                      <w:tcPr>
                        <w:tcW w:w="132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26"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89"/>
                          <w:ind w:right="19"/>
                          <w:jc w:val="right"/>
                          <w:rPr>
                            <w:rFonts w:ascii="Arial" w:hAnsi="Arial" w:cs="Arial" w:eastAsia="Arial" w:hint="default"/>
                            <w:sz w:val="18"/>
                            <w:szCs w:val="18"/>
                          </w:rPr>
                        </w:pPr>
                        <w:r>
                          <w:rPr>
                            <w:rFonts w:ascii="Arial"/>
                            <w:w w:val="95"/>
                            <w:sz w:val="18"/>
                          </w:rPr>
                          <w:t>2,370,949</w:t>
                        </w:r>
                        <w:r>
                          <w:rPr>
                            <w:rFonts w:ascii="Arial"/>
                            <w:sz w:val="18"/>
                          </w:rPr>
                        </w:r>
                      </w:p>
                    </w:tc>
                  </w:tr>
                  <w:tr>
                    <w:trPr>
                      <w:trHeight w:val="402" w:hRule="exact"/>
                    </w:trPr>
                    <w:tc>
                      <w:tcPr>
                        <w:tcW w:w="2860"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黄文辉</w:t>
                        </w:r>
                      </w:p>
                    </w:tc>
                    <w:tc>
                      <w:tcPr>
                        <w:tcW w:w="4012"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89"/>
                          <w:ind w:right="26"/>
                          <w:jc w:val="right"/>
                          <w:rPr>
                            <w:rFonts w:ascii="Arial" w:hAnsi="Arial" w:cs="Arial" w:eastAsia="Arial" w:hint="default"/>
                            <w:sz w:val="18"/>
                            <w:szCs w:val="18"/>
                          </w:rPr>
                        </w:pPr>
                        <w:r>
                          <w:rPr>
                            <w:rFonts w:ascii="Arial"/>
                            <w:w w:val="95"/>
                            <w:sz w:val="18"/>
                          </w:rPr>
                          <w:t>2,128,875</w:t>
                        </w:r>
                        <w:r>
                          <w:rPr>
                            <w:rFonts w:ascii="Arial"/>
                            <w:sz w:val="18"/>
                          </w:rPr>
                        </w:r>
                      </w:p>
                    </w:tc>
                    <w:tc>
                      <w:tcPr>
                        <w:tcW w:w="132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26" w:type="dxa"/>
                        <w:tcBorders>
                          <w:top w:val="single" w:sz="4" w:space="0" w:color="5B9BD4"/>
                          <w:left w:val="single" w:sz="11" w:space="0" w:color="DEEAF6"/>
                          <w:bottom w:val="single" w:sz="4" w:space="0" w:color="5B9BD4"/>
                          <w:right w:val="nil" w:sz="6" w:space="0" w:color="auto"/>
                        </w:tcBorders>
                      </w:tcPr>
                      <w:p>
                        <w:pPr>
                          <w:pStyle w:val="TableParagraph"/>
                          <w:spacing w:line="240" w:lineRule="auto" w:before="89"/>
                          <w:ind w:right="19"/>
                          <w:jc w:val="right"/>
                          <w:rPr>
                            <w:rFonts w:ascii="Arial" w:hAnsi="Arial" w:cs="Arial" w:eastAsia="Arial" w:hint="default"/>
                            <w:sz w:val="18"/>
                            <w:szCs w:val="18"/>
                          </w:rPr>
                        </w:pPr>
                        <w:r>
                          <w:rPr>
                            <w:rFonts w:ascii="Arial"/>
                            <w:w w:val="95"/>
                            <w:sz w:val="18"/>
                          </w:rPr>
                          <w:t>2,128,875</w:t>
                        </w:r>
                        <w:r>
                          <w:rPr>
                            <w:rFonts w:ascii="Arial"/>
                            <w:sz w:val="18"/>
                          </w:rPr>
                        </w:r>
                      </w:p>
                    </w:tc>
                  </w:tr>
                  <w:tr>
                    <w:trPr>
                      <w:trHeight w:val="982" w:hRule="exact"/>
                    </w:trPr>
                    <w:tc>
                      <w:tcPr>
                        <w:tcW w:w="2860" w:type="dxa"/>
                        <w:gridSpan w:val="2"/>
                        <w:tcBorders>
                          <w:top w:val="single" w:sz="4" w:space="0" w:color="5B9BD4"/>
                          <w:left w:val="nil" w:sz="6" w:space="0" w:color="auto"/>
                          <w:bottom w:val="nil" w:sz="6" w:space="0" w:color="auto"/>
                          <w:right w:val="nil" w:sz="6" w:space="0" w:color="auto"/>
                        </w:tcBorders>
                        <w:shd w:val="clear" w:color="auto" w:fill="DEEAF6"/>
                      </w:tcPr>
                      <w:p>
                        <w:pPr/>
                      </w:p>
                    </w:tc>
                    <w:tc>
                      <w:tcPr>
                        <w:tcW w:w="6759" w:type="dxa"/>
                        <w:gridSpan w:val="3"/>
                        <w:vMerge w:val="restart"/>
                        <w:tcBorders>
                          <w:top w:val="single" w:sz="4" w:space="0" w:color="5B9BD4"/>
                          <w:left w:val="nil" w:sz="6" w:space="0" w:color="auto"/>
                          <w:right w:val="nil" w:sz="6" w:space="0" w:color="auto"/>
                        </w:tcBorders>
                      </w:tcPr>
                      <w:p>
                        <w:pPr>
                          <w:pStyle w:val="TableParagraph"/>
                          <w:spacing w:line="307" w:lineRule="auto" w:before="47"/>
                          <w:ind w:left="35" w:right="19"/>
                          <w:jc w:val="both"/>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、黄绍武先生持有深圳市神州通投资集团有限公司</w:t>
                        </w:r>
                        <w:r>
                          <w:rPr>
                            <w:rFonts w:ascii="宋体" w:hAnsi="宋体" w:cs="宋体" w:eastAsia="宋体" w:hint="default"/>
                            <w:spacing w:val="-59"/>
                            <w:sz w:val="18"/>
                            <w:szCs w:val="18"/>
                          </w:rPr>
                          <w:t> </w:t>
                        </w:r>
                        <w:r>
                          <w:rPr>
                            <w:rFonts w:ascii="Arial" w:hAnsi="Arial" w:cs="Arial" w:eastAsia="Arial" w:hint="default"/>
                            <w:sz w:val="18"/>
                            <w:szCs w:val="18"/>
                          </w:rPr>
                          <w:t>66.37%</w:t>
                        </w:r>
                        <w:r>
                          <w:rPr>
                            <w:rFonts w:ascii="宋体" w:hAnsi="宋体" w:cs="宋体" w:eastAsia="宋体" w:hint="default"/>
                            <w:sz w:val="18"/>
                            <w:szCs w:val="18"/>
                          </w:rPr>
                          <w:t>的股权，并持有深圳市全 球星投资管理有限公司</w:t>
                        </w:r>
                        <w:r>
                          <w:rPr>
                            <w:rFonts w:ascii="宋体" w:hAnsi="宋体" w:cs="宋体" w:eastAsia="宋体" w:hint="default"/>
                            <w:spacing w:val="-59"/>
                            <w:sz w:val="18"/>
                            <w:szCs w:val="18"/>
                          </w:rPr>
                          <w:t> </w:t>
                        </w:r>
                        <w:r>
                          <w:rPr>
                            <w:rFonts w:ascii="Arial" w:hAnsi="Arial" w:cs="Arial" w:eastAsia="Arial" w:hint="default"/>
                            <w:spacing w:val="-2"/>
                            <w:sz w:val="18"/>
                            <w:szCs w:val="18"/>
                          </w:rPr>
                          <w:t>66.37%</w:t>
                        </w:r>
                        <w:r>
                          <w:rPr>
                            <w:rFonts w:ascii="宋体" w:hAnsi="宋体" w:cs="宋体" w:eastAsia="宋体" w:hint="default"/>
                            <w:spacing w:val="-2"/>
                            <w:sz w:val="18"/>
                            <w:szCs w:val="18"/>
                          </w:rPr>
                          <w:t>的股权，新余全球星投资管理有限公司为深圳市全球星</w:t>
                        </w:r>
                        <w:r>
                          <w:rPr>
                            <w:rFonts w:ascii="宋体" w:hAnsi="宋体" w:cs="宋体" w:eastAsia="宋体" w:hint="default"/>
                            <w:sz w:val="18"/>
                            <w:szCs w:val="18"/>
                          </w:rPr>
                          <w:t> 投资管理有限公司的全资子公司。黄绍武先生与深圳市神州通投资集团有限公司、深 圳市全球星投资管理有限公司、新余全球星投资管理有限公司构成关联股东的关系。</w:t>
                        </w:r>
                      </w:p>
                      <w:p>
                        <w:pPr>
                          <w:pStyle w:val="TableParagraph"/>
                          <w:spacing w:line="312" w:lineRule="auto" w:before="64"/>
                          <w:ind w:left="35" w:right="20"/>
                          <w:jc w:val="both"/>
                          <w:rPr>
                            <w:rFonts w:ascii="宋体" w:hAnsi="宋体" w:cs="宋体" w:eastAsia="宋体" w:hint="default"/>
                            <w:sz w:val="18"/>
                            <w:szCs w:val="18"/>
                          </w:rPr>
                        </w:pPr>
                        <w:r>
                          <w:rPr>
                            <w:rFonts w:ascii="Arial" w:hAnsi="Arial" w:cs="Arial" w:eastAsia="Arial" w:hint="default"/>
                            <w:spacing w:val="-2"/>
                            <w:sz w:val="18"/>
                            <w:szCs w:val="18"/>
                          </w:rPr>
                          <w:t>2</w:t>
                        </w:r>
                        <w:r>
                          <w:rPr>
                            <w:rFonts w:ascii="宋体" w:hAnsi="宋体" w:cs="宋体" w:eastAsia="宋体" w:hint="default"/>
                            <w:spacing w:val="-2"/>
                            <w:sz w:val="18"/>
                            <w:szCs w:val="18"/>
                          </w:rPr>
                          <w:t>、黄文辉先生为深圳市神州通投资集团有限公司的董事、深圳市全球星投资管理有限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公司董事，新余全球星投资管理有限公司为深圳市全球星投资管理有限公司的全资子 公司。黄文辉先生与深圳市神州通投资集团有限公司、深圳市全球星投资管理有限公 司、新余全球星投资管理有限公司构成关联关系。</w:t>
                        </w:r>
                      </w:p>
                      <w:p>
                        <w:pPr>
                          <w:pStyle w:val="TableParagraph"/>
                          <w:spacing w:line="302" w:lineRule="auto" w:before="62"/>
                          <w:ind w:left="35" w:right="102"/>
                          <w:jc w:val="both"/>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、未知公司前</w:t>
                        </w:r>
                        <w:r>
                          <w:rPr>
                            <w:rFonts w:ascii="宋体" w:hAnsi="宋体" w:cs="宋体" w:eastAsia="宋体" w:hint="default"/>
                            <w:spacing w:val="-45"/>
                            <w:sz w:val="18"/>
                            <w:szCs w:val="18"/>
                          </w:rPr>
                          <w:t> </w:t>
                        </w:r>
                        <w:r>
                          <w:rPr>
                            <w:rFonts w:ascii="Arial" w:hAnsi="Arial" w:cs="Arial" w:eastAsia="Arial" w:hint="default"/>
                            <w:sz w:val="18"/>
                            <w:szCs w:val="18"/>
                          </w:rPr>
                          <w:t>10</w:t>
                        </w:r>
                        <w:r>
                          <w:rPr>
                            <w:rFonts w:ascii="Arial" w:hAnsi="Arial" w:cs="Arial" w:eastAsia="Arial" w:hint="default"/>
                            <w:spacing w:val="-7"/>
                            <w:sz w:val="18"/>
                            <w:szCs w:val="18"/>
                          </w:rPr>
                          <w:t> </w:t>
                        </w:r>
                        <w:r>
                          <w:rPr>
                            <w:rFonts w:ascii="宋体" w:hAnsi="宋体" w:cs="宋体" w:eastAsia="宋体" w:hint="default"/>
                            <w:sz w:val="18"/>
                            <w:szCs w:val="18"/>
                          </w:rPr>
                          <w:t>名无限售条件股东中其他股东之间及其与前</w:t>
                        </w:r>
                        <w:r>
                          <w:rPr>
                            <w:rFonts w:ascii="宋体" w:hAnsi="宋体" w:cs="宋体" w:eastAsia="宋体" w:hint="default"/>
                            <w:spacing w:val="-47"/>
                            <w:sz w:val="18"/>
                            <w:szCs w:val="18"/>
                          </w:rPr>
                          <w:t> </w:t>
                        </w:r>
                        <w:r>
                          <w:rPr>
                            <w:rFonts w:ascii="Arial" w:hAnsi="Arial" w:cs="Arial" w:eastAsia="Arial" w:hint="default"/>
                            <w:sz w:val="18"/>
                            <w:szCs w:val="18"/>
                          </w:rPr>
                          <w:t>10</w:t>
                        </w:r>
                        <w:r>
                          <w:rPr>
                            <w:rFonts w:ascii="Arial" w:hAnsi="Arial" w:cs="Arial" w:eastAsia="Arial" w:hint="default"/>
                            <w:spacing w:val="-7"/>
                            <w:sz w:val="18"/>
                            <w:szCs w:val="18"/>
                          </w:rPr>
                          <w:t> </w:t>
                        </w:r>
                        <w:r>
                          <w:rPr>
                            <w:rFonts w:ascii="宋体" w:hAnsi="宋体" w:cs="宋体" w:eastAsia="宋体" w:hint="default"/>
                            <w:sz w:val="18"/>
                            <w:szCs w:val="18"/>
                          </w:rPr>
                          <w:t>名股东之间是否存 </w:t>
                        </w:r>
                        <w:r>
                          <w:rPr>
                            <w:rFonts w:ascii="宋体" w:hAnsi="宋体" w:cs="宋体" w:eastAsia="宋体" w:hint="default"/>
                            <w:spacing w:val="-2"/>
                            <w:sz w:val="18"/>
                            <w:szCs w:val="18"/>
                          </w:rPr>
                          <w:t>在关联关系，也未知是否存在《上市公司收购管理办法》中规定的一致行动人的情况</w:t>
                        </w:r>
                      </w:p>
                    </w:tc>
                  </w:tr>
                  <w:tr>
                    <w:trPr>
                      <w:trHeight w:val="1328" w:hRule="exact"/>
                    </w:trPr>
                    <w:tc>
                      <w:tcPr>
                        <w:tcW w:w="2860" w:type="dxa"/>
                        <w:gridSpan w:val="2"/>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7"/>
                            <w:sz w:val="18"/>
                            <w:szCs w:val="18"/>
                          </w:rPr>
                          <w:t> </w:t>
                        </w:r>
                        <w:r>
                          <w:rPr>
                            <w:rFonts w:ascii="Arial" w:hAnsi="Arial" w:cs="Arial" w:eastAsia="Arial" w:hint="default"/>
                            <w:sz w:val="18"/>
                            <w:szCs w:val="18"/>
                          </w:rPr>
                          <w:t>10</w:t>
                        </w:r>
                        <w:r>
                          <w:rPr>
                            <w:rFonts w:ascii="Arial" w:hAnsi="Arial" w:cs="Arial" w:eastAsia="Arial" w:hint="default"/>
                            <w:spacing w:val="-7"/>
                            <w:sz w:val="18"/>
                            <w:szCs w:val="18"/>
                          </w:rPr>
                          <w:t> </w:t>
                        </w:r>
                        <w:r>
                          <w:rPr>
                            <w:rFonts w:ascii="宋体" w:hAnsi="宋体" w:cs="宋体" w:eastAsia="宋体" w:hint="default"/>
                            <w:sz w:val="18"/>
                            <w:szCs w:val="18"/>
                          </w:rPr>
                          <w:t>名无限售流通股股东之间，以</w:t>
                        </w:r>
                      </w:p>
                      <w:p>
                        <w:pPr>
                          <w:pStyle w:val="TableParagraph"/>
                          <w:spacing w:line="309" w:lineRule="auto" w:before="62"/>
                          <w:ind w:left="13" w:right="19"/>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64"/>
                            <w:sz w:val="18"/>
                            <w:szCs w:val="18"/>
                          </w:rPr>
                          <w:t> </w:t>
                        </w:r>
                        <w:r>
                          <w:rPr>
                            <w:rFonts w:ascii="Arial" w:hAnsi="Arial" w:cs="Arial" w:eastAsia="Arial" w:hint="default"/>
                            <w:sz w:val="18"/>
                            <w:szCs w:val="18"/>
                          </w:rPr>
                          <w:t>10</w:t>
                        </w:r>
                        <w:r>
                          <w:rPr>
                            <w:rFonts w:ascii="Arial" w:hAnsi="Arial" w:cs="Arial" w:eastAsia="Arial" w:hint="default"/>
                            <w:spacing w:val="-2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64"/>
                            <w:sz w:val="18"/>
                            <w:szCs w:val="18"/>
                          </w:rPr>
                          <w:t> </w:t>
                        </w:r>
                        <w:r>
                          <w:rPr>
                            <w:rFonts w:ascii="Arial" w:hAnsi="Arial" w:cs="Arial" w:eastAsia="Arial" w:hint="default"/>
                            <w:sz w:val="18"/>
                            <w:szCs w:val="18"/>
                          </w:rPr>
                          <w:t>10</w:t>
                        </w:r>
                        <w:r>
                          <w:rPr>
                            <w:rFonts w:ascii="Arial" w:hAnsi="Arial" w:cs="Arial" w:eastAsia="Arial" w:hint="default"/>
                            <w:spacing w:val="-1"/>
                            <w:w w:val="99"/>
                            <w:sz w:val="18"/>
                            <w:szCs w:val="18"/>
                          </w:rPr>
                          <w:t> </w:t>
                        </w:r>
                        <w:r>
                          <w:rPr>
                            <w:rFonts w:ascii="宋体" w:hAnsi="宋体" w:cs="宋体" w:eastAsia="宋体" w:hint="default"/>
                            <w:sz w:val="18"/>
                            <w:szCs w:val="18"/>
                          </w:rPr>
                          <w:t>名股东之间关联关系或一致行动的 说明</w:t>
                        </w:r>
                      </w:p>
                    </w:tc>
                    <w:tc>
                      <w:tcPr>
                        <w:tcW w:w="6759" w:type="dxa"/>
                        <w:gridSpan w:val="3"/>
                        <w:vMerge/>
                        <w:tcBorders>
                          <w:left w:val="nil" w:sz="6" w:space="0" w:color="auto"/>
                          <w:right w:val="nil" w:sz="6" w:space="0" w:color="auto"/>
                        </w:tcBorders>
                      </w:tcPr>
                      <w:p>
                        <w:pPr/>
                      </w:p>
                    </w:tc>
                  </w:tr>
                  <w:tr>
                    <w:trPr>
                      <w:trHeight w:val="980" w:hRule="exact"/>
                    </w:trPr>
                    <w:tc>
                      <w:tcPr>
                        <w:tcW w:w="2860" w:type="dxa"/>
                        <w:gridSpan w:val="2"/>
                        <w:tcBorders>
                          <w:top w:val="nil" w:sz="6" w:space="0" w:color="auto"/>
                          <w:left w:val="nil" w:sz="6" w:space="0" w:color="auto"/>
                          <w:bottom w:val="single" w:sz="4" w:space="0" w:color="5B9BD4"/>
                          <w:right w:val="nil" w:sz="6" w:space="0" w:color="auto"/>
                        </w:tcBorders>
                        <w:shd w:val="clear" w:color="auto" w:fill="DEEAF6"/>
                      </w:tcPr>
                      <w:p>
                        <w:pPr/>
                      </w:p>
                    </w:tc>
                    <w:tc>
                      <w:tcPr>
                        <w:tcW w:w="6759" w:type="dxa"/>
                        <w:gridSpan w:val="3"/>
                        <w:vMerge/>
                        <w:tcBorders>
                          <w:left w:val="nil" w:sz="6" w:space="0" w:color="auto"/>
                          <w:bottom w:val="single" w:sz="4" w:space="0" w:color="5B9BD4"/>
                          <w:right w:val="nil" w:sz="6" w:space="0" w:color="auto"/>
                        </w:tcBorders>
                      </w:tcPr>
                      <w:p>
                        <w:pPr/>
                      </w:p>
                    </w:tc>
                  </w:tr>
                  <w:tr>
                    <w:trPr>
                      <w:trHeight w:val="298" w:hRule="exact"/>
                    </w:trPr>
                    <w:tc>
                      <w:tcPr>
                        <w:tcW w:w="2860" w:type="dxa"/>
                        <w:gridSpan w:val="2"/>
                        <w:tcBorders>
                          <w:top w:val="single" w:sz="4" w:space="0" w:color="5B9BD4"/>
                          <w:left w:val="nil" w:sz="6" w:space="0" w:color="auto"/>
                          <w:bottom w:val="nil" w:sz="6" w:space="0" w:color="auto"/>
                          <w:right w:val="nil" w:sz="6" w:space="0" w:color="auto"/>
                        </w:tcBorders>
                        <w:shd w:val="clear" w:color="auto" w:fill="DEEAF6"/>
                      </w:tcPr>
                      <w:p>
                        <w:pPr/>
                      </w:p>
                    </w:tc>
                    <w:tc>
                      <w:tcPr>
                        <w:tcW w:w="6759" w:type="dxa"/>
                        <w:gridSpan w:val="3"/>
                        <w:vMerge w:val="restart"/>
                        <w:tcBorders>
                          <w:top w:val="single" w:sz="4" w:space="0" w:color="5B9BD4"/>
                          <w:left w:val="nil" w:sz="6" w:space="0" w:color="auto"/>
                          <w:right w:val="nil" w:sz="6" w:space="0" w:color="auto"/>
                        </w:tcBorders>
                      </w:tcPr>
                      <w:p>
                        <w:pPr>
                          <w:pStyle w:val="TableParagraph"/>
                          <w:spacing w:line="307" w:lineRule="auto" w:before="47"/>
                          <w:ind w:left="35" w:right="25"/>
                          <w:jc w:val="left"/>
                          <w:rPr>
                            <w:rFonts w:ascii="Arial" w:hAnsi="Arial" w:cs="Arial" w:eastAsia="Arial" w:hint="default"/>
                            <w:sz w:val="18"/>
                            <w:szCs w:val="18"/>
                          </w:rPr>
                        </w:pPr>
                        <w:r>
                          <w:rPr>
                            <w:rFonts w:ascii="宋体" w:hAnsi="宋体" w:cs="宋体" w:eastAsia="宋体" w:hint="default"/>
                            <w:sz w:val="18"/>
                            <w:szCs w:val="18"/>
                          </w:rPr>
                          <w:t>公司股东杨小萍通过财通证券股份有限责任公司客户信用交易担保证券账户持有 </w:t>
                        </w:r>
                        <w:r>
                          <w:rPr>
                            <w:rFonts w:ascii="Arial" w:hAnsi="Arial" w:cs="Arial" w:eastAsia="Arial" w:hint="default"/>
                            <w:sz w:val="18"/>
                            <w:szCs w:val="18"/>
                          </w:rPr>
                          <w:t>93,943,000 </w:t>
                        </w:r>
                        <w:r>
                          <w:rPr>
                            <w:rFonts w:ascii="宋体" w:hAnsi="宋体" w:cs="宋体" w:eastAsia="宋体" w:hint="default"/>
                            <w:sz w:val="18"/>
                            <w:szCs w:val="18"/>
                          </w:rPr>
                          <w:t>股，占公司总股本的</w:t>
                        </w:r>
                        <w:r>
                          <w:rPr>
                            <w:rFonts w:ascii="宋体" w:hAnsi="宋体" w:cs="宋体" w:eastAsia="宋体" w:hint="default"/>
                            <w:spacing w:val="-76"/>
                            <w:sz w:val="18"/>
                            <w:szCs w:val="18"/>
                          </w:rPr>
                          <w:t> </w:t>
                        </w:r>
                        <w:r>
                          <w:rPr>
                            <w:rFonts w:ascii="Arial" w:hAnsi="Arial" w:cs="Arial" w:eastAsia="Arial" w:hint="default"/>
                            <w:sz w:val="18"/>
                            <w:szCs w:val="18"/>
                          </w:rPr>
                          <w:t>0.94%</w:t>
                        </w:r>
                        <w:r>
                          <w:rPr>
                            <w:rFonts w:ascii="宋体" w:hAnsi="宋体" w:cs="宋体" w:eastAsia="宋体" w:hint="default"/>
                            <w:sz w:val="18"/>
                            <w:szCs w:val="18"/>
                          </w:rPr>
                          <w:t>；公司股东莫凯文通过财通证券股份有限责任 公司客户信用交易担保证券账户持有</w:t>
                        </w:r>
                        <w:r>
                          <w:rPr>
                            <w:rFonts w:ascii="宋体" w:hAnsi="宋体" w:cs="宋体" w:eastAsia="宋体" w:hint="default"/>
                            <w:spacing w:val="-52"/>
                            <w:sz w:val="18"/>
                            <w:szCs w:val="18"/>
                          </w:rPr>
                          <w:t> </w:t>
                        </w:r>
                        <w:r>
                          <w:rPr>
                            <w:rFonts w:ascii="Arial" w:hAnsi="Arial" w:cs="Arial" w:eastAsia="Arial" w:hint="default"/>
                            <w:sz w:val="18"/>
                            <w:szCs w:val="18"/>
                          </w:rPr>
                          <w:t>5,750,000</w:t>
                        </w:r>
                        <w:r>
                          <w:rPr>
                            <w:rFonts w:ascii="Arial" w:hAnsi="Arial" w:cs="Arial" w:eastAsia="Arial" w:hint="default"/>
                            <w:spacing w:val="-12"/>
                            <w:sz w:val="18"/>
                            <w:szCs w:val="18"/>
                          </w:rPr>
                          <w:t> </w:t>
                        </w:r>
                        <w:r>
                          <w:rPr>
                            <w:rFonts w:ascii="宋体" w:hAnsi="宋体" w:cs="宋体" w:eastAsia="宋体" w:hint="default"/>
                            <w:sz w:val="18"/>
                            <w:szCs w:val="18"/>
                          </w:rPr>
                          <w:t>股，占公司总股本的</w:t>
                        </w:r>
                        <w:r>
                          <w:rPr>
                            <w:rFonts w:ascii="宋体" w:hAnsi="宋体" w:cs="宋体" w:eastAsia="宋体" w:hint="default"/>
                            <w:spacing w:val="-52"/>
                            <w:sz w:val="18"/>
                            <w:szCs w:val="18"/>
                          </w:rPr>
                          <w:t> </w:t>
                        </w:r>
                        <w:r>
                          <w:rPr>
                            <w:rFonts w:ascii="Arial" w:hAnsi="Arial" w:cs="Arial" w:eastAsia="Arial" w:hint="default"/>
                            <w:sz w:val="18"/>
                            <w:szCs w:val="18"/>
                          </w:rPr>
                          <w:t>0.57%</w:t>
                        </w:r>
                        <w:r>
                          <w:rPr>
                            <w:rFonts w:ascii="宋体" w:hAnsi="宋体" w:cs="宋体" w:eastAsia="宋体" w:hint="default"/>
                            <w:sz w:val="18"/>
                            <w:szCs w:val="18"/>
                          </w:rPr>
                          <w:t>；公司股 东史先龙通过山西证券股份有限责任公司客户信用交易担保证券账户持有</w:t>
                        </w:r>
                        <w:r>
                          <w:rPr>
                            <w:rFonts w:ascii="宋体" w:hAnsi="宋体" w:cs="宋体" w:eastAsia="宋体" w:hint="default"/>
                            <w:spacing w:val="-48"/>
                            <w:sz w:val="18"/>
                            <w:szCs w:val="18"/>
                          </w:rPr>
                          <w:t> </w:t>
                        </w:r>
                        <w:r>
                          <w:rPr>
                            <w:rFonts w:ascii="Arial" w:hAnsi="Arial" w:cs="Arial" w:eastAsia="Arial" w:hint="default"/>
                            <w:sz w:val="18"/>
                            <w:szCs w:val="18"/>
                          </w:rPr>
                          <w:t>4,496,304</w:t>
                        </w:r>
                      </w:p>
                    </w:tc>
                  </w:tr>
                  <w:tr>
                    <w:trPr>
                      <w:trHeight w:val="703" w:hRule="exact"/>
                    </w:trPr>
                    <w:tc>
                      <w:tcPr>
                        <w:tcW w:w="2860" w:type="dxa"/>
                        <w:gridSpan w:val="2"/>
                        <w:tcBorders>
                          <w:top w:val="nil" w:sz="6" w:space="0" w:color="auto"/>
                          <w:left w:val="nil" w:sz="6" w:space="0" w:color="auto"/>
                          <w:bottom w:val="nil" w:sz="6" w:space="0" w:color="auto"/>
                          <w:right w:val="nil" w:sz="6" w:space="0" w:color="auto"/>
                        </w:tcBorders>
                        <w:shd w:val="clear" w:color="auto" w:fill="DEEAF6"/>
                      </w:tcPr>
                      <w:p>
                        <w:pPr>
                          <w:pStyle w:val="TableParagraph"/>
                          <w:spacing w:line="302" w:lineRule="auto" w:before="46"/>
                          <w:ind w:left="13" w:right="35"/>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7"/>
                            <w:sz w:val="18"/>
                            <w:szCs w:val="18"/>
                          </w:rPr>
                          <w:t> </w:t>
                        </w:r>
                        <w:r>
                          <w:rPr>
                            <w:rFonts w:ascii="Arial" w:hAnsi="Arial" w:cs="Arial" w:eastAsia="Arial" w:hint="default"/>
                            <w:sz w:val="18"/>
                            <w:szCs w:val="18"/>
                          </w:rPr>
                          <w:t>10</w:t>
                        </w:r>
                        <w:r>
                          <w:rPr>
                            <w:rFonts w:ascii="Arial" w:hAnsi="Arial" w:cs="Arial" w:eastAsia="Arial" w:hint="default"/>
                            <w:spacing w:val="-7"/>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4"/>
                            <w:sz w:val="18"/>
                            <w:szCs w:val="18"/>
                          </w:rPr>
                          <w:t> </w:t>
                        </w:r>
                        <w:r>
                          <w:rPr>
                            <w:rFonts w:ascii="Arial" w:hAnsi="Arial" w:cs="Arial" w:eastAsia="Arial" w:hint="default"/>
                            <w:spacing w:val="-1"/>
                            <w:w w:val="99"/>
                            <w:sz w:val="18"/>
                            <w:szCs w:val="18"/>
                          </w:rPr>
                          <w:t>4</w:t>
                        </w:r>
                        <w:r>
                          <w:rPr>
                            <w:rFonts w:ascii="宋体" w:hAnsi="宋体" w:cs="宋体" w:eastAsia="宋体" w:hint="default"/>
                            <w:spacing w:val="-1"/>
                            <w:w w:val="99"/>
                            <w:sz w:val="18"/>
                            <w:szCs w:val="18"/>
                          </w:rPr>
                          <w:t>）</w:t>
                        </w:r>
                      </w:p>
                    </w:tc>
                    <w:tc>
                      <w:tcPr>
                        <w:tcW w:w="6759" w:type="dxa"/>
                        <w:gridSpan w:val="3"/>
                        <w:vMerge/>
                        <w:tcBorders>
                          <w:left w:val="nil" w:sz="6" w:space="0" w:color="auto"/>
                          <w:right w:val="nil" w:sz="6" w:space="0" w:color="auto"/>
                        </w:tcBorders>
                      </w:tcPr>
                      <w:p>
                        <w:pPr/>
                      </w:p>
                    </w:tc>
                  </w:tr>
                  <w:tr>
                    <w:trPr>
                      <w:trHeight w:val="298" w:hRule="exact"/>
                    </w:trPr>
                    <w:tc>
                      <w:tcPr>
                        <w:tcW w:w="2860" w:type="dxa"/>
                        <w:gridSpan w:val="2"/>
                        <w:tcBorders>
                          <w:top w:val="nil" w:sz="6" w:space="0" w:color="auto"/>
                          <w:left w:val="nil" w:sz="6" w:space="0" w:color="auto"/>
                          <w:bottom w:val="single" w:sz="4" w:space="0" w:color="5B9BD4"/>
                          <w:right w:val="nil" w:sz="6" w:space="0" w:color="auto"/>
                        </w:tcBorders>
                        <w:shd w:val="clear" w:color="auto" w:fill="DEEAF6"/>
                      </w:tcPr>
                      <w:p>
                        <w:pPr/>
                      </w:p>
                    </w:tc>
                    <w:tc>
                      <w:tcPr>
                        <w:tcW w:w="6759" w:type="dxa"/>
                        <w:gridSpan w:val="3"/>
                        <w:vMerge/>
                        <w:tcBorders>
                          <w:left w:val="nil" w:sz="6" w:space="0" w:color="auto"/>
                          <w:bottom w:val="single" w:sz="4" w:space="0" w:color="5B9BD4"/>
                          <w:right w:val="nil" w:sz="6" w:space="0" w:color="auto"/>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before="29"/>
        <w:ind w:left="0" w:right="106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p>
      <w:pPr>
        <w:spacing w:line="372" w:lineRule="exact"/>
        <w:ind w:left="194"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3.25pt;height:18.6pt;mso-position-horizontal-relative:char;mso-position-vertical-relative:line" coordorigin="0,0" coordsize="9665,372">
            <v:group style="position:absolute;left:19;top:10;width:2882;height:353" coordorigin="19,10" coordsize="2882,353">
              <v:shape style="position:absolute;left:19;top:10;width:2882;height:353" coordorigin="19,10" coordsize="2882,353" path="m19,362l2901,362,2901,10,19,10,19,362xe" filled="true" fillcolor="#deeaf6" stroked="false">
                <v:path arrowok="t"/>
                <v:fill type="solid"/>
              </v:shape>
            </v:group>
            <v:group style="position:absolute;left:19;top:5;width:2882;height:2" coordorigin="19,5" coordsize="2882,2">
              <v:shape style="position:absolute;left:19;top:5;width:2882;height:2" coordorigin="19,5" coordsize="2882,0" path="m19,5l2901,5e" filled="false" stroked="true" strokeweight=".48pt" strokecolor="#5b9bd4">
                <v:path arrowok="t"/>
              </v:shape>
            </v:group>
            <v:group style="position:absolute;left:2901;top:5;width:10;height:2" coordorigin="2901,5" coordsize="10,2">
              <v:shape style="position:absolute;left:2901;top:5;width:10;height:2" coordorigin="2901,5" coordsize="10,0" path="m2901,5l2910,5e" filled="false" stroked="true" strokeweight=".48pt" strokecolor="#5b9bd4">
                <v:path arrowok="t"/>
              </v:shape>
            </v:group>
            <v:group style="position:absolute;left:2910;top:5;width:6750;height:2" coordorigin="2910,5" coordsize="6750,2">
              <v:shape style="position:absolute;left:2910;top:5;width:6750;height:2" coordorigin="2910,5" coordsize="6750,0" path="m2910,5l9660,5e" filled="false" stroked="true" strokeweight=".48pt" strokecolor="#5b9bd4">
                <v:path arrowok="t"/>
              </v:shape>
            </v:group>
            <v:group style="position:absolute;left:5;top:367;width:2896;height:2" coordorigin="5,367" coordsize="2896,2">
              <v:shape style="position:absolute;left:5;top:367;width:2896;height:2" coordorigin="5,367" coordsize="2896,0" path="m5,367l2901,367e" filled="false" stroked="true" strokeweight=".48pt" strokecolor="#5b9bd4">
                <v:path arrowok="t"/>
              </v:shape>
            </v:group>
            <v:group style="position:absolute;left:2886;top:367;width:10;height:2" coordorigin="2886,367" coordsize="10,2">
              <v:shape style="position:absolute;left:2886;top:367;width:10;height:2" coordorigin="2886,367" coordsize="10,0" path="m2886,367l2896,367e" filled="false" stroked="true" strokeweight=".48pt" strokecolor="#5b9bd4">
                <v:path arrowok="t"/>
              </v:shape>
            </v:group>
            <v:group style="position:absolute;left:2896;top:367;width:6764;height:2" coordorigin="2896,367" coordsize="6764,2">
              <v:shape style="position:absolute;left:2896;top:367;width:6764;height:2" coordorigin="2896,367" coordsize="6764,0" path="m2896,367l9660,367e" filled="false" stroked="true" strokeweight=".48pt" strokecolor="#5b9bd4">
                <v:path arrowok="t"/>
              </v:shape>
              <v:shape style="position:absolute;left:0;top:0;width:9665;height:372" type="#_x0000_t202" filled="false" stroked="false">
                <v:textbox inset="0,0,0,0">
                  <w:txbxContent>
                    <w:p>
                      <w:pPr>
                        <w:spacing w:before="16"/>
                        <w:ind w:left="2928" w:right="0" w:firstLine="0"/>
                        <w:jc w:val="left"/>
                        <w:rPr>
                          <w:rFonts w:ascii="宋体" w:hAnsi="宋体" w:cs="宋体" w:eastAsia="宋体" w:hint="default"/>
                          <w:sz w:val="18"/>
                          <w:szCs w:val="18"/>
                        </w:rPr>
                      </w:pPr>
                      <w:r>
                        <w:rPr>
                          <w:rFonts w:ascii="宋体" w:hAnsi="宋体" w:cs="宋体" w:eastAsia="宋体" w:hint="default"/>
                          <w:sz w:val="18"/>
                          <w:szCs w:val="18"/>
                        </w:rPr>
                        <w:t>股，占公司总股本的</w:t>
                      </w:r>
                      <w:r>
                        <w:rPr>
                          <w:rFonts w:ascii="宋体" w:hAnsi="宋体" w:cs="宋体" w:eastAsia="宋体" w:hint="default"/>
                          <w:spacing w:val="-67"/>
                          <w:sz w:val="18"/>
                          <w:szCs w:val="18"/>
                        </w:rPr>
                        <w:t> </w:t>
                      </w:r>
                      <w:r>
                        <w:rPr>
                          <w:rFonts w:ascii="Arial" w:hAnsi="Arial" w:cs="Arial" w:eastAsia="Arial" w:hint="default"/>
                          <w:sz w:val="18"/>
                          <w:szCs w:val="18"/>
                        </w:rPr>
                        <w:t>0.45%</w:t>
                      </w:r>
                      <w:r>
                        <w:rPr>
                          <w:rFonts w:ascii="宋体" w:hAnsi="宋体" w:cs="宋体" w:eastAsia="宋体" w:hint="default"/>
                          <w:sz w:val="18"/>
                          <w:szCs w:val="18"/>
                        </w:rPr>
                        <w:t>。</w:t>
                      </w:r>
                    </w:p>
                  </w:txbxContent>
                </v:textbox>
                <w10:wrap type="none"/>
              </v:shape>
            </v:group>
          </v:group>
        </w:pict>
      </w:r>
      <w:r>
        <w:rPr>
          <w:rFonts w:ascii="宋体" w:hAnsi="宋体" w:cs="宋体" w:eastAsia="宋体" w:hint="default"/>
          <w:position w:val="-6"/>
          <w:sz w:val="20"/>
          <w:szCs w:val="20"/>
        </w:rPr>
      </w:r>
    </w:p>
    <w:p>
      <w:pPr>
        <w:pStyle w:val="BodyText"/>
        <w:spacing w:line="355" w:lineRule="auto" w:before="21"/>
        <w:ind w:left="634" w:right="419" w:hanging="420"/>
        <w:jc w:val="left"/>
      </w:pPr>
      <w:r>
        <w:rPr/>
        <w:t>公司前</w:t>
      </w:r>
      <w:r>
        <w:rPr>
          <w:spacing w:val="-53"/>
        </w:rPr>
        <w:t> </w:t>
      </w:r>
      <w:r>
        <w:rPr>
          <w:rFonts w:ascii="Arial" w:hAnsi="Arial" w:cs="Arial" w:eastAsia="Arial" w:hint="default"/>
        </w:rPr>
        <w:t>10</w:t>
      </w:r>
      <w:r>
        <w:rPr>
          <w:rFonts w:ascii="Arial" w:hAnsi="Arial" w:cs="Arial" w:eastAsia="Arial" w:hint="default"/>
          <w:spacing w:val="-7"/>
        </w:rPr>
        <w:t> </w:t>
      </w:r>
      <w:r>
        <w:rPr/>
        <w:t>名普通股股东、前</w:t>
      </w:r>
      <w:r>
        <w:rPr>
          <w:spacing w:val="-54"/>
        </w:rPr>
        <w:t> </w:t>
      </w:r>
      <w:r>
        <w:rPr>
          <w:rFonts w:ascii="Arial" w:hAnsi="Arial" w:cs="Arial" w:eastAsia="Arial" w:hint="default"/>
        </w:rPr>
        <w:t>10</w:t>
      </w:r>
      <w:r>
        <w:rPr>
          <w:rFonts w:ascii="Arial" w:hAnsi="Arial" w:cs="Arial" w:eastAsia="Arial" w:hint="default"/>
          <w:spacing w:val="-7"/>
        </w:rPr>
        <w:t> </w:t>
      </w:r>
      <w:r>
        <w:rPr/>
        <w:t>名无限售条件普通股股东在报告期内进行约定购回交易的情况： </w:t>
      </w:r>
      <w:r>
        <w:rPr>
          <w:spacing w:val="-6"/>
          <w:w w:val="99"/>
        </w:rPr>
        <w:t>海通证券股份有限公司约定购回专用账户：邓大凯，持有股数</w:t>
      </w:r>
      <w:r>
        <w:rPr>
          <w:rFonts w:ascii="Arial" w:hAnsi="Arial" w:cs="Arial" w:eastAsia="Arial" w:hint="default"/>
          <w:spacing w:val="-6"/>
          <w:w w:val="99"/>
        </w:rPr>
        <w:t>2,750,000</w:t>
      </w:r>
      <w:r>
        <w:rPr>
          <w:spacing w:val="-6"/>
          <w:w w:val="99"/>
        </w:rPr>
        <w:t>股，占公司股份比例为</w:t>
      </w:r>
      <w:r>
        <w:rPr>
          <w:rFonts w:ascii="Arial" w:hAnsi="Arial" w:cs="Arial" w:eastAsia="Arial" w:hint="default"/>
          <w:spacing w:val="-6"/>
          <w:w w:val="99"/>
        </w:rPr>
        <w:t>0.27%</w:t>
      </w:r>
      <w:r>
        <w:rPr>
          <w:spacing w:val="-6"/>
          <w:w w:val="99"/>
        </w:rPr>
        <w:t>。</w:t>
      </w:r>
    </w:p>
    <w:p>
      <w:pPr>
        <w:spacing w:line="240" w:lineRule="auto" w:before="2"/>
        <w:rPr>
          <w:rFonts w:ascii="宋体" w:hAnsi="宋体" w:cs="宋体" w:eastAsia="宋体" w:hint="default"/>
          <w:sz w:val="26"/>
          <w:szCs w:val="26"/>
        </w:rPr>
      </w:pPr>
    </w:p>
    <w:p>
      <w:pPr>
        <w:pStyle w:val="Heading2"/>
        <w:spacing w:line="240" w:lineRule="auto"/>
        <w:ind w:left="213" w:right="1513"/>
        <w:jc w:val="left"/>
        <w:rPr>
          <w:b w:val="0"/>
          <w:bCs w:val="0"/>
        </w:rPr>
      </w:pPr>
      <w:bookmarkStart w:name="6.3.2 公司控股股东情况" w:id="187"/>
      <w:bookmarkEnd w:id="187"/>
      <w:r>
        <w:rPr>
          <w:b w:val="0"/>
          <w:bCs w:val="0"/>
        </w:rPr>
      </w:r>
      <w:r>
        <w:rPr>
          <w:rFonts w:ascii="Trebuchet MS" w:hAnsi="Trebuchet MS" w:cs="Trebuchet MS" w:eastAsia="Trebuchet MS" w:hint="default"/>
        </w:rPr>
        <w:t>6.3.2</w:t>
      </w:r>
      <w:r>
        <w:rPr>
          <w:rFonts w:ascii="Trebuchet MS" w:hAnsi="Trebuchet MS" w:cs="Trebuchet MS" w:eastAsia="Trebuchet MS" w:hint="default"/>
          <w:spacing w:val="-18"/>
        </w:rPr>
        <w:t> </w:t>
      </w:r>
      <w:r>
        <w:rPr/>
        <w:t>公司控股股东情况</w:t>
      </w:r>
      <w:r>
        <w:rPr>
          <w:b w:val="0"/>
          <w:bCs w:val="0"/>
        </w:rPr>
      </w:r>
    </w:p>
    <w:p>
      <w:pPr>
        <w:spacing w:line="240" w:lineRule="auto" w:before="8"/>
        <w:rPr>
          <w:rFonts w:ascii="Microsoft JhengHei" w:hAnsi="Microsoft JhengHei" w:cs="Microsoft JhengHei" w:eastAsia="Microsoft JhengHei" w:hint="default"/>
          <w:b/>
          <w:bCs/>
          <w:sz w:val="30"/>
          <w:szCs w:val="30"/>
        </w:rPr>
      </w:pPr>
    </w:p>
    <w:p>
      <w:pPr>
        <w:pStyle w:val="BodyText"/>
        <w:spacing w:line="408" w:lineRule="auto"/>
        <w:ind w:left="213" w:right="8233"/>
        <w:jc w:val="left"/>
      </w:pPr>
      <w:r>
        <w:rPr/>
        <w:t>控股股东性质：自然人控股 控股股东类型：法人</w:t>
      </w:r>
    </w:p>
    <w:tbl>
      <w:tblPr>
        <w:tblW w:w="0" w:type="auto"/>
        <w:jc w:val="left"/>
        <w:tblInd w:w="101" w:type="dxa"/>
        <w:tblLayout w:type="fixed"/>
        <w:tblCellMar>
          <w:top w:w="0" w:type="dxa"/>
          <w:left w:w="0" w:type="dxa"/>
          <w:bottom w:w="0" w:type="dxa"/>
          <w:right w:w="0" w:type="dxa"/>
        </w:tblCellMar>
        <w:tblLook w:val="01E0"/>
      </w:tblPr>
      <w:tblGrid>
        <w:gridCol w:w="1997"/>
        <w:gridCol w:w="1122"/>
        <w:gridCol w:w="993"/>
        <w:gridCol w:w="1276"/>
        <w:gridCol w:w="4181"/>
      </w:tblGrid>
      <w:tr>
        <w:trPr>
          <w:trHeight w:val="1021" w:hRule="exact"/>
        </w:trPr>
        <w:tc>
          <w:tcPr>
            <w:tcW w:w="199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34"/>
              <w:ind w:left="458"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12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34"/>
              <w:ind w:left="110" w:right="0"/>
              <w:jc w:val="left"/>
              <w:rPr>
                <w:rFonts w:ascii="宋体" w:hAnsi="宋体" w:cs="宋体" w:eastAsia="宋体" w:hint="default"/>
                <w:sz w:val="18"/>
                <w:szCs w:val="18"/>
              </w:rPr>
            </w:pPr>
            <w:r>
              <w:rPr>
                <w:rFonts w:ascii="宋体" w:hAnsi="宋体" w:cs="宋体" w:eastAsia="宋体" w:hint="default"/>
                <w:sz w:val="18"/>
                <w:szCs w:val="18"/>
              </w:rPr>
              <w:t>法定代表人</w:t>
            </w:r>
          </w:p>
          <w:p>
            <w:pPr>
              <w:pStyle w:val="TableParagraph"/>
              <w:spacing w:line="302" w:lineRule="auto" w:before="75"/>
              <w:ind w:left="470" w:right="161" w:hanging="31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单位负责</w:t>
            </w:r>
            <w:r>
              <w:rPr>
                <w:rFonts w:ascii="宋体" w:hAnsi="宋体" w:cs="宋体" w:eastAsia="宋体" w:hint="default"/>
                <w:spacing w:val="-62"/>
                <w:sz w:val="18"/>
                <w:szCs w:val="18"/>
              </w:rPr>
              <w:t> </w:t>
            </w:r>
            <w:r>
              <w:rPr>
                <w:rFonts w:ascii="宋体" w:hAnsi="宋体" w:cs="宋体" w:eastAsia="宋体" w:hint="default"/>
                <w:w w:val="110"/>
                <w:sz w:val="18"/>
                <w:szCs w:val="18"/>
              </w:rPr>
              <w:t>人</w:t>
            </w:r>
          </w:p>
        </w:tc>
        <w:tc>
          <w:tcPr>
            <w:tcW w:w="99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34"/>
              <w:ind w:left="135"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27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34"/>
              <w:ind w:left="547" w:right="186"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c>
          <w:tcPr>
            <w:tcW w:w="41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655" w:hRule="exact"/>
        </w:trPr>
        <w:tc>
          <w:tcPr>
            <w:tcW w:w="199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39"/>
              <w:ind w:left="108" w:right="267"/>
              <w:jc w:val="left"/>
              <w:rPr>
                <w:rFonts w:ascii="宋体" w:hAnsi="宋体" w:cs="宋体" w:eastAsia="宋体" w:hint="default"/>
                <w:sz w:val="18"/>
                <w:szCs w:val="18"/>
              </w:rPr>
            </w:pPr>
            <w:r>
              <w:rPr>
                <w:rFonts w:ascii="宋体" w:hAnsi="宋体" w:cs="宋体" w:eastAsia="宋体" w:hint="default"/>
                <w:sz w:val="18"/>
                <w:szCs w:val="18"/>
              </w:rPr>
              <w:t>深圳市神州通投资集 团有限公司</w:t>
            </w:r>
          </w:p>
        </w:tc>
        <w:tc>
          <w:tcPr>
            <w:tcW w:w="1122" w:type="dxa"/>
            <w:tcBorders>
              <w:top w:val="single" w:sz="4" w:space="0" w:color="5B9BD4"/>
              <w:left w:val="nil" w:sz="6" w:space="0" w:color="auto"/>
              <w:bottom w:val="single" w:sz="4" w:space="0" w:color="5B9BD4"/>
              <w:right w:val="nil" w:sz="6" w:space="0" w:color="auto"/>
            </w:tcBorders>
          </w:tcPr>
          <w:p>
            <w:pPr>
              <w:pStyle w:val="TableParagraph"/>
              <w:spacing w:line="240" w:lineRule="auto" w:before="39"/>
              <w:ind w:left="108" w:right="0"/>
              <w:jc w:val="left"/>
              <w:rPr>
                <w:rFonts w:ascii="宋体" w:hAnsi="宋体" w:cs="宋体" w:eastAsia="宋体" w:hint="default"/>
                <w:sz w:val="18"/>
                <w:szCs w:val="18"/>
              </w:rPr>
            </w:pPr>
            <w:r>
              <w:rPr>
                <w:rFonts w:ascii="宋体" w:hAnsi="宋体" w:cs="宋体" w:eastAsia="宋体" w:hint="default"/>
                <w:sz w:val="18"/>
                <w:szCs w:val="18"/>
              </w:rPr>
              <w:t>黄绍武</w:t>
            </w:r>
          </w:p>
        </w:tc>
        <w:tc>
          <w:tcPr>
            <w:tcW w:w="99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39"/>
              <w:ind w:left="108" w:right="0"/>
              <w:jc w:val="left"/>
              <w:rPr>
                <w:rFonts w:ascii="宋体" w:hAnsi="宋体" w:cs="宋体" w:eastAsia="宋体" w:hint="default"/>
                <w:sz w:val="18"/>
                <w:szCs w:val="18"/>
              </w:rPr>
            </w:pPr>
            <w:r>
              <w:rPr>
                <w:rFonts w:ascii="Arial" w:hAnsi="Arial" w:cs="Arial" w:eastAsia="Arial" w:hint="default"/>
                <w:sz w:val="18"/>
                <w:szCs w:val="18"/>
              </w:rPr>
              <w:t>2001</w:t>
            </w:r>
            <w:r>
              <w:rPr>
                <w:rFonts w:ascii="Arial" w:hAnsi="Arial" w:cs="Arial" w:eastAsia="Arial" w:hint="default"/>
                <w:spacing w:val="-11"/>
                <w:sz w:val="18"/>
                <w:szCs w:val="18"/>
              </w:rPr>
              <w:t> </w:t>
            </w:r>
            <w:r>
              <w:rPr>
                <w:rFonts w:ascii="宋体" w:hAnsi="宋体" w:cs="宋体" w:eastAsia="宋体" w:hint="default"/>
                <w:sz w:val="18"/>
                <w:szCs w:val="18"/>
              </w:rPr>
              <w:t>年</w:t>
            </w:r>
          </w:p>
          <w:p>
            <w:pPr>
              <w:pStyle w:val="TableParagraph"/>
              <w:spacing w:line="240" w:lineRule="auto" w:before="62"/>
              <w:ind w:left="108" w:right="0"/>
              <w:jc w:val="left"/>
              <w:rPr>
                <w:rFonts w:ascii="Arial" w:hAnsi="Arial" w:cs="Arial" w:eastAsia="Arial" w:hint="default"/>
                <w:sz w:val="18"/>
                <w:szCs w:val="18"/>
              </w:rPr>
            </w:pPr>
            <w:r>
              <w:rPr>
                <w:rFonts w:ascii="Arial" w:hAnsi="Arial" w:cs="Arial" w:eastAsia="Arial" w:hint="default"/>
                <w:sz w:val="18"/>
                <w:szCs w:val="18"/>
              </w:rPr>
              <w:t>01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w:hAnsi="Arial" w:cs="Arial" w:eastAsia="Arial" w:hint="default"/>
                <w:sz w:val="18"/>
                <w:szCs w:val="18"/>
              </w:rPr>
              <w:t>15</w:t>
            </w:r>
          </w:p>
          <w:p>
            <w:pPr>
              <w:pStyle w:val="TableParagraph"/>
              <w:spacing w:line="240" w:lineRule="auto" w:before="65"/>
              <w:ind w:left="10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6" w:type="dxa"/>
            <w:tcBorders>
              <w:top w:val="single" w:sz="4" w:space="0" w:color="5B9BD4"/>
              <w:left w:val="nil" w:sz="6" w:space="0" w:color="auto"/>
              <w:bottom w:val="single" w:sz="4" w:space="0" w:color="5B9BD4"/>
              <w:right w:val="nil" w:sz="6" w:space="0" w:color="auto"/>
            </w:tcBorders>
          </w:tcPr>
          <w:p>
            <w:pPr>
              <w:pStyle w:val="TableParagraph"/>
              <w:spacing w:line="240" w:lineRule="auto" w:before="80"/>
              <w:ind w:left="108" w:right="0"/>
              <w:jc w:val="left"/>
              <w:rPr>
                <w:rFonts w:ascii="Arial" w:hAnsi="Arial" w:cs="Arial" w:eastAsia="Arial" w:hint="default"/>
                <w:sz w:val="18"/>
                <w:szCs w:val="18"/>
              </w:rPr>
            </w:pPr>
            <w:r>
              <w:rPr>
                <w:rFonts w:ascii="Arial"/>
                <w:sz w:val="18"/>
              </w:rPr>
              <w:t>72619721-X</w:t>
            </w:r>
          </w:p>
        </w:tc>
        <w:tc>
          <w:tcPr>
            <w:tcW w:w="41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39"/>
              <w:ind w:left="107" w:right="105"/>
              <w:jc w:val="both"/>
              <w:rPr>
                <w:rFonts w:ascii="宋体" w:hAnsi="宋体" w:cs="宋体" w:eastAsia="宋体" w:hint="default"/>
                <w:sz w:val="18"/>
                <w:szCs w:val="18"/>
              </w:rPr>
            </w:pPr>
            <w:r>
              <w:rPr>
                <w:rFonts w:ascii="宋体" w:hAnsi="宋体" w:cs="宋体" w:eastAsia="宋体" w:hint="default"/>
                <w:spacing w:val="-8"/>
                <w:sz w:val="18"/>
                <w:szCs w:val="18"/>
              </w:rPr>
              <w:t>投资兴办实业（具体项目另行申报）；国内商业、物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资供销业（不含专营、专卖、专控商品）；计算机信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息技术咨询服务；计算机软件的开发；经济信息与 </w:t>
            </w:r>
            <w:r>
              <w:rPr>
                <w:rFonts w:ascii="宋体" w:hAnsi="宋体" w:cs="宋体" w:eastAsia="宋体" w:hint="default"/>
                <w:spacing w:val="-8"/>
                <w:sz w:val="18"/>
                <w:szCs w:val="18"/>
              </w:rPr>
              <w:t>企业管理咨询（不含限制项目）；市场营销与企业形</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象策划；投资咨询；资产管理。</w:t>
            </w:r>
          </w:p>
        </w:tc>
      </w:tr>
    </w:tbl>
    <w:p>
      <w:pPr>
        <w:pStyle w:val="BodyText"/>
        <w:spacing w:line="240" w:lineRule="auto" w:before="46"/>
        <w:ind w:left="214" w:right="1513"/>
        <w:jc w:val="left"/>
      </w:pPr>
      <w:r>
        <w:rPr/>
        <w:t>公司报告期控股股东未发生变更。</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2"/>
        <w:spacing w:line="240" w:lineRule="auto"/>
        <w:ind w:left="214" w:right="1513"/>
        <w:jc w:val="left"/>
        <w:rPr>
          <w:b w:val="0"/>
          <w:bCs w:val="0"/>
        </w:rPr>
      </w:pPr>
      <w:bookmarkStart w:name="6.3.3 公司实际控制人情况" w:id="188"/>
      <w:bookmarkEnd w:id="188"/>
      <w:r>
        <w:rPr>
          <w:b w:val="0"/>
          <w:bCs w:val="0"/>
        </w:rPr>
      </w:r>
      <w:r>
        <w:rPr>
          <w:rFonts w:ascii="Trebuchet MS" w:hAnsi="Trebuchet MS" w:cs="Trebuchet MS" w:eastAsia="Trebuchet MS" w:hint="default"/>
        </w:rPr>
        <w:t>6.3.3</w:t>
      </w:r>
      <w:r>
        <w:rPr>
          <w:rFonts w:ascii="Trebuchet MS" w:hAnsi="Trebuchet MS" w:cs="Trebuchet MS" w:eastAsia="Trebuchet MS" w:hint="default"/>
          <w:spacing w:val="-18"/>
        </w:rPr>
        <w:t> </w:t>
      </w:r>
      <w:r>
        <w:rPr/>
        <w:t>公司实际控制人情况</w:t>
      </w:r>
      <w:r>
        <w:rPr>
          <w:b w:val="0"/>
          <w:bCs w:val="0"/>
        </w:rPr>
      </w:r>
    </w:p>
    <w:p>
      <w:pPr>
        <w:spacing w:line="240" w:lineRule="auto" w:before="8"/>
        <w:rPr>
          <w:rFonts w:ascii="Microsoft JhengHei" w:hAnsi="Microsoft JhengHei" w:cs="Microsoft JhengHei" w:eastAsia="Microsoft JhengHei" w:hint="default"/>
          <w:b/>
          <w:bCs/>
          <w:sz w:val="30"/>
          <w:szCs w:val="30"/>
        </w:rPr>
      </w:pPr>
    </w:p>
    <w:p>
      <w:pPr>
        <w:pStyle w:val="BodyText"/>
        <w:spacing w:line="408" w:lineRule="auto"/>
        <w:ind w:left="214" w:right="8022"/>
        <w:jc w:val="left"/>
      </w:pPr>
      <w:r>
        <w:rPr/>
        <w:t>实际控制人性质：境内自然人 实际控制人类型：自然人</w:t>
      </w:r>
    </w:p>
    <w:tbl>
      <w:tblPr>
        <w:tblW w:w="0" w:type="auto"/>
        <w:jc w:val="left"/>
        <w:tblInd w:w="222" w:type="dxa"/>
        <w:tblLayout w:type="fixed"/>
        <w:tblCellMar>
          <w:top w:w="0" w:type="dxa"/>
          <w:left w:w="0" w:type="dxa"/>
          <w:bottom w:w="0" w:type="dxa"/>
          <w:right w:w="0" w:type="dxa"/>
        </w:tblCellMar>
        <w:tblLook w:val="01E0"/>
      </w:tblPr>
      <w:tblGrid>
        <w:gridCol w:w="3398"/>
        <w:gridCol w:w="2309"/>
        <w:gridCol w:w="3834"/>
      </w:tblGrid>
      <w:tr>
        <w:trPr>
          <w:trHeight w:val="402" w:hRule="exact"/>
        </w:trPr>
        <w:tc>
          <w:tcPr>
            <w:tcW w:w="339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34"/>
              <w:ind w:left="1065"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34"/>
              <w:ind w:left="8"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3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34"/>
              <w:ind w:left="66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9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34"/>
              <w:ind w:left="13" w:right="0"/>
              <w:jc w:val="left"/>
              <w:rPr>
                <w:rFonts w:ascii="宋体" w:hAnsi="宋体" w:cs="宋体" w:eastAsia="宋体" w:hint="default"/>
                <w:sz w:val="18"/>
                <w:szCs w:val="18"/>
              </w:rPr>
            </w:pPr>
            <w:r>
              <w:rPr>
                <w:rFonts w:ascii="宋体" w:hAnsi="宋体" w:cs="宋体" w:eastAsia="宋体" w:hint="default"/>
                <w:sz w:val="18"/>
                <w:szCs w:val="18"/>
              </w:rPr>
              <w:t>黄绍武</w:t>
            </w:r>
          </w:p>
        </w:tc>
        <w:tc>
          <w:tcPr>
            <w:tcW w:w="230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34" w:type="dxa"/>
            <w:tcBorders>
              <w:top w:val="single" w:sz="4" w:space="0" w:color="5B9BD4"/>
              <w:left w:val="single" w:sz="12" w:space="0" w:color="DEEAF6"/>
              <w:bottom w:val="single" w:sz="4" w:space="0" w:color="5B9BD4"/>
              <w:right w:val="nil" w:sz="6" w:space="0" w:color="auto"/>
            </w:tcBorders>
          </w:tcPr>
          <w:p>
            <w:pPr>
              <w:pStyle w:val="TableParagraph"/>
              <w:spacing w:line="240" w:lineRule="auto" w:before="34"/>
              <w:ind w:left="1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3398" w:type="dxa"/>
            <w:tcBorders>
              <w:top w:val="single" w:sz="4" w:space="0" w:color="5B9BD4"/>
              <w:left w:val="nil" w:sz="6" w:space="0" w:color="auto"/>
              <w:bottom w:val="nil" w:sz="6" w:space="0" w:color="auto"/>
              <w:right w:val="nil" w:sz="6" w:space="0" w:color="auto"/>
            </w:tcBorders>
            <w:shd w:val="clear" w:color="auto" w:fill="DEEAF6"/>
          </w:tcPr>
          <w:p>
            <w:pPr/>
          </w:p>
        </w:tc>
        <w:tc>
          <w:tcPr>
            <w:tcW w:w="6144" w:type="dxa"/>
            <w:gridSpan w:val="2"/>
            <w:vMerge w:val="restart"/>
            <w:tcBorders>
              <w:top w:val="single" w:sz="4" w:space="0" w:color="5B9BD4"/>
              <w:left w:val="single" w:sz="11" w:space="0" w:color="DEEAF6"/>
              <w:right w:val="nil" w:sz="6" w:space="0" w:color="auto"/>
            </w:tcBorders>
          </w:tcPr>
          <w:p>
            <w:pPr>
              <w:pStyle w:val="TableParagraph"/>
              <w:spacing w:line="240" w:lineRule="auto" w:before="34"/>
              <w:ind w:left="21" w:right="0"/>
              <w:jc w:val="left"/>
              <w:rPr>
                <w:rFonts w:ascii="宋体" w:hAnsi="宋体" w:cs="宋体" w:eastAsia="宋体" w:hint="default"/>
                <w:sz w:val="18"/>
                <w:szCs w:val="18"/>
              </w:rPr>
            </w:pPr>
            <w:r>
              <w:rPr>
                <w:rFonts w:ascii="宋体" w:hAnsi="宋体" w:cs="宋体" w:eastAsia="宋体" w:hint="default"/>
                <w:spacing w:val="-1"/>
                <w:sz w:val="18"/>
                <w:szCs w:val="18"/>
              </w:rPr>
              <w:t>深圳市神州通投资集团有限公司董事长、深圳市全球星投资管理有限公司董事</w:t>
            </w:r>
          </w:p>
          <w:p>
            <w:pPr>
              <w:pStyle w:val="TableParagraph"/>
              <w:spacing w:line="229" w:lineRule="exact" w:before="77"/>
              <w:ind w:left="21" w:right="0"/>
              <w:jc w:val="left"/>
              <w:rPr>
                <w:rFonts w:ascii="宋体" w:hAnsi="宋体" w:cs="宋体" w:eastAsia="宋体" w:hint="default"/>
                <w:sz w:val="18"/>
                <w:szCs w:val="18"/>
              </w:rPr>
            </w:pPr>
            <w:r>
              <w:rPr>
                <w:rFonts w:ascii="宋体" w:hAnsi="宋体" w:cs="宋体" w:eastAsia="宋体" w:hint="default"/>
                <w:sz w:val="18"/>
                <w:szCs w:val="18"/>
              </w:rPr>
              <w:t>长、本公司董事</w:t>
            </w:r>
          </w:p>
        </w:tc>
      </w:tr>
      <w:tr>
        <w:trPr>
          <w:trHeight w:val="392" w:hRule="exact"/>
        </w:trPr>
        <w:tc>
          <w:tcPr>
            <w:tcW w:w="3398"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34"/>
              <w:ind w:left="1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44" w:type="dxa"/>
            <w:gridSpan w:val="2"/>
            <w:vMerge/>
            <w:tcBorders>
              <w:left w:val="single" w:sz="11" w:space="0" w:color="DEEAF6"/>
              <w:bottom w:val="nil" w:sz="6" w:space="0" w:color="auto"/>
              <w:right w:val="nil" w:sz="6" w:space="0" w:color="auto"/>
            </w:tcBorders>
          </w:tcPr>
          <w:p>
            <w:pPr/>
          </w:p>
        </w:tc>
      </w:tr>
      <w:tr>
        <w:trPr>
          <w:trHeight w:val="161" w:hRule="exact"/>
        </w:trPr>
        <w:tc>
          <w:tcPr>
            <w:tcW w:w="9541" w:type="dxa"/>
            <w:gridSpan w:val="3"/>
            <w:tcBorders>
              <w:top w:val="nil" w:sz="6" w:space="0" w:color="auto"/>
              <w:left w:val="nil" w:sz="6" w:space="0" w:color="auto"/>
              <w:bottom w:val="single" w:sz="4" w:space="0" w:color="5B9BD4"/>
              <w:right w:val="nil" w:sz="6" w:space="0" w:color="auto"/>
            </w:tcBorders>
          </w:tcPr>
          <w:p>
            <w:pPr/>
          </w:p>
        </w:tc>
      </w:tr>
      <w:tr>
        <w:trPr>
          <w:trHeight w:val="402" w:hRule="exact"/>
        </w:trPr>
        <w:tc>
          <w:tcPr>
            <w:tcW w:w="339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34"/>
              <w:ind w:left="13"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7"/>
                <w:sz w:val="18"/>
                <w:szCs w:val="18"/>
              </w:rPr>
              <w:t> </w:t>
            </w:r>
            <w:r>
              <w:rPr>
                <w:rFonts w:ascii="Arial" w:hAnsi="Arial" w:cs="Arial" w:eastAsia="Arial" w:hint="default"/>
                <w:sz w:val="18"/>
                <w:szCs w:val="18"/>
              </w:rPr>
              <w:t>10</w:t>
            </w:r>
            <w:r>
              <w:rPr>
                <w:rFonts w:ascii="Arial" w:hAnsi="Arial" w:cs="Arial" w:eastAsia="Arial" w:hint="default"/>
                <w:spacing w:val="-7"/>
                <w:sz w:val="18"/>
                <w:szCs w:val="18"/>
              </w:rPr>
              <w:t> </w:t>
            </w:r>
            <w:r>
              <w:rPr>
                <w:rFonts w:ascii="宋体" w:hAnsi="宋体" w:cs="宋体" w:eastAsia="宋体" w:hint="default"/>
                <w:sz w:val="18"/>
                <w:szCs w:val="18"/>
              </w:rPr>
              <w:t>年曾控股的境内外上市公司情况</w:t>
            </w:r>
          </w:p>
        </w:tc>
        <w:tc>
          <w:tcPr>
            <w:tcW w:w="6144" w:type="dxa"/>
            <w:gridSpan w:val="2"/>
            <w:tcBorders>
              <w:top w:val="single" w:sz="4" w:space="0" w:color="5B9BD4"/>
              <w:left w:val="single" w:sz="11" w:space="0" w:color="DEEAF6"/>
              <w:bottom w:val="single" w:sz="4" w:space="0" w:color="5B9BD4"/>
              <w:right w:val="nil" w:sz="6" w:space="0" w:color="auto"/>
            </w:tcBorders>
          </w:tcPr>
          <w:p>
            <w:pPr>
              <w:pStyle w:val="TableParagraph"/>
              <w:spacing w:line="240" w:lineRule="auto" w:before="34"/>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6"/>
        <w:ind w:left="214" w:right="1513"/>
        <w:jc w:val="left"/>
      </w:pPr>
      <w:r>
        <w:rPr/>
        <w:t>公司报告期实际控制人未发生变更。</w:t>
      </w:r>
    </w:p>
    <w:p>
      <w:pPr>
        <w:spacing w:line="240" w:lineRule="auto" w:before="10"/>
        <w:rPr>
          <w:rFonts w:ascii="宋体" w:hAnsi="宋体" w:cs="宋体" w:eastAsia="宋体" w:hint="default"/>
          <w:sz w:val="14"/>
          <w:szCs w:val="14"/>
        </w:rPr>
      </w:pPr>
    </w:p>
    <w:p>
      <w:pPr>
        <w:pStyle w:val="BodyText"/>
        <w:spacing w:line="240" w:lineRule="auto"/>
        <w:ind w:left="2723" w:right="1513"/>
        <w:jc w:val="left"/>
      </w:pPr>
      <w:r>
        <w:rPr/>
        <w:t>公司与实际控制人之间的产权及控制关系的方框图</w:t>
      </w:r>
    </w:p>
    <w:p>
      <w:pPr>
        <w:spacing w:after="0" w:line="240" w:lineRule="auto"/>
        <w:jc w:val="left"/>
        <w:sectPr>
          <w:pgSz w:w="11910" w:h="16840"/>
          <w:pgMar w:header="877" w:footer="979" w:top="1100" w:bottom="1160" w:left="92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p>
      <w:pPr>
        <w:spacing w:line="4822" w:lineRule="exact"/>
        <w:ind w:left="1098" w:right="0" w:firstLine="0"/>
        <w:rPr>
          <w:rFonts w:ascii="宋体" w:hAnsi="宋体" w:cs="宋体" w:eastAsia="宋体" w:hint="default"/>
          <w:sz w:val="20"/>
          <w:szCs w:val="20"/>
        </w:rPr>
      </w:pPr>
      <w:r>
        <w:rPr>
          <w:rFonts w:ascii="宋体" w:hAnsi="宋体" w:cs="宋体" w:eastAsia="宋体" w:hint="default"/>
          <w:position w:val="-95"/>
          <w:sz w:val="20"/>
          <w:szCs w:val="20"/>
        </w:rPr>
        <w:drawing>
          <wp:inline distT="0" distB="0" distL="0" distR="0">
            <wp:extent cx="4898445" cy="3062001"/>
            <wp:effectExtent l="0" t="0" r="0" b="0"/>
            <wp:docPr id="1" name="image9.png" descr=""/>
            <wp:cNvGraphicFramePr>
              <a:graphicFrameLocks noChangeAspect="1"/>
            </wp:cNvGraphicFramePr>
            <a:graphic>
              <a:graphicData uri="http://schemas.openxmlformats.org/drawingml/2006/picture">
                <pic:pic>
                  <pic:nvPicPr>
                    <pic:cNvPr id="2" name="image9.png"/>
                    <pic:cNvPicPr/>
                  </pic:nvPicPr>
                  <pic:blipFill>
                    <a:blip r:embed="rId41" cstate="print"/>
                    <a:stretch>
                      <a:fillRect/>
                    </a:stretch>
                  </pic:blipFill>
                  <pic:spPr>
                    <a:xfrm>
                      <a:off x="0" y="0"/>
                      <a:ext cx="4898445" cy="3062001"/>
                    </a:xfrm>
                    <a:prstGeom prst="rect">
                      <a:avLst/>
                    </a:prstGeom>
                  </pic:spPr>
                </pic:pic>
              </a:graphicData>
            </a:graphic>
          </wp:inline>
        </w:drawing>
      </w:r>
      <w:r>
        <w:rPr>
          <w:rFonts w:ascii="宋体" w:hAnsi="宋体" w:cs="宋体" w:eastAsia="宋体" w:hint="default"/>
          <w:position w:val="-95"/>
          <w:sz w:val="20"/>
          <w:szCs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2"/>
        <w:spacing w:line="348" w:lineRule="exact"/>
        <w:ind w:right="0"/>
        <w:jc w:val="left"/>
        <w:rPr>
          <w:b w:val="0"/>
          <w:bCs w:val="0"/>
        </w:rPr>
      </w:pPr>
      <w:bookmarkStart w:name="6.3.4 其他持股在10%以上的法人股东" w:id="189"/>
      <w:bookmarkEnd w:id="189"/>
      <w:r>
        <w:rPr>
          <w:b w:val="0"/>
          <w:bCs w:val="0"/>
        </w:rPr>
      </w:r>
      <w:r>
        <w:rPr>
          <w:rFonts w:ascii="Trebuchet MS" w:hAnsi="Trebuchet MS" w:cs="Trebuchet MS" w:eastAsia="Trebuchet MS" w:hint="default"/>
        </w:rPr>
        <w:t>6.3.4 </w:t>
      </w:r>
      <w:r>
        <w:rPr/>
        <w:t>其他持股在</w:t>
      </w:r>
      <w:r>
        <w:rPr>
          <w:spacing w:val="-12"/>
        </w:rPr>
        <w:t> </w:t>
      </w:r>
      <w:r>
        <w:rPr>
          <w:rFonts w:ascii="Trebuchet MS" w:hAnsi="Trebuchet MS" w:cs="Trebuchet MS" w:eastAsia="Trebuchet MS" w:hint="default"/>
        </w:rPr>
        <w:t>10%</w:t>
      </w:r>
      <w:r>
        <w:rPr/>
        <w:t>以上的法人股东</w:t>
      </w:r>
      <w:r>
        <w:rPr>
          <w:b w:val="0"/>
          <w:bCs w:val="0"/>
        </w:rPr>
      </w:r>
    </w:p>
    <w:p>
      <w:pPr>
        <w:spacing w:line="240" w:lineRule="auto" w:before="9"/>
        <w:rPr>
          <w:rFonts w:ascii="Microsoft JhengHei" w:hAnsi="Microsoft JhengHei" w:cs="Microsoft JhengHei" w:eastAsia="Microsoft JhengHei"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313"/>
        <w:gridCol w:w="1021"/>
        <w:gridCol w:w="1830"/>
        <w:gridCol w:w="1042"/>
        <w:gridCol w:w="4335"/>
      </w:tblGrid>
      <w:tr>
        <w:trPr>
          <w:trHeight w:val="161" w:hRule="exact"/>
        </w:trPr>
        <w:tc>
          <w:tcPr>
            <w:tcW w:w="1313" w:type="dxa"/>
            <w:tcBorders>
              <w:top w:val="single" w:sz="4" w:space="0" w:color="5B9BD4"/>
              <w:left w:val="nil" w:sz="6" w:space="0" w:color="auto"/>
              <w:bottom w:val="nil" w:sz="6" w:space="0" w:color="auto"/>
              <w:right w:val="nil" w:sz="6" w:space="0" w:color="auto"/>
            </w:tcBorders>
            <w:shd w:val="clear" w:color="auto" w:fill="DEEAF6"/>
          </w:tcPr>
          <w:p>
            <w:pPr/>
          </w:p>
        </w:tc>
        <w:tc>
          <w:tcPr>
            <w:tcW w:w="1021" w:type="dxa"/>
            <w:vMerge w:val="restart"/>
            <w:tcBorders>
              <w:top w:val="single" w:sz="4" w:space="0" w:color="5B9BD4"/>
              <w:left w:val="nil" w:sz="6" w:space="0" w:color="auto"/>
              <w:right w:val="nil" w:sz="6" w:space="0" w:color="auto"/>
            </w:tcBorders>
            <w:shd w:val="clear" w:color="auto" w:fill="DEEAF6"/>
          </w:tcPr>
          <w:p>
            <w:pPr>
              <w:pStyle w:val="TableParagraph"/>
              <w:spacing w:line="302" w:lineRule="auto" w:before="47"/>
              <w:ind w:left="54" w:right="26" w:hanging="40"/>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Arial" w:hAnsi="Arial" w:cs="Arial" w:eastAsia="Arial" w:hint="default"/>
                <w:sz w:val="18"/>
                <w:szCs w:val="18"/>
              </w:rPr>
              <w:t>/</w:t>
            </w:r>
            <w:r>
              <w:rPr>
                <w:rFonts w:ascii="Arial" w:hAnsi="Arial" w:cs="Arial" w:eastAsia="Arial" w:hint="default"/>
                <w:spacing w:val="-22"/>
                <w:sz w:val="18"/>
                <w:szCs w:val="18"/>
              </w:rPr>
              <w:t> </w:t>
            </w:r>
            <w:r>
              <w:rPr>
                <w:rFonts w:ascii="宋体" w:hAnsi="宋体" w:cs="宋体" w:eastAsia="宋体" w:hint="default"/>
                <w:sz w:val="18"/>
                <w:szCs w:val="18"/>
              </w:rPr>
              <w:t>单位负责人</w:t>
            </w:r>
          </w:p>
        </w:tc>
        <w:tc>
          <w:tcPr>
            <w:tcW w:w="7207" w:type="dxa"/>
            <w:gridSpan w:val="3"/>
            <w:tcBorders>
              <w:top w:val="single" w:sz="4" w:space="0" w:color="5B9BD4"/>
              <w:left w:val="nil" w:sz="6" w:space="0" w:color="auto"/>
              <w:bottom w:val="nil" w:sz="6" w:space="0" w:color="auto"/>
              <w:right w:val="nil" w:sz="6" w:space="0" w:color="auto"/>
            </w:tcBorders>
            <w:shd w:val="clear" w:color="auto" w:fill="DEEAF6"/>
          </w:tcPr>
          <w:p>
            <w:pPr/>
          </w:p>
        </w:tc>
      </w:tr>
      <w:tr>
        <w:trPr>
          <w:trHeight w:val="392" w:hRule="exact"/>
        </w:trPr>
        <w:tc>
          <w:tcPr>
            <w:tcW w:w="1313"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7"/>
              <w:ind w:left="101"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021" w:type="dxa"/>
            <w:vMerge/>
            <w:tcBorders>
              <w:left w:val="nil" w:sz="6" w:space="0" w:color="auto"/>
              <w:right w:val="nil" w:sz="6" w:space="0" w:color="auto"/>
            </w:tcBorders>
            <w:shd w:val="clear" w:color="auto" w:fill="DEEAF6"/>
          </w:tcPr>
          <w:p>
            <w:pPr/>
          </w:p>
        </w:tc>
        <w:tc>
          <w:tcPr>
            <w:tcW w:w="1830"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7"/>
              <w:ind w:left="554"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042"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7"/>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4335"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7"/>
              <w:ind w:left="1180"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161" w:hRule="exact"/>
        </w:trPr>
        <w:tc>
          <w:tcPr>
            <w:tcW w:w="1313" w:type="dxa"/>
            <w:tcBorders>
              <w:top w:val="nil" w:sz="6" w:space="0" w:color="auto"/>
              <w:left w:val="nil" w:sz="6" w:space="0" w:color="auto"/>
              <w:bottom w:val="single" w:sz="4" w:space="0" w:color="5B9BD4"/>
              <w:right w:val="nil" w:sz="6" w:space="0" w:color="auto"/>
            </w:tcBorders>
            <w:shd w:val="clear" w:color="auto" w:fill="DEEAF6"/>
          </w:tcPr>
          <w:p>
            <w:pPr/>
          </w:p>
        </w:tc>
        <w:tc>
          <w:tcPr>
            <w:tcW w:w="1021" w:type="dxa"/>
            <w:vMerge/>
            <w:tcBorders>
              <w:left w:val="nil" w:sz="6" w:space="0" w:color="auto"/>
              <w:bottom w:val="single" w:sz="4" w:space="0" w:color="5B9BD4"/>
              <w:right w:val="nil" w:sz="6" w:space="0" w:color="auto"/>
            </w:tcBorders>
            <w:shd w:val="clear" w:color="auto" w:fill="DEEAF6"/>
          </w:tcPr>
          <w:p>
            <w:pPr/>
          </w:p>
        </w:tc>
        <w:tc>
          <w:tcPr>
            <w:tcW w:w="7207" w:type="dxa"/>
            <w:gridSpan w:val="3"/>
            <w:tcBorders>
              <w:top w:val="nil" w:sz="6" w:space="0" w:color="auto"/>
              <w:left w:val="nil" w:sz="6" w:space="0" w:color="auto"/>
              <w:bottom w:val="single" w:sz="4" w:space="0" w:color="5B9BD4"/>
              <w:right w:val="nil" w:sz="6" w:space="0" w:color="auto"/>
            </w:tcBorders>
            <w:shd w:val="clear" w:color="auto" w:fill="DEEAF6"/>
          </w:tcPr>
          <w:p>
            <w:pPr/>
          </w:p>
        </w:tc>
      </w:tr>
      <w:tr>
        <w:trPr>
          <w:trHeight w:val="1098" w:hRule="exact"/>
        </w:trPr>
        <w:tc>
          <w:tcPr>
            <w:tcW w:w="1313" w:type="dxa"/>
            <w:tcBorders>
              <w:top w:val="single" w:sz="4" w:space="0" w:color="5B9BD4"/>
              <w:left w:val="nil" w:sz="6" w:space="0" w:color="auto"/>
              <w:bottom w:val="nil" w:sz="6" w:space="0" w:color="auto"/>
              <w:right w:val="nil" w:sz="6" w:space="0" w:color="auto"/>
            </w:tcBorders>
            <w:shd w:val="clear" w:color="auto" w:fill="DEEAF6"/>
          </w:tcPr>
          <w:p>
            <w:pPr/>
          </w:p>
        </w:tc>
        <w:tc>
          <w:tcPr>
            <w:tcW w:w="1021"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黄绍武</w:t>
            </w:r>
          </w:p>
        </w:tc>
        <w:tc>
          <w:tcPr>
            <w:tcW w:w="1830" w:type="dxa"/>
            <w:vMerge w:val="restart"/>
            <w:tcBorders>
              <w:top w:val="single" w:sz="4" w:space="0" w:color="5B9BD4"/>
              <w:left w:val="nil" w:sz="6" w:space="0" w:color="auto"/>
              <w:right w:val="nil" w:sz="6" w:space="0" w:color="auto"/>
            </w:tcBorders>
            <w:shd w:val="clear" w:color="auto" w:fill="DEEAF6"/>
          </w:tcPr>
          <w:p>
            <w:pPr/>
          </w:p>
        </w:tc>
        <w:tc>
          <w:tcPr>
            <w:tcW w:w="1042" w:type="dxa"/>
            <w:vMerge w:val="restart"/>
            <w:tcBorders>
              <w:top w:val="single" w:sz="4" w:space="0" w:color="5B9BD4"/>
              <w:left w:val="nil" w:sz="6" w:space="0" w:color="auto"/>
              <w:right w:val="single" w:sz="12" w:space="0" w:color="DEEAF6"/>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7" w:right="0"/>
              <w:jc w:val="left"/>
              <w:rPr>
                <w:rFonts w:ascii="宋体" w:hAnsi="宋体" w:cs="宋体" w:eastAsia="宋体" w:hint="default"/>
                <w:sz w:val="18"/>
                <w:szCs w:val="18"/>
              </w:rPr>
            </w:pPr>
            <w:r>
              <w:rPr>
                <w:rFonts w:ascii="Arial" w:hAnsi="Arial" w:cs="Arial" w:eastAsia="Arial" w:hint="default"/>
                <w:sz w:val="18"/>
                <w:szCs w:val="18"/>
              </w:rPr>
              <w:t>1600</w:t>
            </w:r>
            <w:r>
              <w:rPr>
                <w:rFonts w:ascii="Arial" w:hAnsi="Arial" w:cs="Arial" w:eastAsia="Arial" w:hint="default"/>
                <w:spacing w:val="-11"/>
                <w:sz w:val="18"/>
                <w:szCs w:val="18"/>
              </w:rPr>
              <w:t> </w:t>
            </w:r>
            <w:r>
              <w:rPr>
                <w:rFonts w:ascii="宋体" w:hAnsi="宋体" w:cs="宋体" w:eastAsia="宋体" w:hint="default"/>
                <w:sz w:val="18"/>
                <w:szCs w:val="18"/>
              </w:rPr>
              <w:t>万元</w:t>
            </w:r>
          </w:p>
        </w:tc>
        <w:tc>
          <w:tcPr>
            <w:tcW w:w="4335"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7"/>
              <w:ind w:left="21" w:right="-7"/>
              <w:jc w:val="left"/>
              <w:rPr>
                <w:rFonts w:ascii="宋体" w:hAnsi="宋体" w:cs="宋体" w:eastAsia="宋体" w:hint="default"/>
                <w:sz w:val="18"/>
                <w:szCs w:val="18"/>
              </w:rPr>
            </w:pPr>
            <w:r>
              <w:rPr>
                <w:rFonts w:ascii="宋体" w:hAnsi="宋体" w:cs="宋体" w:eastAsia="宋体" w:hint="default"/>
                <w:spacing w:val="-4"/>
                <w:sz w:val="18"/>
                <w:szCs w:val="18"/>
              </w:rPr>
              <w:t>兴办实业（具体项目另行申报）；国内商业、物资供销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业（不含专营、专控、专卖商品）；从事货物、技术进</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出口业务（法律、行政法规、国务院决定禁止的项目除</w:t>
            </w:r>
            <w:r>
              <w:rPr>
                <w:rFonts w:ascii="宋体" w:hAnsi="宋体" w:cs="宋体" w:eastAsia="宋体" w:hint="default"/>
                <w:sz w:val="18"/>
                <w:szCs w:val="18"/>
              </w:rPr>
              <w:t> </w:t>
            </w:r>
            <w:r>
              <w:rPr>
                <w:rFonts w:ascii="宋体" w:hAnsi="宋体" w:cs="宋体" w:eastAsia="宋体" w:hint="default"/>
                <w:spacing w:val="-4"/>
                <w:sz w:val="18"/>
                <w:szCs w:val="18"/>
              </w:rPr>
              <w:t>外，限制的项目须取得许可后方可经营）；计算机信息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技术咨询、经济信息咨询、企业管理咨询、投资咨询、 受托资产管理（以上均不含证券、保险、基金、银行、 </w:t>
            </w:r>
            <w:r>
              <w:rPr>
                <w:rFonts w:ascii="宋体" w:hAnsi="宋体" w:cs="宋体" w:eastAsia="宋体" w:hint="default"/>
                <w:spacing w:val="-4"/>
                <w:sz w:val="18"/>
                <w:szCs w:val="18"/>
              </w:rPr>
              <w:t>金融业务、人才中介服务及其它限制项目）；计算机软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件开发；市场营销策划；企业形象策划；山茶油的技术</w:t>
            </w:r>
            <w:r>
              <w:rPr>
                <w:rFonts w:ascii="宋体" w:hAnsi="宋体" w:cs="宋体" w:eastAsia="宋体" w:hint="default"/>
                <w:sz w:val="18"/>
                <w:szCs w:val="18"/>
              </w:rPr>
              <w:t> </w:t>
            </w:r>
            <w:r>
              <w:rPr>
                <w:rFonts w:ascii="宋体" w:hAnsi="宋体" w:cs="宋体" w:eastAsia="宋体" w:hint="default"/>
                <w:spacing w:val="-1"/>
                <w:sz w:val="18"/>
                <w:szCs w:val="18"/>
              </w:rPr>
              <w:t>开发（以上项目法律、行政法规、国务院决定禁止的项</w:t>
            </w:r>
            <w:r>
              <w:rPr>
                <w:rFonts w:ascii="宋体" w:hAnsi="宋体" w:cs="宋体" w:eastAsia="宋体" w:hint="default"/>
                <w:sz w:val="18"/>
                <w:szCs w:val="18"/>
              </w:rPr>
              <w:t> </w:t>
            </w:r>
            <w:r>
              <w:rPr>
                <w:rFonts w:ascii="宋体" w:hAnsi="宋体" w:cs="宋体" w:eastAsia="宋体" w:hint="default"/>
                <w:spacing w:val="-5"/>
                <w:sz w:val="18"/>
                <w:szCs w:val="18"/>
              </w:rPr>
              <w:t>目除外，限制的项目须取得许可后方可经营）。</w:t>
            </w:r>
          </w:p>
        </w:tc>
      </w:tr>
      <w:tr>
        <w:trPr>
          <w:trHeight w:val="312" w:hRule="exact"/>
        </w:trPr>
        <w:tc>
          <w:tcPr>
            <w:tcW w:w="1313"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46"/>
              <w:ind w:left="13" w:right="216"/>
              <w:jc w:val="both"/>
              <w:rPr>
                <w:rFonts w:ascii="宋体" w:hAnsi="宋体" w:cs="宋体" w:eastAsia="宋体" w:hint="default"/>
                <w:sz w:val="18"/>
                <w:szCs w:val="18"/>
              </w:rPr>
            </w:pPr>
            <w:r>
              <w:rPr>
                <w:rFonts w:ascii="宋体" w:hAnsi="宋体" w:cs="宋体" w:eastAsia="宋体" w:hint="default"/>
                <w:sz w:val="18"/>
                <w:szCs w:val="18"/>
              </w:rPr>
              <w:t>深圳市全球星 投资管理有限 公司</w:t>
            </w:r>
          </w:p>
        </w:tc>
        <w:tc>
          <w:tcPr>
            <w:tcW w:w="1021" w:type="dxa"/>
            <w:vMerge/>
            <w:tcBorders>
              <w:left w:val="nil" w:sz="6" w:space="0" w:color="auto"/>
              <w:right w:val="nil" w:sz="6" w:space="0" w:color="auto"/>
            </w:tcBorders>
          </w:tcPr>
          <w:p>
            <w:pPr/>
          </w:p>
        </w:tc>
        <w:tc>
          <w:tcPr>
            <w:tcW w:w="1830" w:type="dxa"/>
            <w:vMerge/>
            <w:tcBorders>
              <w:left w:val="nil" w:sz="6" w:space="0" w:color="auto"/>
              <w:bottom w:val="nil" w:sz="6" w:space="0" w:color="auto"/>
              <w:right w:val="nil" w:sz="6" w:space="0" w:color="auto"/>
            </w:tcBorders>
            <w:shd w:val="clear" w:color="auto" w:fill="DEEAF6"/>
          </w:tcPr>
          <w:p>
            <w:pPr/>
          </w:p>
        </w:tc>
        <w:tc>
          <w:tcPr>
            <w:tcW w:w="1042" w:type="dxa"/>
            <w:vMerge/>
            <w:tcBorders>
              <w:left w:val="nil" w:sz="6" w:space="0" w:color="auto"/>
              <w:right w:val="single" w:sz="12" w:space="0" w:color="DEEAF6"/>
            </w:tcBorders>
          </w:tcPr>
          <w:p>
            <w:pPr/>
          </w:p>
        </w:tc>
        <w:tc>
          <w:tcPr>
            <w:tcW w:w="4335" w:type="dxa"/>
            <w:vMerge/>
            <w:tcBorders>
              <w:left w:val="nil" w:sz="6" w:space="0" w:color="auto"/>
              <w:right w:val="nil" w:sz="6" w:space="0" w:color="auto"/>
            </w:tcBorders>
            <w:shd w:val="clear" w:color="auto" w:fill="DEEAF6"/>
          </w:tcPr>
          <w:p>
            <w:pPr/>
          </w:p>
        </w:tc>
      </w:tr>
      <w:tr>
        <w:trPr>
          <w:trHeight w:val="391" w:hRule="exact"/>
        </w:trPr>
        <w:tc>
          <w:tcPr>
            <w:tcW w:w="1313" w:type="dxa"/>
            <w:vMerge/>
            <w:tcBorders>
              <w:left w:val="nil" w:sz="6" w:space="0" w:color="auto"/>
              <w:right w:val="nil" w:sz="6" w:space="0" w:color="auto"/>
            </w:tcBorders>
            <w:shd w:val="clear" w:color="auto" w:fill="DEEAF6"/>
          </w:tcPr>
          <w:p>
            <w:pPr/>
          </w:p>
        </w:tc>
        <w:tc>
          <w:tcPr>
            <w:tcW w:w="1021" w:type="dxa"/>
            <w:vMerge/>
            <w:tcBorders>
              <w:left w:val="nil" w:sz="6" w:space="0" w:color="auto"/>
              <w:right w:val="nil" w:sz="6" w:space="0" w:color="auto"/>
            </w:tcBorders>
          </w:tcPr>
          <w:p>
            <w:pPr/>
          </w:p>
        </w:tc>
        <w:tc>
          <w:tcPr>
            <w:tcW w:w="1830"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27" w:right="0"/>
              <w:jc w:val="left"/>
              <w:rPr>
                <w:rFonts w:ascii="宋体" w:hAnsi="宋体" w:cs="宋体" w:eastAsia="宋体" w:hint="default"/>
                <w:sz w:val="18"/>
                <w:szCs w:val="18"/>
              </w:rPr>
            </w:pPr>
            <w:r>
              <w:rPr>
                <w:rFonts w:ascii="Arial" w:hAnsi="Arial" w:cs="Arial" w:eastAsia="Arial" w:hint="default"/>
                <w:sz w:val="18"/>
                <w:szCs w:val="18"/>
              </w:rPr>
              <w:t>2000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01</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26</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042" w:type="dxa"/>
            <w:vMerge/>
            <w:tcBorders>
              <w:left w:val="nil" w:sz="6" w:space="0" w:color="auto"/>
              <w:right w:val="single" w:sz="12" w:space="0" w:color="DEEAF6"/>
            </w:tcBorders>
          </w:tcPr>
          <w:p>
            <w:pPr/>
          </w:p>
        </w:tc>
        <w:tc>
          <w:tcPr>
            <w:tcW w:w="4335" w:type="dxa"/>
            <w:vMerge/>
            <w:tcBorders>
              <w:left w:val="nil" w:sz="6" w:space="0" w:color="auto"/>
              <w:right w:val="nil" w:sz="6" w:space="0" w:color="auto"/>
            </w:tcBorders>
            <w:shd w:val="clear" w:color="auto" w:fill="DEEAF6"/>
          </w:tcPr>
          <w:p>
            <w:pPr/>
          </w:p>
        </w:tc>
      </w:tr>
      <w:tr>
        <w:trPr>
          <w:trHeight w:val="312" w:hRule="exact"/>
        </w:trPr>
        <w:tc>
          <w:tcPr>
            <w:tcW w:w="1313" w:type="dxa"/>
            <w:vMerge/>
            <w:tcBorders>
              <w:left w:val="nil" w:sz="6" w:space="0" w:color="auto"/>
              <w:bottom w:val="nil" w:sz="6" w:space="0" w:color="auto"/>
              <w:right w:val="nil" w:sz="6" w:space="0" w:color="auto"/>
            </w:tcBorders>
            <w:shd w:val="clear" w:color="auto" w:fill="DEEAF6"/>
          </w:tcPr>
          <w:p>
            <w:pPr/>
          </w:p>
        </w:tc>
        <w:tc>
          <w:tcPr>
            <w:tcW w:w="1021" w:type="dxa"/>
            <w:vMerge/>
            <w:tcBorders>
              <w:left w:val="nil" w:sz="6" w:space="0" w:color="auto"/>
              <w:right w:val="nil" w:sz="6" w:space="0" w:color="auto"/>
            </w:tcBorders>
          </w:tcPr>
          <w:p>
            <w:pPr/>
          </w:p>
        </w:tc>
        <w:tc>
          <w:tcPr>
            <w:tcW w:w="1830" w:type="dxa"/>
            <w:vMerge w:val="restart"/>
            <w:tcBorders>
              <w:top w:val="nil" w:sz="6" w:space="0" w:color="auto"/>
              <w:left w:val="nil" w:sz="6" w:space="0" w:color="auto"/>
              <w:right w:val="nil" w:sz="6" w:space="0" w:color="auto"/>
            </w:tcBorders>
            <w:shd w:val="clear" w:color="auto" w:fill="DEEAF6"/>
          </w:tcPr>
          <w:p>
            <w:pPr/>
          </w:p>
        </w:tc>
        <w:tc>
          <w:tcPr>
            <w:tcW w:w="1042" w:type="dxa"/>
            <w:vMerge/>
            <w:tcBorders>
              <w:left w:val="nil" w:sz="6" w:space="0" w:color="auto"/>
              <w:right w:val="single" w:sz="12" w:space="0" w:color="DEEAF6"/>
            </w:tcBorders>
          </w:tcPr>
          <w:p>
            <w:pPr/>
          </w:p>
        </w:tc>
        <w:tc>
          <w:tcPr>
            <w:tcW w:w="4335" w:type="dxa"/>
            <w:vMerge/>
            <w:tcBorders>
              <w:left w:val="nil" w:sz="6" w:space="0" w:color="auto"/>
              <w:right w:val="nil" w:sz="6" w:space="0" w:color="auto"/>
            </w:tcBorders>
            <w:shd w:val="clear" w:color="auto" w:fill="DEEAF6"/>
          </w:tcPr>
          <w:p>
            <w:pPr/>
          </w:p>
        </w:tc>
      </w:tr>
      <w:tr>
        <w:trPr>
          <w:trHeight w:val="1098" w:hRule="exact"/>
        </w:trPr>
        <w:tc>
          <w:tcPr>
            <w:tcW w:w="1313" w:type="dxa"/>
            <w:tcBorders>
              <w:top w:val="nil" w:sz="6" w:space="0" w:color="auto"/>
              <w:left w:val="nil" w:sz="6" w:space="0" w:color="auto"/>
              <w:bottom w:val="single" w:sz="4" w:space="0" w:color="5B9BD4"/>
              <w:right w:val="nil" w:sz="6" w:space="0" w:color="auto"/>
            </w:tcBorders>
            <w:shd w:val="clear" w:color="auto" w:fill="DEEAF6"/>
          </w:tcPr>
          <w:p>
            <w:pPr/>
          </w:p>
        </w:tc>
        <w:tc>
          <w:tcPr>
            <w:tcW w:w="1021" w:type="dxa"/>
            <w:vMerge/>
            <w:tcBorders>
              <w:left w:val="nil" w:sz="6" w:space="0" w:color="auto"/>
              <w:bottom w:val="single" w:sz="4" w:space="0" w:color="5B9BD4"/>
              <w:right w:val="nil" w:sz="6" w:space="0" w:color="auto"/>
            </w:tcBorders>
          </w:tcPr>
          <w:p>
            <w:pPr/>
          </w:p>
        </w:tc>
        <w:tc>
          <w:tcPr>
            <w:tcW w:w="1830" w:type="dxa"/>
            <w:vMerge/>
            <w:tcBorders>
              <w:left w:val="nil" w:sz="6" w:space="0" w:color="auto"/>
              <w:bottom w:val="single" w:sz="4" w:space="0" w:color="5B9BD4"/>
              <w:right w:val="nil" w:sz="6" w:space="0" w:color="auto"/>
            </w:tcBorders>
            <w:shd w:val="clear" w:color="auto" w:fill="DEEAF6"/>
          </w:tcPr>
          <w:p>
            <w:pPr/>
          </w:p>
        </w:tc>
        <w:tc>
          <w:tcPr>
            <w:tcW w:w="1042" w:type="dxa"/>
            <w:vMerge/>
            <w:tcBorders>
              <w:left w:val="nil" w:sz="6" w:space="0" w:color="auto"/>
              <w:bottom w:val="single" w:sz="4" w:space="0" w:color="5B9BD4"/>
              <w:right w:val="single" w:sz="12" w:space="0" w:color="DEEAF6"/>
            </w:tcBorders>
          </w:tcPr>
          <w:p>
            <w:pPr/>
          </w:p>
        </w:tc>
        <w:tc>
          <w:tcPr>
            <w:tcW w:w="4335" w:type="dxa"/>
            <w:vMerge/>
            <w:tcBorders>
              <w:left w:val="nil" w:sz="6" w:space="0" w:color="auto"/>
              <w:bottom w:val="single" w:sz="4" w:space="0" w:color="5B9BD4"/>
              <w:right w:val="nil" w:sz="6" w:space="0" w:color="auto"/>
            </w:tcBorders>
            <w:shd w:val="clear" w:color="auto" w:fill="DEEAF6"/>
          </w:tcPr>
          <w:p>
            <w:pPr/>
          </w:p>
        </w:tc>
      </w:tr>
    </w:tbl>
    <w:p>
      <w:pPr>
        <w:spacing w:line="240" w:lineRule="auto" w:before="0"/>
        <w:rPr>
          <w:rFonts w:ascii="宋体" w:hAnsi="宋体" w:cs="宋体" w:eastAsia="宋体" w:hint="default"/>
          <w:sz w:val="20"/>
          <w:szCs w:val="20"/>
        </w:rPr>
      </w:pPr>
    </w:p>
    <w:p>
      <w:pPr>
        <w:pStyle w:val="Heading2"/>
        <w:spacing w:line="240" w:lineRule="auto" w:before="73"/>
        <w:ind w:left="154" w:right="0"/>
        <w:jc w:val="left"/>
        <w:rPr>
          <w:b w:val="0"/>
          <w:bCs w:val="0"/>
        </w:rPr>
      </w:pPr>
      <w:bookmarkStart w:name="6.3.5 控股股东、实际控制人、重组方及其他承诺主体股份限制减持情况" w:id="190"/>
      <w:bookmarkEnd w:id="190"/>
      <w:r>
        <w:rPr>
          <w:b w:val="0"/>
          <w:bCs w:val="0"/>
        </w:rPr>
      </w:r>
      <w:r>
        <w:rPr>
          <w:rFonts w:ascii="Trebuchet MS" w:hAnsi="Trebuchet MS" w:cs="Trebuchet MS" w:eastAsia="Trebuchet MS" w:hint="default"/>
        </w:rPr>
        <w:t>6.3.5</w:t>
      </w:r>
      <w:r>
        <w:rPr>
          <w:rFonts w:ascii="Trebuchet MS" w:hAnsi="Trebuchet MS" w:cs="Trebuchet MS" w:eastAsia="Trebuchet MS" w:hint="default"/>
          <w:spacing w:val="-18"/>
        </w:rPr>
        <w:t> </w:t>
      </w:r>
      <w:r>
        <w:rPr/>
        <w:t>控股股东、实际控制人、重组方及其他承诺主体股份限制减持情况</w:t>
      </w:r>
      <w:r>
        <w:rPr>
          <w:b w:val="0"/>
          <w:bCs w:val="0"/>
        </w:rPr>
      </w:r>
    </w:p>
    <w:p>
      <w:pPr>
        <w:spacing w:line="240" w:lineRule="auto" w:before="9"/>
        <w:rPr>
          <w:rFonts w:ascii="Microsoft JhengHei" w:hAnsi="Microsoft JhengHei" w:cs="Microsoft JhengHei" w:eastAsia="Microsoft JhengHei"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1"/>
        <w:spacing w:line="409" w:lineRule="exact"/>
        <w:ind w:left="3396" w:right="0"/>
        <w:jc w:val="left"/>
        <w:rPr>
          <w:b w:val="0"/>
          <w:bCs w:val="0"/>
        </w:rPr>
      </w:pPr>
      <w:bookmarkStart w:name="第七节 优先股相关情况" w:id="191"/>
      <w:bookmarkEnd w:id="191"/>
      <w:r>
        <w:rPr>
          <w:b w:val="0"/>
          <w:bCs w:val="0"/>
        </w:rPr>
      </w:r>
      <w:bookmarkStart w:name="_bookmark55" w:id="192"/>
      <w:bookmarkEnd w:id="192"/>
      <w:r>
        <w:rPr>
          <w:b w:val="0"/>
          <w:bCs w:val="0"/>
        </w:rPr>
      </w:r>
      <w:r>
        <w:rPr>
          <w:color w:val="2D74B5"/>
        </w:rPr>
        <w:t>第七节  优先股相关情况</w:t>
      </w:r>
      <w:r>
        <w:rPr>
          <w:b w:val="0"/>
          <w:bCs w:val="0"/>
        </w:rPr>
      </w:r>
    </w:p>
    <w:p>
      <w:pPr>
        <w:spacing w:line="240" w:lineRule="auto" w:before="3"/>
        <w:rPr>
          <w:rFonts w:ascii="Microsoft JhengHei" w:hAnsi="Microsoft JhengHei" w:cs="Microsoft JhengHei" w:eastAsia="Microsoft JhengHei" w:hint="default"/>
          <w:b/>
          <w:bCs/>
          <w:sz w:val="29"/>
          <w:szCs w:val="29"/>
        </w:rPr>
      </w:pPr>
    </w:p>
    <w:p>
      <w:pPr>
        <w:spacing w:before="29"/>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2"/>
          <w:szCs w:val="12"/>
        </w:rPr>
      </w:pPr>
    </w:p>
    <w:p>
      <w:pPr>
        <w:pStyle w:val="BodyText"/>
        <w:spacing w:line="240" w:lineRule="auto"/>
        <w:ind w:right="0"/>
        <w:jc w:val="left"/>
      </w:pPr>
      <w:r>
        <w:rPr/>
        <w:t>报告期公司不存在优先股。</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
          <w:szCs w:val="2"/>
        </w:rPr>
      </w:pPr>
    </w:p>
    <w:p>
      <w:pPr>
        <w:spacing w:line="20" w:lineRule="exact"/>
        <w:ind w:left="5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Heading1"/>
        <w:spacing w:line="409" w:lineRule="exact"/>
        <w:ind w:left="4441" w:right="0"/>
        <w:jc w:val="left"/>
        <w:rPr>
          <w:b w:val="0"/>
          <w:bCs w:val="0"/>
        </w:rPr>
      </w:pPr>
      <w:bookmarkStart w:name="第八节 董事、监事、高级管理人员和员工情况" w:id="193"/>
      <w:bookmarkEnd w:id="193"/>
      <w:r>
        <w:rPr>
          <w:b w:val="0"/>
          <w:bCs w:val="0"/>
        </w:rPr>
      </w:r>
      <w:bookmarkStart w:name="_bookmark56" w:id="194"/>
      <w:bookmarkEnd w:id="194"/>
      <w:r>
        <w:rPr>
          <w:b w:val="0"/>
          <w:bCs w:val="0"/>
        </w:rPr>
      </w:r>
      <w:r>
        <w:rPr>
          <w:color w:val="2D74B5"/>
        </w:rPr>
        <w:t>第八节  董事、监事、高级管理人员和员工情况</w:t>
      </w:r>
      <w:r>
        <w:rPr>
          <w:b w:val="0"/>
          <w:bCs w:val="0"/>
        </w:rPr>
      </w:r>
    </w:p>
    <w:p>
      <w:pPr>
        <w:spacing w:line="240" w:lineRule="auto" w:before="8"/>
        <w:rPr>
          <w:rFonts w:ascii="Microsoft JhengHei" w:hAnsi="Microsoft JhengHei" w:cs="Microsoft JhengHei" w:eastAsia="Microsoft JhengHei" w:hint="default"/>
          <w:b/>
          <w:bCs/>
          <w:sz w:val="28"/>
          <w:szCs w:val="28"/>
        </w:rPr>
      </w:pPr>
    </w:p>
    <w:p>
      <w:pPr>
        <w:pStyle w:val="Heading1"/>
        <w:spacing w:line="240" w:lineRule="auto"/>
        <w:ind w:left="540" w:right="0"/>
        <w:jc w:val="left"/>
        <w:rPr>
          <w:b w:val="0"/>
          <w:bCs w:val="0"/>
        </w:rPr>
      </w:pPr>
      <w:bookmarkStart w:name="8.1 董事、监事和高级管理人员持股变动" w:id="195"/>
      <w:bookmarkEnd w:id="195"/>
      <w:r>
        <w:rPr>
          <w:b w:val="0"/>
          <w:bCs w:val="0"/>
        </w:rPr>
      </w:r>
      <w:bookmarkStart w:name="_bookmark57" w:id="196"/>
      <w:bookmarkEnd w:id="196"/>
      <w:r>
        <w:rPr>
          <w:b w:val="0"/>
          <w:bCs w:val="0"/>
        </w:rPr>
      </w:r>
      <w:r>
        <w:rPr>
          <w:rFonts w:ascii="Trebuchet MS" w:hAnsi="Trebuchet MS" w:cs="Trebuchet MS" w:eastAsia="Trebuchet MS" w:hint="default"/>
        </w:rPr>
        <w:t>8.1</w:t>
      </w:r>
      <w:r>
        <w:rPr>
          <w:rFonts w:ascii="Trebuchet MS" w:hAnsi="Trebuchet MS" w:cs="Trebuchet MS" w:eastAsia="Trebuchet MS" w:hint="default"/>
          <w:spacing w:val="14"/>
        </w:rPr>
        <w:t> </w:t>
      </w:r>
      <w:r>
        <w:rPr/>
        <w:t>董事、监事和高级管理人员持股变动</w:t>
      </w:r>
      <w:r>
        <w:rPr>
          <w:b w:val="0"/>
          <w:bCs w:val="0"/>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09" w:type="dxa"/>
        <w:tblLayout w:type="fixed"/>
        <w:tblCellMar>
          <w:top w:w="0" w:type="dxa"/>
          <w:left w:w="0" w:type="dxa"/>
          <w:bottom w:w="0" w:type="dxa"/>
          <w:right w:w="0" w:type="dxa"/>
        </w:tblCellMar>
        <w:tblLook w:val="01E0"/>
      </w:tblPr>
      <w:tblGrid>
        <w:gridCol w:w="852"/>
        <w:gridCol w:w="993"/>
        <w:gridCol w:w="850"/>
        <w:gridCol w:w="426"/>
        <w:gridCol w:w="1417"/>
        <w:gridCol w:w="1417"/>
        <w:gridCol w:w="1852"/>
        <w:gridCol w:w="1711"/>
        <w:gridCol w:w="1744"/>
        <w:gridCol w:w="1382"/>
        <w:gridCol w:w="1443"/>
      </w:tblGrid>
      <w:tr>
        <w:trPr>
          <w:trHeight w:val="675" w:hRule="exact"/>
        </w:trPr>
        <w:tc>
          <w:tcPr>
            <w:tcW w:w="85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56"/>
              <w:ind w:right="245"/>
              <w:jc w:val="right"/>
              <w:rPr>
                <w:rFonts w:ascii="宋体" w:hAnsi="宋体" w:cs="宋体" w:eastAsia="宋体" w:hint="default"/>
                <w:sz w:val="18"/>
                <w:szCs w:val="18"/>
              </w:rPr>
            </w:pPr>
            <w:r>
              <w:rPr>
                <w:rFonts w:ascii="宋体" w:hAnsi="宋体" w:cs="宋体" w:eastAsia="宋体" w:hint="default"/>
                <w:sz w:val="18"/>
                <w:szCs w:val="18"/>
              </w:rPr>
              <w:t>姓名</w:t>
            </w:r>
          </w:p>
        </w:tc>
        <w:tc>
          <w:tcPr>
            <w:tcW w:w="993"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56"/>
              <w:ind w:left="31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50"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316" w:lineRule="auto" w:before="56"/>
              <w:ind w:left="334" w:right="152"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426"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316" w:lineRule="auto" w:before="56"/>
              <w:ind w:left="122" w:right="121"/>
              <w:jc w:val="left"/>
              <w:rPr>
                <w:rFonts w:ascii="宋体" w:hAnsi="宋体" w:cs="宋体" w:eastAsia="宋体" w:hint="default"/>
                <w:sz w:val="18"/>
                <w:szCs w:val="18"/>
              </w:rPr>
            </w:pPr>
            <w:r>
              <w:rPr>
                <w:rFonts w:ascii="宋体" w:hAnsi="宋体" w:cs="宋体" w:eastAsia="宋体" w:hint="default"/>
                <w:sz w:val="18"/>
                <w:szCs w:val="18"/>
              </w:rPr>
              <w:t>性 别</w:t>
            </w:r>
          </w:p>
        </w:tc>
        <w:tc>
          <w:tcPr>
            <w:tcW w:w="1417"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56"/>
              <w:ind w:left="168"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417"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56"/>
              <w:ind w:left="16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85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56"/>
              <w:ind w:left="205" w:right="0"/>
              <w:jc w:val="left"/>
              <w:rPr>
                <w:rFonts w:ascii="宋体" w:hAnsi="宋体" w:cs="宋体" w:eastAsia="宋体" w:hint="default"/>
                <w:sz w:val="18"/>
                <w:szCs w:val="18"/>
              </w:rPr>
            </w:pPr>
            <w:r>
              <w:rPr>
                <w:rFonts w:ascii="宋体" w:hAnsi="宋体" w:cs="宋体" w:eastAsia="宋体" w:hint="default"/>
                <w:sz w:val="18"/>
                <w:szCs w:val="18"/>
              </w:rPr>
              <w:t>期初持股数（股）</w:t>
            </w:r>
          </w:p>
        </w:tc>
        <w:tc>
          <w:tcPr>
            <w:tcW w:w="1711"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本期增持股份数量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74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本期减持股份数量</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138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其他增减变动</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443"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685" w:hRule="exact"/>
        </w:trPr>
        <w:tc>
          <w:tcPr>
            <w:tcW w:w="85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61"/>
              <w:ind w:right="203"/>
              <w:jc w:val="right"/>
              <w:rPr>
                <w:rFonts w:ascii="宋体" w:hAnsi="宋体" w:cs="宋体" w:eastAsia="宋体" w:hint="default"/>
                <w:sz w:val="18"/>
                <w:szCs w:val="18"/>
              </w:rPr>
            </w:pPr>
            <w:r>
              <w:rPr>
                <w:rFonts w:ascii="宋体" w:hAnsi="宋体" w:cs="宋体" w:eastAsia="宋体" w:hint="default"/>
                <w:sz w:val="18"/>
                <w:szCs w:val="18"/>
              </w:rPr>
              <w:t>黄文辉</w:t>
            </w:r>
          </w:p>
        </w:tc>
        <w:tc>
          <w:tcPr>
            <w:tcW w:w="993" w:type="dxa"/>
            <w:tcBorders>
              <w:top w:val="single" w:sz="4" w:space="0" w:color="2D74B5"/>
              <w:left w:val="nil" w:sz="6" w:space="0" w:color="auto"/>
              <w:bottom w:val="single" w:sz="4" w:space="0" w:color="2D74B5"/>
              <w:right w:val="nil" w:sz="6" w:space="0" w:color="auto"/>
            </w:tcBorders>
          </w:tcPr>
          <w:p>
            <w:pPr>
              <w:pStyle w:val="TableParagraph"/>
              <w:spacing w:line="240" w:lineRule="auto" w:before="61"/>
              <w:ind w:left="107"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50"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61"/>
              <w:ind w:left="10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2D74B5"/>
              <w:left w:val="nil" w:sz="6" w:space="0" w:color="auto"/>
              <w:bottom w:val="single" w:sz="4" w:space="0" w:color="2D74B5"/>
              <w:right w:val="nil" w:sz="6" w:space="0" w:color="auto"/>
            </w:tcBorders>
          </w:tcPr>
          <w:p>
            <w:pPr>
              <w:pStyle w:val="TableParagraph"/>
              <w:spacing w:line="240" w:lineRule="auto" w:before="61"/>
              <w:ind w:right="29"/>
              <w:jc w:val="center"/>
              <w:rPr>
                <w:rFonts w:ascii="宋体" w:hAnsi="宋体" w:cs="宋体" w:eastAsia="宋体" w:hint="default"/>
                <w:sz w:val="18"/>
                <w:szCs w:val="18"/>
              </w:rPr>
            </w:pPr>
            <w:r>
              <w:rPr>
                <w:rFonts w:ascii="宋体" w:hAnsi="宋体" w:cs="宋体" w:eastAsia="宋体" w:hint="default"/>
                <w:sz w:val="18"/>
                <w:szCs w:val="18"/>
              </w:rPr>
              <w:t>男</w:t>
            </w:r>
          </w:p>
        </w:tc>
        <w:tc>
          <w:tcPr>
            <w:tcW w:w="1417"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61"/>
              <w:ind w:left="108"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5"/>
              <w:ind w:left="108" w:right="0"/>
              <w:jc w:val="left"/>
              <w:rPr>
                <w:rFonts w:ascii="宋体" w:hAnsi="宋体" w:cs="宋体" w:eastAsia="宋体" w:hint="default"/>
                <w:sz w:val="18"/>
                <w:szCs w:val="18"/>
              </w:rPr>
            </w:pP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17" w:type="dxa"/>
            <w:tcBorders>
              <w:top w:val="single" w:sz="4" w:space="0" w:color="2D74B5"/>
              <w:left w:val="nil" w:sz="6" w:space="0" w:color="auto"/>
              <w:bottom w:val="single" w:sz="4" w:space="0" w:color="2D74B5"/>
              <w:right w:val="nil" w:sz="6" w:space="0" w:color="auto"/>
            </w:tcBorders>
          </w:tcPr>
          <w:p>
            <w:pPr>
              <w:pStyle w:val="TableParagraph"/>
              <w:spacing w:line="240" w:lineRule="auto" w:before="61"/>
              <w:ind w:left="108"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5"/>
              <w:ind w:left="108" w:right="0"/>
              <w:jc w:val="left"/>
              <w:rPr>
                <w:rFonts w:ascii="宋体" w:hAnsi="宋体" w:cs="宋体" w:eastAsia="宋体" w:hint="default"/>
                <w:sz w:val="18"/>
                <w:szCs w:val="18"/>
              </w:rPr>
            </w:pP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85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102"/>
              <w:ind w:right="106"/>
              <w:jc w:val="right"/>
              <w:rPr>
                <w:rFonts w:ascii="Arial" w:hAnsi="Arial" w:cs="Arial" w:eastAsia="Arial" w:hint="default"/>
                <w:sz w:val="18"/>
                <w:szCs w:val="18"/>
              </w:rPr>
            </w:pPr>
            <w:r>
              <w:rPr>
                <w:rFonts w:ascii="Arial"/>
                <w:w w:val="95"/>
                <w:sz w:val="18"/>
              </w:rPr>
              <w:t>12,332,000</w:t>
            </w:r>
            <w:r>
              <w:rPr>
                <w:rFonts w:ascii="Arial"/>
                <w:sz w:val="18"/>
              </w:rPr>
            </w:r>
          </w:p>
        </w:tc>
        <w:tc>
          <w:tcPr>
            <w:tcW w:w="1711" w:type="dxa"/>
            <w:tcBorders>
              <w:top w:val="single" w:sz="4" w:space="0" w:color="2D74B5"/>
              <w:left w:val="nil" w:sz="6" w:space="0" w:color="auto"/>
              <w:bottom w:val="single" w:sz="4" w:space="0" w:color="2D74B5"/>
              <w:right w:val="nil" w:sz="6" w:space="0" w:color="auto"/>
            </w:tcBorders>
          </w:tcPr>
          <w:p>
            <w:pPr>
              <w:pStyle w:val="TableParagraph"/>
              <w:spacing w:line="240" w:lineRule="auto" w:before="102"/>
              <w:ind w:right="105"/>
              <w:jc w:val="right"/>
              <w:rPr>
                <w:rFonts w:ascii="Arial" w:hAnsi="Arial" w:cs="Arial" w:eastAsia="Arial" w:hint="default"/>
                <w:sz w:val="18"/>
                <w:szCs w:val="18"/>
              </w:rPr>
            </w:pPr>
            <w:r>
              <w:rPr>
                <w:rFonts w:ascii="Arial"/>
                <w:w w:val="95"/>
                <w:sz w:val="18"/>
              </w:rPr>
              <w:t>183,500</w:t>
            </w:r>
            <w:r>
              <w:rPr>
                <w:rFonts w:ascii="Arial"/>
                <w:sz w:val="18"/>
              </w:rPr>
            </w:r>
          </w:p>
        </w:tc>
        <w:tc>
          <w:tcPr>
            <w:tcW w:w="174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102"/>
              <w:ind w:right="105"/>
              <w:jc w:val="right"/>
              <w:rPr>
                <w:rFonts w:ascii="Arial" w:hAnsi="Arial" w:cs="Arial" w:eastAsia="Arial" w:hint="default"/>
                <w:sz w:val="18"/>
                <w:szCs w:val="18"/>
              </w:rPr>
            </w:pPr>
            <w:r>
              <w:rPr>
                <w:rFonts w:ascii="Arial"/>
                <w:w w:val="95"/>
                <w:sz w:val="18"/>
              </w:rPr>
              <w:t>-1,000,000</w:t>
            </w:r>
            <w:r>
              <w:rPr>
                <w:rFonts w:ascii="Arial"/>
                <w:sz w:val="18"/>
              </w:rPr>
            </w:r>
          </w:p>
        </w:tc>
        <w:tc>
          <w:tcPr>
            <w:tcW w:w="1382" w:type="dxa"/>
            <w:tcBorders>
              <w:top w:val="single" w:sz="4" w:space="0" w:color="2D74B5"/>
              <w:left w:val="nil" w:sz="6" w:space="0" w:color="auto"/>
              <w:bottom w:val="single" w:sz="4" w:space="0" w:color="2D74B5"/>
              <w:right w:val="nil" w:sz="6" w:space="0" w:color="auto"/>
            </w:tcBorders>
          </w:tcPr>
          <w:p>
            <w:pPr>
              <w:pStyle w:val="TableParagraph"/>
              <w:spacing w:line="240" w:lineRule="auto" w:before="102"/>
              <w:ind w:right="105"/>
              <w:jc w:val="right"/>
              <w:rPr>
                <w:rFonts w:ascii="Arial" w:hAnsi="Arial" w:cs="Arial" w:eastAsia="Arial" w:hint="default"/>
                <w:sz w:val="18"/>
                <w:szCs w:val="18"/>
              </w:rPr>
            </w:pPr>
            <w:r>
              <w:rPr>
                <w:rFonts w:ascii="Arial"/>
                <w:w w:val="99"/>
                <w:sz w:val="18"/>
              </w:rPr>
              <w:t>0</w:t>
            </w:r>
            <w:r>
              <w:rPr>
                <w:rFonts w:ascii="Arial"/>
                <w:sz w:val="18"/>
              </w:rPr>
            </w:r>
          </w:p>
        </w:tc>
        <w:tc>
          <w:tcPr>
            <w:tcW w:w="1443"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102"/>
              <w:ind w:right="106"/>
              <w:jc w:val="right"/>
              <w:rPr>
                <w:rFonts w:ascii="Arial" w:hAnsi="Arial" w:cs="Arial" w:eastAsia="Arial" w:hint="default"/>
                <w:sz w:val="18"/>
                <w:szCs w:val="18"/>
              </w:rPr>
            </w:pPr>
            <w:r>
              <w:rPr>
                <w:rFonts w:ascii="Arial"/>
                <w:w w:val="95"/>
                <w:sz w:val="18"/>
              </w:rPr>
              <w:t>11,515,500</w:t>
            </w:r>
            <w:r>
              <w:rPr>
                <w:rFonts w:ascii="Arial"/>
                <w:sz w:val="18"/>
              </w:rPr>
            </w:r>
          </w:p>
        </w:tc>
      </w:tr>
      <w:tr>
        <w:trPr>
          <w:trHeight w:val="680" w:hRule="exact"/>
        </w:trPr>
        <w:tc>
          <w:tcPr>
            <w:tcW w:w="85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56"/>
              <w:ind w:right="203"/>
              <w:jc w:val="right"/>
              <w:rPr>
                <w:rFonts w:ascii="宋体" w:hAnsi="宋体" w:cs="宋体" w:eastAsia="宋体" w:hint="default"/>
                <w:sz w:val="18"/>
                <w:szCs w:val="18"/>
              </w:rPr>
            </w:pPr>
            <w:r>
              <w:rPr>
                <w:rFonts w:ascii="宋体" w:hAnsi="宋体" w:cs="宋体" w:eastAsia="宋体" w:hint="default"/>
                <w:sz w:val="18"/>
                <w:szCs w:val="18"/>
              </w:rPr>
              <w:t>周友盟</w:t>
            </w:r>
          </w:p>
        </w:tc>
        <w:tc>
          <w:tcPr>
            <w:tcW w:w="993" w:type="dxa"/>
            <w:tcBorders>
              <w:top w:val="single" w:sz="4" w:space="0" w:color="2D74B5"/>
              <w:left w:val="nil" w:sz="6" w:space="0" w:color="auto"/>
              <w:bottom w:val="single" w:sz="4" w:space="0" w:color="2D74B5"/>
              <w:right w:val="nil" w:sz="6" w:space="0" w:color="auto"/>
            </w:tcBorders>
          </w:tcPr>
          <w:p>
            <w:pPr>
              <w:pStyle w:val="TableParagraph"/>
              <w:spacing w:line="319" w:lineRule="auto" w:before="56"/>
              <w:ind w:left="107" w:right="162"/>
              <w:jc w:val="left"/>
              <w:rPr>
                <w:rFonts w:ascii="宋体" w:hAnsi="宋体" w:cs="宋体" w:eastAsia="宋体" w:hint="default"/>
                <w:sz w:val="18"/>
                <w:szCs w:val="18"/>
              </w:rPr>
            </w:pPr>
            <w:r>
              <w:rPr>
                <w:rFonts w:ascii="宋体" w:hAnsi="宋体" w:cs="宋体" w:eastAsia="宋体" w:hint="default"/>
                <w:sz w:val="18"/>
                <w:szCs w:val="18"/>
              </w:rPr>
              <w:t>副董事 长、总裁</w:t>
            </w:r>
          </w:p>
        </w:tc>
        <w:tc>
          <w:tcPr>
            <w:tcW w:w="850"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56"/>
              <w:ind w:left="10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2D74B5"/>
              <w:left w:val="nil" w:sz="6" w:space="0" w:color="auto"/>
              <w:bottom w:val="single" w:sz="4" w:space="0" w:color="2D74B5"/>
              <w:right w:val="nil" w:sz="6" w:space="0" w:color="auto"/>
            </w:tcBorders>
          </w:tcPr>
          <w:p>
            <w:pPr>
              <w:pStyle w:val="TableParagraph"/>
              <w:spacing w:line="240" w:lineRule="auto" w:before="56"/>
              <w:ind w:right="29"/>
              <w:jc w:val="center"/>
              <w:rPr>
                <w:rFonts w:ascii="宋体" w:hAnsi="宋体" w:cs="宋体" w:eastAsia="宋体" w:hint="default"/>
                <w:sz w:val="18"/>
                <w:szCs w:val="18"/>
              </w:rPr>
            </w:pPr>
            <w:r>
              <w:rPr>
                <w:rFonts w:ascii="宋体" w:hAnsi="宋体" w:cs="宋体" w:eastAsia="宋体" w:hint="default"/>
                <w:sz w:val="18"/>
                <w:szCs w:val="18"/>
              </w:rPr>
              <w:t>女</w:t>
            </w:r>
          </w:p>
        </w:tc>
        <w:tc>
          <w:tcPr>
            <w:tcW w:w="1417"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56"/>
              <w:ind w:left="108"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02</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4"/>
              <w:ind w:left="108" w:right="0"/>
              <w:jc w:val="left"/>
              <w:rPr>
                <w:rFonts w:ascii="宋体" w:hAnsi="宋体" w:cs="宋体" w:eastAsia="宋体" w:hint="default"/>
                <w:sz w:val="18"/>
                <w:szCs w:val="18"/>
              </w:rPr>
            </w:pPr>
            <w:r>
              <w:rPr>
                <w:rFonts w:ascii="Arial" w:hAnsi="Arial" w:cs="Arial" w:eastAsia="Arial" w:hint="default"/>
                <w:sz w:val="18"/>
                <w:szCs w:val="18"/>
              </w:rPr>
              <w:t>28</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17" w:type="dxa"/>
            <w:tcBorders>
              <w:top w:val="single" w:sz="4" w:space="0" w:color="2D74B5"/>
              <w:left w:val="nil" w:sz="6" w:space="0" w:color="auto"/>
              <w:bottom w:val="single" w:sz="4" w:space="0" w:color="2D74B5"/>
              <w:right w:val="nil" w:sz="6" w:space="0" w:color="auto"/>
            </w:tcBorders>
          </w:tcPr>
          <w:p>
            <w:pPr>
              <w:pStyle w:val="TableParagraph"/>
              <w:spacing w:line="240" w:lineRule="auto" w:before="56"/>
              <w:ind w:left="108"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4"/>
              <w:ind w:left="108" w:right="0"/>
              <w:jc w:val="left"/>
              <w:rPr>
                <w:rFonts w:ascii="宋体" w:hAnsi="宋体" w:cs="宋体" w:eastAsia="宋体" w:hint="default"/>
                <w:sz w:val="18"/>
                <w:szCs w:val="18"/>
              </w:rPr>
            </w:pP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85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97"/>
              <w:ind w:right="105"/>
              <w:jc w:val="right"/>
              <w:rPr>
                <w:rFonts w:ascii="Arial" w:hAnsi="Arial" w:cs="Arial" w:eastAsia="Arial" w:hint="default"/>
                <w:sz w:val="18"/>
                <w:szCs w:val="18"/>
              </w:rPr>
            </w:pPr>
            <w:r>
              <w:rPr>
                <w:rFonts w:ascii="Arial"/>
                <w:w w:val="99"/>
                <w:sz w:val="18"/>
              </w:rPr>
              <w:t>0</w:t>
            </w:r>
            <w:r>
              <w:rPr>
                <w:rFonts w:ascii="Arial"/>
                <w:sz w:val="18"/>
              </w:rPr>
            </w:r>
          </w:p>
        </w:tc>
        <w:tc>
          <w:tcPr>
            <w:tcW w:w="1711" w:type="dxa"/>
            <w:tcBorders>
              <w:top w:val="single" w:sz="4" w:space="0" w:color="2D74B5"/>
              <w:left w:val="nil" w:sz="6" w:space="0" w:color="auto"/>
              <w:bottom w:val="single" w:sz="4" w:space="0" w:color="2D74B5"/>
              <w:right w:val="nil" w:sz="6" w:space="0" w:color="auto"/>
            </w:tcBorders>
          </w:tcPr>
          <w:p>
            <w:pPr>
              <w:pStyle w:val="TableParagraph"/>
              <w:spacing w:line="240" w:lineRule="auto" w:before="97"/>
              <w:ind w:right="105"/>
              <w:jc w:val="right"/>
              <w:rPr>
                <w:rFonts w:ascii="Arial" w:hAnsi="Arial" w:cs="Arial" w:eastAsia="Arial" w:hint="default"/>
                <w:sz w:val="18"/>
                <w:szCs w:val="18"/>
              </w:rPr>
            </w:pPr>
            <w:r>
              <w:rPr>
                <w:rFonts w:ascii="Arial"/>
                <w:w w:val="99"/>
                <w:sz w:val="18"/>
              </w:rPr>
              <w:t>0</w:t>
            </w:r>
            <w:r>
              <w:rPr>
                <w:rFonts w:ascii="Arial"/>
                <w:sz w:val="18"/>
              </w:rPr>
            </w:r>
          </w:p>
        </w:tc>
        <w:tc>
          <w:tcPr>
            <w:tcW w:w="174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97"/>
              <w:ind w:right="105"/>
              <w:jc w:val="right"/>
              <w:rPr>
                <w:rFonts w:ascii="Arial" w:hAnsi="Arial" w:cs="Arial" w:eastAsia="Arial" w:hint="default"/>
                <w:sz w:val="18"/>
                <w:szCs w:val="18"/>
              </w:rPr>
            </w:pPr>
            <w:r>
              <w:rPr>
                <w:rFonts w:ascii="Arial"/>
                <w:w w:val="99"/>
                <w:sz w:val="18"/>
              </w:rPr>
              <w:t>0</w:t>
            </w:r>
            <w:r>
              <w:rPr>
                <w:rFonts w:ascii="Arial"/>
                <w:sz w:val="18"/>
              </w:rPr>
            </w:r>
          </w:p>
        </w:tc>
        <w:tc>
          <w:tcPr>
            <w:tcW w:w="1382" w:type="dxa"/>
            <w:tcBorders>
              <w:top w:val="single" w:sz="4" w:space="0" w:color="2D74B5"/>
              <w:left w:val="nil" w:sz="6" w:space="0" w:color="auto"/>
              <w:bottom w:val="single" w:sz="4" w:space="0" w:color="2D74B5"/>
              <w:right w:val="nil" w:sz="6" w:space="0" w:color="auto"/>
            </w:tcBorders>
          </w:tcPr>
          <w:p>
            <w:pPr>
              <w:pStyle w:val="TableParagraph"/>
              <w:spacing w:line="240" w:lineRule="auto" w:before="97"/>
              <w:ind w:right="105"/>
              <w:jc w:val="right"/>
              <w:rPr>
                <w:rFonts w:ascii="Arial" w:hAnsi="Arial" w:cs="Arial" w:eastAsia="Arial" w:hint="default"/>
                <w:sz w:val="18"/>
                <w:szCs w:val="18"/>
              </w:rPr>
            </w:pPr>
            <w:r>
              <w:rPr>
                <w:rFonts w:ascii="Arial"/>
                <w:w w:val="99"/>
                <w:sz w:val="18"/>
              </w:rPr>
              <w:t>0</w:t>
            </w:r>
            <w:r>
              <w:rPr>
                <w:rFonts w:ascii="Arial"/>
                <w:sz w:val="18"/>
              </w:rPr>
            </w:r>
          </w:p>
        </w:tc>
        <w:tc>
          <w:tcPr>
            <w:tcW w:w="1443"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97"/>
              <w:ind w:right="105"/>
              <w:jc w:val="right"/>
              <w:rPr>
                <w:rFonts w:ascii="Arial" w:hAnsi="Arial" w:cs="Arial" w:eastAsia="Arial" w:hint="default"/>
                <w:sz w:val="18"/>
                <w:szCs w:val="18"/>
              </w:rPr>
            </w:pPr>
            <w:r>
              <w:rPr>
                <w:rFonts w:ascii="Arial"/>
                <w:w w:val="99"/>
                <w:sz w:val="18"/>
              </w:rPr>
              <w:t>0</w:t>
            </w:r>
            <w:r>
              <w:rPr>
                <w:rFonts w:ascii="Arial"/>
                <w:sz w:val="18"/>
              </w:rPr>
            </w:r>
          </w:p>
        </w:tc>
      </w:tr>
      <w:tr>
        <w:trPr>
          <w:trHeight w:val="680" w:hRule="exact"/>
        </w:trPr>
        <w:tc>
          <w:tcPr>
            <w:tcW w:w="85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56"/>
              <w:ind w:right="203"/>
              <w:jc w:val="right"/>
              <w:rPr>
                <w:rFonts w:ascii="宋体" w:hAnsi="宋体" w:cs="宋体" w:eastAsia="宋体" w:hint="default"/>
                <w:sz w:val="18"/>
                <w:szCs w:val="18"/>
              </w:rPr>
            </w:pPr>
            <w:r>
              <w:rPr>
                <w:rFonts w:ascii="宋体" w:hAnsi="宋体" w:cs="宋体" w:eastAsia="宋体" w:hint="default"/>
                <w:sz w:val="18"/>
                <w:szCs w:val="18"/>
              </w:rPr>
              <w:t>黄绍武</w:t>
            </w:r>
          </w:p>
        </w:tc>
        <w:tc>
          <w:tcPr>
            <w:tcW w:w="993" w:type="dxa"/>
            <w:tcBorders>
              <w:top w:val="single" w:sz="4" w:space="0" w:color="2D74B5"/>
              <w:left w:val="nil" w:sz="6" w:space="0" w:color="auto"/>
              <w:bottom w:val="single" w:sz="4" w:space="0" w:color="2D74B5"/>
              <w:right w:val="nil" w:sz="6" w:space="0" w:color="auto"/>
            </w:tcBorders>
          </w:tcPr>
          <w:p>
            <w:pPr>
              <w:pStyle w:val="TableParagraph"/>
              <w:spacing w:line="240" w:lineRule="auto" w:before="56"/>
              <w:ind w:left="107"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56"/>
              <w:ind w:left="10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2D74B5"/>
              <w:left w:val="nil" w:sz="6" w:space="0" w:color="auto"/>
              <w:bottom w:val="single" w:sz="4" w:space="0" w:color="2D74B5"/>
              <w:right w:val="nil" w:sz="6" w:space="0" w:color="auto"/>
            </w:tcBorders>
          </w:tcPr>
          <w:p>
            <w:pPr>
              <w:pStyle w:val="TableParagraph"/>
              <w:spacing w:line="240" w:lineRule="auto" w:before="56"/>
              <w:ind w:right="29"/>
              <w:jc w:val="center"/>
              <w:rPr>
                <w:rFonts w:ascii="宋体" w:hAnsi="宋体" w:cs="宋体" w:eastAsia="宋体" w:hint="default"/>
                <w:sz w:val="18"/>
                <w:szCs w:val="18"/>
              </w:rPr>
            </w:pPr>
            <w:r>
              <w:rPr>
                <w:rFonts w:ascii="宋体" w:hAnsi="宋体" w:cs="宋体" w:eastAsia="宋体" w:hint="default"/>
                <w:sz w:val="18"/>
                <w:szCs w:val="18"/>
              </w:rPr>
              <w:t>男</w:t>
            </w:r>
          </w:p>
        </w:tc>
        <w:tc>
          <w:tcPr>
            <w:tcW w:w="1417"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56"/>
              <w:ind w:left="108"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8" w:right="0"/>
              <w:jc w:val="left"/>
              <w:rPr>
                <w:rFonts w:ascii="宋体" w:hAnsi="宋体" w:cs="宋体" w:eastAsia="宋体" w:hint="default"/>
                <w:sz w:val="18"/>
                <w:szCs w:val="18"/>
              </w:rPr>
            </w:pP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17" w:type="dxa"/>
            <w:tcBorders>
              <w:top w:val="single" w:sz="4" w:space="0" w:color="2D74B5"/>
              <w:left w:val="nil" w:sz="6" w:space="0" w:color="auto"/>
              <w:bottom w:val="single" w:sz="4" w:space="0" w:color="2D74B5"/>
              <w:right w:val="nil" w:sz="6" w:space="0" w:color="auto"/>
            </w:tcBorders>
          </w:tcPr>
          <w:p>
            <w:pPr>
              <w:pStyle w:val="TableParagraph"/>
              <w:spacing w:line="240" w:lineRule="auto" w:before="56"/>
              <w:ind w:left="108"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8" w:right="0"/>
              <w:jc w:val="left"/>
              <w:rPr>
                <w:rFonts w:ascii="宋体" w:hAnsi="宋体" w:cs="宋体" w:eastAsia="宋体" w:hint="default"/>
                <w:sz w:val="18"/>
                <w:szCs w:val="18"/>
              </w:rPr>
            </w:pP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85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98"/>
              <w:ind w:right="106"/>
              <w:jc w:val="right"/>
              <w:rPr>
                <w:rFonts w:ascii="Arial" w:hAnsi="Arial" w:cs="Arial" w:eastAsia="Arial" w:hint="default"/>
                <w:sz w:val="18"/>
                <w:szCs w:val="18"/>
              </w:rPr>
            </w:pPr>
            <w:r>
              <w:rPr>
                <w:rFonts w:ascii="Arial"/>
                <w:w w:val="95"/>
                <w:sz w:val="18"/>
              </w:rPr>
              <w:t>15,217,280</w:t>
            </w:r>
            <w:r>
              <w:rPr>
                <w:rFonts w:ascii="Arial"/>
                <w:sz w:val="18"/>
              </w:rPr>
            </w:r>
          </w:p>
        </w:tc>
        <w:tc>
          <w:tcPr>
            <w:tcW w:w="1711" w:type="dxa"/>
            <w:tcBorders>
              <w:top w:val="single" w:sz="4" w:space="0" w:color="2D74B5"/>
              <w:left w:val="nil" w:sz="6" w:space="0" w:color="auto"/>
              <w:bottom w:val="single" w:sz="4" w:space="0" w:color="2D74B5"/>
              <w:right w:val="nil" w:sz="6" w:space="0" w:color="auto"/>
            </w:tcBorders>
          </w:tcPr>
          <w:p>
            <w:pPr>
              <w:pStyle w:val="TableParagraph"/>
              <w:spacing w:line="240" w:lineRule="auto" w:before="98"/>
              <w:ind w:right="105"/>
              <w:jc w:val="right"/>
              <w:rPr>
                <w:rFonts w:ascii="Arial" w:hAnsi="Arial" w:cs="Arial" w:eastAsia="Arial" w:hint="default"/>
                <w:sz w:val="18"/>
                <w:szCs w:val="18"/>
              </w:rPr>
            </w:pPr>
            <w:r>
              <w:rPr>
                <w:rFonts w:ascii="Arial"/>
                <w:w w:val="95"/>
                <w:sz w:val="18"/>
              </w:rPr>
              <w:t>551,412</w:t>
            </w:r>
            <w:r>
              <w:rPr>
                <w:rFonts w:ascii="Arial"/>
                <w:sz w:val="18"/>
              </w:rPr>
            </w:r>
          </w:p>
        </w:tc>
        <w:tc>
          <w:tcPr>
            <w:tcW w:w="174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98"/>
              <w:ind w:right="105"/>
              <w:jc w:val="right"/>
              <w:rPr>
                <w:rFonts w:ascii="Arial" w:hAnsi="Arial" w:cs="Arial" w:eastAsia="Arial" w:hint="default"/>
                <w:sz w:val="18"/>
                <w:szCs w:val="18"/>
              </w:rPr>
            </w:pPr>
            <w:r>
              <w:rPr>
                <w:rFonts w:ascii="Arial"/>
                <w:w w:val="99"/>
                <w:sz w:val="18"/>
              </w:rPr>
              <w:t>0</w:t>
            </w:r>
            <w:r>
              <w:rPr>
                <w:rFonts w:ascii="Arial"/>
                <w:sz w:val="18"/>
              </w:rPr>
            </w:r>
          </w:p>
        </w:tc>
        <w:tc>
          <w:tcPr>
            <w:tcW w:w="1382" w:type="dxa"/>
            <w:tcBorders>
              <w:top w:val="single" w:sz="4" w:space="0" w:color="2D74B5"/>
              <w:left w:val="nil" w:sz="6" w:space="0" w:color="auto"/>
              <w:bottom w:val="single" w:sz="4" w:space="0" w:color="2D74B5"/>
              <w:right w:val="nil" w:sz="6" w:space="0" w:color="auto"/>
            </w:tcBorders>
          </w:tcPr>
          <w:p>
            <w:pPr>
              <w:pStyle w:val="TableParagraph"/>
              <w:spacing w:line="240" w:lineRule="auto" w:before="98"/>
              <w:ind w:right="105"/>
              <w:jc w:val="right"/>
              <w:rPr>
                <w:rFonts w:ascii="Arial" w:hAnsi="Arial" w:cs="Arial" w:eastAsia="Arial" w:hint="default"/>
                <w:sz w:val="18"/>
                <w:szCs w:val="18"/>
              </w:rPr>
            </w:pPr>
            <w:r>
              <w:rPr>
                <w:rFonts w:ascii="Arial"/>
                <w:w w:val="99"/>
                <w:sz w:val="18"/>
              </w:rPr>
              <w:t>0</w:t>
            </w:r>
            <w:r>
              <w:rPr>
                <w:rFonts w:ascii="Arial"/>
                <w:sz w:val="18"/>
              </w:rPr>
            </w:r>
          </w:p>
        </w:tc>
        <w:tc>
          <w:tcPr>
            <w:tcW w:w="1443"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98"/>
              <w:ind w:right="106"/>
              <w:jc w:val="right"/>
              <w:rPr>
                <w:rFonts w:ascii="Arial" w:hAnsi="Arial" w:cs="Arial" w:eastAsia="Arial" w:hint="default"/>
                <w:sz w:val="18"/>
                <w:szCs w:val="18"/>
              </w:rPr>
            </w:pPr>
            <w:r>
              <w:rPr>
                <w:rFonts w:ascii="Arial"/>
                <w:w w:val="95"/>
                <w:sz w:val="18"/>
              </w:rPr>
              <w:t>15,768,692</w:t>
            </w:r>
            <w:r>
              <w:rPr>
                <w:rFonts w:ascii="Arial"/>
                <w:sz w:val="18"/>
              </w:rPr>
            </w:r>
          </w:p>
        </w:tc>
      </w:tr>
      <w:tr>
        <w:trPr>
          <w:trHeight w:val="680" w:hRule="exact"/>
        </w:trPr>
        <w:tc>
          <w:tcPr>
            <w:tcW w:w="85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56"/>
              <w:ind w:right="203"/>
              <w:jc w:val="right"/>
              <w:rPr>
                <w:rFonts w:ascii="宋体" w:hAnsi="宋体" w:cs="宋体" w:eastAsia="宋体" w:hint="default"/>
                <w:sz w:val="18"/>
                <w:szCs w:val="18"/>
              </w:rPr>
            </w:pPr>
            <w:r>
              <w:rPr>
                <w:rFonts w:ascii="宋体" w:hAnsi="宋体" w:cs="宋体" w:eastAsia="宋体" w:hint="default"/>
                <w:sz w:val="18"/>
                <w:szCs w:val="18"/>
              </w:rPr>
              <w:t>喻子达</w:t>
            </w:r>
          </w:p>
        </w:tc>
        <w:tc>
          <w:tcPr>
            <w:tcW w:w="993" w:type="dxa"/>
            <w:tcBorders>
              <w:top w:val="single" w:sz="4" w:space="0" w:color="2D74B5"/>
              <w:left w:val="nil" w:sz="6" w:space="0" w:color="auto"/>
              <w:bottom w:val="single" w:sz="4" w:space="0" w:color="2D74B5"/>
              <w:right w:val="nil" w:sz="6" w:space="0" w:color="auto"/>
            </w:tcBorders>
          </w:tcPr>
          <w:p>
            <w:pPr>
              <w:pStyle w:val="TableParagraph"/>
              <w:spacing w:line="240" w:lineRule="auto" w:before="56"/>
              <w:ind w:left="107"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56"/>
              <w:ind w:left="10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2D74B5"/>
              <w:left w:val="nil" w:sz="6" w:space="0" w:color="auto"/>
              <w:bottom w:val="single" w:sz="4" w:space="0" w:color="2D74B5"/>
              <w:right w:val="nil" w:sz="6" w:space="0" w:color="auto"/>
            </w:tcBorders>
          </w:tcPr>
          <w:p>
            <w:pPr>
              <w:pStyle w:val="TableParagraph"/>
              <w:spacing w:line="240" w:lineRule="auto" w:before="56"/>
              <w:ind w:right="29"/>
              <w:jc w:val="center"/>
              <w:rPr>
                <w:rFonts w:ascii="宋体" w:hAnsi="宋体" w:cs="宋体" w:eastAsia="宋体" w:hint="default"/>
                <w:sz w:val="18"/>
                <w:szCs w:val="18"/>
              </w:rPr>
            </w:pPr>
            <w:r>
              <w:rPr>
                <w:rFonts w:ascii="宋体" w:hAnsi="宋体" w:cs="宋体" w:eastAsia="宋体" w:hint="default"/>
                <w:sz w:val="18"/>
                <w:szCs w:val="18"/>
              </w:rPr>
              <w:t>男</w:t>
            </w:r>
          </w:p>
        </w:tc>
        <w:tc>
          <w:tcPr>
            <w:tcW w:w="1417"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56"/>
              <w:ind w:left="108"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03</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5"/>
              <w:ind w:left="108" w:right="0"/>
              <w:jc w:val="left"/>
              <w:rPr>
                <w:rFonts w:ascii="宋体" w:hAnsi="宋体" w:cs="宋体" w:eastAsia="宋体" w:hint="default"/>
                <w:sz w:val="18"/>
                <w:szCs w:val="18"/>
              </w:rPr>
            </w:pPr>
            <w:r>
              <w:rPr>
                <w:rFonts w:ascii="Arial" w:hAnsi="Arial" w:cs="Arial" w:eastAsia="Arial" w:hint="default"/>
                <w:sz w:val="18"/>
                <w:szCs w:val="18"/>
              </w:rPr>
              <w:t>20</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17" w:type="dxa"/>
            <w:tcBorders>
              <w:top w:val="single" w:sz="4" w:space="0" w:color="2D74B5"/>
              <w:left w:val="nil" w:sz="6" w:space="0" w:color="auto"/>
              <w:bottom w:val="single" w:sz="4" w:space="0" w:color="2D74B5"/>
              <w:right w:val="nil" w:sz="6" w:space="0" w:color="auto"/>
            </w:tcBorders>
          </w:tcPr>
          <w:p>
            <w:pPr>
              <w:pStyle w:val="TableParagraph"/>
              <w:spacing w:line="240" w:lineRule="auto" w:before="56"/>
              <w:ind w:left="108"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5"/>
              <w:ind w:left="108" w:right="0"/>
              <w:jc w:val="left"/>
              <w:rPr>
                <w:rFonts w:ascii="宋体" w:hAnsi="宋体" w:cs="宋体" w:eastAsia="宋体" w:hint="default"/>
                <w:sz w:val="18"/>
                <w:szCs w:val="18"/>
              </w:rPr>
            </w:pP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85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97"/>
              <w:ind w:right="105"/>
              <w:jc w:val="right"/>
              <w:rPr>
                <w:rFonts w:ascii="Arial" w:hAnsi="Arial" w:cs="Arial" w:eastAsia="Arial" w:hint="default"/>
                <w:sz w:val="18"/>
                <w:szCs w:val="18"/>
              </w:rPr>
            </w:pPr>
            <w:r>
              <w:rPr>
                <w:rFonts w:ascii="Arial"/>
                <w:w w:val="99"/>
                <w:sz w:val="18"/>
              </w:rPr>
              <w:t>0</w:t>
            </w:r>
            <w:r>
              <w:rPr>
                <w:rFonts w:ascii="Arial"/>
                <w:sz w:val="18"/>
              </w:rPr>
            </w:r>
          </w:p>
        </w:tc>
        <w:tc>
          <w:tcPr>
            <w:tcW w:w="1711" w:type="dxa"/>
            <w:tcBorders>
              <w:top w:val="single" w:sz="4" w:space="0" w:color="2D74B5"/>
              <w:left w:val="nil" w:sz="6" w:space="0" w:color="auto"/>
              <w:bottom w:val="single" w:sz="4" w:space="0" w:color="2D74B5"/>
              <w:right w:val="nil" w:sz="6" w:space="0" w:color="auto"/>
            </w:tcBorders>
          </w:tcPr>
          <w:p>
            <w:pPr>
              <w:pStyle w:val="TableParagraph"/>
              <w:spacing w:line="240" w:lineRule="auto" w:before="97"/>
              <w:ind w:right="105"/>
              <w:jc w:val="right"/>
              <w:rPr>
                <w:rFonts w:ascii="Arial" w:hAnsi="Arial" w:cs="Arial" w:eastAsia="Arial" w:hint="default"/>
                <w:sz w:val="18"/>
                <w:szCs w:val="18"/>
              </w:rPr>
            </w:pPr>
            <w:r>
              <w:rPr>
                <w:rFonts w:ascii="Arial"/>
                <w:w w:val="99"/>
                <w:sz w:val="18"/>
              </w:rPr>
              <w:t>0</w:t>
            </w:r>
            <w:r>
              <w:rPr>
                <w:rFonts w:ascii="Arial"/>
                <w:sz w:val="18"/>
              </w:rPr>
            </w:r>
          </w:p>
        </w:tc>
        <w:tc>
          <w:tcPr>
            <w:tcW w:w="174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97"/>
              <w:ind w:right="105"/>
              <w:jc w:val="right"/>
              <w:rPr>
                <w:rFonts w:ascii="Arial" w:hAnsi="Arial" w:cs="Arial" w:eastAsia="Arial" w:hint="default"/>
                <w:sz w:val="18"/>
                <w:szCs w:val="18"/>
              </w:rPr>
            </w:pPr>
            <w:r>
              <w:rPr>
                <w:rFonts w:ascii="Arial"/>
                <w:w w:val="99"/>
                <w:sz w:val="18"/>
              </w:rPr>
              <w:t>0</w:t>
            </w:r>
            <w:r>
              <w:rPr>
                <w:rFonts w:ascii="Arial"/>
                <w:sz w:val="18"/>
              </w:rPr>
            </w:r>
          </w:p>
        </w:tc>
        <w:tc>
          <w:tcPr>
            <w:tcW w:w="1382" w:type="dxa"/>
            <w:tcBorders>
              <w:top w:val="single" w:sz="4" w:space="0" w:color="2D74B5"/>
              <w:left w:val="nil" w:sz="6" w:space="0" w:color="auto"/>
              <w:bottom w:val="single" w:sz="4" w:space="0" w:color="2D74B5"/>
              <w:right w:val="nil" w:sz="6" w:space="0" w:color="auto"/>
            </w:tcBorders>
          </w:tcPr>
          <w:p>
            <w:pPr>
              <w:pStyle w:val="TableParagraph"/>
              <w:spacing w:line="240" w:lineRule="auto" w:before="97"/>
              <w:ind w:right="105"/>
              <w:jc w:val="right"/>
              <w:rPr>
                <w:rFonts w:ascii="Arial" w:hAnsi="Arial" w:cs="Arial" w:eastAsia="Arial" w:hint="default"/>
                <w:sz w:val="18"/>
                <w:szCs w:val="18"/>
              </w:rPr>
            </w:pPr>
            <w:r>
              <w:rPr>
                <w:rFonts w:ascii="Arial"/>
                <w:w w:val="99"/>
                <w:sz w:val="18"/>
              </w:rPr>
              <w:t>0</w:t>
            </w:r>
            <w:r>
              <w:rPr>
                <w:rFonts w:ascii="Arial"/>
                <w:sz w:val="18"/>
              </w:rPr>
            </w:r>
          </w:p>
        </w:tc>
        <w:tc>
          <w:tcPr>
            <w:tcW w:w="1443"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97"/>
              <w:ind w:right="105"/>
              <w:jc w:val="right"/>
              <w:rPr>
                <w:rFonts w:ascii="Arial" w:hAnsi="Arial" w:cs="Arial" w:eastAsia="Arial" w:hint="default"/>
                <w:sz w:val="18"/>
                <w:szCs w:val="18"/>
              </w:rPr>
            </w:pPr>
            <w:r>
              <w:rPr>
                <w:rFonts w:ascii="Arial"/>
                <w:w w:val="99"/>
                <w:sz w:val="18"/>
              </w:rPr>
              <w:t>0</w:t>
            </w:r>
            <w:r>
              <w:rPr>
                <w:rFonts w:ascii="Arial"/>
                <w:sz w:val="18"/>
              </w:rPr>
            </w:r>
          </w:p>
        </w:tc>
      </w:tr>
      <w:tr>
        <w:trPr>
          <w:trHeight w:val="680" w:hRule="exact"/>
        </w:trPr>
        <w:tc>
          <w:tcPr>
            <w:tcW w:w="85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56"/>
              <w:ind w:right="203"/>
              <w:jc w:val="right"/>
              <w:rPr>
                <w:rFonts w:ascii="宋体" w:hAnsi="宋体" w:cs="宋体" w:eastAsia="宋体" w:hint="default"/>
                <w:sz w:val="18"/>
                <w:szCs w:val="18"/>
              </w:rPr>
            </w:pPr>
            <w:r>
              <w:rPr>
                <w:rFonts w:ascii="宋体" w:hAnsi="宋体" w:cs="宋体" w:eastAsia="宋体" w:hint="default"/>
                <w:sz w:val="18"/>
                <w:szCs w:val="18"/>
              </w:rPr>
              <w:t>夏小华</w:t>
            </w:r>
          </w:p>
        </w:tc>
        <w:tc>
          <w:tcPr>
            <w:tcW w:w="993" w:type="dxa"/>
            <w:tcBorders>
              <w:top w:val="single" w:sz="4" w:space="0" w:color="2D74B5"/>
              <w:left w:val="nil" w:sz="6" w:space="0" w:color="auto"/>
              <w:bottom w:val="single" w:sz="4" w:space="0" w:color="2D74B5"/>
              <w:right w:val="nil" w:sz="6" w:space="0" w:color="auto"/>
            </w:tcBorders>
          </w:tcPr>
          <w:p>
            <w:pPr>
              <w:pStyle w:val="TableParagraph"/>
              <w:spacing w:line="316" w:lineRule="auto" w:before="56"/>
              <w:ind w:left="107" w:right="162"/>
              <w:jc w:val="left"/>
              <w:rPr>
                <w:rFonts w:ascii="宋体" w:hAnsi="宋体" w:cs="宋体" w:eastAsia="宋体" w:hint="default"/>
                <w:sz w:val="18"/>
                <w:szCs w:val="18"/>
              </w:rPr>
            </w:pPr>
            <w:r>
              <w:rPr>
                <w:rFonts w:ascii="宋体" w:hAnsi="宋体" w:cs="宋体" w:eastAsia="宋体" w:hint="default"/>
                <w:sz w:val="18"/>
                <w:szCs w:val="18"/>
              </w:rPr>
              <w:t>董事、高 级副总裁</w:t>
            </w:r>
          </w:p>
        </w:tc>
        <w:tc>
          <w:tcPr>
            <w:tcW w:w="850"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56"/>
              <w:ind w:left="10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2D74B5"/>
              <w:left w:val="nil" w:sz="6" w:space="0" w:color="auto"/>
              <w:bottom w:val="single" w:sz="4" w:space="0" w:color="2D74B5"/>
              <w:right w:val="nil" w:sz="6" w:space="0" w:color="auto"/>
            </w:tcBorders>
          </w:tcPr>
          <w:p>
            <w:pPr>
              <w:pStyle w:val="TableParagraph"/>
              <w:spacing w:line="240" w:lineRule="auto" w:before="56"/>
              <w:ind w:right="29"/>
              <w:jc w:val="center"/>
              <w:rPr>
                <w:rFonts w:ascii="宋体" w:hAnsi="宋体" w:cs="宋体" w:eastAsia="宋体" w:hint="default"/>
                <w:sz w:val="18"/>
                <w:szCs w:val="18"/>
              </w:rPr>
            </w:pPr>
            <w:r>
              <w:rPr>
                <w:rFonts w:ascii="宋体" w:hAnsi="宋体" w:cs="宋体" w:eastAsia="宋体" w:hint="default"/>
                <w:sz w:val="18"/>
                <w:szCs w:val="18"/>
              </w:rPr>
              <w:t>男</w:t>
            </w:r>
          </w:p>
        </w:tc>
        <w:tc>
          <w:tcPr>
            <w:tcW w:w="1417"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56"/>
              <w:ind w:left="108"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8" w:right="0"/>
              <w:jc w:val="left"/>
              <w:rPr>
                <w:rFonts w:ascii="宋体" w:hAnsi="宋体" w:cs="宋体" w:eastAsia="宋体" w:hint="default"/>
                <w:sz w:val="18"/>
                <w:szCs w:val="18"/>
              </w:rPr>
            </w:pP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17" w:type="dxa"/>
            <w:tcBorders>
              <w:top w:val="single" w:sz="4" w:space="0" w:color="2D74B5"/>
              <w:left w:val="nil" w:sz="6" w:space="0" w:color="auto"/>
              <w:bottom w:val="single" w:sz="4" w:space="0" w:color="2D74B5"/>
              <w:right w:val="nil" w:sz="6" w:space="0" w:color="auto"/>
            </w:tcBorders>
          </w:tcPr>
          <w:p>
            <w:pPr>
              <w:pStyle w:val="TableParagraph"/>
              <w:spacing w:line="240" w:lineRule="auto" w:before="56"/>
              <w:ind w:left="108"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8" w:right="0"/>
              <w:jc w:val="left"/>
              <w:rPr>
                <w:rFonts w:ascii="宋体" w:hAnsi="宋体" w:cs="宋体" w:eastAsia="宋体" w:hint="default"/>
                <w:sz w:val="18"/>
                <w:szCs w:val="18"/>
              </w:rPr>
            </w:pP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85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97"/>
              <w:ind w:right="106"/>
              <w:jc w:val="right"/>
              <w:rPr>
                <w:rFonts w:ascii="Arial" w:hAnsi="Arial" w:cs="Arial" w:eastAsia="Arial" w:hint="default"/>
                <w:sz w:val="18"/>
                <w:szCs w:val="18"/>
              </w:rPr>
            </w:pPr>
            <w:r>
              <w:rPr>
                <w:rFonts w:ascii="Arial"/>
                <w:w w:val="95"/>
                <w:sz w:val="18"/>
              </w:rPr>
              <w:t>4,604,803</w:t>
            </w:r>
            <w:r>
              <w:rPr>
                <w:rFonts w:ascii="Arial"/>
                <w:sz w:val="18"/>
              </w:rPr>
            </w:r>
          </w:p>
        </w:tc>
        <w:tc>
          <w:tcPr>
            <w:tcW w:w="1711" w:type="dxa"/>
            <w:tcBorders>
              <w:top w:val="single" w:sz="4" w:space="0" w:color="2D74B5"/>
              <w:left w:val="nil" w:sz="6" w:space="0" w:color="auto"/>
              <w:bottom w:val="single" w:sz="4" w:space="0" w:color="2D74B5"/>
              <w:right w:val="nil" w:sz="6" w:space="0" w:color="auto"/>
            </w:tcBorders>
          </w:tcPr>
          <w:p>
            <w:pPr>
              <w:pStyle w:val="TableParagraph"/>
              <w:spacing w:line="240" w:lineRule="auto" w:before="97"/>
              <w:ind w:right="105"/>
              <w:jc w:val="right"/>
              <w:rPr>
                <w:rFonts w:ascii="Arial" w:hAnsi="Arial" w:cs="Arial" w:eastAsia="Arial" w:hint="default"/>
                <w:sz w:val="18"/>
                <w:szCs w:val="18"/>
              </w:rPr>
            </w:pPr>
            <w:r>
              <w:rPr>
                <w:rFonts w:ascii="Arial"/>
                <w:w w:val="95"/>
                <w:sz w:val="18"/>
              </w:rPr>
              <w:t>196,400</w:t>
            </w:r>
            <w:r>
              <w:rPr>
                <w:rFonts w:ascii="Arial"/>
                <w:sz w:val="18"/>
              </w:rPr>
            </w:r>
          </w:p>
        </w:tc>
        <w:tc>
          <w:tcPr>
            <w:tcW w:w="174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97"/>
              <w:ind w:right="105"/>
              <w:jc w:val="right"/>
              <w:rPr>
                <w:rFonts w:ascii="Arial" w:hAnsi="Arial" w:cs="Arial" w:eastAsia="Arial" w:hint="default"/>
                <w:sz w:val="18"/>
                <w:szCs w:val="18"/>
              </w:rPr>
            </w:pPr>
            <w:r>
              <w:rPr>
                <w:rFonts w:ascii="Arial"/>
                <w:w w:val="95"/>
                <w:sz w:val="18"/>
              </w:rPr>
              <w:t>-991,201</w:t>
            </w:r>
            <w:r>
              <w:rPr>
                <w:rFonts w:ascii="Arial"/>
                <w:sz w:val="18"/>
              </w:rPr>
            </w:r>
          </w:p>
        </w:tc>
        <w:tc>
          <w:tcPr>
            <w:tcW w:w="1382" w:type="dxa"/>
            <w:tcBorders>
              <w:top w:val="single" w:sz="4" w:space="0" w:color="2D74B5"/>
              <w:left w:val="nil" w:sz="6" w:space="0" w:color="auto"/>
              <w:bottom w:val="single" w:sz="4" w:space="0" w:color="2D74B5"/>
              <w:right w:val="nil" w:sz="6" w:space="0" w:color="auto"/>
            </w:tcBorders>
          </w:tcPr>
          <w:p>
            <w:pPr>
              <w:pStyle w:val="TableParagraph"/>
              <w:spacing w:line="240" w:lineRule="auto" w:before="97"/>
              <w:ind w:right="105"/>
              <w:jc w:val="right"/>
              <w:rPr>
                <w:rFonts w:ascii="Arial" w:hAnsi="Arial" w:cs="Arial" w:eastAsia="Arial" w:hint="default"/>
                <w:sz w:val="18"/>
                <w:szCs w:val="18"/>
              </w:rPr>
            </w:pPr>
            <w:r>
              <w:rPr>
                <w:rFonts w:ascii="Arial"/>
                <w:w w:val="99"/>
                <w:sz w:val="18"/>
              </w:rPr>
              <w:t>0</w:t>
            </w:r>
            <w:r>
              <w:rPr>
                <w:rFonts w:ascii="Arial"/>
                <w:sz w:val="18"/>
              </w:rPr>
            </w:r>
          </w:p>
        </w:tc>
        <w:tc>
          <w:tcPr>
            <w:tcW w:w="1443"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97"/>
              <w:ind w:right="105"/>
              <w:jc w:val="right"/>
              <w:rPr>
                <w:rFonts w:ascii="Arial" w:hAnsi="Arial" w:cs="Arial" w:eastAsia="Arial" w:hint="default"/>
                <w:sz w:val="18"/>
                <w:szCs w:val="18"/>
              </w:rPr>
            </w:pPr>
            <w:r>
              <w:rPr>
                <w:rFonts w:ascii="Arial"/>
                <w:w w:val="95"/>
                <w:sz w:val="18"/>
              </w:rPr>
              <w:t>3,810,002</w:t>
            </w:r>
            <w:r>
              <w:rPr>
                <w:rFonts w:ascii="Arial"/>
                <w:sz w:val="18"/>
              </w:rPr>
            </w:r>
          </w:p>
        </w:tc>
      </w:tr>
      <w:tr>
        <w:trPr>
          <w:trHeight w:val="680" w:hRule="exact"/>
        </w:trPr>
        <w:tc>
          <w:tcPr>
            <w:tcW w:w="85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56"/>
              <w:ind w:right="203"/>
              <w:jc w:val="right"/>
              <w:rPr>
                <w:rFonts w:ascii="宋体" w:hAnsi="宋体" w:cs="宋体" w:eastAsia="宋体" w:hint="default"/>
                <w:sz w:val="18"/>
                <w:szCs w:val="18"/>
              </w:rPr>
            </w:pPr>
            <w:r>
              <w:rPr>
                <w:rFonts w:ascii="宋体" w:hAnsi="宋体" w:cs="宋体" w:eastAsia="宋体" w:hint="default"/>
                <w:sz w:val="18"/>
                <w:szCs w:val="18"/>
              </w:rPr>
              <w:t>吕良彪</w:t>
            </w:r>
          </w:p>
        </w:tc>
        <w:tc>
          <w:tcPr>
            <w:tcW w:w="993" w:type="dxa"/>
            <w:tcBorders>
              <w:top w:val="single" w:sz="4" w:space="0" w:color="2D74B5"/>
              <w:left w:val="nil" w:sz="6" w:space="0" w:color="auto"/>
              <w:bottom w:val="single" w:sz="4" w:space="0" w:color="2D74B5"/>
              <w:right w:val="nil" w:sz="6" w:space="0" w:color="auto"/>
            </w:tcBorders>
          </w:tcPr>
          <w:p>
            <w:pPr>
              <w:pStyle w:val="TableParagraph"/>
              <w:spacing w:line="240" w:lineRule="auto" w:before="56"/>
              <w:ind w:left="107"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56"/>
              <w:ind w:left="10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2D74B5"/>
              <w:left w:val="nil" w:sz="6" w:space="0" w:color="auto"/>
              <w:bottom w:val="single" w:sz="4" w:space="0" w:color="2D74B5"/>
              <w:right w:val="nil" w:sz="6" w:space="0" w:color="auto"/>
            </w:tcBorders>
          </w:tcPr>
          <w:p>
            <w:pPr>
              <w:pStyle w:val="TableParagraph"/>
              <w:spacing w:line="240" w:lineRule="auto" w:before="56"/>
              <w:ind w:right="29"/>
              <w:jc w:val="center"/>
              <w:rPr>
                <w:rFonts w:ascii="宋体" w:hAnsi="宋体" w:cs="宋体" w:eastAsia="宋体" w:hint="default"/>
                <w:sz w:val="18"/>
                <w:szCs w:val="18"/>
              </w:rPr>
            </w:pPr>
            <w:r>
              <w:rPr>
                <w:rFonts w:ascii="宋体" w:hAnsi="宋体" w:cs="宋体" w:eastAsia="宋体" w:hint="default"/>
                <w:sz w:val="18"/>
                <w:szCs w:val="18"/>
              </w:rPr>
              <w:t>男</w:t>
            </w:r>
          </w:p>
        </w:tc>
        <w:tc>
          <w:tcPr>
            <w:tcW w:w="1417"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56"/>
              <w:ind w:left="108"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8" w:right="0"/>
              <w:jc w:val="left"/>
              <w:rPr>
                <w:rFonts w:ascii="宋体" w:hAnsi="宋体" w:cs="宋体" w:eastAsia="宋体" w:hint="default"/>
                <w:sz w:val="18"/>
                <w:szCs w:val="18"/>
              </w:rPr>
            </w:pP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17" w:type="dxa"/>
            <w:tcBorders>
              <w:top w:val="single" w:sz="4" w:space="0" w:color="2D74B5"/>
              <w:left w:val="nil" w:sz="6" w:space="0" w:color="auto"/>
              <w:bottom w:val="single" w:sz="4" w:space="0" w:color="2D74B5"/>
              <w:right w:val="nil" w:sz="6" w:space="0" w:color="auto"/>
            </w:tcBorders>
          </w:tcPr>
          <w:p>
            <w:pPr>
              <w:pStyle w:val="TableParagraph"/>
              <w:spacing w:line="240" w:lineRule="auto" w:before="56"/>
              <w:ind w:left="108"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8" w:right="0"/>
              <w:jc w:val="left"/>
              <w:rPr>
                <w:rFonts w:ascii="宋体" w:hAnsi="宋体" w:cs="宋体" w:eastAsia="宋体" w:hint="default"/>
                <w:sz w:val="18"/>
                <w:szCs w:val="18"/>
              </w:rPr>
            </w:pP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85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98"/>
              <w:ind w:right="105"/>
              <w:jc w:val="right"/>
              <w:rPr>
                <w:rFonts w:ascii="Arial" w:hAnsi="Arial" w:cs="Arial" w:eastAsia="Arial" w:hint="default"/>
                <w:sz w:val="18"/>
                <w:szCs w:val="18"/>
              </w:rPr>
            </w:pPr>
            <w:r>
              <w:rPr>
                <w:rFonts w:ascii="Arial"/>
                <w:w w:val="99"/>
                <w:sz w:val="18"/>
              </w:rPr>
              <w:t>0</w:t>
            </w:r>
            <w:r>
              <w:rPr>
                <w:rFonts w:ascii="Arial"/>
                <w:sz w:val="18"/>
              </w:rPr>
            </w:r>
          </w:p>
        </w:tc>
        <w:tc>
          <w:tcPr>
            <w:tcW w:w="1711" w:type="dxa"/>
            <w:tcBorders>
              <w:top w:val="single" w:sz="4" w:space="0" w:color="2D74B5"/>
              <w:left w:val="nil" w:sz="6" w:space="0" w:color="auto"/>
              <w:bottom w:val="single" w:sz="4" w:space="0" w:color="2D74B5"/>
              <w:right w:val="nil" w:sz="6" w:space="0" w:color="auto"/>
            </w:tcBorders>
          </w:tcPr>
          <w:p>
            <w:pPr>
              <w:pStyle w:val="TableParagraph"/>
              <w:spacing w:line="240" w:lineRule="auto" w:before="98"/>
              <w:ind w:right="105"/>
              <w:jc w:val="right"/>
              <w:rPr>
                <w:rFonts w:ascii="Arial" w:hAnsi="Arial" w:cs="Arial" w:eastAsia="Arial" w:hint="default"/>
                <w:sz w:val="18"/>
                <w:szCs w:val="18"/>
              </w:rPr>
            </w:pPr>
            <w:r>
              <w:rPr>
                <w:rFonts w:ascii="Arial"/>
                <w:w w:val="99"/>
                <w:sz w:val="18"/>
              </w:rPr>
              <w:t>0</w:t>
            </w:r>
            <w:r>
              <w:rPr>
                <w:rFonts w:ascii="Arial"/>
                <w:sz w:val="18"/>
              </w:rPr>
            </w:r>
          </w:p>
        </w:tc>
        <w:tc>
          <w:tcPr>
            <w:tcW w:w="174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98"/>
              <w:ind w:right="105"/>
              <w:jc w:val="right"/>
              <w:rPr>
                <w:rFonts w:ascii="Arial" w:hAnsi="Arial" w:cs="Arial" w:eastAsia="Arial" w:hint="default"/>
                <w:sz w:val="18"/>
                <w:szCs w:val="18"/>
              </w:rPr>
            </w:pPr>
            <w:r>
              <w:rPr>
                <w:rFonts w:ascii="Arial"/>
                <w:w w:val="99"/>
                <w:sz w:val="18"/>
              </w:rPr>
              <w:t>0</w:t>
            </w:r>
            <w:r>
              <w:rPr>
                <w:rFonts w:ascii="Arial"/>
                <w:sz w:val="18"/>
              </w:rPr>
            </w:r>
          </w:p>
        </w:tc>
        <w:tc>
          <w:tcPr>
            <w:tcW w:w="1382" w:type="dxa"/>
            <w:tcBorders>
              <w:top w:val="single" w:sz="4" w:space="0" w:color="2D74B5"/>
              <w:left w:val="nil" w:sz="6" w:space="0" w:color="auto"/>
              <w:bottom w:val="single" w:sz="4" w:space="0" w:color="2D74B5"/>
              <w:right w:val="nil" w:sz="6" w:space="0" w:color="auto"/>
            </w:tcBorders>
          </w:tcPr>
          <w:p>
            <w:pPr>
              <w:pStyle w:val="TableParagraph"/>
              <w:spacing w:line="240" w:lineRule="auto" w:before="98"/>
              <w:ind w:right="105"/>
              <w:jc w:val="right"/>
              <w:rPr>
                <w:rFonts w:ascii="Arial" w:hAnsi="Arial" w:cs="Arial" w:eastAsia="Arial" w:hint="default"/>
                <w:sz w:val="18"/>
                <w:szCs w:val="18"/>
              </w:rPr>
            </w:pPr>
            <w:r>
              <w:rPr>
                <w:rFonts w:ascii="Arial"/>
                <w:w w:val="99"/>
                <w:sz w:val="18"/>
              </w:rPr>
              <w:t>0</w:t>
            </w:r>
            <w:r>
              <w:rPr>
                <w:rFonts w:ascii="Arial"/>
                <w:sz w:val="18"/>
              </w:rPr>
            </w:r>
          </w:p>
        </w:tc>
        <w:tc>
          <w:tcPr>
            <w:tcW w:w="1443"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98"/>
              <w:ind w:right="105"/>
              <w:jc w:val="right"/>
              <w:rPr>
                <w:rFonts w:ascii="Arial" w:hAnsi="Arial" w:cs="Arial" w:eastAsia="Arial" w:hint="default"/>
                <w:sz w:val="18"/>
                <w:szCs w:val="18"/>
              </w:rPr>
            </w:pPr>
            <w:r>
              <w:rPr>
                <w:rFonts w:ascii="Arial"/>
                <w:w w:val="99"/>
                <w:sz w:val="18"/>
              </w:rPr>
              <w:t>0</w:t>
            </w:r>
            <w:r>
              <w:rPr>
                <w:rFonts w:ascii="Arial"/>
                <w:sz w:val="18"/>
              </w:rPr>
            </w:r>
          </w:p>
        </w:tc>
      </w:tr>
      <w:tr>
        <w:trPr>
          <w:trHeight w:val="681" w:hRule="exact"/>
        </w:trPr>
        <w:tc>
          <w:tcPr>
            <w:tcW w:w="85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56"/>
              <w:ind w:right="203"/>
              <w:jc w:val="right"/>
              <w:rPr>
                <w:rFonts w:ascii="宋体" w:hAnsi="宋体" w:cs="宋体" w:eastAsia="宋体" w:hint="default"/>
                <w:sz w:val="18"/>
                <w:szCs w:val="18"/>
              </w:rPr>
            </w:pPr>
            <w:r>
              <w:rPr>
                <w:rFonts w:ascii="宋体" w:hAnsi="宋体" w:cs="宋体" w:eastAsia="宋体" w:hint="default"/>
                <w:sz w:val="18"/>
                <w:szCs w:val="18"/>
              </w:rPr>
              <w:t>章卫东</w:t>
            </w:r>
          </w:p>
        </w:tc>
        <w:tc>
          <w:tcPr>
            <w:tcW w:w="993" w:type="dxa"/>
            <w:tcBorders>
              <w:top w:val="single" w:sz="4" w:space="0" w:color="2D74B5"/>
              <w:left w:val="nil" w:sz="6" w:space="0" w:color="auto"/>
              <w:bottom w:val="single" w:sz="4" w:space="0" w:color="2D74B5"/>
              <w:right w:val="nil" w:sz="6" w:space="0" w:color="auto"/>
            </w:tcBorders>
          </w:tcPr>
          <w:p>
            <w:pPr>
              <w:pStyle w:val="TableParagraph"/>
              <w:spacing w:line="240" w:lineRule="auto" w:before="56"/>
              <w:ind w:left="107"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56"/>
              <w:ind w:left="10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2D74B5"/>
              <w:left w:val="nil" w:sz="6" w:space="0" w:color="auto"/>
              <w:bottom w:val="single" w:sz="4" w:space="0" w:color="2D74B5"/>
              <w:right w:val="nil" w:sz="6" w:space="0" w:color="auto"/>
            </w:tcBorders>
          </w:tcPr>
          <w:p>
            <w:pPr>
              <w:pStyle w:val="TableParagraph"/>
              <w:spacing w:line="240" w:lineRule="auto" w:before="56"/>
              <w:ind w:right="29"/>
              <w:jc w:val="center"/>
              <w:rPr>
                <w:rFonts w:ascii="宋体" w:hAnsi="宋体" w:cs="宋体" w:eastAsia="宋体" w:hint="default"/>
                <w:sz w:val="18"/>
                <w:szCs w:val="18"/>
              </w:rPr>
            </w:pPr>
            <w:r>
              <w:rPr>
                <w:rFonts w:ascii="宋体" w:hAnsi="宋体" w:cs="宋体" w:eastAsia="宋体" w:hint="default"/>
                <w:sz w:val="18"/>
                <w:szCs w:val="18"/>
              </w:rPr>
              <w:t>男</w:t>
            </w:r>
          </w:p>
        </w:tc>
        <w:tc>
          <w:tcPr>
            <w:tcW w:w="1417"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56"/>
              <w:ind w:left="108"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5"/>
              <w:ind w:left="108" w:right="0"/>
              <w:jc w:val="left"/>
              <w:rPr>
                <w:rFonts w:ascii="宋体" w:hAnsi="宋体" w:cs="宋体" w:eastAsia="宋体" w:hint="default"/>
                <w:sz w:val="18"/>
                <w:szCs w:val="18"/>
              </w:rPr>
            </w:pP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17" w:type="dxa"/>
            <w:tcBorders>
              <w:top w:val="single" w:sz="4" w:space="0" w:color="2D74B5"/>
              <w:left w:val="nil" w:sz="6" w:space="0" w:color="auto"/>
              <w:bottom w:val="single" w:sz="4" w:space="0" w:color="2D74B5"/>
              <w:right w:val="nil" w:sz="6" w:space="0" w:color="auto"/>
            </w:tcBorders>
          </w:tcPr>
          <w:p>
            <w:pPr>
              <w:pStyle w:val="TableParagraph"/>
              <w:spacing w:line="240" w:lineRule="auto" w:before="56"/>
              <w:ind w:left="108"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5"/>
              <w:ind w:left="108" w:right="0"/>
              <w:jc w:val="left"/>
              <w:rPr>
                <w:rFonts w:ascii="宋体" w:hAnsi="宋体" w:cs="宋体" w:eastAsia="宋体" w:hint="default"/>
                <w:sz w:val="18"/>
                <w:szCs w:val="18"/>
              </w:rPr>
            </w:pP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85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98"/>
              <w:ind w:right="105"/>
              <w:jc w:val="right"/>
              <w:rPr>
                <w:rFonts w:ascii="Arial" w:hAnsi="Arial" w:cs="Arial" w:eastAsia="Arial" w:hint="default"/>
                <w:sz w:val="18"/>
                <w:szCs w:val="18"/>
              </w:rPr>
            </w:pPr>
            <w:r>
              <w:rPr>
                <w:rFonts w:ascii="Arial"/>
                <w:w w:val="99"/>
                <w:sz w:val="18"/>
              </w:rPr>
              <w:t>0</w:t>
            </w:r>
            <w:r>
              <w:rPr>
                <w:rFonts w:ascii="Arial"/>
                <w:sz w:val="18"/>
              </w:rPr>
            </w:r>
          </w:p>
        </w:tc>
        <w:tc>
          <w:tcPr>
            <w:tcW w:w="1711" w:type="dxa"/>
            <w:tcBorders>
              <w:top w:val="single" w:sz="4" w:space="0" w:color="2D74B5"/>
              <w:left w:val="nil" w:sz="6" w:space="0" w:color="auto"/>
              <w:bottom w:val="single" w:sz="4" w:space="0" w:color="2D74B5"/>
              <w:right w:val="nil" w:sz="6" w:space="0" w:color="auto"/>
            </w:tcBorders>
          </w:tcPr>
          <w:p>
            <w:pPr>
              <w:pStyle w:val="TableParagraph"/>
              <w:spacing w:line="240" w:lineRule="auto" w:before="98"/>
              <w:ind w:right="105"/>
              <w:jc w:val="right"/>
              <w:rPr>
                <w:rFonts w:ascii="Arial" w:hAnsi="Arial" w:cs="Arial" w:eastAsia="Arial" w:hint="default"/>
                <w:sz w:val="18"/>
                <w:szCs w:val="18"/>
              </w:rPr>
            </w:pPr>
            <w:r>
              <w:rPr>
                <w:rFonts w:ascii="Arial"/>
                <w:w w:val="99"/>
                <w:sz w:val="18"/>
              </w:rPr>
              <w:t>0</w:t>
            </w:r>
            <w:r>
              <w:rPr>
                <w:rFonts w:ascii="Arial"/>
                <w:sz w:val="18"/>
              </w:rPr>
            </w:r>
          </w:p>
        </w:tc>
        <w:tc>
          <w:tcPr>
            <w:tcW w:w="174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98"/>
              <w:ind w:right="105"/>
              <w:jc w:val="right"/>
              <w:rPr>
                <w:rFonts w:ascii="Arial" w:hAnsi="Arial" w:cs="Arial" w:eastAsia="Arial" w:hint="default"/>
                <w:sz w:val="18"/>
                <w:szCs w:val="18"/>
              </w:rPr>
            </w:pPr>
            <w:r>
              <w:rPr>
                <w:rFonts w:ascii="Arial"/>
                <w:w w:val="99"/>
                <w:sz w:val="18"/>
              </w:rPr>
              <w:t>0</w:t>
            </w:r>
            <w:r>
              <w:rPr>
                <w:rFonts w:ascii="Arial"/>
                <w:sz w:val="18"/>
              </w:rPr>
            </w:r>
          </w:p>
        </w:tc>
        <w:tc>
          <w:tcPr>
            <w:tcW w:w="1382" w:type="dxa"/>
            <w:tcBorders>
              <w:top w:val="single" w:sz="4" w:space="0" w:color="2D74B5"/>
              <w:left w:val="nil" w:sz="6" w:space="0" w:color="auto"/>
              <w:bottom w:val="single" w:sz="4" w:space="0" w:color="2D74B5"/>
              <w:right w:val="nil" w:sz="6" w:space="0" w:color="auto"/>
            </w:tcBorders>
          </w:tcPr>
          <w:p>
            <w:pPr>
              <w:pStyle w:val="TableParagraph"/>
              <w:spacing w:line="240" w:lineRule="auto" w:before="98"/>
              <w:ind w:right="105"/>
              <w:jc w:val="right"/>
              <w:rPr>
                <w:rFonts w:ascii="Arial" w:hAnsi="Arial" w:cs="Arial" w:eastAsia="Arial" w:hint="default"/>
                <w:sz w:val="18"/>
                <w:szCs w:val="18"/>
              </w:rPr>
            </w:pPr>
            <w:r>
              <w:rPr>
                <w:rFonts w:ascii="Arial"/>
                <w:w w:val="99"/>
                <w:sz w:val="18"/>
              </w:rPr>
              <w:t>0</w:t>
            </w:r>
            <w:r>
              <w:rPr>
                <w:rFonts w:ascii="Arial"/>
                <w:sz w:val="18"/>
              </w:rPr>
            </w:r>
          </w:p>
        </w:tc>
        <w:tc>
          <w:tcPr>
            <w:tcW w:w="1443"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98"/>
              <w:ind w:right="105"/>
              <w:jc w:val="right"/>
              <w:rPr>
                <w:rFonts w:ascii="Arial" w:hAnsi="Arial" w:cs="Arial" w:eastAsia="Arial" w:hint="default"/>
                <w:sz w:val="18"/>
                <w:szCs w:val="18"/>
              </w:rPr>
            </w:pPr>
            <w:r>
              <w:rPr>
                <w:rFonts w:ascii="Arial"/>
                <w:w w:val="99"/>
                <w:sz w:val="18"/>
              </w:rPr>
              <w:t>0</w:t>
            </w:r>
            <w:r>
              <w:rPr>
                <w:rFonts w:ascii="Arial"/>
                <w:sz w:val="18"/>
              </w:rPr>
            </w:r>
          </w:p>
        </w:tc>
      </w:tr>
      <w:tr>
        <w:trPr>
          <w:trHeight w:val="680" w:hRule="exact"/>
        </w:trPr>
        <w:tc>
          <w:tcPr>
            <w:tcW w:w="85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56"/>
              <w:ind w:right="203"/>
              <w:jc w:val="right"/>
              <w:rPr>
                <w:rFonts w:ascii="宋体" w:hAnsi="宋体" w:cs="宋体" w:eastAsia="宋体" w:hint="default"/>
                <w:sz w:val="18"/>
                <w:szCs w:val="18"/>
              </w:rPr>
            </w:pPr>
            <w:r>
              <w:rPr>
                <w:rFonts w:ascii="宋体" w:hAnsi="宋体" w:cs="宋体" w:eastAsia="宋体" w:hint="default"/>
                <w:sz w:val="18"/>
                <w:szCs w:val="18"/>
              </w:rPr>
              <w:t>吕廷杰</w:t>
            </w:r>
          </w:p>
        </w:tc>
        <w:tc>
          <w:tcPr>
            <w:tcW w:w="993" w:type="dxa"/>
            <w:tcBorders>
              <w:top w:val="single" w:sz="4" w:space="0" w:color="2D74B5"/>
              <w:left w:val="nil" w:sz="6" w:space="0" w:color="auto"/>
              <w:bottom w:val="single" w:sz="4" w:space="0" w:color="2D74B5"/>
              <w:right w:val="nil" w:sz="6" w:space="0" w:color="auto"/>
            </w:tcBorders>
          </w:tcPr>
          <w:p>
            <w:pPr>
              <w:pStyle w:val="TableParagraph"/>
              <w:spacing w:line="240" w:lineRule="auto" w:before="56"/>
              <w:ind w:left="107"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56"/>
              <w:ind w:left="10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2D74B5"/>
              <w:left w:val="nil" w:sz="6" w:space="0" w:color="auto"/>
              <w:bottom w:val="single" w:sz="4" w:space="0" w:color="2D74B5"/>
              <w:right w:val="nil" w:sz="6" w:space="0" w:color="auto"/>
            </w:tcBorders>
          </w:tcPr>
          <w:p>
            <w:pPr>
              <w:pStyle w:val="TableParagraph"/>
              <w:spacing w:line="240" w:lineRule="auto" w:before="56"/>
              <w:ind w:right="29"/>
              <w:jc w:val="center"/>
              <w:rPr>
                <w:rFonts w:ascii="宋体" w:hAnsi="宋体" w:cs="宋体" w:eastAsia="宋体" w:hint="default"/>
                <w:sz w:val="18"/>
                <w:szCs w:val="18"/>
              </w:rPr>
            </w:pPr>
            <w:r>
              <w:rPr>
                <w:rFonts w:ascii="宋体" w:hAnsi="宋体" w:cs="宋体" w:eastAsia="宋体" w:hint="default"/>
                <w:sz w:val="18"/>
                <w:szCs w:val="18"/>
              </w:rPr>
              <w:t>男</w:t>
            </w:r>
          </w:p>
        </w:tc>
        <w:tc>
          <w:tcPr>
            <w:tcW w:w="1417"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56"/>
              <w:ind w:left="108"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06</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8" w:right="0"/>
              <w:jc w:val="left"/>
              <w:rPr>
                <w:rFonts w:ascii="宋体" w:hAnsi="宋体" w:cs="宋体" w:eastAsia="宋体" w:hint="default"/>
                <w:sz w:val="18"/>
                <w:szCs w:val="18"/>
              </w:rPr>
            </w:pPr>
            <w:r>
              <w:rPr>
                <w:rFonts w:ascii="Arial" w:hAnsi="Arial" w:cs="Arial" w:eastAsia="Arial" w:hint="default"/>
                <w:sz w:val="18"/>
                <w:szCs w:val="18"/>
              </w:rPr>
              <w:t>06</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17" w:type="dxa"/>
            <w:tcBorders>
              <w:top w:val="single" w:sz="4" w:space="0" w:color="2D74B5"/>
              <w:left w:val="nil" w:sz="6" w:space="0" w:color="auto"/>
              <w:bottom w:val="single" w:sz="4" w:space="0" w:color="2D74B5"/>
              <w:right w:val="nil" w:sz="6" w:space="0" w:color="auto"/>
            </w:tcBorders>
          </w:tcPr>
          <w:p>
            <w:pPr>
              <w:pStyle w:val="TableParagraph"/>
              <w:spacing w:line="240" w:lineRule="auto" w:before="56"/>
              <w:ind w:left="108"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8" w:right="0"/>
              <w:jc w:val="left"/>
              <w:rPr>
                <w:rFonts w:ascii="宋体" w:hAnsi="宋体" w:cs="宋体" w:eastAsia="宋体" w:hint="default"/>
                <w:sz w:val="18"/>
                <w:szCs w:val="18"/>
              </w:rPr>
            </w:pP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85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97"/>
              <w:ind w:right="105"/>
              <w:jc w:val="right"/>
              <w:rPr>
                <w:rFonts w:ascii="Arial" w:hAnsi="Arial" w:cs="Arial" w:eastAsia="Arial" w:hint="default"/>
                <w:sz w:val="18"/>
                <w:szCs w:val="18"/>
              </w:rPr>
            </w:pPr>
            <w:r>
              <w:rPr>
                <w:rFonts w:ascii="Arial"/>
                <w:w w:val="99"/>
                <w:sz w:val="18"/>
              </w:rPr>
              <w:t>0</w:t>
            </w:r>
            <w:r>
              <w:rPr>
                <w:rFonts w:ascii="Arial"/>
                <w:sz w:val="18"/>
              </w:rPr>
            </w:r>
          </w:p>
        </w:tc>
        <w:tc>
          <w:tcPr>
            <w:tcW w:w="1711" w:type="dxa"/>
            <w:tcBorders>
              <w:top w:val="single" w:sz="4" w:space="0" w:color="2D74B5"/>
              <w:left w:val="nil" w:sz="6" w:space="0" w:color="auto"/>
              <w:bottom w:val="single" w:sz="4" w:space="0" w:color="2D74B5"/>
              <w:right w:val="nil" w:sz="6" w:space="0" w:color="auto"/>
            </w:tcBorders>
          </w:tcPr>
          <w:p>
            <w:pPr>
              <w:pStyle w:val="TableParagraph"/>
              <w:spacing w:line="240" w:lineRule="auto" w:before="97"/>
              <w:ind w:right="105"/>
              <w:jc w:val="right"/>
              <w:rPr>
                <w:rFonts w:ascii="Arial" w:hAnsi="Arial" w:cs="Arial" w:eastAsia="Arial" w:hint="default"/>
                <w:sz w:val="18"/>
                <w:szCs w:val="18"/>
              </w:rPr>
            </w:pPr>
            <w:r>
              <w:rPr>
                <w:rFonts w:ascii="Arial"/>
                <w:w w:val="99"/>
                <w:sz w:val="18"/>
              </w:rPr>
              <w:t>0</w:t>
            </w:r>
            <w:r>
              <w:rPr>
                <w:rFonts w:ascii="Arial"/>
                <w:sz w:val="18"/>
              </w:rPr>
            </w:r>
          </w:p>
        </w:tc>
        <w:tc>
          <w:tcPr>
            <w:tcW w:w="174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97"/>
              <w:ind w:right="105"/>
              <w:jc w:val="right"/>
              <w:rPr>
                <w:rFonts w:ascii="Arial" w:hAnsi="Arial" w:cs="Arial" w:eastAsia="Arial" w:hint="default"/>
                <w:sz w:val="18"/>
                <w:szCs w:val="18"/>
              </w:rPr>
            </w:pPr>
            <w:r>
              <w:rPr>
                <w:rFonts w:ascii="Arial"/>
                <w:w w:val="99"/>
                <w:sz w:val="18"/>
              </w:rPr>
              <w:t>0</w:t>
            </w:r>
            <w:r>
              <w:rPr>
                <w:rFonts w:ascii="Arial"/>
                <w:sz w:val="18"/>
              </w:rPr>
            </w:r>
          </w:p>
        </w:tc>
        <w:tc>
          <w:tcPr>
            <w:tcW w:w="1382" w:type="dxa"/>
            <w:tcBorders>
              <w:top w:val="single" w:sz="4" w:space="0" w:color="2D74B5"/>
              <w:left w:val="nil" w:sz="6" w:space="0" w:color="auto"/>
              <w:bottom w:val="single" w:sz="4" w:space="0" w:color="2D74B5"/>
              <w:right w:val="nil" w:sz="6" w:space="0" w:color="auto"/>
            </w:tcBorders>
          </w:tcPr>
          <w:p>
            <w:pPr>
              <w:pStyle w:val="TableParagraph"/>
              <w:spacing w:line="240" w:lineRule="auto" w:before="97"/>
              <w:ind w:right="105"/>
              <w:jc w:val="right"/>
              <w:rPr>
                <w:rFonts w:ascii="Arial" w:hAnsi="Arial" w:cs="Arial" w:eastAsia="Arial" w:hint="default"/>
                <w:sz w:val="18"/>
                <w:szCs w:val="18"/>
              </w:rPr>
            </w:pPr>
            <w:r>
              <w:rPr>
                <w:rFonts w:ascii="Arial"/>
                <w:w w:val="99"/>
                <w:sz w:val="18"/>
              </w:rPr>
              <w:t>0</w:t>
            </w:r>
            <w:r>
              <w:rPr>
                <w:rFonts w:ascii="Arial"/>
                <w:sz w:val="18"/>
              </w:rPr>
            </w:r>
          </w:p>
        </w:tc>
        <w:tc>
          <w:tcPr>
            <w:tcW w:w="1443"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97"/>
              <w:ind w:right="105"/>
              <w:jc w:val="right"/>
              <w:rPr>
                <w:rFonts w:ascii="Arial" w:hAnsi="Arial" w:cs="Arial" w:eastAsia="Arial" w:hint="default"/>
                <w:sz w:val="18"/>
                <w:szCs w:val="18"/>
              </w:rPr>
            </w:pPr>
            <w:r>
              <w:rPr>
                <w:rFonts w:ascii="Arial"/>
                <w:w w:val="99"/>
                <w:sz w:val="18"/>
              </w:rPr>
              <w:t>0</w:t>
            </w:r>
            <w:r>
              <w:rPr>
                <w:rFonts w:ascii="Arial"/>
                <w:sz w:val="18"/>
              </w:rPr>
            </w:r>
          </w:p>
        </w:tc>
      </w:tr>
      <w:tr>
        <w:trPr>
          <w:trHeight w:val="680" w:hRule="exact"/>
        </w:trPr>
        <w:tc>
          <w:tcPr>
            <w:tcW w:w="85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56"/>
              <w:ind w:right="203"/>
              <w:jc w:val="right"/>
              <w:rPr>
                <w:rFonts w:ascii="宋体" w:hAnsi="宋体" w:cs="宋体" w:eastAsia="宋体" w:hint="default"/>
                <w:sz w:val="18"/>
                <w:szCs w:val="18"/>
              </w:rPr>
            </w:pPr>
            <w:r>
              <w:rPr>
                <w:rFonts w:ascii="宋体" w:hAnsi="宋体" w:cs="宋体" w:eastAsia="宋体" w:hint="default"/>
                <w:sz w:val="18"/>
                <w:szCs w:val="18"/>
              </w:rPr>
              <w:t>陈思平</w:t>
            </w:r>
          </w:p>
        </w:tc>
        <w:tc>
          <w:tcPr>
            <w:tcW w:w="993" w:type="dxa"/>
            <w:tcBorders>
              <w:top w:val="single" w:sz="4" w:space="0" w:color="2D74B5"/>
              <w:left w:val="nil" w:sz="6" w:space="0" w:color="auto"/>
              <w:bottom w:val="single" w:sz="4" w:space="0" w:color="2D74B5"/>
              <w:right w:val="nil" w:sz="6" w:space="0" w:color="auto"/>
            </w:tcBorders>
          </w:tcPr>
          <w:p>
            <w:pPr>
              <w:pStyle w:val="TableParagraph"/>
              <w:spacing w:line="240" w:lineRule="auto" w:before="56"/>
              <w:ind w:left="107"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56"/>
              <w:ind w:left="10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2D74B5"/>
              <w:left w:val="nil" w:sz="6" w:space="0" w:color="auto"/>
              <w:bottom w:val="single" w:sz="4" w:space="0" w:color="2D74B5"/>
              <w:right w:val="nil" w:sz="6" w:space="0" w:color="auto"/>
            </w:tcBorders>
          </w:tcPr>
          <w:p>
            <w:pPr>
              <w:pStyle w:val="TableParagraph"/>
              <w:spacing w:line="240" w:lineRule="auto" w:before="56"/>
              <w:ind w:right="29"/>
              <w:jc w:val="center"/>
              <w:rPr>
                <w:rFonts w:ascii="宋体" w:hAnsi="宋体" w:cs="宋体" w:eastAsia="宋体" w:hint="default"/>
                <w:sz w:val="18"/>
                <w:szCs w:val="18"/>
              </w:rPr>
            </w:pPr>
            <w:r>
              <w:rPr>
                <w:rFonts w:ascii="宋体" w:hAnsi="宋体" w:cs="宋体" w:eastAsia="宋体" w:hint="default"/>
                <w:sz w:val="18"/>
                <w:szCs w:val="18"/>
              </w:rPr>
              <w:t>男</w:t>
            </w:r>
          </w:p>
        </w:tc>
        <w:tc>
          <w:tcPr>
            <w:tcW w:w="1417"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56"/>
              <w:ind w:left="108"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8" w:right="0"/>
              <w:jc w:val="left"/>
              <w:rPr>
                <w:rFonts w:ascii="宋体" w:hAnsi="宋体" w:cs="宋体" w:eastAsia="宋体" w:hint="default"/>
                <w:sz w:val="18"/>
                <w:szCs w:val="18"/>
              </w:rPr>
            </w:pPr>
            <w:r>
              <w:rPr>
                <w:rFonts w:ascii="Arial" w:hAnsi="Arial" w:cs="Arial" w:eastAsia="Arial" w:hint="default"/>
                <w:sz w:val="18"/>
                <w:szCs w:val="18"/>
              </w:rPr>
              <w:t>18</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17" w:type="dxa"/>
            <w:tcBorders>
              <w:top w:val="single" w:sz="4" w:space="0" w:color="2D74B5"/>
              <w:left w:val="nil" w:sz="6" w:space="0" w:color="auto"/>
              <w:bottom w:val="single" w:sz="4" w:space="0" w:color="2D74B5"/>
              <w:right w:val="nil" w:sz="6" w:space="0" w:color="auto"/>
            </w:tcBorders>
          </w:tcPr>
          <w:p>
            <w:pPr>
              <w:pStyle w:val="TableParagraph"/>
              <w:spacing w:line="240" w:lineRule="auto" w:before="56"/>
              <w:ind w:left="108"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8" w:right="0"/>
              <w:jc w:val="left"/>
              <w:rPr>
                <w:rFonts w:ascii="宋体" w:hAnsi="宋体" w:cs="宋体" w:eastAsia="宋体" w:hint="default"/>
                <w:sz w:val="18"/>
                <w:szCs w:val="18"/>
              </w:rPr>
            </w:pP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85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98"/>
              <w:ind w:right="105"/>
              <w:jc w:val="right"/>
              <w:rPr>
                <w:rFonts w:ascii="Arial" w:hAnsi="Arial" w:cs="Arial" w:eastAsia="Arial" w:hint="default"/>
                <w:sz w:val="18"/>
                <w:szCs w:val="18"/>
              </w:rPr>
            </w:pPr>
            <w:r>
              <w:rPr>
                <w:rFonts w:ascii="Arial"/>
                <w:w w:val="99"/>
                <w:sz w:val="18"/>
              </w:rPr>
              <w:t>0</w:t>
            </w:r>
            <w:r>
              <w:rPr>
                <w:rFonts w:ascii="Arial"/>
                <w:sz w:val="18"/>
              </w:rPr>
            </w:r>
          </w:p>
        </w:tc>
        <w:tc>
          <w:tcPr>
            <w:tcW w:w="1711" w:type="dxa"/>
            <w:tcBorders>
              <w:top w:val="single" w:sz="4" w:space="0" w:color="2D74B5"/>
              <w:left w:val="nil" w:sz="6" w:space="0" w:color="auto"/>
              <w:bottom w:val="single" w:sz="4" w:space="0" w:color="2D74B5"/>
              <w:right w:val="nil" w:sz="6" w:space="0" w:color="auto"/>
            </w:tcBorders>
          </w:tcPr>
          <w:p>
            <w:pPr>
              <w:pStyle w:val="TableParagraph"/>
              <w:spacing w:line="240" w:lineRule="auto" w:before="98"/>
              <w:ind w:right="105"/>
              <w:jc w:val="right"/>
              <w:rPr>
                <w:rFonts w:ascii="Arial" w:hAnsi="Arial" w:cs="Arial" w:eastAsia="Arial" w:hint="default"/>
                <w:sz w:val="18"/>
                <w:szCs w:val="18"/>
              </w:rPr>
            </w:pPr>
            <w:r>
              <w:rPr>
                <w:rFonts w:ascii="Arial"/>
                <w:w w:val="99"/>
                <w:sz w:val="18"/>
              </w:rPr>
              <w:t>0</w:t>
            </w:r>
            <w:r>
              <w:rPr>
                <w:rFonts w:ascii="Arial"/>
                <w:sz w:val="18"/>
              </w:rPr>
            </w:r>
          </w:p>
        </w:tc>
        <w:tc>
          <w:tcPr>
            <w:tcW w:w="174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98"/>
              <w:ind w:right="105"/>
              <w:jc w:val="right"/>
              <w:rPr>
                <w:rFonts w:ascii="Arial" w:hAnsi="Arial" w:cs="Arial" w:eastAsia="Arial" w:hint="default"/>
                <w:sz w:val="18"/>
                <w:szCs w:val="18"/>
              </w:rPr>
            </w:pPr>
            <w:r>
              <w:rPr>
                <w:rFonts w:ascii="Arial"/>
                <w:w w:val="99"/>
                <w:sz w:val="18"/>
              </w:rPr>
              <w:t>0</w:t>
            </w:r>
            <w:r>
              <w:rPr>
                <w:rFonts w:ascii="Arial"/>
                <w:sz w:val="18"/>
              </w:rPr>
            </w:r>
          </w:p>
        </w:tc>
        <w:tc>
          <w:tcPr>
            <w:tcW w:w="1382" w:type="dxa"/>
            <w:tcBorders>
              <w:top w:val="single" w:sz="4" w:space="0" w:color="2D74B5"/>
              <w:left w:val="nil" w:sz="6" w:space="0" w:color="auto"/>
              <w:bottom w:val="single" w:sz="4" w:space="0" w:color="2D74B5"/>
              <w:right w:val="nil" w:sz="6" w:space="0" w:color="auto"/>
            </w:tcBorders>
          </w:tcPr>
          <w:p>
            <w:pPr>
              <w:pStyle w:val="TableParagraph"/>
              <w:spacing w:line="240" w:lineRule="auto" w:before="98"/>
              <w:ind w:right="105"/>
              <w:jc w:val="right"/>
              <w:rPr>
                <w:rFonts w:ascii="Arial" w:hAnsi="Arial" w:cs="Arial" w:eastAsia="Arial" w:hint="default"/>
                <w:sz w:val="18"/>
                <w:szCs w:val="18"/>
              </w:rPr>
            </w:pPr>
            <w:r>
              <w:rPr>
                <w:rFonts w:ascii="Arial"/>
                <w:w w:val="99"/>
                <w:sz w:val="18"/>
              </w:rPr>
              <w:t>0</w:t>
            </w:r>
            <w:r>
              <w:rPr>
                <w:rFonts w:ascii="Arial"/>
                <w:sz w:val="18"/>
              </w:rPr>
            </w:r>
          </w:p>
        </w:tc>
        <w:tc>
          <w:tcPr>
            <w:tcW w:w="1443"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98"/>
              <w:ind w:right="105"/>
              <w:jc w:val="right"/>
              <w:rPr>
                <w:rFonts w:ascii="Arial" w:hAnsi="Arial" w:cs="Arial" w:eastAsia="Arial" w:hint="default"/>
                <w:sz w:val="18"/>
                <w:szCs w:val="18"/>
              </w:rPr>
            </w:pPr>
            <w:r>
              <w:rPr>
                <w:rFonts w:ascii="Arial"/>
                <w:w w:val="99"/>
                <w:sz w:val="18"/>
              </w:rPr>
              <w:t>0</w:t>
            </w:r>
            <w:r>
              <w:rPr>
                <w:rFonts w:ascii="Arial"/>
                <w:sz w:val="18"/>
              </w:rPr>
            </w:r>
          </w:p>
        </w:tc>
      </w:tr>
      <w:tr>
        <w:trPr>
          <w:trHeight w:val="680" w:hRule="exact"/>
        </w:trPr>
        <w:tc>
          <w:tcPr>
            <w:tcW w:w="85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56"/>
              <w:ind w:right="203"/>
              <w:jc w:val="right"/>
              <w:rPr>
                <w:rFonts w:ascii="宋体" w:hAnsi="宋体" w:cs="宋体" w:eastAsia="宋体" w:hint="default"/>
                <w:sz w:val="18"/>
                <w:szCs w:val="18"/>
              </w:rPr>
            </w:pPr>
            <w:r>
              <w:rPr>
                <w:rFonts w:ascii="宋体" w:hAnsi="宋体" w:cs="宋体" w:eastAsia="宋体" w:hint="default"/>
                <w:sz w:val="18"/>
                <w:szCs w:val="18"/>
              </w:rPr>
              <w:t>张文良</w:t>
            </w:r>
          </w:p>
        </w:tc>
        <w:tc>
          <w:tcPr>
            <w:tcW w:w="993" w:type="dxa"/>
            <w:tcBorders>
              <w:top w:val="single" w:sz="4" w:space="0" w:color="2D74B5"/>
              <w:left w:val="nil" w:sz="6" w:space="0" w:color="auto"/>
              <w:bottom w:val="single" w:sz="4" w:space="0" w:color="2D74B5"/>
              <w:right w:val="nil" w:sz="6" w:space="0" w:color="auto"/>
            </w:tcBorders>
          </w:tcPr>
          <w:p>
            <w:pPr>
              <w:pStyle w:val="TableParagraph"/>
              <w:spacing w:line="319" w:lineRule="auto" w:before="56"/>
              <w:ind w:left="107" w:right="16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50"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56"/>
              <w:ind w:left="10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2D74B5"/>
              <w:left w:val="nil" w:sz="6" w:space="0" w:color="auto"/>
              <w:bottom w:val="single" w:sz="4" w:space="0" w:color="2D74B5"/>
              <w:right w:val="nil" w:sz="6" w:space="0" w:color="auto"/>
            </w:tcBorders>
          </w:tcPr>
          <w:p>
            <w:pPr>
              <w:pStyle w:val="TableParagraph"/>
              <w:spacing w:line="240" w:lineRule="auto" w:before="56"/>
              <w:ind w:right="29"/>
              <w:jc w:val="center"/>
              <w:rPr>
                <w:rFonts w:ascii="宋体" w:hAnsi="宋体" w:cs="宋体" w:eastAsia="宋体" w:hint="default"/>
                <w:sz w:val="18"/>
                <w:szCs w:val="18"/>
              </w:rPr>
            </w:pPr>
            <w:r>
              <w:rPr>
                <w:rFonts w:ascii="宋体" w:hAnsi="宋体" w:cs="宋体" w:eastAsia="宋体" w:hint="default"/>
                <w:sz w:val="18"/>
                <w:szCs w:val="18"/>
              </w:rPr>
              <w:t>男</w:t>
            </w:r>
          </w:p>
        </w:tc>
        <w:tc>
          <w:tcPr>
            <w:tcW w:w="1417"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56"/>
              <w:ind w:left="108"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06</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5"/>
              <w:ind w:left="108" w:right="0"/>
              <w:jc w:val="left"/>
              <w:rPr>
                <w:rFonts w:ascii="宋体" w:hAnsi="宋体" w:cs="宋体" w:eastAsia="宋体" w:hint="default"/>
                <w:sz w:val="18"/>
                <w:szCs w:val="18"/>
              </w:rPr>
            </w:pPr>
            <w:r>
              <w:rPr>
                <w:rFonts w:ascii="Arial" w:hAnsi="Arial" w:cs="Arial" w:eastAsia="Arial" w:hint="default"/>
                <w:sz w:val="18"/>
                <w:szCs w:val="18"/>
              </w:rPr>
              <w:t>06</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17" w:type="dxa"/>
            <w:tcBorders>
              <w:top w:val="single" w:sz="4" w:space="0" w:color="2D74B5"/>
              <w:left w:val="nil" w:sz="6" w:space="0" w:color="auto"/>
              <w:bottom w:val="single" w:sz="4" w:space="0" w:color="2D74B5"/>
              <w:right w:val="nil" w:sz="6" w:space="0" w:color="auto"/>
            </w:tcBorders>
          </w:tcPr>
          <w:p>
            <w:pPr>
              <w:pStyle w:val="TableParagraph"/>
              <w:spacing w:line="240" w:lineRule="auto" w:before="56"/>
              <w:ind w:left="108"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5"/>
              <w:ind w:left="108" w:right="0"/>
              <w:jc w:val="left"/>
              <w:rPr>
                <w:rFonts w:ascii="宋体" w:hAnsi="宋体" w:cs="宋体" w:eastAsia="宋体" w:hint="default"/>
                <w:sz w:val="18"/>
                <w:szCs w:val="18"/>
              </w:rPr>
            </w:pP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85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97"/>
              <w:ind w:right="105"/>
              <w:jc w:val="right"/>
              <w:rPr>
                <w:rFonts w:ascii="Arial" w:hAnsi="Arial" w:cs="Arial" w:eastAsia="Arial" w:hint="default"/>
                <w:sz w:val="18"/>
                <w:szCs w:val="18"/>
              </w:rPr>
            </w:pPr>
            <w:r>
              <w:rPr>
                <w:rFonts w:ascii="Arial"/>
                <w:w w:val="99"/>
                <w:sz w:val="18"/>
              </w:rPr>
              <w:t>0</w:t>
            </w:r>
            <w:r>
              <w:rPr>
                <w:rFonts w:ascii="Arial"/>
                <w:sz w:val="18"/>
              </w:rPr>
            </w:r>
          </w:p>
        </w:tc>
        <w:tc>
          <w:tcPr>
            <w:tcW w:w="1711" w:type="dxa"/>
            <w:tcBorders>
              <w:top w:val="single" w:sz="4" w:space="0" w:color="2D74B5"/>
              <w:left w:val="nil" w:sz="6" w:space="0" w:color="auto"/>
              <w:bottom w:val="single" w:sz="4" w:space="0" w:color="2D74B5"/>
              <w:right w:val="nil" w:sz="6" w:space="0" w:color="auto"/>
            </w:tcBorders>
          </w:tcPr>
          <w:p>
            <w:pPr>
              <w:pStyle w:val="TableParagraph"/>
              <w:spacing w:line="240" w:lineRule="auto" w:before="97"/>
              <w:ind w:right="105"/>
              <w:jc w:val="right"/>
              <w:rPr>
                <w:rFonts w:ascii="Arial" w:hAnsi="Arial" w:cs="Arial" w:eastAsia="Arial" w:hint="default"/>
                <w:sz w:val="18"/>
                <w:szCs w:val="18"/>
              </w:rPr>
            </w:pPr>
            <w:r>
              <w:rPr>
                <w:rFonts w:ascii="Arial"/>
                <w:w w:val="99"/>
                <w:sz w:val="18"/>
              </w:rPr>
              <w:t>0</w:t>
            </w:r>
            <w:r>
              <w:rPr>
                <w:rFonts w:ascii="Arial"/>
                <w:sz w:val="18"/>
              </w:rPr>
            </w:r>
          </w:p>
        </w:tc>
        <w:tc>
          <w:tcPr>
            <w:tcW w:w="174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97"/>
              <w:ind w:right="105"/>
              <w:jc w:val="right"/>
              <w:rPr>
                <w:rFonts w:ascii="Arial" w:hAnsi="Arial" w:cs="Arial" w:eastAsia="Arial" w:hint="default"/>
                <w:sz w:val="18"/>
                <w:szCs w:val="18"/>
              </w:rPr>
            </w:pPr>
            <w:r>
              <w:rPr>
                <w:rFonts w:ascii="Arial"/>
                <w:w w:val="99"/>
                <w:sz w:val="18"/>
              </w:rPr>
              <w:t>0</w:t>
            </w:r>
            <w:r>
              <w:rPr>
                <w:rFonts w:ascii="Arial"/>
                <w:sz w:val="18"/>
              </w:rPr>
            </w:r>
          </w:p>
        </w:tc>
        <w:tc>
          <w:tcPr>
            <w:tcW w:w="1382" w:type="dxa"/>
            <w:tcBorders>
              <w:top w:val="single" w:sz="4" w:space="0" w:color="2D74B5"/>
              <w:left w:val="nil" w:sz="6" w:space="0" w:color="auto"/>
              <w:bottom w:val="single" w:sz="4" w:space="0" w:color="2D74B5"/>
              <w:right w:val="nil" w:sz="6" w:space="0" w:color="auto"/>
            </w:tcBorders>
          </w:tcPr>
          <w:p>
            <w:pPr>
              <w:pStyle w:val="TableParagraph"/>
              <w:spacing w:line="240" w:lineRule="auto" w:before="97"/>
              <w:ind w:right="105"/>
              <w:jc w:val="right"/>
              <w:rPr>
                <w:rFonts w:ascii="Arial" w:hAnsi="Arial" w:cs="Arial" w:eastAsia="Arial" w:hint="default"/>
                <w:sz w:val="18"/>
                <w:szCs w:val="18"/>
              </w:rPr>
            </w:pPr>
            <w:r>
              <w:rPr>
                <w:rFonts w:ascii="Arial"/>
                <w:w w:val="99"/>
                <w:sz w:val="18"/>
              </w:rPr>
              <w:t>0</w:t>
            </w:r>
            <w:r>
              <w:rPr>
                <w:rFonts w:ascii="Arial"/>
                <w:sz w:val="18"/>
              </w:rPr>
            </w:r>
          </w:p>
        </w:tc>
        <w:tc>
          <w:tcPr>
            <w:tcW w:w="1443"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97"/>
              <w:ind w:right="105"/>
              <w:jc w:val="right"/>
              <w:rPr>
                <w:rFonts w:ascii="Arial" w:hAnsi="Arial" w:cs="Arial" w:eastAsia="Arial" w:hint="default"/>
                <w:sz w:val="18"/>
                <w:szCs w:val="18"/>
              </w:rPr>
            </w:pPr>
            <w:r>
              <w:rPr>
                <w:rFonts w:ascii="Arial"/>
                <w:w w:val="99"/>
                <w:sz w:val="18"/>
              </w:rPr>
              <w:t>0</w:t>
            </w:r>
            <w:r>
              <w:rPr>
                <w:rFonts w:ascii="Arial"/>
                <w:sz w:val="18"/>
              </w:rPr>
            </w:r>
          </w:p>
        </w:tc>
      </w:tr>
    </w:tbl>
    <w:p>
      <w:pPr>
        <w:spacing w:after="0" w:line="240" w:lineRule="auto"/>
        <w:jc w:val="right"/>
        <w:rPr>
          <w:rFonts w:ascii="Arial" w:hAnsi="Arial" w:cs="Arial" w:eastAsia="Arial" w:hint="default"/>
          <w:sz w:val="18"/>
          <w:szCs w:val="18"/>
        </w:rPr>
        <w:sectPr>
          <w:headerReference w:type="default" r:id="rId42"/>
          <w:footerReference w:type="default" r:id="rId43"/>
          <w:pgSz w:w="16840" w:h="11910" w:orient="landscape"/>
          <w:pgMar w:header="867" w:footer="979" w:top="1060" w:bottom="1240" w:left="900" w:right="0"/>
          <w:pgNumType w:start="67"/>
        </w:sectPr>
      </w:pPr>
    </w:p>
    <w:p>
      <w:pPr>
        <w:spacing w:line="240" w:lineRule="auto" w:before="4"/>
        <w:rPr>
          <w:rFonts w:ascii="Times New Roman" w:hAnsi="Times New Roman" w:cs="Times New Roman" w:eastAsia="Times New Roman"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852"/>
        <w:gridCol w:w="993"/>
        <w:gridCol w:w="850"/>
        <w:gridCol w:w="426"/>
        <w:gridCol w:w="1417"/>
        <w:gridCol w:w="1417"/>
        <w:gridCol w:w="1852"/>
        <w:gridCol w:w="1711"/>
        <w:gridCol w:w="1744"/>
        <w:gridCol w:w="1382"/>
        <w:gridCol w:w="1443"/>
        <w:gridCol w:w="329"/>
      </w:tblGrid>
      <w:tr>
        <w:trPr>
          <w:trHeight w:val="695" w:hRule="exact"/>
        </w:trPr>
        <w:tc>
          <w:tcPr>
            <w:tcW w:w="852" w:type="dxa"/>
            <w:tcBorders>
              <w:top w:val="single" w:sz="15" w:space="0" w:color="000000"/>
              <w:left w:val="nil" w:sz="6" w:space="0" w:color="auto"/>
              <w:bottom w:val="single" w:sz="4" w:space="0" w:color="2D74B5"/>
              <w:right w:val="nil" w:sz="6" w:space="0" w:color="auto"/>
            </w:tcBorders>
            <w:shd w:val="clear" w:color="auto" w:fill="DEEAF6"/>
          </w:tcPr>
          <w:p>
            <w:pPr>
              <w:pStyle w:val="TableParagraph"/>
              <w:spacing w:line="240" w:lineRule="auto" w:before="46"/>
              <w:ind w:left="107" w:right="0"/>
              <w:jc w:val="left"/>
              <w:rPr>
                <w:rFonts w:ascii="宋体" w:hAnsi="宋体" w:cs="宋体" w:eastAsia="宋体" w:hint="default"/>
                <w:sz w:val="18"/>
                <w:szCs w:val="18"/>
              </w:rPr>
            </w:pPr>
            <w:r>
              <w:rPr>
                <w:rFonts w:ascii="宋体" w:hAnsi="宋体" w:cs="宋体" w:eastAsia="宋体" w:hint="default"/>
                <w:sz w:val="18"/>
                <w:szCs w:val="18"/>
              </w:rPr>
              <w:t>朱维佳</w:t>
            </w:r>
          </w:p>
        </w:tc>
        <w:tc>
          <w:tcPr>
            <w:tcW w:w="993" w:type="dxa"/>
            <w:tcBorders>
              <w:top w:val="single" w:sz="15" w:space="0" w:color="000000"/>
              <w:left w:val="nil" w:sz="6" w:space="0" w:color="auto"/>
              <w:bottom w:val="single" w:sz="4" w:space="0" w:color="2D74B5"/>
              <w:right w:val="nil" w:sz="6" w:space="0" w:color="auto"/>
            </w:tcBorders>
          </w:tcPr>
          <w:p>
            <w:pPr>
              <w:pStyle w:val="TableParagraph"/>
              <w:spacing w:line="240" w:lineRule="auto" w:before="46"/>
              <w:ind w:left="107"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0" w:type="dxa"/>
            <w:tcBorders>
              <w:top w:val="single" w:sz="15" w:space="0" w:color="000000"/>
              <w:left w:val="nil" w:sz="6" w:space="0" w:color="auto"/>
              <w:bottom w:val="single" w:sz="4" w:space="0" w:color="2D74B5"/>
              <w:right w:val="nil" w:sz="6" w:space="0" w:color="auto"/>
            </w:tcBorders>
            <w:shd w:val="clear" w:color="auto" w:fill="DEEAF6"/>
          </w:tcPr>
          <w:p>
            <w:pPr>
              <w:pStyle w:val="TableParagraph"/>
              <w:spacing w:line="240" w:lineRule="auto" w:before="46"/>
              <w:ind w:right="379"/>
              <w:jc w:val="righ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15" w:space="0" w:color="000000"/>
              <w:left w:val="nil" w:sz="6" w:space="0" w:color="auto"/>
              <w:bottom w:val="single" w:sz="4" w:space="0" w:color="2D74B5"/>
              <w:right w:val="nil" w:sz="6" w:space="0" w:color="auto"/>
            </w:tcBorders>
          </w:tcPr>
          <w:p>
            <w:pPr>
              <w:pStyle w:val="TableParagraph"/>
              <w:spacing w:line="240" w:lineRule="auto" w:before="46"/>
              <w:ind w:right="29"/>
              <w:jc w:val="center"/>
              <w:rPr>
                <w:rFonts w:ascii="宋体" w:hAnsi="宋体" w:cs="宋体" w:eastAsia="宋体" w:hint="default"/>
                <w:sz w:val="18"/>
                <w:szCs w:val="18"/>
              </w:rPr>
            </w:pPr>
            <w:r>
              <w:rPr>
                <w:rFonts w:ascii="宋体" w:hAnsi="宋体" w:cs="宋体" w:eastAsia="宋体" w:hint="default"/>
                <w:sz w:val="18"/>
                <w:szCs w:val="18"/>
              </w:rPr>
              <w:t>男</w:t>
            </w:r>
          </w:p>
        </w:tc>
        <w:tc>
          <w:tcPr>
            <w:tcW w:w="1417" w:type="dxa"/>
            <w:tcBorders>
              <w:top w:val="single" w:sz="15" w:space="0" w:color="000000"/>
              <w:left w:val="nil" w:sz="6" w:space="0" w:color="auto"/>
              <w:bottom w:val="single" w:sz="4" w:space="0" w:color="2D74B5"/>
              <w:right w:val="nil" w:sz="6" w:space="0" w:color="auto"/>
            </w:tcBorders>
            <w:shd w:val="clear" w:color="auto" w:fill="DEEAF6"/>
          </w:tcPr>
          <w:p>
            <w:pPr>
              <w:pStyle w:val="TableParagraph"/>
              <w:spacing w:line="240" w:lineRule="auto" w:before="46"/>
              <w:ind w:left="108"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03</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5"/>
              <w:ind w:left="108" w:right="0"/>
              <w:jc w:val="left"/>
              <w:rPr>
                <w:rFonts w:ascii="宋体" w:hAnsi="宋体" w:cs="宋体" w:eastAsia="宋体" w:hint="default"/>
                <w:sz w:val="18"/>
                <w:szCs w:val="18"/>
              </w:rPr>
            </w:pPr>
            <w:r>
              <w:rPr>
                <w:rFonts w:ascii="Arial" w:hAnsi="Arial" w:cs="Arial" w:eastAsia="Arial" w:hint="default"/>
                <w:sz w:val="18"/>
                <w:szCs w:val="18"/>
              </w:rPr>
              <w:t>20</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17" w:type="dxa"/>
            <w:tcBorders>
              <w:top w:val="single" w:sz="15" w:space="0" w:color="000000"/>
              <w:left w:val="nil" w:sz="6" w:space="0" w:color="auto"/>
              <w:bottom w:val="single" w:sz="4" w:space="0" w:color="2D74B5"/>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5"/>
              <w:ind w:left="108" w:right="0"/>
              <w:jc w:val="left"/>
              <w:rPr>
                <w:rFonts w:ascii="宋体" w:hAnsi="宋体" w:cs="宋体" w:eastAsia="宋体" w:hint="default"/>
                <w:sz w:val="18"/>
                <w:szCs w:val="18"/>
              </w:rPr>
            </w:pP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852" w:type="dxa"/>
            <w:tcBorders>
              <w:top w:val="single" w:sz="15" w:space="0" w:color="000000"/>
              <w:left w:val="nil" w:sz="6" w:space="0" w:color="auto"/>
              <w:bottom w:val="single" w:sz="4" w:space="0" w:color="2D74B5"/>
              <w:right w:val="nil" w:sz="6" w:space="0" w:color="auto"/>
            </w:tcBorders>
            <w:shd w:val="clear" w:color="auto" w:fill="DEEAF6"/>
          </w:tcPr>
          <w:p>
            <w:pPr>
              <w:pStyle w:val="TableParagraph"/>
              <w:spacing w:line="240" w:lineRule="auto" w:before="88"/>
              <w:ind w:right="105"/>
              <w:jc w:val="right"/>
              <w:rPr>
                <w:rFonts w:ascii="Arial" w:hAnsi="Arial" w:cs="Arial" w:eastAsia="Arial" w:hint="default"/>
                <w:sz w:val="18"/>
                <w:szCs w:val="18"/>
              </w:rPr>
            </w:pPr>
            <w:r>
              <w:rPr>
                <w:rFonts w:ascii="Arial"/>
                <w:w w:val="99"/>
                <w:sz w:val="18"/>
              </w:rPr>
              <w:t>0</w:t>
            </w:r>
            <w:r>
              <w:rPr>
                <w:rFonts w:ascii="Arial"/>
                <w:sz w:val="18"/>
              </w:rPr>
            </w:r>
          </w:p>
        </w:tc>
        <w:tc>
          <w:tcPr>
            <w:tcW w:w="1711" w:type="dxa"/>
            <w:tcBorders>
              <w:top w:val="single" w:sz="15" w:space="0" w:color="000000"/>
              <w:left w:val="nil" w:sz="6" w:space="0" w:color="auto"/>
              <w:bottom w:val="single" w:sz="4" w:space="0" w:color="2D74B5"/>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w w:val="99"/>
                <w:sz w:val="18"/>
              </w:rPr>
              <w:t>0</w:t>
            </w:r>
            <w:r>
              <w:rPr>
                <w:rFonts w:ascii="Arial"/>
                <w:sz w:val="18"/>
              </w:rPr>
            </w:r>
          </w:p>
        </w:tc>
        <w:tc>
          <w:tcPr>
            <w:tcW w:w="1744" w:type="dxa"/>
            <w:tcBorders>
              <w:top w:val="single" w:sz="15" w:space="0" w:color="000000"/>
              <w:left w:val="nil" w:sz="6" w:space="0" w:color="auto"/>
              <w:bottom w:val="single" w:sz="4" w:space="0" w:color="2D74B5"/>
              <w:right w:val="nil" w:sz="6" w:space="0" w:color="auto"/>
            </w:tcBorders>
            <w:shd w:val="clear" w:color="auto" w:fill="DEEAF6"/>
          </w:tcPr>
          <w:p>
            <w:pPr>
              <w:pStyle w:val="TableParagraph"/>
              <w:spacing w:line="240" w:lineRule="auto" w:before="88"/>
              <w:ind w:right="105"/>
              <w:jc w:val="right"/>
              <w:rPr>
                <w:rFonts w:ascii="Arial" w:hAnsi="Arial" w:cs="Arial" w:eastAsia="Arial" w:hint="default"/>
                <w:sz w:val="18"/>
                <w:szCs w:val="18"/>
              </w:rPr>
            </w:pPr>
            <w:r>
              <w:rPr>
                <w:rFonts w:ascii="Arial"/>
                <w:w w:val="99"/>
                <w:sz w:val="18"/>
              </w:rPr>
              <w:t>0</w:t>
            </w:r>
            <w:r>
              <w:rPr>
                <w:rFonts w:ascii="Arial"/>
                <w:sz w:val="18"/>
              </w:rPr>
            </w:r>
          </w:p>
        </w:tc>
        <w:tc>
          <w:tcPr>
            <w:tcW w:w="1382" w:type="dxa"/>
            <w:tcBorders>
              <w:top w:val="single" w:sz="15" w:space="0" w:color="000000"/>
              <w:left w:val="nil" w:sz="6" w:space="0" w:color="auto"/>
              <w:bottom w:val="single" w:sz="4" w:space="0" w:color="2D74B5"/>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w w:val="99"/>
                <w:sz w:val="18"/>
              </w:rPr>
              <w:t>0</w:t>
            </w:r>
            <w:r>
              <w:rPr>
                <w:rFonts w:ascii="Arial"/>
                <w:sz w:val="18"/>
              </w:rPr>
            </w:r>
          </w:p>
        </w:tc>
        <w:tc>
          <w:tcPr>
            <w:tcW w:w="1443" w:type="dxa"/>
            <w:tcBorders>
              <w:top w:val="single" w:sz="15" w:space="0" w:color="000000"/>
              <w:left w:val="nil" w:sz="6" w:space="0" w:color="auto"/>
              <w:bottom w:val="single" w:sz="4" w:space="0" w:color="2D74B5"/>
              <w:right w:val="nil" w:sz="6" w:space="0" w:color="auto"/>
            </w:tcBorders>
            <w:shd w:val="clear" w:color="auto" w:fill="DEEAF6"/>
          </w:tcPr>
          <w:p>
            <w:pPr>
              <w:pStyle w:val="TableParagraph"/>
              <w:spacing w:line="240" w:lineRule="auto" w:before="88"/>
              <w:ind w:right="105"/>
              <w:jc w:val="right"/>
              <w:rPr>
                <w:rFonts w:ascii="Arial" w:hAnsi="Arial" w:cs="Arial" w:eastAsia="Arial" w:hint="default"/>
                <w:sz w:val="18"/>
                <w:szCs w:val="18"/>
              </w:rPr>
            </w:pPr>
            <w:r>
              <w:rPr>
                <w:rFonts w:ascii="Arial"/>
                <w:w w:val="99"/>
                <w:sz w:val="18"/>
              </w:rPr>
              <w:t>0</w:t>
            </w:r>
            <w:r>
              <w:rPr>
                <w:rFonts w:ascii="Arial"/>
                <w:sz w:val="18"/>
              </w:rPr>
            </w:r>
          </w:p>
        </w:tc>
        <w:tc>
          <w:tcPr>
            <w:tcW w:w="329" w:type="dxa"/>
            <w:vMerge w:val="restart"/>
            <w:tcBorders>
              <w:top w:val="single" w:sz="6" w:space="0" w:color="000000"/>
              <w:left w:val="nil" w:sz="6" w:space="0" w:color="auto"/>
              <w:right w:val="nil" w:sz="6" w:space="0" w:color="auto"/>
            </w:tcBorders>
          </w:tcPr>
          <w:p>
            <w:pPr/>
          </w:p>
        </w:tc>
      </w:tr>
      <w:tr>
        <w:trPr>
          <w:trHeight w:val="680" w:hRule="exact"/>
        </w:trPr>
        <w:tc>
          <w:tcPr>
            <w:tcW w:w="85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6"/>
              <w:ind w:left="107" w:right="0"/>
              <w:jc w:val="left"/>
              <w:rPr>
                <w:rFonts w:ascii="宋体" w:hAnsi="宋体" w:cs="宋体" w:eastAsia="宋体" w:hint="default"/>
                <w:sz w:val="18"/>
                <w:szCs w:val="18"/>
              </w:rPr>
            </w:pPr>
            <w:r>
              <w:rPr>
                <w:rFonts w:ascii="宋体" w:hAnsi="宋体" w:cs="宋体" w:eastAsia="宋体" w:hint="default"/>
                <w:sz w:val="18"/>
                <w:szCs w:val="18"/>
              </w:rPr>
              <w:t>李菡</w:t>
            </w:r>
          </w:p>
        </w:tc>
        <w:tc>
          <w:tcPr>
            <w:tcW w:w="993" w:type="dxa"/>
            <w:tcBorders>
              <w:top w:val="single" w:sz="4" w:space="0" w:color="2D74B5"/>
              <w:left w:val="nil" w:sz="6" w:space="0" w:color="auto"/>
              <w:bottom w:val="single" w:sz="4" w:space="0" w:color="2D74B5"/>
              <w:right w:val="nil" w:sz="6" w:space="0" w:color="auto"/>
            </w:tcBorders>
          </w:tcPr>
          <w:p>
            <w:pPr>
              <w:pStyle w:val="TableParagraph"/>
              <w:spacing w:line="240" w:lineRule="auto" w:before="46"/>
              <w:ind w:left="107"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0"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6"/>
              <w:ind w:right="379"/>
              <w:jc w:val="righ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2D74B5"/>
              <w:left w:val="nil" w:sz="6" w:space="0" w:color="auto"/>
              <w:bottom w:val="single" w:sz="4" w:space="0" w:color="2D74B5"/>
              <w:right w:val="nil" w:sz="6" w:space="0" w:color="auto"/>
            </w:tcBorders>
          </w:tcPr>
          <w:p>
            <w:pPr>
              <w:pStyle w:val="TableParagraph"/>
              <w:spacing w:line="240" w:lineRule="auto" w:before="46"/>
              <w:ind w:right="29"/>
              <w:jc w:val="center"/>
              <w:rPr>
                <w:rFonts w:ascii="宋体" w:hAnsi="宋体" w:cs="宋体" w:eastAsia="宋体" w:hint="default"/>
                <w:sz w:val="18"/>
                <w:szCs w:val="18"/>
              </w:rPr>
            </w:pPr>
            <w:r>
              <w:rPr>
                <w:rFonts w:ascii="宋体" w:hAnsi="宋体" w:cs="宋体" w:eastAsia="宋体" w:hint="default"/>
                <w:sz w:val="18"/>
                <w:szCs w:val="18"/>
              </w:rPr>
              <w:t>女</w:t>
            </w:r>
          </w:p>
        </w:tc>
        <w:tc>
          <w:tcPr>
            <w:tcW w:w="1417"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6"/>
              <w:ind w:left="108"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03</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8"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17" w:type="dxa"/>
            <w:tcBorders>
              <w:top w:val="single" w:sz="4" w:space="0" w:color="2D74B5"/>
              <w:left w:val="nil" w:sz="6" w:space="0" w:color="auto"/>
              <w:bottom w:val="single" w:sz="4" w:space="0" w:color="2D74B5"/>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8" w:right="0"/>
              <w:jc w:val="left"/>
              <w:rPr>
                <w:rFonts w:ascii="宋体" w:hAnsi="宋体" w:cs="宋体" w:eastAsia="宋体" w:hint="default"/>
                <w:sz w:val="18"/>
                <w:szCs w:val="18"/>
              </w:rPr>
            </w:pP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85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8"/>
              <w:ind w:right="105"/>
              <w:jc w:val="right"/>
              <w:rPr>
                <w:rFonts w:ascii="Arial" w:hAnsi="Arial" w:cs="Arial" w:eastAsia="Arial" w:hint="default"/>
                <w:sz w:val="18"/>
                <w:szCs w:val="18"/>
              </w:rPr>
            </w:pPr>
            <w:r>
              <w:rPr>
                <w:rFonts w:ascii="Arial"/>
                <w:w w:val="99"/>
                <w:sz w:val="18"/>
              </w:rPr>
              <w:t>0</w:t>
            </w:r>
            <w:r>
              <w:rPr>
                <w:rFonts w:ascii="Arial"/>
                <w:sz w:val="18"/>
              </w:rPr>
            </w:r>
          </w:p>
        </w:tc>
        <w:tc>
          <w:tcPr>
            <w:tcW w:w="1711" w:type="dxa"/>
            <w:tcBorders>
              <w:top w:val="single" w:sz="4" w:space="0" w:color="2D74B5"/>
              <w:left w:val="nil" w:sz="6" w:space="0" w:color="auto"/>
              <w:bottom w:val="single" w:sz="4" w:space="0" w:color="2D74B5"/>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w w:val="99"/>
                <w:sz w:val="18"/>
              </w:rPr>
              <w:t>0</w:t>
            </w:r>
            <w:r>
              <w:rPr>
                <w:rFonts w:ascii="Arial"/>
                <w:sz w:val="18"/>
              </w:rPr>
            </w:r>
          </w:p>
        </w:tc>
        <w:tc>
          <w:tcPr>
            <w:tcW w:w="174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8"/>
              <w:ind w:right="105"/>
              <w:jc w:val="right"/>
              <w:rPr>
                <w:rFonts w:ascii="Arial" w:hAnsi="Arial" w:cs="Arial" w:eastAsia="Arial" w:hint="default"/>
                <w:sz w:val="18"/>
                <w:szCs w:val="18"/>
              </w:rPr>
            </w:pPr>
            <w:r>
              <w:rPr>
                <w:rFonts w:ascii="Arial"/>
                <w:w w:val="99"/>
                <w:sz w:val="18"/>
              </w:rPr>
              <w:t>0</w:t>
            </w:r>
            <w:r>
              <w:rPr>
                <w:rFonts w:ascii="Arial"/>
                <w:sz w:val="18"/>
              </w:rPr>
            </w:r>
          </w:p>
        </w:tc>
        <w:tc>
          <w:tcPr>
            <w:tcW w:w="1382" w:type="dxa"/>
            <w:tcBorders>
              <w:top w:val="single" w:sz="4" w:space="0" w:color="2D74B5"/>
              <w:left w:val="nil" w:sz="6" w:space="0" w:color="auto"/>
              <w:bottom w:val="single" w:sz="4" w:space="0" w:color="2D74B5"/>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w w:val="99"/>
                <w:sz w:val="18"/>
              </w:rPr>
              <w:t>0</w:t>
            </w:r>
            <w:r>
              <w:rPr>
                <w:rFonts w:ascii="Arial"/>
                <w:sz w:val="18"/>
              </w:rPr>
            </w:r>
          </w:p>
        </w:tc>
        <w:tc>
          <w:tcPr>
            <w:tcW w:w="1443"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8"/>
              <w:ind w:right="105"/>
              <w:jc w:val="right"/>
              <w:rPr>
                <w:rFonts w:ascii="Arial" w:hAnsi="Arial" w:cs="Arial" w:eastAsia="Arial" w:hint="default"/>
                <w:sz w:val="18"/>
                <w:szCs w:val="18"/>
              </w:rPr>
            </w:pPr>
            <w:r>
              <w:rPr>
                <w:rFonts w:ascii="Arial"/>
                <w:w w:val="99"/>
                <w:sz w:val="18"/>
              </w:rPr>
              <w:t>0</w:t>
            </w:r>
            <w:r>
              <w:rPr>
                <w:rFonts w:ascii="Arial"/>
                <w:sz w:val="18"/>
              </w:rPr>
            </w:r>
          </w:p>
        </w:tc>
        <w:tc>
          <w:tcPr>
            <w:tcW w:w="329" w:type="dxa"/>
            <w:vMerge/>
            <w:tcBorders>
              <w:left w:val="nil" w:sz="6" w:space="0" w:color="auto"/>
              <w:right w:val="nil" w:sz="6" w:space="0" w:color="auto"/>
            </w:tcBorders>
          </w:tcPr>
          <w:p>
            <w:pPr/>
          </w:p>
        </w:tc>
      </w:tr>
      <w:tr>
        <w:trPr>
          <w:trHeight w:val="680" w:hRule="exact"/>
        </w:trPr>
        <w:tc>
          <w:tcPr>
            <w:tcW w:w="85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吴学军</w:t>
            </w:r>
          </w:p>
        </w:tc>
        <w:tc>
          <w:tcPr>
            <w:tcW w:w="993" w:type="dxa"/>
            <w:tcBorders>
              <w:top w:val="single" w:sz="4" w:space="0" w:color="2D74B5"/>
              <w:left w:val="nil" w:sz="6" w:space="0" w:color="auto"/>
              <w:bottom w:val="single" w:sz="4" w:space="0" w:color="2D74B5"/>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50"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right="379"/>
              <w:jc w:val="righ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2D74B5"/>
              <w:left w:val="nil" w:sz="6" w:space="0" w:color="auto"/>
              <w:bottom w:val="single" w:sz="4" w:space="0" w:color="2D74B5"/>
              <w:right w:val="nil" w:sz="6" w:space="0" w:color="auto"/>
            </w:tcBorders>
          </w:tcPr>
          <w:p>
            <w:pPr>
              <w:pStyle w:val="TableParagraph"/>
              <w:spacing w:line="240" w:lineRule="auto" w:before="47"/>
              <w:ind w:right="29"/>
              <w:jc w:val="center"/>
              <w:rPr>
                <w:rFonts w:ascii="宋体" w:hAnsi="宋体" w:cs="宋体" w:eastAsia="宋体" w:hint="default"/>
                <w:sz w:val="18"/>
                <w:szCs w:val="18"/>
              </w:rPr>
            </w:pPr>
            <w:r>
              <w:rPr>
                <w:rFonts w:ascii="宋体" w:hAnsi="宋体" w:cs="宋体" w:eastAsia="宋体" w:hint="default"/>
                <w:sz w:val="18"/>
                <w:szCs w:val="18"/>
              </w:rPr>
              <w:t>男</w:t>
            </w:r>
          </w:p>
        </w:tc>
        <w:tc>
          <w:tcPr>
            <w:tcW w:w="1417"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08"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8" w:right="0"/>
              <w:jc w:val="left"/>
              <w:rPr>
                <w:rFonts w:ascii="宋体" w:hAnsi="宋体" w:cs="宋体" w:eastAsia="宋体" w:hint="default"/>
                <w:sz w:val="18"/>
                <w:szCs w:val="18"/>
              </w:rPr>
            </w:pP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17" w:type="dxa"/>
            <w:tcBorders>
              <w:top w:val="single" w:sz="4" w:space="0" w:color="2D74B5"/>
              <w:left w:val="nil" w:sz="6" w:space="0" w:color="auto"/>
              <w:bottom w:val="single" w:sz="4" w:space="0" w:color="2D74B5"/>
              <w:right w:val="nil" w:sz="6" w:space="0" w:color="auto"/>
            </w:tcBorders>
          </w:tcPr>
          <w:p>
            <w:pPr>
              <w:pStyle w:val="TableParagraph"/>
              <w:spacing w:line="240" w:lineRule="auto" w:before="47"/>
              <w:ind w:left="108"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8" w:right="0"/>
              <w:jc w:val="left"/>
              <w:rPr>
                <w:rFonts w:ascii="宋体" w:hAnsi="宋体" w:cs="宋体" w:eastAsia="宋体" w:hint="default"/>
                <w:sz w:val="18"/>
                <w:szCs w:val="18"/>
              </w:rPr>
            </w:pP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85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8"/>
              <w:ind w:right="105"/>
              <w:jc w:val="right"/>
              <w:rPr>
                <w:rFonts w:ascii="Arial" w:hAnsi="Arial" w:cs="Arial" w:eastAsia="Arial" w:hint="default"/>
                <w:sz w:val="18"/>
                <w:szCs w:val="18"/>
              </w:rPr>
            </w:pPr>
            <w:r>
              <w:rPr>
                <w:rFonts w:ascii="Arial"/>
                <w:w w:val="99"/>
                <w:sz w:val="18"/>
              </w:rPr>
              <w:t>0</w:t>
            </w:r>
            <w:r>
              <w:rPr>
                <w:rFonts w:ascii="Arial"/>
                <w:sz w:val="18"/>
              </w:rPr>
            </w:r>
          </w:p>
        </w:tc>
        <w:tc>
          <w:tcPr>
            <w:tcW w:w="1711" w:type="dxa"/>
            <w:tcBorders>
              <w:top w:val="single" w:sz="4" w:space="0" w:color="2D74B5"/>
              <w:left w:val="nil" w:sz="6" w:space="0" w:color="auto"/>
              <w:bottom w:val="single" w:sz="4" w:space="0" w:color="2D74B5"/>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w w:val="99"/>
                <w:sz w:val="18"/>
              </w:rPr>
              <w:t>0</w:t>
            </w:r>
            <w:r>
              <w:rPr>
                <w:rFonts w:ascii="Arial"/>
                <w:sz w:val="18"/>
              </w:rPr>
            </w:r>
          </w:p>
        </w:tc>
        <w:tc>
          <w:tcPr>
            <w:tcW w:w="174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8"/>
              <w:ind w:right="105"/>
              <w:jc w:val="right"/>
              <w:rPr>
                <w:rFonts w:ascii="Arial" w:hAnsi="Arial" w:cs="Arial" w:eastAsia="Arial" w:hint="default"/>
                <w:sz w:val="18"/>
                <w:szCs w:val="18"/>
              </w:rPr>
            </w:pPr>
            <w:r>
              <w:rPr>
                <w:rFonts w:ascii="Arial"/>
                <w:w w:val="99"/>
                <w:sz w:val="18"/>
              </w:rPr>
              <w:t>0</w:t>
            </w:r>
            <w:r>
              <w:rPr>
                <w:rFonts w:ascii="Arial"/>
                <w:sz w:val="18"/>
              </w:rPr>
            </w:r>
          </w:p>
        </w:tc>
        <w:tc>
          <w:tcPr>
            <w:tcW w:w="1382" w:type="dxa"/>
            <w:tcBorders>
              <w:top w:val="single" w:sz="4" w:space="0" w:color="2D74B5"/>
              <w:left w:val="nil" w:sz="6" w:space="0" w:color="auto"/>
              <w:bottom w:val="single" w:sz="4" w:space="0" w:color="2D74B5"/>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w w:val="99"/>
                <w:sz w:val="18"/>
              </w:rPr>
              <w:t>0</w:t>
            </w:r>
            <w:r>
              <w:rPr>
                <w:rFonts w:ascii="Arial"/>
                <w:sz w:val="18"/>
              </w:rPr>
            </w:r>
          </w:p>
        </w:tc>
        <w:tc>
          <w:tcPr>
            <w:tcW w:w="1443"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8"/>
              <w:ind w:right="105"/>
              <w:jc w:val="right"/>
              <w:rPr>
                <w:rFonts w:ascii="Arial" w:hAnsi="Arial" w:cs="Arial" w:eastAsia="Arial" w:hint="default"/>
                <w:sz w:val="18"/>
                <w:szCs w:val="18"/>
              </w:rPr>
            </w:pPr>
            <w:r>
              <w:rPr>
                <w:rFonts w:ascii="Arial"/>
                <w:w w:val="99"/>
                <w:sz w:val="18"/>
              </w:rPr>
              <w:t>0</w:t>
            </w:r>
            <w:r>
              <w:rPr>
                <w:rFonts w:ascii="Arial"/>
                <w:sz w:val="18"/>
              </w:rPr>
            </w:r>
          </w:p>
        </w:tc>
        <w:tc>
          <w:tcPr>
            <w:tcW w:w="329" w:type="dxa"/>
            <w:vMerge/>
            <w:tcBorders>
              <w:left w:val="nil" w:sz="6" w:space="0" w:color="auto"/>
              <w:right w:val="nil" w:sz="6" w:space="0" w:color="auto"/>
            </w:tcBorders>
          </w:tcPr>
          <w:p>
            <w:pPr/>
          </w:p>
        </w:tc>
      </w:tr>
      <w:tr>
        <w:trPr>
          <w:trHeight w:val="680" w:hRule="exact"/>
        </w:trPr>
        <w:tc>
          <w:tcPr>
            <w:tcW w:w="85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6"/>
              <w:ind w:left="107" w:right="0"/>
              <w:jc w:val="left"/>
              <w:rPr>
                <w:rFonts w:ascii="宋体" w:hAnsi="宋体" w:cs="宋体" w:eastAsia="宋体" w:hint="default"/>
                <w:sz w:val="18"/>
                <w:szCs w:val="18"/>
              </w:rPr>
            </w:pPr>
            <w:r>
              <w:rPr>
                <w:rFonts w:ascii="宋体" w:hAnsi="宋体" w:cs="宋体" w:eastAsia="宋体" w:hint="default"/>
                <w:sz w:val="18"/>
                <w:szCs w:val="18"/>
              </w:rPr>
              <w:t>罗筱溪</w:t>
            </w:r>
          </w:p>
        </w:tc>
        <w:tc>
          <w:tcPr>
            <w:tcW w:w="993" w:type="dxa"/>
            <w:tcBorders>
              <w:top w:val="single" w:sz="4" w:space="0" w:color="2D74B5"/>
              <w:left w:val="nil" w:sz="6" w:space="0" w:color="auto"/>
              <w:bottom w:val="single" w:sz="4" w:space="0" w:color="2D74B5"/>
              <w:right w:val="nil" w:sz="6" w:space="0" w:color="auto"/>
            </w:tcBorders>
          </w:tcPr>
          <w:p>
            <w:pPr>
              <w:pStyle w:val="TableParagraph"/>
              <w:spacing w:line="316" w:lineRule="auto" w:before="46"/>
              <w:ind w:left="107" w:right="162"/>
              <w:jc w:val="left"/>
              <w:rPr>
                <w:rFonts w:ascii="宋体" w:hAnsi="宋体" w:cs="宋体" w:eastAsia="宋体" w:hint="default"/>
                <w:sz w:val="18"/>
                <w:szCs w:val="18"/>
              </w:rPr>
            </w:pPr>
            <w:r>
              <w:rPr>
                <w:rFonts w:ascii="宋体" w:hAnsi="宋体" w:cs="宋体" w:eastAsia="宋体" w:hint="default"/>
                <w:sz w:val="18"/>
                <w:szCs w:val="18"/>
              </w:rPr>
              <w:t>副总裁、 董事会秘</w:t>
            </w:r>
          </w:p>
        </w:tc>
        <w:tc>
          <w:tcPr>
            <w:tcW w:w="850"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6"/>
              <w:ind w:right="379"/>
              <w:jc w:val="righ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2D74B5"/>
              <w:left w:val="nil" w:sz="6" w:space="0" w:color="auto"/>
              <w:bottom w:val="single" w:sz="4" w:space="0" w:color="2D74B5"/>
              <w:right w:val="nil" w:sz="6" w:space="0" w:color="auto"/>
            </w:tcBorders>
          </w:tcPr>
          <w:p>
            <w:pPr>
              <w:pStyle w:val="TableParagraph"/>
              <w:spacing w:line="240" w:lineRule="auto" w:before="46"/>
              <w:ind w:right="29"/>
              <w:jc w:val="center"/>
              <w:rPr>
                <w:rFonts w:ascii="宋体" w:hAnsi="宋体" w:cs="宋体" w:eastAsia="宋体" w:hint="default"/>
                <w:sz w:val="18"/>
                <w:szCs w:val="18"/>
              </w:rPr>
            </w:pPr>
            <w:r>
              <w:rPr>
                <w:rFonts w:ascii="宋体" w:hAnsi="宋体" w:cs="宋体" w:eastAsia="宋体" w:hint="default"/>
                <w:sz w:val="18"/>
                <w:szCs w:val="18"/>
              </w:rPr>
              <w:t>女</w:t>
            </w:r>
          </w:p>
        </w:tc>
        <w:tc>
          <w:tcPr>
            <w:tcW w:w="1417"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6"/>
              <w:ind w:left="108"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02</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5"/>
              <w:ind w:left="108" w:right="0"/>
              <w:jc w:val="left"/>
              <w:rPr>
                <w:rFonts w:ascii="宋体" w:hAnsi="宋体" w:cs="宋体" w:eastAsia="宋体" w:hint="default"/>
                <w:sz w:val="18"/>
                <w:szCs w:val="18"/>
              </w:rPr>
            </w:pPr>
            <w:r>
              <w:rPr>
                <w:rFonts w:ascii="Arial" w:hAnsi="Arial" w:cs="Arial" w:eastAsia="Arial" w:hint="default"/>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17" w:type="dxa"/>
            <w:tcBorders>
              <w:top w:val="single" w:sz="4" w:space="0" w:color="2D74B5"/>
              <w:left w:val="nil" w:sz="6" w:space="0" w:color="auto"/>
              <w:bottom w:val="single" w:sz="4" w:space="0" w:color="2D74B5"/>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5"/>
              <w:ind w:left="108" w:right="0"/>
              <w:jc w:val="left"/>
              <w:rPr>
                <w:rFonts w:ascii="宋体" w:hAnsi="宋体" w:cs="宋体" w:eastAsia="宋体" w:hint="default"/>
                <w:sz w:val="18"/>
                <w:szCs w:val="18"/>
              </w:rPr>
            </w:pP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85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8"/>
              <w:ind w:right="105"/>
              <w:jc w:val="right"/>
              <w:rPr>
                <w:rFonts w:ascii="Arial" w:hAnsi="Arial" w:cs="Arial" w:eastAsia="Arial" w:hint="default"/>
                <w:sz w:val="18"/>
                <w:szCs w:val="18"/>
              </w:rPr>
            </w:pPr>
            <w:r>
              <w:rPr>
                <w:rFonts w:ascii="Arial"/>
                <w:w w:val="99"/>
                <w:sz w:val="18"/>
              </w:rPr>
              <w:t>0</w:t>
            </w:r>
            <w:r>
              <w:rPr>
                <w:rFonts w:ascii="Arial"/>
                <w:sz w:val="18"/>
              </w:rPr>
            </w:r>
          </w:p>
        </w:tc>
        <w:tc>
          <w:tcPr>
            <w:tcW w:w="1711" w:type="dxa"/>
            <w:tcBorders>
              <w:top w:val="single" w:sz="4" w:space="0" w:color="2D74B5"/>
              <w:left w:val="nil" w:sz="6" w:space="0" w:color="auto"/>
              <w:bottom w:val="single" w:sz="4" w:space="0" w:color="2D74B5"/>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w w:val="99"/>
                <w:sz w:val="18"/>
              </w:rPr>
              <w:t>0</w:t>
            </w:r>
            <w:r>
              <w:rPr>
                <w:rFonts w:ascii="Arial"/>
                <w:sz w:val="18"/>
              </w:rPr>
            </w:r>
          </w:p>
        </w:tc>
        <w:tc>
          <w:tcPr>
            <w:tcW w:w="174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8"/>
              <w:ind w:right="105"/>
              <w:jc w:val="right"/>
              <w:rPr>
                <w:rFonts w:ascii="Arial" w:hAnsi="Arial" w:cs="Arial" w:eastAsia="Arial" w:hint="default"/>
                <w:sz w:val="18"/>
                <w:szCs w:val="18"/>
              </w:rPr>
            </w:pPr>
            <w:r>
              <w:rPr>
                <w:rFonts w:ascii="Arial"/>
                <w:w w:val="99"/>
                <w:sz w:val="18"/>
              </w:rPr>
              <w:t>0</w:t>
            </w:r>
            <w:r>
              <w:rPr>
                <w:rFonts w:ascii="Arial"/>
                <w:sz w:val="18"/>
              </w:rPr>
            </w:r>
          </w:p>
        </w:tc>
        <w:tc>
          <w:tcPr>
            <w:tcW w:w="1382" w:type="dxa"/>
            <w:tcBorders>
              <w:top w:val="single" w:sz="4" w:space="0" w:color="2D74B5"/>
              <w:left w:val="nil" w:sz="6" w:space="0" w:color="auto"/>
              <w:bottom w:val="single" w:sz="4" w:space="0" w:color="2D74B5"/>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w w:val="99"/>
                <w:sz w:val="18"/>
              </w:rPr>
              <w:t>0</w:t>
            </w:r>
            <w:r>
              <w:rPr>
                <w:rFonts w:ascii="Arial"/>
                <w:sz w:val="18"/>
              </w:rPr>
            </w:r>
          </w:p>
        </w:tc>
        <w:tc>
          <w:tcPr>
            <w:tcW w:w="1443"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8"/>
              <w:ind w:right="105"/>
              <w:jc w:val="right"/>
              <w:rPr>
                <w:rFonts w:ascii="Arial" w:hAnsi="Arial" w:cs="Arial" w:eastAsia="Arial" w:hint="default"/>
                <w:sz w:val="18"/>
                <w:szCs w:val="18"/>
              </w:rPr>
            </w:pPr>
            <w:r>
              <w:rPr>
                <w:rFonts w:ascii="Arial"/>
                <w:w w:val="99"/>
                <w:sz w:val="18"/>
              </w:rPr>
              <w:t>0</w:t>
            </w:r>
            <w:r>
              <w:rPr>
                <w:rFonts w:ascii="Arial"/>
                <w:sz w:val="18"/>
              </w:rPr>
            </w:r>
          </w:p>
        </w:tc>
        <w:tc>
          <w:tcPr>
            <w:tcW w:w="329" w:type="dxa"/>
            <w:vMerge/>
            <w:tcBorders>
              <w:left w:val="nil" w:sz="6" w:space="0" w:color="auto"/>
              <w:right w:val="nil" w:sz="6" w:space="0" w:color="auto"/>
            </w:tcBorders>
          </w:tcPr>
          <w:p>
            <w:pPr/>
          </w:p>
        </w:tc>
      </w:tr>
      <w:tr>
        <w:trPr>
          <w:trHeight w:val="680" w:hRule="exact"/>
        </w:trPr>
        <w:tc>
          <w:tcPr>
            <w:tcW w:w="85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6"/>
              <w:ind w:left="107" w:right="0"/>
              <w:jc w:val="left"/>
              <w:rPr>
                <w:rFonts w:ascii="宋体" w:hAnsi="宋体" w:cs="宋体" w:eastAsia="宋体" w:hint="default"/>
                <w:sz w:val="18"/>
                <w:szCs w:val="18"/>
              </w:rPr>
            </w:pPr>
            <w:r>
              <w:rPr>
                <w:rFonts w:ascii="宋体" w:hAnsi="宋体" w:cs="宋体" w:eastAsia="宋体" w:hint="default"/>
                <w:sz w:val="18"/>
                <w:szCs w:val="18"/>
              </w:rPr>
              <w:t>陈亮</w:t>
            </w:r>
          </w:p>
        </w:tc>
        <w:tc>
          <w:tcPr>
            <w:tcW w:w="993" w:type="dxa"/>
            <w:tcBorders>
              <w:top w:val="single" w:sz="4" w:space="0" w:color="2D74B5"/>
              <w:left w:val="nil" w:sz="6" w:space="0" w:color="auto"/>
              <w:bottom w:val="single" w:sz="4" w:space="0" w:color="2D74B5"/>
              <w:right w:val="nil" w:sz="6" w:space="0" w:color="auto"/>
            </w:tcBorders>
          </w:tcPr>
          <w:p>
            <w:pPr>
              <w:pStyle w:val="TableParagraph"/>
              <w:spacing w:line="240" w:lineRule="auto" w:before="46"/>
              <w:ind w:left="107"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50"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6"/>
              <w:ind w:right="379"/>
              <w:jc w:val="righ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2D74B5"/>
              <w:left w:val="nil" w:sz="6" w:space="0" w:color="auto"/>
              <w:bottom w:val="single" w:sz="4" w:space="0" w:color="2D74B5"/>
              <w:right w:val="nil" w:sz="6" w:space="0" w:color="auto"/>
            </w:tcBorders>
          </w:tcPr>
          <w:p>
            <w:pPr>
              <w:pStyle w:val="TableParagraph"/>
              <w:spacing w:line="240" w:lineRule="auto" w:before="46"/>
              <w:ind w:right="29"/>
              <w:jc w:val="center"/>
              <w:rPr>
                <w:rFonts w:ascii="宋体" w:hAnsi="宋体" w:cs="宋体" w:eastAsia="宋体" w:hint="default"/>
                <w:sz w:val="18"/>
                <w:szCs w:val="18"/>
              </w:rPr>
            </w:pPr>
            <w:r>
              <w:rPr>
                <w:rFonts w:ascii="宋体" w:hAnsi="宋体" w:cs="宋体" w:eastAsia="宋体" w:hint="default"/>
                <w:sz w:val="18"/>
                <w:szCs w:val="18"/>
              </w:rPr>
              <w:t>男</w:t>
            </w:r>
          </w:p>
        </w:tc>
        <w:tc>
          <w:tcPr>
            <w:tcW w:w="1417"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6"/>
              <w:ind w:left="108"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09</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8" w:right="0"/>
              <w:jc w:val="left"/>
              <w:rPr>
                <w:rFonts w:ascii="宋体" w:hAnsi="宋体" w:cs="宋体" w:eastAsia="宋体" w:hint="default"/>
                <w:sz w:val="18"/>
                <w:szCs w:val="18"/>
              </w:rPr>
            </w:pPr>
            <w:r>
              <w:rPr>
                <w:rFonts w:ascii="Arial" w:hAnsi="Arial" w:cs="Arial" w:eastAsia="Arial" w:hint="default"/>
                <w:sz w:val="18"/>
                <w:szCs w:val="18"/>
              </w:rPr>
              <w:t>22</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17" w:type="dxa"/>
            <w:tcBorders>
              <w:top w:val="single" w:sz="4" w:space="0" w:color="2D74B5"/>
              <w:left w:val="nil" w:sz="6" w:space="0" w:color="auto"/>
              <w:bottom w:val="single" w:sz="4" w:space="0" w:color="2D74B5"/>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8" w:right="0"/>
              <w:jc w:val="left"/>
              <w:rPr>
                <w:rFonts w:ascii="宋体" w:hAnsi="宋体" w:cs="宋体" w:eastAsia="宋体" w:hint="default"/>
                <w:sz w:val="18"/>
                <w:szCs w:val="18"/>
              </w:rPr>
            </w:pP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85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8"/>
              <w:ind w:right="105"/>
              <w:jc w:val="right"/>
              <w:rPr>
                <w:rFonts w:ascii="Arial" w:hAnsi="Arial" w:cs="Arial" w:eastAsia="Arial" w:hint="default"/>
                <w:sz w:val="18"/>
                <w:szCs w:val="18"/>
              </w:rPr>
            </w:pPr>
            <w:r>
              <w:rPr>
                <w:rFonts w:ascii="Arial"/>
                <w:w w:val="99"/>
                <w:sz w:val="18"/>
              </w:rPr>
              <w:t>0</w:t>
            </w:r>
            <w:r>
              <w:rPr>
                <w:rFonts w:ascii="Arial"/>
                <w:sz w:val="18"/>
              </w:rPr>
            </w:r>
          </w:p>
        </w:tc>
        <w:tc>
          <w:tcPr>
            <w:tcW w:w="1711" w:type="dxa"/>
            <w:tcBorders>
              <w:top w:val="single" w:sz="4" w:space="0" w:color="2D74B5"/>
              <w:left w:val="nil" w:sz="6" w:space="0" w:color="auto"/>
              <w:bottom w:val="single" w:sz="4" w:space="0" w:color="2D74B5"/>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w w:val="99"/>
                <w:sz w:val="18"/>
              </w:rPr>
              <w:t>0</w:t>
            </w:r>
            <w:r>
              <w:rPr>
                <w:rFonts w:ascii="Arial"/>
                <w:sz w:val="18"/>
              </w:rPr>
            </w:r>
          </w:p>
        </w:tc>
        <w:tc>
          <w:tcPr>
            <w:tcW w:w="174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8"/>
              <w:ind w:right="105"/>
              <w:jc w:val="right"/>
              <w:rPr>
                <w:rFonts w:ascii="Arial" w:hAnsi="Arial" w:cs="Arial" w:eastAsia="Arial" w:hint="default"/>
                <w:sz w:val="18"/>
                <w:szCs w:val="18"/>
              </w:rPr>
            </w:pPr>
            <w:r>
              <w:rPr>
                <w:rFonts w:ascii="Arial"/>
                <w:w w:val="99"/>
                <w:sz w:val="18"/>
              </w:rPr>
              <w:t>0</w:t>
            </w:r>
            <w:r>
              <w:rPr>
                <w:rFonts w:ascii="Arial"/>
                <w:sz w:val="18"/>
              </w:rPr>
            </w:r>
          </w:p>
        </w:tc>
        <w:tc>
          <w:tcPr>
            <w:tcW w:w="1382" w:type="dxa"/>
            <w:tcBorders>
              <w:top w:val="single" w:sz="4" w:space="0" w:color="2D74B5"/>
              <w:left w:val="nil" w:sz="6" w:space="0" w:color="auto"/>
              <w:bottom w:val="single" w:sz="4" w:space="0" w:color="2D74B5"/>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w w:val="99"/>
                <w:sz w:val="18"/>
              </w:rPr>
              <w:t>0</w:t>
            </w:r>
            <w:r>
              <w:rPr>
                <w:rFonts w:ascii="Arial"/>
                <w:sz w:val="18"/>
              </w:rPr>
            </w:r>
          </w:p>
        </w:tc>
        <w:tc>
          <w:tcPr>
            <w:tcW w:w="1443"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8"/>
              <w:ind w:right="105"/>
              <w:jc w:val="right"/>
              <w:rPr>
                <w:rFonts w:ascii="Arial" w:hAnsi="Arial" w:cs="Arial" w:eastAsia="Arial" w:hint="default"/>
                <w:sz w:val="18"/>
                <w:szCs w:val="18"/>
              </w:rPr>
            </w:pPr>
            <w:r>
              <w:rPr>
                <w:rFonts w:ascii="Arial"/>
                <w:w w:val="99"/>
                <w:sz w:val="18"/>
              </w:rPr>
              <w:t>0</w:t>
            </w:r>
            <w:r>
              <w:rPr>
                <w:rFonts w:ascii="Arial"/>
                <w:sz w:val="18"/>
              </w:rPr>
            </w:r>
          </w:p>
        </w:tc>
        <w:tc>
          <w:tcPr>
            <w:tcW w:w="329" w:type="dxa"/>
            <w:vMerge/>
            <w:tcBorders>
              <w:left w:val="nil" w:sz="6" w:space="0" w:color="auto"/>
              <w:right w:val="nil" w:sz="6" w:space="0" w:color="auto"/>
            </w:tcBorders>
          </w:tcPr>
          <w:p>
            <w:pPr/>
          </w:p>
        </w:tc>
      </w:tr>
      <w:tr>
        <w:trPr>
          <w:trHeight w:val="680" w:hRule="exact"/>
        </w:trPr>
        <w:tc>
          <w:tcPr>
            <w:tcW w:w="85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米泽东</w:t>
            </w:r>
          </w:p>
        </w:tc>
        <w:tc>
          <w:tcPr>
            <w:tcW w:w="993" w:type="dxa"/>
            <w:tcBorders>
              <w:top w:val="single" w:sz="4" w:space="0" w:color="2D74B5"/>
              <w:left w:val="nil" w:sz="6" w:space="0" w:color="auto"/>
              <w:bottom w:val="single" w:sz="4" w:space="0" w:color="2D74B5"/>
              <w:right w:val="nil" w:sz="6" w:space="0" w:color="auto"/>
            </w:tcBorders>
          </w:tcPr>
          <w:p>
            <w:pPr>
              <w:pStyle w:val="TableParagraph"/>
              <w:spacing w:line="316" w:lineRule="auto" w:before="47"/>
              <w:ind w:left="107" w:right="162"/>
              <w:jc w:val="left"/>
              <w:rPr>
                <w:rFonts w:ascii="宋体" w:hAnsi="宋体" w:cs="宋体" w:eastAsia="宋体" w:hint="default"/>
                <w:sz w:val="18"/>
                <w:szCs w:val="18"/>
              </w:rPr>
            </w:pPr>
            <w:r>
              <w:rPr>
                <w:rFonts w:ascii="宋体" w:hAnsi="宋体" w:cs="宋体" w:eastAsia="宋体" w:hint="default"/>
                <w:sz w:val="18"/>
                <w:szCs w:val="18"/>
              </w:rPr>
              <w:t>副总裁、 财务负责</w:t>
            </w:r>
          </w:p>
        </w:tc>
        <w:tc>
          <w:tcPr>
            <w:tcW w:w="850"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right="379"/>
              <w:jc w:val="righ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2D74B5"/>
              <w:left w:val="nil" w:sz="6" w:space="0" w:color="auto"/>
              <w:bottom w:val="single" w:sz="4" w:space="0" w:color="2D74B5"/>
              <w:right w:val="nil" w:sz="6" w:space="0" w:color="auto"/>
            </w:tcBorders>
          </w:tcPr>
          <w:p>
            <w:pPr>
              <w:pStyle w:val="TableParagraph"/>
              <w:spacing w:line="240" w:lineRule="auto" w:before="47"/>
              <w:ind w:right="29"/>
              <w:jc w:val="center"/>
              <w:rPr>
                <w:rFonts w:ascii="宋体" w:hAnsi="宋体" w:cs="宋体" w:eastAsia="宋体" w:hint="default"/>
                <w:sz w:val="18"/>
                <w:szCs w:val="18"/>
              </w:rPr>
            </w:pPr>
            <w:r>
              <w:rPr>
                <w:rFonts w:ascii="宋体" w:hAnsi="宋体" w:cs="宋体" w:eastAsia="宋体" w:hint="default"/>
                <w:sz w:val="18"/>
                <w:szCs w:val="18"/>
              </w:rPr>
              <w:t>男</w:t>
            </w:r>
          </w:p>
        </w:tc>
        <w:tc>
          <w:tcPr>
            <w:tcW w:w="1417"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08" w:right="0"/>
              <w:jc w:val="left"/>
              <w:rPr>
                <w:rFonts w:ascii="Arial" w:hAnsi="Arial" w:cs="Arial" w:eastAsia="Arial" w:hint="default"/>
                <w:sz w:val="18"/>
                <w:szCs w:val="18"/>
              </w:rPr>
            </w:pPr>
            <w:r>
              <w:rPr>
                <w:rFonts w:ascii="Arial" w:hAnsi="Arial" w:cs="Arial" w:eastAsia="Arial" w:hint="default"/>
                <w:sz w:val="18"/>
                <w:szCs w:val="18"/>
              </w:rPr>
              <w:t>2015</w:t>
            </w:r>
            <w:r>
              <w:rPr>
                <w:rFonts w:ascii="Arial" w:hAnsi="Arial" w:cs="Arial" w:eastAsia="Arial"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Arial" w:hAnsi="Arial" w:cs="Arial" w:eastAsia="Arial" w:hint="default"/>
                <w:sz w:val="18"/>
                <w:szCs w:val="18"/>
              </w:rPr>
              <w:t>8</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Arial" w:hAnsi="Arial" w:cs="Arial" w:eastAsia="Arial" w:hint="default"/>
                <w:sz w:val="18"/>
                <w:szCs w:val="18"/>
              </w:rPr>
              <w:t>21</w:t>
            </w:r>
          </w:p>
          <w:p>
            <w:pPr>
              <w:pStyle w:val="TableParagraph"/>
              <w:spacing w:line="240" w:lineRule="auto" w:before="64"/>
              <w:ind w:left="10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7" w:type="dxa"/>
            <w:tcBorders>
              <w:top w:val="single" w:sz="4" w:space="0" w:color="2D74B5"/>
              <w:left w:val="nil" w:sz="6" w:space="0" w:color="auto"/>
              <w:bottom w:val="single" w:sz="4" w:space="0" w:color="2D74B5"/>
              <w:right w:val="nil" w:sz="6" w:space="0" w:color="auto"/>
            </w:tcBorders>
          </w:tcPr>
          <w:p>
            <w:pPr>
              <w:pStyle w:val="TableParagraph"/>
              <w:spacing w:line="240" w:lineRule="auto" w:before="47"/>
              <w:ind w:left="108"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4"/>
              <w:ind w:left="108" w:right="0"/>
              <w:jc w:val="left"/>
              <w:rPr>
                <w:rFonts w:ascii="宋体" w:hAnsi="宋体" w:cs="宋体" w:eastAsia="宋体" w:hint="default"/>
                <w:sz w:val="18"/>
                <w:szCs w:val="18"/>
              </w:rPr>
            </w:pP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85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8"/>
              <w:ind w:right="106"/>
              <w:jc w:val="right"/>
              <w:rPr>
                <w:rFonts w:ascii="Arial" w:hAnsi="Arial" w:cs="Arial" w:eastAsia="Arial" w:hint="default"/>
                <w:sz w:val="18"/>
                <w:szCs w:val="18"/>
              </w:rPr>
            </w:pPr>
            <w:r>
              <w:rPr>
                <w:rFonts w:ascii="Arial"/>
                <w:w w:val="95"/>
                <w:sz w:val="18"/>
              </w:rPr>
              <w:t>160,000</w:t>
            </w:r>
            <w:r>
              <w:rPr>
                <w:rFonts w:ascii="Arial"/>
                <w:sz w:val="18"/>
              </w:rPr>
            </w:r>
          </w:p>
        </w:tc>
        <w:tc>
          <w:tcPr>
            <w:tcW w:w="1711" w:type="dxa"/>
            <w:tcBorders>
              <w:top w:val="single" w:sz="4" w:space="0" w:color="2D74B5"/>
              <w:left w:val="nil" w:sz="6" w:space="0" w:color="auto"/>
              <w:bottom w:val="single" w:sz="4" w:space="0" w:color="2D74B5"/>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w w:val="99"/>
                <w:sz w:val="18"/>
              </w:rPr>
              <w:t>0</w:t>
            </w:r>
            <w:r>
              <w:rPr>
                <w:rFonts w:ascii="Arial"/>
                <w:sz w:val="18"/>
              </w:rPr>
            </w:r>
          </w:p>
        </w:tc>
        <w:tc>
          <w:tcPr>
            <w:tcW w:w="174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8"/>
              <w:ind w:right="105"/>
              <w:jc w:val="right"/>
              <w:rPr>
                <w:rFonts w:ascii="Arial" w:hAnsi="Arial" w:cs="Arial" w:eastAsia="Arial" w:hint="default"/>
                <w:sz w:val="18"/>
                <w:szCs w:val="18"/>
              </w:rPr>
            </w:pPr>
            <w:r>
              <w:rPr>
                <w:rFonts w:ascii="Arial"/>
                <w:w w:val="99"/>
                <w:sz w:val="18"/>
              </w:rPr>
              <w:t>0</w:t>
            </w:r>
            <w:r>
              <w:rPr>
                <w:rFonts w:ascii="Arial"/>
                <w:sz w:val="18"/>
              </w:rPr>
            </w:r>
          </w:p>
        </w:tc>
        <w:tc>
          <w:tcPr>
            <w:tcW w:w="1382" w:type="dxa"/>
            <w:tcBorders>
              <w:top w:val="single" w:sz="4" w:space="0" w:color="2D74B5"/>
              <w:left w:val="nil" w:sz="6" w:space="0" w:color="auto"/>
              <w:bottom w:val="single" w:sz="4" w:space="0" w:color="2D74B5"/>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w w:val="99"/>
                <w:sz w:val="18"/>
              </w:rPr>
              <w:t>0</w:t>
            </w:r>
            <w:r>
              <w:rPr>
                <w:rFonts w:ascii="Arial"/>
                <w:sz w:val="18"/>
              </w:rPr>
            </w:r>
          </w:p>
        </w:tc>
        <w:tc>
          <w:tcPr>
            <w:tcW w:w="1443"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8"/>
              <w:ind w:right="105"/>
              <w:jc w:val="right"/>
              <w:rPr>
                <w:rFonts w:ascii="Arial" w:hAnsi="Arial" w:cs="Arial" w:eastAsia="Arial" w:hint="default"/>
                <w:sz w:val="18"/>
                <w:szCs w:val="18"/>
              </w:rPr>
            </w:pPr>
            <w:r>
              <w:rPr>
                <w:rFonts w:ascii="Arial"/>
                <w:w w:val="95"/>
                <w:sz w:val="18"/>
              </w:rPr>
              <w:t>160,000</w:t>
            </w:r>
            <w:r>
              <w:rPr>
                <w:rFonts w:ascii="Arial"/>
                <w:sz w:val="18"/>
              </w:rPr>
            </w:r>
          </w:p>
        </w:tc>
        <w:tc>
          <w:tcPr>
            <w:tcW w:w="329" w:type="dxa"/>
            <w:vMerge/>
            <w:tcBorders>
              <w:left w:val="nil" w:sz="6" w:space="0" w:color="auto"/>
              <w:right w:val="nil" w:sz="6" w:space="0" w:color="auto"/>
            </w:tcBorders>
          </w:tcPr>
          <w:p>
            <w:pPr/>
          </w:p>
        </w:tc>
      </w:tr>
      <w:tr>
        <w:trPr>
          <w:trHeight w:val="680" w:hRule="exact"/>
        </w:trPr>
        <w:tc>
          <w:tcPr>
            <w:tcW w:w="85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6"/>
              <w:ind w:left="107" w:right="0"/>
              <w:jc w:val="left"/>
              <w:rPr>
                <w:rFonts w:ascii="宋体" w:hAnsi="宋体" w:cs="宋体" w:eastAsia="宋体" w:hint="default"/>
                <w:sz w:val="18"/>
                <w:szCs w:val="18"/>
              </w:rPr>
            </w:pPr>
            <w:r>
              <w:rPr>
                <w:rFonts w:ascii="宋体" w:hAnsi="宋体" w:cs="宋体" w:eastAsia="宋体" w:hint="default"/>
                <w:sz w:val="18"/>
                <w:szCs w:val="18"/>
              </w:rPr>
              <w:t>刘红花</w:t>
            </w:r>
          </w:p>
        </w:tc>
        <w:tc>
          <w:tcPr>
            <w:tcW w:w="993" w:type="dxa"/>
            <w:tcBorders>
              <w:top w:val="single" w:sz="4" w:space="0" w:color="2D74B5"/>
              <w:left w:val="nil" w:sz="6" w:space="0" w:color="auto"/>
              <w:bottom w:val="single" w:sz="4" w:space="0" w:color="2D74B5"/>
              <w:right w:val="nil" w:sz="6" w:space="0" w:color="auto"/>
            </w:tcBorders>
          </w:tcPr>
          <w:p>
            <w:pPr>
              <w:pStyle w:val="TableParagraph"/>
              <w:spacing w:line="240" w:lineRule="auto" w:before="46"/>
              <w:ind w:left="107"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50"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6"/>
              <w:ind w:right="379"/>
              <w:jc w:val="righ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2D74B5"/>
              <w:left w:val="nil" w:sz="6" w:space="0" w:color="auto"/>
              <w:bottom w:val="single" w:sz="4" w:space="0" w:color="2D74B5"/>
              <w:right w:val="nil" w:sz="6" w:space="0" w:color="auto"/>
            </w:tcBorders>
          </w:tcPr>
          <w:p>
            <w:pPr>
              <w:pStyle w:val="TableParagraph"/>
              <w:spacing w:line="240" w:lineRule="auto" w:before="46"/>
              <w:ind w:right="29"/>
              <w:jc w:val="center"/>
              <w:rPr>
                <w:rFonts w:ascii="宋体" w:hAnsi="宋体" w:cs="宋体" w:eastAsia="宋体" w:hint="default"/>
                <w:sz w:val="18"/>
                <w:szCs w:val="18"/>
              </w:rPr>
            </w:pPr>
            <w:r>
              <w:rPr>
                <w:rFonts w:ascii="宋体" w:hAnsi="宋体" w:cs="宋体" w:eastAsia="宋体" w:hint="default"/>
                <w:sz w:val="18"/>
                <w:szCs w:val="18"/>
              </w:rPr>
              <w:t>女</w:t>
            </w:r>
          </w:p>
        </w:tc>
        <w:tc>
          <w:tcPr>
            <w:tcW w:w="1417"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6"/>
              <w:ind w:left="108" w:right="0"/>
              <w:jc w:val="left"/>
              <w:rPr>
                <w:rFonts w:ascii="Arial" w:hAnsi="Arial" w:cs="Arial" w:eastAsia="Arial" w:hint="default"/>
                <w:sz w:val="18"/>
                <w:szCs w:val="18"/>
              </w:rPr>
            </w:pPr>
            <w:r>
              <w:rPr>
                <w:rFonts w:ascii="Arial" w:hAnsi="Arial" w:cs="Arial" w:eastAsia="Arial" w:hint="default"/>
                <w:sz w:val="18"/>
                <w:szCs w:val="18"/>
              </w:rPr>
              <w:t>2015</w:t>
            </w:r>
            <w:r>
              <w:rPr>
                <w:rFonts w:ascii="Arial" w:hAnsi="Arial" w:cs="Arial" w:eastAsia="Arial"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Arial" w:hAnsi="Arial" w:cs="Arial" w:eastAsia="Arial" w:hint="default"/>
                <w:sz w:val="18"/>
                <w:szCs w:val="18"/>
              </w:rPr>
              <w:t>8</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Arial" w:hAnsi="Arial" w:cs="Arial" w:eastAsia="Arial" w:hint="default"/>
                <w:sz w:val="18"/>
                <w:szCs w:val="18"/>
              </w:rPr>
              <w:t>21</w:t>
            </w:r>
          </w:p>
          <w:p>
            <w:pPr>
              <w:pStyle w:val="TableParagraph"/>
              <w:spacing w:line="240" w:lineRule="auto" w:before="65"/>
              <w:ind w:left="10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7" w:type="dxa"/>
            <w:tcBorders>
              <w:top w:val="single" w:sz="4" w:space="0" w:color="2D74B5"/>
              <w:left w:val="nil" w:sz="6" w:space="0" w:color="auto"/>
              <w:bottom w:val="single" w:sz="4" w:space="0" w:color="2D74B5"/>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5"/>
              <w:ind w:left="108" w:right="0"/>
              <w:jc w:val="left"/>
              <w:rPr>
                <w:rFonts w:ascii="宋体" w:hAnsi="宋体" w:cs="宋体" w:eastAsia="宋体" w:hint="default"/>
                <w:sz w:val="18"/>
                <w:szCs w:val="18"/>
              </w:rPr>
            </w:pP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85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8"/>
              <w:ind w:right="106"/>
              <w:jc w:val="right"/>
              <w:rPr>
                <w:rFonts w:ascii="Arial" w:hAnsi="Arial" w:cs="Arial" w:eastAsia="Arial" w:hint="default"/>
                <w:sz w:val="18"/>
                <w:szCs w:val="18"/>
              </w:rPr>
            </w:pPr>
            <w:r>
              <w:rPr>
                <w:rFonts w:ascii="Arial"/>
                <w:w w:val="95"/>
                <w:sz w:val="18"/>
              </w:rPr>
              <w:t>756,253</w:t>
            </w:r>
            <w:r>
              <w:rPr>
                <w:rFonts w:ascii="Arial"/>
                <w:sz w:val="18"/>
              </w:rPr>
            </w:r>
          </w:p>
        </w:tc>
        <w:tc>
          <w:tcPr>
            <w:tcW w:w="1711" w:type="dxa"/>
            <w:tcBorders>
              <w:top w:val="single" w:sz="4" w:space="0" w:color="2D74B5"/>
              <w:left w:val="nil" w:sz="6" w:space="0" w:color="auto"/>
              <w:bottom w:val="single" w:sz="4" w:space="0" w:color="2D74B5"/>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w w:val="95"/>
                <w:sz w:val="18"/>
              </w:rPr>
              <w:t>111,200</w:t>
            </w:r>
            <w:r>
              <w:rPr>
                <w:rFonts w:ascii="Arial"/>
                <w:sz w:val="18"/>
              </w:rPr>
            </w:r>
          </w:p>
        </w:tc>
        <w:tc>
          <w:tcPr>
            <w:tcW w:w="174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8"/>
              <w:ind w:right="105"/>
              <w:jc w:val="right"/>
              <w:rPr>
                <w:rFonts w:ascii="Arial" w:hAnsi="Arial" w:cs="Arial" w:eastAsia="Arial" w:hint="default"/>
                <w:sz w:val="18"/>
                <w:szCs w:val="18"/>
              </w:rPr>
            </w:pPr>
            <w:r>
              <w:rPr>
                <w:rFonts w:ascii="Arial"/>
                <w:w w:val="95"/>
                <w:sz w:val="18"/>
              </w:rPr>
              <w:t>-189,063</w:t>
            </w:r>
            <w:r>
              <w:rPr>
                <w:rFonts w:ascii="Arial"/>
                <w:sz w:val="18"/>
              </w:rPr>
            </w:r>
          </w:p>
        </w:tc>
        <w:tc>
          <w:tcPr>
            <w:tcW w:w="1382" w:type="dxa"/>
            <w:tcBorders>
              <w:top w:val="single" w:sz="4" w:space="0" w:color="2D74B5"/>
              <w:left w:val="nil" w:sz="6" w:space="0" w:color="auto"/>
              <w:bottom w:val="single" w:sz="4" w:space="0" w:color="2D74B5"/>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w w:val="99"/>
                <w:sz w:val="18"/>
              </w:rPr>
              <w:t>0</w:t>
            </w:r>
            <w:r>
              <w:rPr>
                <w:rFonts w:ascii="Arial"/>
                <w:sz w:val="18"/>
              </w:rPr>
            </w:r>
          </w:p>
        </w:tc>
        <w:tc>
          <w:tcPr>
            <w:tcW w:w="1443"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8"/>
              <w:ind w:right="105"/>
              <w:jc w:val="right"/>
              <w:rPr>
                <w:rFonts w:ascii="Arial" w:hAnsi="Arial" w:cs="Arial" w:eastAsia="Arial" w:hint="default"/>
                <w:sz w:val="18"/>
                <w:szCs w:val="18"/>
              </w:rPr>
            </w:pPr>
            <w:r>
              <w:rPr>
                <w:rFonts w:ascii="Arial"/>
                <w:w w:val="95"/>
                <w:sz w:val="18"/>
              </w:rPr>
              <w:t>678,390</w:t>
            </w:r>
            <w:r>
              <w:rPr>
                <w:rFonts w:ascii="Arial"/>
                <w:sz w:val="18"/>
              </w:rPr>
            </w:r>
          </w:p>
        </w:tc>
        <w:tc>
          <w:tcPr>
            <w:tcW w:w="329" w:type="dxa"/>
            <w:vMerge/>
            <w:tcBorders>
              <w:left w:val="nil" w:sz="6" w:space="0" w:color="auto"/>
              <w:right w:val="nil" w:sz="6" w:space="0" w:color="auto"/>
            </w:tcBorders>
          </w:tcPr>
          <w:p>
            <w:pPr/>
          </w:p>
        </w:tc>
      </w:tr>
      <w:tr>
        <w:trPr>
          <w:trHeight w:val="680" w:hRule="exact"/>
        </w:trPr>
        <w:tc>
          <w:tcPr>
            <w:tcW w:w="85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6"/>
              <w:ind w:left="107" w:right="0"/>
              <w:jc w:val="left"/>
              <w:rPr>
                <w:rFonts w:ascii="宋体" w:hAnsi="宋体" w:cs="宋体" w:eastAsia="宋体" w:hint="default"/>
                <w:sz w:val="18"/>
                <w:szCs w:val="18"/>
              </w:rPr>
            </w:pPr>
            <w:r>
              <w:rPr>
                <w:rFonts w:ascii="宋体" w:hAnsi="宋体" w:cs="宋体" w:eastAsia="宋体" w:hint="default"/>
                <w:sz w:val="18"/>
                <w:szCs w:val="18"/>
              </w:rPr>
              <w:t>余斌</w:t>
            </w:r>
          </w:p>
        </w:tc>
        <w:tc>
          <w:tcPr>
            <w:tcW w:w="993" w:type="dxa"/>
            <w:tcBorders>
              <w:top w:val="single" w:sz="4" w:space="0" w:color="2D74B5"/>
              <w:left w:val="nil" w:sz="6" w:space="0" w:color="auto"/>
              <w:bottom w:val="single" w:sz="4" w:space="0" w:color="2D74B5"/>
              <w:right w:val="nil" w:sz="6" w:space="0" w:color="auto"/>
            </w:tcBorders>
          </w:tcPr>
          <w:p>
            <w:pPr>
              <w:pStyle w:val="TableParagraph"/>
              <w:spacing w:line="240" w:lineRule="auto" w:before="46"/>
              <w:ind w:left="107"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50"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6"/>
              <w:ind w:right="379"/>
              <w:jc w:val="righ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2D74B5"/>
              <w:left w:val="nil" w:sz="6" w:space="0" w:color="auto"/>
              <w:bottom w:val="single" w:sz="4" w:space="0" w:color="2D74B5"/>
              <w:right w:val="nil" w:sz="6" w:space="0" w:color="auto"/>
            </w:tcBorders>
          </w:tcPr>
          <w:p>
            <w:pPr>
              <w:pStyle w:val="TableParagraph"/>
              <w:spacing w:line="240" w:lineRule="auto" w:before="46"/>
              <w:ind w:right="29"/>
              <w:jc w:val="center"/>
              <w:rPr>
                <w:rFonts w:ascii="宋体" w:hAnsi="宋体" w:cs="宋体" w:eastAsia="宋体" w:hint="default"/>
                <w:sz w:val="18"/>
                <w:szCs w:val="18"/>
              </w:rPr>
            </w:pPr>
            <w:r>
              <w:rPr>
                <w:rFonts w:ascii="宋体" w:hAnsi="宋体" w:cs="宋体" w:eastAsia="宋体" w:hint="default"/>
                <w:sz w:val="18"/>
                <w:szCs w:val="18"/>
              </w:rPr>
              <w:t>男</w:t>
            </w:r>
          </w:p>
        </w:tc>
        <w:tc>
          <w:tcPr>
            <w:tcW w:w="1417"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6"/>
              <w:ind w:left="108"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08</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8" w:right="0"/>
              <w:jc w:val="left"/>
              <w:rPr>
                <w:rFonts w:ascii="宋体" w:hAnsi="宋体" w:cs="宋体" w:eastAsia="宋体" w:hint="default"/>
                <w:sz w:val="18"/>
                <w:szCs w:val="18"/>
              </w:rPr>
            </w:pPr>
            <w:r>
              <w:rPr>
                <w:rFonts w:ascii="Arial" w:hAnsi="Arial" w:cs="Arial" w:eastAsia="Arial" w:hint="default"/>
                <w:sz w:val="18"/>
                <w:szCs w:val="18"/>
              </w:rPr>
              <w:t>21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17" w:type="dxa"/>
            <w:tcBorders>
              <w:top w:val="single" w:sz="4" w:space="0" w:color="2D74B5"/>
              <w:left w:val="nil" w:sz="6" w:space="0" w:color="auto"/>
              <w:bottom w:val="single" w:sz="4" w:space="0" w:color="2D74B5"/>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8" w:right="0"/>
              <w:jc w:val="left"/>
              <w:rPr>
                <w:rFonts w:ascii="宋体" w:hAnsi="宋体" w:cs="宋体" w:eastAsia="宋体" w:hint="default"/>
                <w:sz w:val="18"/>
                <w:szCs w:val="18"/>
              </w:rPr>
            </w:pP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85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8"/>
              <w:ind w:right="106"/>
              <w:jc w:val="right"/>
              <w:rPr>
                <w:rFonts w:ascii="Arial" w:hAnsi="Arial" w:cs="Arial" w:eastAsia="Arial" w:hint="default"/>
                <w:sz w:val="18"/>
                <w:szCs w:val="18"/>
              </w:rPr>
            </w:pPr>
            <w:r>
              <w:rPr>
                <w:rFonts w:ascii="Arial"/>
                <w:w w:val="95"/>
                <w:sz w:val="18"/>
              </w:rPr>
              <w:t>600,000</w:t>
            </w:r>
            <w:r>
              <w:rPr>
                <w:rFonts w:ascii="Arial"/>
                <w:sz w:val="18"/>
              </w:rPr>
            </w:r>
          </w:p>
        </w:tc>
        <w:tc>
          <w:tcPr>
            <w:tcW w:w="1711" w:type="dxa"/>
            <w:tcBorders>
              <w:top w:val="single" w:sz="4" w:space="0" w:color="2D74B5"/>
              <w:left w:val="nil" w:sz="6" w:space="0" w:color="auto"/>
              <w:bottom w:val="single" w:sz="4" w:space="0" w:color="2D74B5"/>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w w:val="99"/>
                <w:sz w:val="18"/>
              </w:rPr>
              <w:t>0</w:t>
            </w:r>
            <w:r>
              <w:rPr>
                <w:rFonts w:ascii="Arial"/>
                <w:sz w:val="18"/>
              </w:rPr>
            </w:r>
          </w:p>
        </w:tc>
        <w:tc>
          <w:tcPr>
            <w:tcW w:w="174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8"/>
              <w:ind w:right="105"/>
              <w:jc w:val="right"/>
              <w:rPr>
                <w:rFonts w:ascii="Arial" w:hAnsi="Arial" w:cs="Arial" w:eastAsia="Arial" w:hint="default"/>
                <w:sz w:val="18"/>
                <w:szCs w:val="18"/>
              </w:rPr>
            </w:pPr>
            <w:r>
              <w:rPr>
                <w:rFonts w:ascii="Arial"/>
                <w:w w:val="99"/>
                <w:sz w:val="18"/>
              </w:rPr>
              <w:t>0</w:t>
            </w:r>
            <w:r>
              <w:rPr>
                <w:rFonts w:ascii="Arial"/>
                <w:sz w:val="18"/>
              </w:rPr>
            </w:r>
          </w:p>
        </w:tc>
        <w:tc>
          <w:tcPr>
            <w:tcW w:w="1382" w:type="dxa"/>
            <w:tcBorders>
              <w:top w:val="single" w:sz="4" w:space="0" w:color="2D74B5"/>
              <w:left w:val="nil" w:sz="6" w:space="0" w:color="auto"/>
              <w:bottom w:val="single" w:sz="4" w:space="0" w:color="2D74B5"/>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w w:val="99"/>
                <w:sz w:val="18"/>
              </w:rPr>
              <w:t>0</w:t>
            </w:r>
            <w:r>
              <w:rPr>
                <w:rFonts w:ascii="Arial"/>
                <w:sz w:val="18"/>
              </w:rPr>
            </w:r>
          </w:p>
        </w:tc>
        <w:tc>
          <w:tcPr>
            <w:tcW w:w="1443"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8"/>
              <w:ind w:right="105"/>
              <w:jc w:val="right"/>
              <w:rPr>
                <w:rFonts w:ascii="Arial" w:hAnsi="Arial" w:cs="Arial" w:eastAsia="Arial" w:hint="default"/>
                <w:sz w:val="18"/>
                <w:szCs w:val="18"/>
              </w:rPr>
            </w:pPr>
            <w:r>
              <w:rPr>
                <w:rFonts w:ascii="Arial"/>
                <w:w w:val="95"/>
                <w:sz w:val="18"/>
              </w:rPr>
              <w:t>600,000</w:t>
            </w:r>
            <w:r>
              <w:rPr>
                <w:rFonts w:ascii="Arial"/>
                <w:sz w:val="18"/>
              </w:rPr>
            </w:r>
          </w:p>
        </w:tc>
        <w:tc>
          <w:tcPr>
            <w:tcW w:w="329" w:type="dxa"/>
            <w:vMerge/>
            <w:tcBorders>
              <w:left w:val="nil" w:sz="6" w:space="0" w:color="auto"/>
              <w:right w:val="nil" w:sz="6" w:space="0" w:color="auto"/>
            </w:tcBorders>
          </w:tcPr>
          <w:p>
            <w:pPr/>
          </w:p>
        </w:tc>
      </w:tr>
      <w:tr>
        <w:trPr>
          <w:trHeight w:val="680" w:hRule="exact"/>
        </w:trPr>
        <w:tc>
          <w:tcPr>
            <w:tcW w:w="85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杨治</w:t>
            </w:r>
          </w:p>
        </w:tc>
        <w:tc>
          <w:tcPr>
            <w:tcW w:w="993" w:type="dxa"/>
            <w:tcBorders>
              <w:top w:val="single" w:sz="4" w:space="0" w:color="2D74B5"/>
              <w:left w:val="nil" w:sz="6" w:space="0" w:color="auto"/>
              <w:bottom w:val="single" w:sz="4" w:space="0" w:color="2D74B5"/>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50"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right="379"/>
              <w:jc w:val="right"/>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2D74B5"/>
              <w:left w:val="nil" w:sz="6" w:space="0" w:color="auto"/>
              <w:bottom w:val="single" w:sz="4" w:space="0" w:color="2D74B5"/>
              <w:right w:val="nil" w:sz="6" w:space="0" w:color="auto"/>
            </w:tcBorders>
          </w:tcPr>
          <w:p>
            <w:pPr>
              <w:pStyle w:val="TableParagraph"/>
              <w:spacing w:line="240" w:lineRule="auto" w:before="47"/>
              <w:ind w:right="29"/>
              <w:jc w:val="center"/>
              <w:rPr>
                <w:rFonts w:ascii="宋体" w:hAnsi="宋体" w:cs="宋体" w:eastAsia="宋体" w:hint="default"/>
                <w:sz w:val="18"/>
                <w:szCs w:val="18"/>
              </w:rPr>
            </w:pPr>
            <w:r>
              <w:rPr>
                <w:rFonts w:ascii="宋体" w:hAnsi="宋体" w:cs="宋体" w:eastAsia="宋体" w:hint="default"/>
                <w:sz w:val="18"/>
                <w:szCs w:val="18"/>
              </w:rPr>
              <w:t>男</w:t>
            </w:r>
          </w:p>
        </w:tc>
        <w:tc>
          <w:tcPr>
            <w:tcW w:w="1417"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08"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08</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8" w:right="0"/>
              <w:jc w:val="left"/>
              <w:rPr>
                <w:rFonts w:ascii="宋体" w:hAnsi="宋体" w:cs="宋体" w:eastAsia="宋体" w:hint="default"/>
                <w:sz w:val="18"/>
                <w:szCs w:val="18"/>
              </w:rPr>
            </w:pPr>
            <w:r>
              <w:rPr>
                <w:rFonts w:ascii="Arial" w:hAnsi="Arial" w:cs="Arial" w:eastAsia="Arial" w:hint="default"/>
                <w:sz w:val="18"/>
                <w:szCs w:val="18"/>
              </w:rPr>
              <w:t>21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17" w:type="dxa"/>
            <w:tcBorders>
              <w:top w:val="single" w:sz="4" w:space="0" w:color="2D74B5"/>
              <w:left w:val="nil" w:sz="6" w:space="0" w:color="auto"/>
              <w:bottom w:val="single" w:sz="4" w:space="0" w:color="2D74B5"/>
              <w:right w:val="nil" w:sz="6" w:space="0" w:color="auto"/>
            </w:tcBorders>
          </w:tcPr>
          <w:p>
            <w:pPr>
              <w:pStyle w:val="TableParagraph"/>
              <w:spacing w:line="240" w:lineRule="auto" w:before="47"/>
              <w:ind w:left="108"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8" w:right="0"/>
              <w:jc w:val="left"/>
              <w:rPr>
                <w:rFonts w:ascii="宋体" w:hAnsi="宋体" w:cs="宋体" w:eastAsia="宋体" w:hint="default"/>
                <w:sz w:val="18"/>
                <w:szCs w:val="18"/>
              </w:rPr>
            </w:pP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85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8"/>
              <w:ind w:right="106"/>
              <w:jc w:val="right"/>
              <w:rPr>
                <w:rFonts w:ascii="Arial" w:hAnsi="Arial" w:cs="Arial" w:eastAsia="Arial" w:hint="default"/>
                <w:sz w:val="18"/>
                <w:szCs w:val="18"/>
              </w:rPr>
            </w:pPr>
            <w:r>
              <w:rPr>
                <w:rFonts w:ascii="Arial"/>
                <w:w w:val="95"/>
                <w:sz w:val="18"/>
              </w:rPr>
              <w:t>200,000</w:t>
            </w:r>
            <w:r>
              <w:rPr>
                <w:rFonts w:ascii="Arial"/>
                <w:sz w:val="18"/>
              </w:rPr>
            </w:r>
          </w:p>
        </w:tc>
        <w:tc>
          <w:tcPr>
            <w:tcW w:w="1711" w:type="dxa"/>
            <w:tcBorders>
              <w:top w:val="single" w:sz="4" w:space="0" w:color="2D74B5"/>
              <w:left w:val="nil" w:sz="6" w:space="0" w:color="auto"/>
              <w:bottom w:val="single" w:sz="4" w:space="0" w:color="2D74B5"/>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w w:val="99"/>
                <w:sz w:val="18"/>
              </w:rPr>
              <w:t>0</w:t>
            </w:r>
            <w:r>
              <w:rPr>
                <w:rFonts w:ascii="Arial"/>
                <w:sz w:val="18"/>
              </w:rPr>
            </w:r>
          </w:p>
        </w:tc>
        <w:tc>
          <w:tcPr>
            <w:tcW w:w="174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8"/>
              <w:ind w:right="105"/>
              <w:jc w:val="right"/>
              <w:rPr>
                <w:rFonts w:ascii="Arial" w:hAnsi="Arial" w:cs="Arial" w:eastAsia="Arial" w:hint="default"/>
                <w:sz w:val="18"/>
                <w:szCs w:val="18"/>
              </w:rPr>
            </w:pPr>
            <w:r>
              <w:rPr>
                <w:rFonts w:ascii="Arial"/>
                <w:w w:val="99"/>
                <w:sz w:val="18"/>
              </w:rPr>
              <w:t>0</w:t>
            </w:r>
            <w:r>
              <w:rPr>
                <w:rFonts w:ascii="Arial"/>
                <w:sz w:val="18"/>
              </w:rPr>
            </w:r>
          </w:p>
        </w:tc>
        <w:tc>
          <w:tcPr>
            <w:tcW w:w="1382" w:type="dxa"/>
            <w:tcBorders>
              <w:top w:val="single" w:sz="4" w:space="0" w:color="2D74B5"/>
              <w:left w:val="nil" w:sz="6" w:space="0" w:color="auto"/>
              <w:bottom w:val="single" w:sz="4" w:space="0" w:color="2D74B5"/>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w w:val="99"/>
                <w:sz w:val="18"/>
              </w:rPr>
              <w:t>0</w:t>
            </w:r>
            <w:r>
              <w:rPr>
                <w:rFonts w:ascii="Arial"/>
                <w:sz w:val="18"/>
              </w:rPr>
            </w:r>
          </w:p>
        </w:tc>
        <w:tc>
          <w:tcPr>
            <w:tcW w:w="1443"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8"/>
              <w:ind w:right="105"/>
              <w:jc w:val="right"/>
              <w:rPr>
                <w:rFonts w:ascii="Arial" w:hAnsi="Arial" w:cs="Arial" w:eastAsia="Arial" w:hint="default"/>
                <w:sz w:val="18"/>
                <w:szCs w:val="18"/>
              </w:rPr>
            </w:pPr>
            <w:r>
              <w:rPr>
                <w:rFonts w:ascii="Arial"/>
                <w:w w:val="95"/>
                <w:sz w:val="18"/>
              </w:rPr>
              <w:t>200,000</w:t>
            </w:r>
            <w:r>
              <w:rPr>
                <w:rFonts w:ascii="Arial"/>
                <w:sz w:val="18"/>
              </w:rPr>
            </w:r>
          </w:p>
        </w:tc>
        <w:tc>
          <w:tcPr>
            <w:tcW w:w="329" w:type="dxa"/>
            <w:vMerge/>
            <w:tcBorders>
              <w:left w:val="nil" w:sz="6" w:space="0" w:color="auto"/>
              <w:right w:val="nil" w:sz="6" w:space="0" w:color="auto"/>
            </w:tcBorders>
          </w:tcPr>
          <w:p>
            <w:pPr/>
          </w:p>
        </w:tc>
      </w:tr>
      <w:tr>
        <w:trPr>
          <w:trHeight w:val="680" w:hRule="exact"/>
        </w:trPr>
        <w:tc>
          <w:tcPr>
            <w:tcW w:w="85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6"/>
              <w:ind w:left="10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3" w:type="dxa"/>
            <w:tcBorders>
              <w:top w:val="single" w:sz="4" w:space="0" w:color="2D74B5"/>
              <w:left w:val="nil" w:sz="6" w:space="0" w:color="auto"/>
              <w:bottom w:val="single" w:sz="4" w:space="0" w:color="2D74B5"/>
              <w:right w:val="nil" w:sz="6" w:space="0" w:color="auto"/>
            </w:tcBorders>
          </w:tcPr>
          <w:p>
            <w:pPr>
              <w:pStyle w:val="TableParagraph"/>
              <w:spacing w:line="240" w:lineRule="auto" w:before="88"/>
              <w:ind w:right="1"/>
              <w:jc w:val="center"/>
              <w:rPr>
                <w:rFonts w:ascii="Arial" w:hAnsi="Arial" w:cs="Arial" w:eastAsia="Arial" w:hint="default"/>
                <w:sz w:val="18"/>
                <w:szCs w:val="18"/>
              </w:rPr>
            </w:pPr>
            <w:r>
              <w:rPr>
                <w:rFonts w:ascii="Arial"/>
                <w:sz w:val="18"/>
              </w:rPr>
              <w:t>--</w:t>
            </w:r>
          </w:p>
        </w:tc>
        <w:tc>
          <w:tcPr>
            <w:tcW w:w="850"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8"/>
              <w:ind w:right="362"/>
              <w:jc w:val="right"/>
              <w:rPr>
                <w:rFonts w:ascii="Arial" w:hAnsi="Arial" w:cs="Arial" w:eastAsia="Arial" w:hint="default"/>
                <w:sz w:val="18"/>
                <w:szCs w:val="18"/>
              </w:rPr>
            </w:pPr>
            <w:r>
              <w:rPr>
                <w:rFonts w:ascii="Arial"/>
                <w:w w:val="95"/>
                <w:sz w:val="18"/>
              </w:rPr>
              <w:t>--</w:t>
            </w:r>
            <w:r>
              <w:rPr>
                <w:rFonts w:ascii="Arial"/>
                <w:sz w:val="18"/>
              </w:rPr>
            </w:r>
          </w:p>
        </w:tc>
        <w:tc>
          <w:tcPr>
            <w:tcW w:w="426" w:type="dxa"/>
            <w:tcBorders>
              <w:top w:val="single" w:sz="4" w:space="0" w:color="2D74B5"/>
              <w:left w:val="nil" w:sz="6" w:space="0" w:color="auto"/>
              <w:bottom w:val="single" w:sz="4" w:space="0" w:color="2D74B5"/>
              <w:right w:val="nil" w:sz="6" w:space="0" w:color="auto"/>
            </w:tcBorders>
          </w:tcPr>
          <w:p>
            <w:pPr>
              <w:pStyle w:val="TableParagraph"/>
              <w:spacing w:line="240" w:lineRule="auto" w:before="88"/>
              <w:ind w:right="1"/>
              <w:jc w:val="center"/>
              <w:rPr>
                <w:rFonts w:ascii="Arial" w:hAnsi="Arial" w:cs="Arial" w:eastAsia="Arial" w:hint="default"/>
                <w:sz w:val="18"/>
                <w:szCs w:val="18"/>
              </w:rPr>
            </w:pPr>
            <w:r>
              <w:rPr>
                <w:rFonts w:ascii="Arial"/>
                <w:sz w:val="18"/>
              </w:rPr>
              <w:t>--</w:t>
            </w:r>
          </w:p>
        </w:tc>
        <w:tc>
          <w:tcPr>
            <w:tcW w:w="1417"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8"/>
              <w:ind w:right="1"/>
              <w:jc w:val="center"/>
              <w:rPr>
                <w:rFonts w:ascii="Arial" w:hAnsi="Arial" w:cs="Arial" w:eastAsia="Arial" w:hint="default"/>
                <w:sz w:val="18"/>
                <w:szCs w:val="18"/>
              </w:rPr>
            </w:pPr>
            <w:r>
              <w:rPr>
                <w:rFonts w:ascii="Arial"/>
                <w:sz w:val="18"/>
              </w:rPr>
              <w:t>--</w:t>
            </w:r>
          </w:p>
        </w:tc>
        <w:tc>
          <w:tcPr>
            <w:tcW w:w="1417" w:type="dxa"/>
            <w:tcBorders>
              <w:top w:val="single" w:sz="4" w:space="0" w:color="2D74B5"/>
              <w:left w:val="nil" w:sz="6" w:space="0" w:color="auto"/>
              <w:bottom w:val="single" w:sz="4" w:space="0" w:color="2D74B5"/>
              <w:right w:val="nil" w:sz="6" w:space="0" w:color="auto"/>
            </w:tcBorders>
          </w:tcPr>
          <w:p>
            <w:pPr>
              <w:pStyle w:val="TableParagraph"/>
              <w:spacing w:line="240" w:lineRule="auto" w:before="88"/>
              <w:ind w:left="1" w:right="0"/>
              <w:jc w:val="center"/>
              <w:rPr>
                <w:rFonts w:ascii="Arial" w:hAnsi="Arial" w:cs="Arial" w:eastAsia="Arial" w:hint="default"/>
                <w:sz w:val="18"/>
                <w:szCs w:val="18"/>
              </w:rPr>
            </w:pPr>
            <w:r>
              <w:rPr>
                <w:rFonts w:ascii="Arial"/>
                <w:sz w:val="18"/>
              </w:rPr>
              <w:t>--</w:t>
            </w:r>
          </w:p>
        </w:tc>
        <w:tc>
          <w:tcPr>
            <w:tcW w:w="185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8"/>
              <w:ind w:right="106"/>
              <w:jc w:val="right"/>
              <w:rPr>
                <w:rFonts w:ascii="Arial" w:hAnsi="Arial" w:cs="Arial" w:eastAsia="Arial" w:hint="default"/>
                <w:sz w:val="18"/>
                <w:szCs w:val="18"/>
              </w:rPr>
            </w:pPr>
            <w:r>
              <w:rPr>
                <w:rFonts w:ascii="Arial"/>
                <w:spacing w:val="-1"/>
                <w:sz w:val="18"/>
              </w:rPr>
              <w:t>33,870,336</w:t>
            </w:r>
          </w:p>
        </w:tc>
        <w:tc>
          <w:tcPr>
            <w:tcW w:w="1711" w:type="dxa"/>
            <w:tcBorders>
              <w:top w:val="single" w:sz="4" w:space="0" w:color="2D74B5"/>
              <w:left w:val="nil" w:sz="6" w:space="0" w:color="auto"/>
              <w:bottom w:val="single" w:sz="4" w:space="0" w:color="2D74B5"/>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w w:val="95"/>
                <w:sz w:val="18"/>
              </w:rPr>
              <w:t>1,042,512</w:t>
            </w:r>
            <w:r>
              <w:rPr>
                <w:rFonts w:ascii="Arial"/>
                <w:sz w:val="18"/>
              </w:rPr>
            </w:r>
          </w:p>
        </w:tc>
        <w:tc>
          <w:tcPr>
            <w:tcW w:w="174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8"/>
              <w:ind w:right="105"/>
              <w:jc w:val="right"/>
              <w:rPr>
                <w:rFonts w:ascii="Arial" w:hAnsi="Arial" w:cs="Arial" w:eastAsia="Arial" w:hint="default"/>
                <w:sz w:val="18"/>
                <w:szCs w:val="18"/>
              </w:rPr>
            </w:pPr>
            <w:r>
              <w:rPr>
                <w:rFonts w:ascii="Arial"/>
                <w:w w:val="95"/>
                <w:sz w:val="18"/>
              </w:rPr>
              <w:t>-2,180,264</w:t>
            </w:r>
            <w:r>
              <w:rPr>
                <w:rFonts w:ascii="Arial"/>
                <w:sz w:val="18"/>
              </w:rPr>
            </w:r>
          </w:p>
        </w:tc>
        <w:tc>
          <w:tcPr>
            <w:tcW w:w="1382" w:type="dxa"/>
            <w:tcBorders>
              <w:top w:val="single" w:sz="4" w:space="0" w:color="2D74B5"/>
              <w:left w:val="nil" w:sz="6" w:space="0" w:color="auto"/>
              <w:bottom w:val="single" w:sz="4" w:space="0" w:color="2D74B5"/>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w w:val="99"/>
                <w:sz w:val="18"/>
              </w:rPr>
              <w:t>0</w:t>
            </w:r>
            <w:r>
              <w:rPr>
                <w:rFonts w:ascii="Arial"/>
                <w:sz w:val="18"/>
              </w:rPr>
            </w:r>
          </w:p>
        </w:tc>
        <w:tc>
          <w:tcPr>
            <w:tcW w:w="1443"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8"/>
              <w:ind w:right="106"/>
              <w:jc w:val="right"/>
              <w:rPr>
                <w:rFonts w:ascii="Arial" w:hAnsi="Arial" w:cs="Arial" w:eastAsia="Arial" w:hint="default"/>
                <w:sz w:val="18"/>
                <w:szCs w:val="18"/>
              </w:rPr>
            </w:pPr>
            <w:r>
              <w:rPr>
                <w:rFonts w:ascii="Arial"/>
                <w:spacing w:val="-1"/>
                <w:sz w:val="18"/>
              </w:rPr>
              <w:t>32,732,584</w:t>
            </w:r>
          </w:p>
        </w:tc>
        <w:tc>
          <w:tcPr>
            <w:tcW w:w="329" w:type="dxa"/>
            <w:vMerge/>
            <w:tcBorders>
              <w:left w:val="nil" w:sz="6" w:space="0" w:color="auto"/>
              <w:bottom w:val="nil" w:sz="6" w:space="0" w:color="auto"/>
              <w:right w:val="nil" w:sz="6" w:space="0" w:color="auto"/>
            </w:tcBorders>
          </w:tcPr>
          <w:p>
            <w:pPr/>
          </w:p>
        </w:tc>
      </w:tr>
    </w:tbl>
    <w:p>
      <w:pPr>
        <w:spacing w:after="0"/>
        <w:sectPr>
          <w:pgSz w:w="16840" w:h="11910" w:orient="landscape"/>
          <w:pgMar w:header="867" w:footer="979" w:top="1060" w:bottom="1160" w:left="880" w:right="0"/>
        </w:sectPr>
      </w:pPr>
    </w:p>
    <w:p>
      <w:pPr>
        <w:spacing w:line="240" w:lineRule="auto" w:before="0"/>
        <w:rPr>
          <w:rFonts w:ascii="Times New Roman" w:hAnsi="Times New Roman" w:cs="Times New Roman" w:eastAsia="Times New Roman" w:hint="default"/>
          <w:sz w:val="20"/>
          <w:szCs w:val="20"/>
        </w:rPr>
      </w:pPr>
    </w:p>
    <w:p>
      <w:pPr>
        <w:pStyle w:val="Heading1"/>
        <w:spacing w:line="240" w:lineRule="auto" w:before="67"/>
        <w:ind w:left="213" w:right="1513"/>
        <w:jc w:val="left"/>
        <w:rPr>
          <w:b w:val="0"/>
          <w:bCs w:val="0"/>
        </w:rPr>
      </w:pPr>
      <w:bookmarkStart w:name="8.2 公司董事、监事、高级管理人员变动情况" w:id="197"/>
      <w:bookmarkEnd w:id="197"/>
      <w:r>
        <w:rPr>
          <w:b w:val="0"/>
          <w:bCs w:val="0"/>
        </w:rPr>
      </w:r>
      <w:bookmarkStart w:name="_bookmark58" w:id="198"/>
      <w:bookmarkEnd w:id="198"/>
      <w:r>
        <w:rPr>
          <w:b w:val="0"/>
          <w:bCs w:val="0"/>
        </w:rPr>
      </w:r>
      <w:r>
        <w:rPr>
          <w:rFonts w:ascii="Trebuchet MS" w:hAnsi="Trebuchet MS" w:cs="Trebuchet MS" w:eastAsia="Trebuchet MS" w:hint="default"/>
        </w:rPr>
        <w:t>8.2</w:t>
      </w:r>
      <w:r>
        <w:rPr>
          <w:rFonts w:ascii="Trebuchet MS" w:hAnsi="Trebuchet MS" w:cs="Trebuchet MS" w:eastAsia="Trebuchet MS" w:hint="default"/>
          <w:spacing w:val="14"/>
        </w:rPr>
        <w:t> </w:t>
      </w:r>
      <w:r>
        <w:rPr/>
        <w:t>公司董事、监事、高级管理人员变动情况</w:t>
      </w:r>
      <w:r>
        <w:rPr>
          <w:b w:val="0"/>
          <w:bCs w:val="0"/>
        </w:rPr>
      </w:r>
    </w:p>
    <w:p>
      <w:pPr>
        <w:spacing w:line="240" w:lineRule="auto" w:before="14"/>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1358"/>
        <w:gridCol w:w="1357"/>
        <w:gridCol w:w="1358"/>
        <w:gridCol w:w="1883"/>
        <w:gridCol w:w="3806"/>
      </w:tblGrid>
      <w:tr>
        <w:trPr>
          <w:trHeight w:val="397" w:hRule="exact"/>
        </w:trPr>
        <w:tc>
          <w:tcPr>
            <w:tcW w:w="1358"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57"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228"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58"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883"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3806"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8" w:hRule="exact"/>
        </w:trPr>
        <w:tc>
          <w:tcPr>
            <w:tcW w:w="1358"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周友盟</w:t>
            </w:r>
          </w:p>
        </w:tc>
        <w:tc>
          <w:tcPr>
            <w:tcW w:w="1357" w:type="dxa"/>
            <w:tcBorders>
              <w:top w:val="single" w:sz="4" w:space="0" w:color="2D74B5"/>
              <w:left w:val="nil" w:sz="6" w:space="0" w:color="auto"/>
              <w:bottom w:val="single" w:sz="4" w:space="0" w:color="2D74B5"/>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358"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883" w:type="dxa"/>
            <w:tcBorders>
              <w:top w:val="single" w:sz="4" w:space="0" w:color="2D74B5"/>
              <w:left w:val="nil" w:sz="6" w:space="0" w:color="auto"/>
              <w:bottom w:val="single" w:sz="4" w:space="0" w:color="2D74B5"/>
              <w:right w:val="nil" w:sz="6" w:space="0" w:color="auto"/>
            </w:tcBorders>
          </w:tcPr>
          <w:p>
            <w:pPr>
              <w:pStyle w:val="TableParagraph"/>
              <w:spacing w:line="240" w:lineRule="auto" w:before="52"/>
              <w:ind w:left="106"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01</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28</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806"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第三届董事会第二十一次（临时）会议聘任</w:t>
            </w:r>
          </w:p>
        </w:tc>
      </w:tr>
      <w:tr>
        <w:trPr>
          <w:trHeight w:val="402" w:hRule="exact"/>
        </w:trPr>
        <w:tc>
          <w:tcPr>
            <w:tcW w:w="1358"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喻子达</w:t>
            </w:r>
          </w:p>
        </w:tc>
        <w:tc>
          <w:tcPr>
            <w:tcW w:w="1357" w:type="dxa"/>
            <w:tcBorders>
              <w:top w:val="single" w:sz="4" w:space="0" w:color="2D74B5"/>
              <w:left w:val="nil" w:sz="6" w:space="0" w:color="auto"/>
              <w:bottom w:val="single" w:sz="4" w:space="0" w:color="2D74B5"/>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58"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883" w:type="dxa"/>
            <w:tcBorders>
              <w:top w:val="single" w:sz="4" w:space="0" w:color="2D74B5"/>
              <w:left w:val="nil" w:sz="6" w:space="0" w:color="auto"/>
              <w:bottom w:val="single" w:sz="4" w:space="0" w:color="2D74B5"/>
              <w:right w:val="nil" w:sz="6" w:space="0" w:color="auto"/>
            </w:tcBorders>
          </w:tcPr>
          <w:p>
            <w:pPr>
              <w:pStyle w:val="TableParagraph"/>
              <w:spacing w:line="240" w:lineRule="auto" w:before="47"/>
              <w:ind w:left="106"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20</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3806"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07"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0"/>
                <w:sz w:val="18"/>
                <w:szCs w:val="18"/>
              </w:rPr>
              <w:t> </w:t>
            </w:r>
            <w:r>
              <w:rPr>
                <w:rFonts w:ascii="宋体" w:hAnsi="宋体" w:cs="宋体" w:eastAsia="宋体" w:hint="default"/>
                <w:sz w:val="18"/>
                <w:szCs w:val="18"/>
              </w:rPr>
              <w:t>年第一次临时股东大会增补</w:t>
            </w:r>
          </w:p>
        </w:tc>
      </w:tr>
      <w:tr>
        <w:trPr>
          <w:trHeight w:val="402" w:hRule="exact"/>
        </w:trPr>
        <w:tc>
          <w:tcPr>
            <w:tcW w:w="1358"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朱维佳</w:t>
            </w:r>
          </w:p>
        </w:tc>
        <w:tc>
          <w:tcPr>
            <w:tcW w:w="1357" w:type="dxa"/>
            <w:tcBorders>
              <w:top w:val="single" w:sz="4" w:space="0" w:color="2D74B5"/>
              <w:left w:val="nil" w:sz="6" w:space="0" w:color="auto"/>
              <w:bottom w:val="single" w:sz="4" w:space="0" w:color="2D74B5"/>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58"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883" w:type="dxa"/>
            <w:tcBorders>
              <w:top w:val="single" w:sz="4" w:space="0" w:color="2D74B5"/>
              <w:left w:val="nil" w:sz="6" w:space="0" w:color="auto"/>
              <w:bottom w:val="single" w:sz="4" w:space="0" w:color="2D74B5"/>
              <w:right w:val="nil" w:sz="6" w:space="0" w:color="auto"/>
            </w:tcBorders>
          </w:tcPr>
          <w:p>
            <w:pPr>
              <w:pStyle w:val="TableParagraph"/>
              <w:spacing w:line="240" w:lineRule="auto" w:before="47"/>
              <w:ind w:left="106"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20</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3806"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07"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0"/>
                <w:sz w:val="18"/>
                <w:szCs w:val="18"/>
              </w:rPr>
              <w:t> </w:t>
            </w:r>
            <w:r>
              <w:rPr>
                <w:rFonts w:ascii="宋体" w:hAnsi="宋体" w:cs="宋体" w:eastAsia="宋体" w:hint="default"/>
                <w:sz w:val="18"/>
                <w:szCs w:val="18"/>
              </w:rPr>
              <w:t>年第一次临时股东大会补选</w:t>
            </w:r>
          </w:p>
        </w:tc>
      </w:tr>
      <w:tr>
        <w:trPr>
          <w:trHeight w:val="402" w:hRule="exact"/>
        </w:trPr>
        <w:tc>
          <w:tcPr>
            <w:tcW w:w="1358"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李菡</w:t>
            </w:r>
          </w:p>
        </w:tc>
        <w:tc>
          <w:tcPr>
            <w:tcW w:w="1357" w:type="dxa"/>
            <w:tcBorders>
              <w:top w:val="single" w:sz="4" w:space="0" w:color="2D74B5"/>
              <w:left w:val="nil" w:sz="6" w:space="0" w:color="auto"/>
              <w:bottom w:val="single" w:sz="4" w:space="0" w:color="2D74B5"/>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58"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883" w:type="dxa"/>
            <w:tcBorders>
              <w:top w:val="single" w:sz="4" w:space="0" w:color="2D74B5"/>
              <w:left w:val="nil" w:sz="6" w:space="0" w:color="auto"/>
              <w:bottom w:val="single" w:sz="4" w:space="0" w:color="2D74B5"/>
              <w:right w:val="nil" w:sz="6" w:space="0" w:color="auto"/>
            </w:tcBorders>
          </w:tcPr>
          <w:p>
            <w:pPr>
              <w:pStyle w:val="TableParagraph"/>
              <w:spacing w:line="240" w:lineRule="auto" w:before="47"/>
              <w:ind w:left="106"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3806"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07"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0"/>
                <w:sz w:val="18"/>
                <w:szCs w:val="18"/>
              </w:rPr>
              <w:t> </w:t>
            </w:r>
            <w:r>
              <w:rPr>
                <w:rFonts w:ascii="宋体" w:hAnsi="宋体" w:cs="宋体" w:eastAsia="宋体" w:hint="default"/>
                <w:sz w:val="18"/>
                <w:szCs w:val="18"/>
              </w:rPr>
              <w:t>年职工代表大会选举产生</w:t>
            </w:r>
          </w:p>
        </w:tc>
      </w:tr>
      <w:tr>
        <w:trPr>
          <w:trHeight w:val="402" w:hRule="exact"/>
        </w:trPr>
        <w:tc>
          <w:tcPr>
            <w:tcW w:w="1358" w:type="dxa"/>
            <w:vMerge w:val="restart"/>
            <w:tcBorders>
              <w:top w:val="single" w:sz="4" w:space="0" w:color="2D74B5"/>
              <w:left w:val="nil" w:sz="6" w:space="0" w:color="auto"/>
              <w:right w:val="nil" w:sz="6" w:space="0" w:color="auto"/>
            </w:tcBorders>
            <w:shd w:val="clear" w:color="auto" w:fill="DEEAF6"/>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米泽东</w:t>
            </w:r>
          </w:p>
        </w:tc>
        <w:tc>
          <w:tcPr>
            <w:tcW w:w="1357" w:type="dxa"/>
            <w:tcBorders>
              <w:top w:val="single" w:sz="4" w:space="0" w:color="2D74B5"/>
              <w:left w:val="nil" w:sz="6" w:space="0" w:color="auto"/>
              <w:bottom w:val="single" w:sz="4" w:space="0" w:color="2D74B5"/>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358"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883" w:type="dxa"/>
            <w:tcBorders>
              <w:top w:val="single" w:sz="4" w:space="0" w:color="2D74B5"/>
              <w:left w:val="nil" w:sz="6" w:space="0" w:color="auto"/>
              <w:bottom w:val="single" w:sz="4" w:space="0" w:color="2D74B5"/>
              <w:right w:val="nil" w:sz="6" w:space="0" w:color="auto"/>
            </w:tcBorders>
          </w:tcPr>
          <w:p>
            <w:pPr>
              <w:pStyle w:val="TableParagraph"/>
              <w:spacing w:line="240" w:lineRule="auto" w:before="47"/>
              <w:ind w:left="106"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3</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3806"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第三届董事会第二十三次（临时）会议聘任</w:t>
            </w:r>
          </w:p>
        </w:tc>
      </w:tr>
      <w:tr>
        <w:trPr>
          <w:trHeight w:val="402" w:hRule="exact"/>
        </w:trPr>
        <w:tc>
          <w:tcPr>
            <w:tcW w:w="1358" w:type="dxa"/>
            <w:vMerge/>
            <w:tcBorders>
              <w:left w:val="nil" w:sz="6" w:space="0" w:color="auto"/>
              <w:bottom w:val="single" w:sz="4" w:space="0" w:color="2D74B5"/>
              <w:right w:val="nil" w:sz="6" w:space="0" w:color="auto"/>
            </w:tcBorders>
            <w:shd w:val="clear" w:color="auto" w:fill="DEEAF6"/>
          </w:tcPr>
          <w:p>
            <w:pPr/>
          </w:p>
        </w:tc>
        <w:tc>
          <w:tcPr>
            <w:tcW w:w="1357" w:type="dxa"/>
            <w:tcBorders>
              <w:top w:val="single" w:sz="4" w:space="0" w:color="2D74B5"/>
              <w:left w:val="nil" w:sz="6" w:space="0" w:color="auto"/>
              <w:bottom w:val="single" w:sz="4" w:space="0" w:color="2D74B5"/>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58"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883" w:type="dxa"/>
            <w:tcBorders>
              <w:top w:val="single" w:sz="4" w:space="0" w:color="2D74B5"/>
              <w:left w:val="nil" w:sz="6" w:space="0" w:color="auto"/>
              <w:bottom w:val="single" w:sz="4" w:space="0" w:color="2D74B5"/>
              <w:right w:val="nil" w:sz="6" w:space="0" w:color="auto"/>
            </w:tcBorders>
          </w:tcPr>
          <w:p>
            <w:pPr>
              <w:pStyle w:val="TableParagraph"/>
              <w:spacing w:line="240" w:lineRule="auto" w:before="47"/>
              <w:ind w:left="106"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8</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21</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3806"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第三届董事会第二十八次（定期）会议</w:t>
            </w:r>
          </w:p>
        </w:tc>
      </w:tr>
      <w:tr>
        <w:trPr>
          <w:trHeight w:val="402" w:hRule="exact"/>
        </w:trPr>
        <w:tc>
          <w:tcPr>
            <w:tcW w:w="1358" w:type="dxa"/>
            <w:vMerge w:val="restart"/>
            <w:tcBorders>
              <w:top w:val="single" w:sz="4" w:space="0" w:color="2D74B5"/>
              <w:left w:val="nil" w:sz="6" w:space="0" w:color="auto"/>
              <w:right w:val="nil" w:sz="6" w:space="0" w:color="auto"/>
            </w:tcBorders>
            <w:shd w:val="clear" w:color="auto" w:fill="DEEAF6"/>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刘红花</w:t>
            </w:r>
          </w:p>
        </w:tc>
        <w:tc>
          <w:tcPr>
            <w:tcW w:w="1357" w:type="dxa"/>
            <w:tcBorders>
              <w:top w:val="single" w:sz="4" w:space="0" w:color="2D74B5"/>
              <w:left w:val="nil" w:sz="6" w:space="0" w:color="auto"/>
              <w:bottom w:val="single" w:sz="4" w:space="0" w:color="2D74B5"/>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58"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83" w:type="dxa"/>
            <w:tcBorders>
              <w:top w:val="single" w:sz="4" w:space="0" w:color="2D74B5"/>
              <w:left w:val="nil" w:sz="6" w:space="0" w:color="auto"/>
              <w:bottom w:val="single" w:sz="4" w:space="0" w:color="2D74B5"/>
              <w:right w:val="nil" w:sz="6" w:space="0" w:color="auto"/>
            </w:tcBorders>
          </w:tcPr>
          <w:p>
            <w:pPr>
              <w:pStyle w:val="TableParagraph"/>
              <w:spacing w:line="240" w:lineRule="auto" w:before="47"/>
              <w:ind w:left="106"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03</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20</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806"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工作调动</w:t>
            </w:r>
          </w:p>
        </w:tc>
      </w:tr>
      <w:tr>
        <w:trPr>
          <w:trHeight w:val="402" w:hRule="exact"/>
        </w:trPr>
        <w:tc>
          <w:tcPr>
            <w:tcW w:w="1358" w:type="dxa"/>
            <w:vMerge/>
            <w:tcBorders>
              <w:left w:val="nil" w:sz="6" w:space="0" w:color="auto"/>
              <w:bottom w:val="single" w:sz="4" w:space="0" w:color="2D74B5"/>
              <w:right w:val="nil" w:sz="6" w:space="0" w:color="auto"/>
            </w:tcBorders>
            <w:shd w:val="clear" w:color="auto" w:fill="DEEAF6"/>
          </w:tcPr>
          <w:p>
            <w:pPr/>
          </w:p>
        </w:tc>
        <w:tc>
          <w:tcPr>
            <w:tcW w:w="1357" w:type="dxa"/>
            <w:tcBorders>
              <w:top w:val="single" w:sz="4" w:space="0" w:color="2D74B5"/>
              <w:left w:val="nil" w:sz="6" w:space="0" w:color="auto"/>
              <w:bottom w:val="single" w:sz="4" w:space="0" w:color="2D74B5"/>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58"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883" w:type="dxa"/>
            <w:tcBorders>
              <w:top w:val="single" w:sz="4" w:space="0" w:color="2D74B5"/>
              <w:left w:val="nil" w:sz="6" w:space="0" w:color="auto"/>
              <w:bottom w:val="single" w:sz="4" w:space="0" w:color="2D74B5"/>
              <w:right w:val="nil" w:sz="6" w:space="0" w:color="auto"/>
            </w:tcBorders>
          </w:tcPr>
          <w:p>
            <w:pPr>
              <w:pStyle w:val="TableParagraph"/>
              <w:spacing w:line="240" w:lineRule="auto" w:before="47"/>
              <w:ind w:left="106"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8</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21</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3806"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第三届董事会第二十八次（定期）会议</w:t>
            </w:r>
          </w:p>
        </w:tc>
      </w:tr>
      <w:tr>
        <w:trPr>
          <w:trHeight w:val="413" w:hRule="exact"/>
        </w:trPr>
        <w:tc>
          <w:tcPr>
            <w:tcW w:w="1358"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余斌</w:t>
            </w:r>
          </w:p>
        </w:tc>
        <w:tc>
          <w:tcPr>
            <w:tcW w:w="1357" w:type="dxa"/>
            <w:tcBorders>
              <w:top w:val="single" w:sz="4" w:space="0" w:color="2D74B5"/>
              <w:left w:val="nil" w:sz="6" w:space="0" w:color="auto"/>
              <w:bottom w:val="single" w:sz="4" w:space="0" w:color="2D74B5"/>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58"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883" w:type="dxa"/>
            <w:tcBorders>
              <w:top w:val="single" w:sz="4" w:space="0" w:color="2D74B5"/>
              <w:left w:val="nil" w:sz="6" w:space="0" w:color="auto"/>
              <w:bottom w:val="single" w:sz="4" w:space="0" w:color="2D74B5"/>
              <w:right w:val="nil" w:sz="6" w:space="0" w:color="auto"/>
            </w:tcBorders>
          </w:tcPr>
          <w:p>
            <w:pPr>
              <w:pStyle w:val="TableParagraph"/>
              <w:spacing w:line="240" w:lineRule="auto" w:before="47"/>
              <w:ind w:left="106"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8</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21</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3806"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第三届董事会第二十八次（定期）会议</w:t>
            </w:r>
          </w:p>
        </w:tc>
      </w:tr>
      <w:tr>
        <w:trPr>
          <w:trHeight w:val="403" w:hRule="exact"/>
        </w:trPr>
        <w:tc>
          <w:tcPr>
            <w:tcW w:w="1358"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杨治</w:t>
            </w:r>
          </w:p>
        </w:tc>
        <w:tc>
          <w:tcPr>
            <w:tcW w:w="1357" w:type="dxa"/>
            <w:tcBorders>
              <w:top w:val="single" w:sz="4" w:space="0" w:color="2D74B5"/>
              <w:left w:val="nil" w:sz="6" w:space="0" w:color="auto"/>
              <w:bottom w:val="single" w:sz="4" w:space="0" w:color="2D74B5"/>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58"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883" w:type="dxa"/>
            <w:tcBorders>
              <w:top w:val="single" w:sz="4" w:space="0" w:color="2D74B5"/>
              <w:left w:val="nil" w:sz="6" w:space="0" w:color="auto"/>
              <w:bottom w:val="single" w:sz="4" w:space="0" w:color="2D74B5"/>
              <w:right w:val="nil" w:sz="6" w:space="0" w:color="auto"/>
            </w:tcBorders>
          </w:tcPr>
          <w:p>
            <w:pPr>
              <w:pStyle w:val="TableParagraph"/>
              <w:spacing w:line="240" w:lineRule="auto" w:before="47"/>
              <w:ind w:left="106"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8</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21</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3806"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第三届董事会第二十八次（定期）会议</w:t>
            </w:r>
          </w:p>
        </w:tc>
      </w:tr>
      <w:tr>
        <w:trPr>
          <w:trHeight w:val="402" w:hRule="exact"/>
        </w:trPr>
        <w:tc>
          <w:tcPr>
            <w:tcW w:w="1358" w:type="dxa"/>
            <w:vMerge w:val="restart"/>
            <w:tcBorders>
              <w:top w:val="single" w:sz="4" w:space="0" w:color="2D74B5"/>
              <w:left w:val="nil" w:sz="6" w:space="0" w:color="auto"/>
              <w:right w:val="nil" w:sz="6" w:space="0" w:color="auto"/>
            </w:tcBorders>
            <w:shd w:val="clear" w:color="auto" w:fill="DEEAF6"/>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乐嘉明</w:t>
            </w:r>
          </w:p>
        </w:tc>
        <w:tc>
          <w:tcPr>
            <w:tcW w:w="1357" w:type="dxa"/>
            <w:tcBorders>
              <w:top w:val="single" w:sz="4" w:space="0" w:color="2D74B5"/>
              <w:left w:val="nil" w:sz="6" w:space="0" w:color="auto"/>
              <w:bottom w:val="single" w:sz="4" w:space="0" w:color="2D74B5"/>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58"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83" w:type="dxa"/>
            <w:tcBorders>
              <w:top w:val="single" w:sz="4" w:space="0" w:color="2D74B5"/>
              <w:left w:val="nil" w:sz="6" w:space="0" w:color="auto"/>
              <w:bottom w:val="single" w:sz="4" w:space="0" w:color="2D74B5"/>
              <w:right w:val="nil" w:sz="6" w:space="0" w:color="auto"/>
            </w:tcBorders>
          </w:tcPr>
          <w:p>
            <w:pPr>
              <w:pStyle w:val="TableParagraph"/>
              <w:spacing w:line="240" w:lineRule="auto" w:before="47"/>
              <w:ind w:left="106"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01</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26</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806"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1358" w:type="dxa"/>
            <w:vMerge/>
            <w:tcBorders>
              <w:left w:val="nil" w:sz="6" w:space="0" w:color="auto"/>
              <w:bottom w:val="single" w:sz="4" w:space="0" w:color="2D74B5"/>
              <w:right w:val="nil" w:sz="6" w:space="0" w:color="auto"/>
            </w:tcBorders>
            <w:shd w:val="clear" w:color="auto" w:fill="DEEAF6"/>
          </w:tcPr>
          <w:p>
            <w:pPr/>
          </w:p>
        </w:tc>
        <w:tc>
          <w:tcPr>
            <w:tcW w:w="1357" w:type="dxa"/>
            <w:tcBorders>
              <w:top w:val="single" w:sz="4" w:space="0" w:color="2D74B5"/>
              <w:left w:val="nil" w:sz="6" w:space="0" w:color="auto"/>
              <w:bottom w:val="single" w:sz="4" w:space="0" w:color="2D74B5"/>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358"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883" w:type="dxa"/>
            <w:tcBorders>
              <w:top w:val="single" w:sz="4" w:space="0" w:color="2D74B5"/>
              <w:left w:val="nil" w:sz="6" w:space="0" w:color="auto"/>
              <w:bottom w:val="single" w:sz="4" w:space="0" w:color="2D74B5"/>
              <w:right w:val="nil" w:sz="6" w:space="0" w:color="auto"/>
            </w:tcBorders>
          </w:tcPr>
          <w:p>
            <w:pPr>
              <w:pStyle w:val="TableParagraph"/>
              <w:spacing w:line="240" w:lineRule="auto" w:before="47"/>
              <w:ind w:left="106"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01</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26</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806"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3" w:hRule="exact"/>
        </w:trPr>
        <w:tc>
          <w:tcPr>
            <w:tcW w:w="1358"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温秉汉</w:t>
            </w:r>
          </w:p>
        </w:tc>
        <w:tc>
          <w:tcPr>
            <w:tcW w:w="1357" w:type="dxa"/>
            <w:tcBorders>
              <w:top w:val="single" w:sz="4" w:space="0" w:color="2D74B5"/>
              <w:left w:val="nil" w:sz="6" w:space="0" w:color="auto"/>
              <w:bottom w:val="single" w:sz="4" w:space="0" w:color="2D74B5"/>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58"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83" w:type="dxa"/>
            <w:tcBorders>
              <w:top w:val="single" w:sz="4" w:space="0" w:color="2D74B5"/>
              <w:left w:val="nil" w:sz="6" w:space="0" w:color="auto"/>
              <w:bottom w:val="single" w:sz="4" w:space="0" w:color="2D74B5"/>
              <w:right w:val="nil" w:sz="6" w:space="0" w:color="auto"/>
            </w:tcBorders>
          </w:tcPr>
          <w:p>
            <w:pPr>
              <w:pStyle w:val="TableParagraph"/>
              <w:spacing w:line="240" w:lineRule="auto" w:before="47"/>
              <w:ind w:left="106"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03</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806"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工作调动</w:t>
            </w:r>
          </w:p>
        </w:tc>
      </w:tr>
    </w:tbl>
    <w:p>
      <w:pPr>
        <w:spacing w:line="240" w:lineRule="auto" w:before="2"/>
        <w:rPr>
          <w:rFonts w:ascii="Microsoft JhengHei" w:hAnsi="Microsoft JhengHei" w:cs="Microsoft JhengHei" w:eastAsia="Microsoft JhengHei" w:hint="default"/>
          <w:b/>
          <w:bCs/>
          <w:sz w:val="5"/>
          <w:szCs w:val="5"/>
        </w:rPr>
      </w:pPr>
    </w:p>
    <w:p>
      <w:pPr>
        <w:pStyle w:val="Heading1"/>
        <w:spacing w:line="409" w:lineRule="exact"/>
        <w:ind w:left="214" w:right="1513"/>
        <w:jc w:val="left"/>
        <w:rPr>
          <w:b w:val="0"/>
          <w:bCs w:val="0"/>
        </w:rPr>
      </w:pPr>
      <w:bookmarkStart w:name="8.3 任职情况" w:id="199"/>
      <w:bookmarkEnd w:id="199"/>
      <w:r>
        <w:rPr>
          <w:b w:val="0"/>
          <w:bCs w:val="0"/>
        </w:rPr>
      </w:r>
      <w:bookmarkStart w:name="_bookmark59" w:id="200"/>
      <w:bookmarkEnd w:id="200"/>
      <w:r>
        <w:rPr>
          <w:b w:val="0"/>
          <w:bCs w:val="0"/>
        </w:rPr>
      </w:r>
      <w:r>
        <w:rPr>
          <w:rFonts w:ascii="Trebuchet MS" w:hAnsi="Trebuchet MS" w:cs="Trebuchet MS" w:eastAsia="Trebuchet MS" w:hint="default"/>
        </w:rPr>
        <w:t>8.3</w:t>
      </w:r>
      <w:r>
        <w:rPr>
          <w:rFonts w:ascii="Trebuchet MS" w:hAnsi="Trebuchet MS" w:cs="Trebuchet MS" w:eastAsia="Trebuchet MS" w:hint="default"/>
          <w:spacing w:val="14"/>
        </w:rPr>
        <w:t> </w:t>
      </w:r>
      <w:r>
        <w:rPr/>
        <w:t>任职情况</w:t>
      </w:r>
      <w:r>
        <w:rPr>
          <w:b w:val="0"/>
          <w:bCs w:val="0"/>
        </w:rPr>
      </w:r>
    </w:p>
    <w:p>
      <w:pPr>
        <w:spacing w:line="240" w:lineRule="auto" w:before="17"/>
        <w:rPr>
          <w:rFonts w:ascii="Microsoft JhengHei" w:hAnsi="Microsoft JhengHei" w:cs="Microsoft JhengHei" w:eastAsia="Microsoft JhengHei" w:hint="default"/>
          <w:b/>
          <w:bCs/>
          <w:sz w:val="26"/>
          <w:szCs w:val="26"/>
        </w:rPr>
      </w:pPr>
    </w:p>
    <w:p>
      <w:pPr>
        <w:pStyle w:val="Heading2"/>
        <w:spacing w:line="357" w:lineRule="auto"/>
        <w:ind w:left="214" w:right="1125"/>
        <w:jc w:val="left"/>
        <w:rPr>
          <w:b w:val="0"/>
          <w:bCs w:val="0"/>
        </w:rPr>
      </w:pPr>
      <w:bookmarkStart w:name="8.3.1 公司现任董事、监事、高级管理人员专业背景、主要工作经历以及目前在公司" w:id="201"/>
      <w:bookmarkEnd w:id="201"/>
      <w:r>
        <w:rPr>
          <w:b w:val="0"/>
          <w:bCs w:val="0"/>
        </w:rPr>
      </w:r>
      <w:r>
        <w:rPr>
          <w:rFonts w:ascii="Trebuchet MS" w:hAnsi="Trebuchet MS" w:cs="Trebuchet MS" w:eastAsia="Trebuchet MS" w:hint="default"/>
        </w:rPr>
        <w:t>8.3.1</w:t>
      </w:r>
      <w:r>
        <w:rPr>
          <w:rFonts w:ascii="Trebuchet MS" w:hAnsi="Trebuchet MS" w:cs="Trebuchet MS" w:eastAsia="Trebuchet MS" w:hint="default"/>
          <w:spacing w:val="2"/>
        </w:rPr>
        <w:t> </w:t>
      </w:r>
      <w:r>
        <w:rPr>
          <w:spacing w:val="2"/>
        </w:rPr>
        <w:t>公司现任董事、监事、高级管理人员专业背景、主要工作经历以及目前在公司的主要</w:t>
      </w:r>
      <w:r>
        <w:rPr/>
        <w:t> 职责</w:t>
      </w:r>
      <w:r>
        <w:rPr>
          <w:b w:val="0"/>
          <w:bCs w:val="0"/>
        </w:rPr>
      </w:r>
    </w:p>
    <w:p>
      <w:pPr>
        <w:spacing w:line="240" w:lineRule="auto" w:before="11"/>
        <w:rPr>
          <w:rFonts w:ascii="Microsoft JhengHei" w:hAnsi="Microsoft JhengHei" w:cs="Microsoft JhengHei" w:eastAsia="Microsoft JhengHei" w:hint="default"/>
          <w:b/>
          <w:bCs/>
          <w:sz w:val="17"/>
          <w:szCs w:val="17"/>
        </w:rPr>
      </w:pPr>
    </w:p>
    <w:p>
      <w:pPr>
        <w:spacing w:line="410" w:lineRule="auto" w:before="0"/>
        <w:ind w:left="634" w:right="419" w:firstLine="0"/>
        <w:jc w:val="left"/>
        <w:rPr>
          <w:rFonts w:ascii="宋体" w:hAnsi="宋体" w:cs="宋体" w:eastAsia="宋体" w:hint="default"/>
          <w:sz w:val="21"/>
          <w:szCs w:val="21"/>
        </w:rPr>
      </w:pPr>
      <w:r>
        <w:rPr>
          <w:rFonts w:ascii="Trebuchet MS" w:hAnsi="Trebuchet MS" w:cs="Trebuchet MS" w:eastAsia="Trebuchet MS" w:hint="default"/>
          <w:b/>
          <w:bCs/>
          <w:sz w:val="21"/>
          <w:szCs w:val="21"/>
        </w:rPr>
        <w:t>1</w:t>
      </w:r>
      <w:r>
        <w:rPr>
          <w:rFonts w:ascii="Microsoft JhengHei" w:hAnsi="Microsoft JhengHei" w:cs="Microsoft JhengHei" w:eastAsia="Microsoft JhengHei" w:hint="default"/>
          <w:b/>
          <w:bCs/>
          <w:sz w:val="21"/>
          <w:szCs w:val="21"/>
        </w:rPr>
        <w:t>、非独立董事 </w:t>
      </w:r>
      <w:r>
        <w:rPr>
          <w:rFonts w:ascii="Microsoft JhengHei" w:hAnsi="Microsoft JhengHei" w:cs="Microsoft JhengHei" w:eastAsia="Microsoft JhengHei" w:hint="default"/>
          <w:b/>
          <w:bCs/>
          <w:spacing w:val="-1"/>
          <w:sz w:val="21"/>
          <w:szCs w:val="21"/>
        </w:rPr>
        <w:t>黄文辉先生：</w:t>
      </w:r>
      <w:r>
        <w:rPr>
          <w:rFonts w:ascii="宋体" w:hAnsi="宋体" w:cs="宋体" w:eastAsia="宋体" w:hint="default"/>
          <w:spacing w:val="-1"/>
          <w:sz w:val="21"/>
          <w:szCs w:val="21"/>
        </w:rPr>
        <w:t>工商管理硕士，公司主要创始人之一，曾任江西东方明珠通信发展有限公司总经理；现</w:t>
      </w:r>
    </w:p>
    <w:p>
      <w:pPr>
        <w:pStyle w:val="BodyText"/>
        <w:spacing w:line="246" w:lineRule="exact"/>
        <w:ind w:left="214" w:right="419"/>
        <w:jc w:val="left"/>
      </w:pPr>
      <w:r>
        <w:rPr>
          <w:spacing w:val="-3"/>
        </w:rPr>
        <w:t>任本公司控股股东深圳市神州通投资集团有限公司董事、深圳市览众实业有限公司董事长、本公司董事长。</w:t>
      </w:r>
    </w:p>
    <w:p>
      <w:pPr>
        <w:spacing w:line="240" w:lineRule="auto" w:before="10"/>
        <w:rPr>
          <w:rFonts w:ascii="宋体" w:hAnsi="宋体" w:cs="宋体" w:eastAsia="宋体" w:hint="default"/>
          <w:sz w:val="14"/>
          <w:szCs w:val="14"/>
        </w:rPr>
      </w:pPr>
    </w:p>
    <w:p>
      <w:pPr>
        <w:pStyle w:val="BodyText"/>
        <w:spacing w:line="408" w:lineRule="auto"/>
        <w:ind w:left="213" w:right="419"/>
        <w:jc w:val="left"/>
      </w:pPr>
      <w:r>
        <w:rPr/>
        <w:t>黄文辉先生曾任“深圳市总商会（工商联）第五届理事会常务理事”、“深圳市福田区人大代表”、“深 </w:t>
      </w:r>
      <w:r>
        <w:rPr>
          <w:spacing w:val="-8"/>
        </w:rPr>
        <w:t>圳市人大代表”，并获“深圳市福田区先进生产（工作）者”、“深圳市福田区精神文明建设先进工作者”、</w:t>
      </w:r>
      <w:r>
        <w:rPr>
          <w:spacing w:val="-60"/>
        </w:rPr>
        <w:t> </w:t>
      </w:r>
      <w:r>
        <w:rPr>
          <w:spacing w:val="-60"/>
        </w:rPr>
      </w:r>
      <w:r>
        <w:rPr/>
        <w:t>“2004年奥运火炬手”、“2008年奥运火炬手”等诸多荣誉。</w:t>
      </w:r>
    </w:p>
    <w:p>
      <w:pPr>
        <w:pStyle w:val="BodyText"/>
        <w:spacing w:line="350" w:lineRule="auto" w:before="135"/>
        <w:ind w:left="213" w:right="1119" w:firstLine="420"/>
        <w:jc w:val="left"/>
      </w:pPr>
      <w:r>
        <w:rPr>
          <w:rFonts w:ascii="Microsoft JhengHei" w:hAnsi="Microsoft JhengHei" w:cs="Microsoft JhengHei" w:eastAsia="Microsoft JhengHei" w:hint="default"/>
          <w:b/>
          <w:bCs/>
          <w:spacing w:val="-1"/>
        </w:rPr>
        <w:t>周友盟女士：</w:t>
      </w:r>
      <w:r>
        <w:rPr>
          <w:spacing w:val="-1"/>
        </w:rPr>
        <w:t>工学学士、工商管理硕士、管理学博士，全国五一劳动奖章获得者，国务院政府津贴获</w:t>
      </w:r>
      <w:r>
        <w:rPr/>
        <w:t> </w:t>
      </w:r>
      <w:r>
        <w:rPr>
          <w:spacing w:val="-1"/>
        </w:rPr>
        <w:t>得者。曾任中国联通集团市场营销部总经理；</w:t>
      </w:r>
      <w:r>
        <w:rPr>
          <w:rFonts w:ascii="Arial" w:hAnsi="Arial" w:cs="Arial" w:eastAsia="Arial" w:hint="default"/>
          <w:spacing w:val="-1"/>
        </w:rPr>
        <w:t>2014</w:t>
      </w:r>
      <w:r>
        <w:rPr>
          <w:spacing w:val="-1"/>
        </w:rPr>
        <w:t>年</w:t>
      </w:r>
      <w:r>
        <w:rPr>
          <w:rFonts w:ascii="Arial" w:hAnsi="Arial" w:cs="Arial" w:eastAsia="Arial" w:hint="default"/>
          <w:spacing w:val="-1"/>
        </w:rPr>
        <w:t>2</w:t>
      </w:r>
      <w:r>
        <w:rPr>
          <w:spacing w:val="-1"/>
        </w:rPr>
        <w:t>月</w:t>
      </w:r>
      <w:r>
        <w:rPr>
          <w:rFonts w:ascii="Arial" w:hAnsi="Arial" w:cs="Arial" w:eastAsia="Arial" w:hint="default"/>
          <w:spacing w:val="-1"/>
        </w:rPr>
        <w:t>28</w:t>
      </w:r>
      <w:r>
        <w:rPr>
          <w:spacing w:val="-1"/>
        </w:rPr>
        <w:t>日经公司</w:t>
      </w:r>
      <w:r>
        <w:rPr>
          <w:rFonts w:ascii="Arial" w:hAnsi="Arial" w:cs="Arial" w:eastAsia="Arial" w:hint="default"/>
          <w:spacing w:val="-1"/>
        </w:rPr>
        <w:t>2014</w:t>
      </w:r>
      <w:r>
        <w:rPr>
          <w:spacing w:val="-1"/>
        </w:rPr>
        <w:t>年第一次临时股东大会审议，增</w:t>
      </w:r>
    </w:p>
    <w:p>
      <w:pPr>
        <w:pStyle w:val="BodyText"/>
        <w:spacing w:line="388" w:lineRule="auto" w:before="70"/>
        <w:ind w:left="213" w:right="1115"/>
        <w:jc w:val="left"/>
      </w:pPr>
      <w:r>
        <w:rPr/>
        <w:t>补周友盟女士为公司第三届董事会非独立董事、副董事长；</w:t>
      </w:r>
      <w:r>
        <w:rPr>
          <w:rFonts w:ascii="Arial" w:hAnsi="Arial" w:cs="Arial" w:eastAsia="Arial" w:hint="default"/>
        </w:rPr>
        <w:t>2015</w:t>
      </w:r>
      <w:r>
        <w:rPr/>
        <w:t>年</w:t>
      </w:r>
      <w:r>
        <w:rPr>
          <w:rFonts w:ascii="Arial" w:hAnsi="Arial" w:cs="Arial" w:eastAsia="Arial" w:hint="default"/>
        </w:rPr>
        <w:t>1</w:t>
      </w:r>
      <w:r>
        <w:rPr/>
        <w:t>月</w:t>
      </w:r>
      <w:r>
        <w:rPr>
          <w:rFonts w:ascii="Arial" w:hAnsi="Arial" w:cs="Arial" w:eastAsia="Arial" w:hint="default"/>
        </w:rPr>
        <w:t>28</w:t>
      </w:r>
      <w:r>
        <w:rPr/>
        <w:t>日经公司第三届董事会第二十一 次（临时）会议审议，聘任周友盟女士为公司总裁。现任公司副董事长、总裁。</w:t>
      </w:r>
    </w:p>
    <w:p>
      <w:pPr>
        <w:spacing w:after="0" w:line="388" w:lineRule="auto"/>
        <w:jc w:val="left"/>
        <w:sectPr>
          <w:headerReference w:type="default" r:id="rId44"/>
          <w:footerReference w:type="default" r:id="rId45"/>
          <w:pgSz w:w="11910" w:h="16840"/>
          <w:pgMar w:header="877" w:footer="979" w:top="1100" w:bottom="1160" w:left="920" w:right="0"/>
          <w:pgNumType w:start="69"/>
        </w:sectPr>
      </w:pPr>
    </w:p>
    <w:p>
      <w:pPr>
        <w:spacing w:line="240" w:lineRule="auto" w:before="7"/>
        <w:rPr>
          <w:rFonts w:ascii="宋体" w:hAnsi="宋体" w:cs="宋体" w:eastAsia="宋体" w:hint="default"/>
          <w:sz w:val="27"/>
          <w:szCs w:val="27"/>
        </w:rPr>
      </w:pPr>
    </w:p>
    <w:p>
      <w:pPr>
        <w:pStyle w:val="BodyText"/>
        <w:spacing w:line="317" w:lineRule="exact"/>
        <w:ind w:right="0" w:firstLine="420"/>
        <w:jc w:val="both"/>
      </w:pPr>
      <w:r>
        <w:rPr>
          <w:rFonts w:ascii="Microsoft JhengHei" w:hAnsi="Microsoft JhengHei" w:cs="Microsoft JhengHei" w:eastAsia="Microsoft JhengHei" w:hint="default"/>
          <w:b/>
          <w:bCs/>
        </w:rPr>
        <w:t>黄绍武先生：</w:t>
      </w:r>
      <w:r>
        <w:rPr/>
        <w:t>公司实际控制人及主要创始人之一，曾任江西东方明珠通信发展有限公司董事长，现任</w:t>
      </w:r>
    </w:p>
    <w:p>
      <w:pPr>
        <w:pStyle w:val="BodyText"/>
        <w:spacing w:line="408" w:lineRule="auto" w:before="169"/>
        <w:ind w:right="0"/>
        <w:jc w:val="left"/>
      </w:pPr>
      <w:r>
        <w:rPr>
          <w:spacing w:val="-1"/>
        </w:rPr>
        <w:t>本公司控股股东深圳市神州通投资集团有限公司董事长、本公司主要股东深圳市全球星投资管理有限公司</w:t>
      </w:r>
      <w:r>
        <w:rPr>
          <w:spacing w:val="-81"/>
        </w:rPr>
        <w:t> </w:t>
      </w:r>
      <w:r>
        <w:rPr>
          <w:spacing w:val="-81"/>
        </w:rPr>
      </w:r>
      <w:r>
        <w:rPr/>
        <w:t>董事长兼总裁、本公司董事。</w:t>
      </w:r>
    </w:p>
    <w:p>
      <w:pPr>
        <w:pStyle w:val="BodyText"/>
        <w:spacing w:line="468" w:lineRule="exact" w:before="73"/>
        <w:ind w:right="1129" w:firstLine="420"/>
        <w:jc w:val="both"/>
      </w:pPr>
      <w:r>
        <w:rPr>
          <w:rFonts w:ascii="Microsoft JhengHei" w:hAnsi="Microsoft JhengHei" w:cs="Microsoft JhengHei" w:eastAsia="Microsoft JhengHei" w:hint="default"/>
          <w:b/>
          <w:bCs/>
          <w:spacing w:val="-1"/>
        </w:rPr>
        <w:t>喻子达先生：</w:t>
      </w:r>
      <w:r>
        <w:rPr>
          <w:spacing w:val="-1"/>
        </w:rPr>
        <w:t>华中科技大学制冷专业学士、动力工程硕士，西安交通大学管理学博士。研究员级高级</w:t>
      </w:r>
      <w:r>
        <w:rPr/>
        <w:t> </w:t>
      </w:r>
      <w:r>
        <w:rPr>
          <w:spacing w:val="-1"/>
        </w:rPr>
        <w:t>工程师。历任海尔集团副总裁、高级副总裁、执行副总裁兼首席技术官（</w:t>
      </w:r>
      <w:r>
        <w:rPr>
          <w:rFonts w:ascii="Arial" w:hAnsi="Arial" w:cs="Arial" w:eastAsia="Arial" w:hint="default"/>
          <w:spacing w:val="-1"/>
        </w:rPr>
        <w:t>CTO</w:t>
      </w:r>
      <w:r>
        <w:rPr>
          <w:spacing w:val="-1"/>
        </w:rPr>
        <w:t>）兼数码及个人产品集团总</w:t>
      </w:r>
      <w:r>
        <w:rPr/>
        <w:t> </w:t>
      </w:r>
      <w:r>
        <w:rPr>
          <w:spacing w:val="-1"/>
        </w:rPr>
        <w:t>裁等。中国国家级突出贡献中青年专家，享受国务院政府津贴，多次荣获国家科技进步奖，并担任数字家</w:t>
      </w:r>
      <w:r>
        <w:rPr>
          <w:spacing w:val="-86"/>
        </w:rPr>
        <w:t> </w:t>
      </w:r>
      <w:r>
        <w:rPr>
          <w:spacing w:val="-86"/>
        </w:rPr>
      </w:r>
      <w:r>
        <w:rPr/>
        <w:t>电国家重点实验室主任。现任深圳市神州通投资集团有限公司总裁，深圳市国家级领军人才。</w:t>
      </w:r>
    </w:p>
    <w:p>
      <w:pPr>
        <w:pStyle w:val="BodyText"/>
        <w:spacing w:line="468" w:lineRule="exact" w:before="156"/>
        <w:ind w:right="1129" w:firstLine="420"/>
        <w:jc w:val="both"/>
      </w:pPr>
      <w:r>
        <w:rPr>
          <w:rFonts w:ascii="Microsoft JhengHei" w:hAnsi="Microsoft JhengHei" w:cs="Microsoft JhengHei" w:eastAsia="Microsoft JhengHei" w:hint="default"/>
          <w:b/>
          <w:bCs/>
          <w:spacing w:val="-1"/>
        </w:rPr>
        <w:t>夏小华先生：</w:t>
      </w:r>
      <w:r>
        <w:rPr>
          <w:spacing w:val="-1"/>
        </w:rPr>
        <w:t>中欧国际工商学院</w:t>
      </w:r>
      <w:r>
        <w:rPr>
          <w:rFonts w:ascii="Arial" w:hAnsi="Arial" w:cs="Arial" w:eastAsia="Arial" w:hint="default"/>
          <w:spacing w:val="-1"/>
        </w:rPr>
        <w:t>EMBA</w:t>
      </w:r>
      <w:r>
        <w:rPr>
          <w:spacing w:val="-1"/>
        </w:rPr>
        <w:t>，曾任九江仪表厂财务处副处长，</w:t>
      </w:r>
      <w:r>
        <w:rPr>
          <w:rFonts w:ascii="Arial" w:hAnsi="Arial" w:cs="Arial" w:eastAsia="Arial" w:hint="default"/>
          <w:spacing w:val="-1"/>
        </w:rPr>
        <w:t>1999</w:t>
      </w:r>
      <w:r>
        <w:rPr>
          <w:spacing w:val="-1"/>
        </w:rPr>
        <w:t>年加盟本公司，历任深</w:t>
      </w:r>
      <w:r>
        <w:rPr/>
        <w:t> </w:t>
      </w:r>
      <w:r>
        <w:rPr>
          <w:spacing w:val="-1"/>
        </w:rPr>
        <w:t>圳市爱施德实业有限公司财务经理、财务总监，副总裁，现任公司董事、高级副总裁，全资子公司酷动数</w:t>
      </w:r>
      <w:r>
        <w:rPr>
          <w:spacing w:val="-83"/>
        </w:rPr>
        <w:t> </w:t>
      </w:r>
      <w:r>
        <w:rPr>
          <w:spacing w:val="-83"/>
        </w:rPr>
      </w:r>
      <w:r>
        <w:rPr/>
        <w:t>码董事长、控股子公司彩梦科技董事长。</w:t>
      </w:r>
    </w:p>
    <w:p>
      <w:pPr>
        <w:spacing w:line="240" w:lineRule="auto" w:before="9"/>
        <w:rPr>
          <w:rFonts w:ascii="宋体" w:hAnsi="宋体" w:cs="宋体" w:eastAsia="宋体" w:hint="default"/>
          <w:sz w:val="16"/>
          <w:szCs w:val="16"/>
        </w:rPr>
      </w:pPr>
    </w:p>
    <w:p>
      <w:pPr>
        <w:spacing w:line="410" w:lineRule="auto" w:before="0"/>
        <w:ind w:left="574" w:right="1125" w:firstLine="0"/>
        <w:jc w:val="left"/>
        <w:rPr>
          <w:rFonts w:ascii="宋体" w:hAnsi="宋体" w:cs="宋体" w:eastAsia="宋体" w:hint="default"/>
          <w:sz w:val="21"/>
          <w:szCs w:val="21"/>
        </w:rPr>
      </w:pPr>
      <w:r>
        <w:rPr>
          <w:rFonts w:ascii="Trebuchet MS" w:hAnsi="Trebuchet MS" w:cs="Trebuchet MS" w:eastAsia="Trebuchet MS" w:hint="default"/>
          <w:b/>
          <w:bCs/>
          <w:sz w:val="21"/>
          <w:szCs w:val="21"/>
        </w:rPr>
        <w:t>2</w:t>
      </w:r>
      <w:r>
        <w:rPr>
          <w:rFonts w:ascii="Microsoft JhengHei" w:hAnsi="Microsoft JhengHei" w:cs="Microsoft JhengHei" w:eastAsia="Microsoft JhengHei" w:hint="default"/>
          <w:b/>
          <w:bCs/>
          <w:sz w:val="21"/>
          <w:szCs w:val="21"/>
        </w:rPr>
        <w:t>、独立董事 </w:t>
      </w:r>
      <w:r>
        <w:rPr>
          <w:rFonts w:ascii="Microsoft JhengHei" w:hAnsi="Microsoft JhengHei" w:cs="Microsoft JhengHei" w:eastAsia="Microsoft JhengHei" w:hint="default"/>
          <w:b/>
          <w:bCs/>
          <w:spacing w:val="-2"/>
          <w:sz w:val="21"/>
          <w:szCs w:val="21"/>
        </w:rPr>
        <w:t>吕良彪先生：</w:t>
      </w:r>
      <w:r>
        <w:rPr>
          <w:rFonts w:ascii="宋体" w:hAnsi="宋体" w:cs="宋体" w:eastAsia="宋体" w:hint="default"/>
          <w:spacing w:val="-2"/>
          <w:sz w:val="21"/>
          <w:szCs w:val="21"/>
        </w:rPr>
        <w:t>先后就读于华东政法大学、武汉大学、纽约大学法学院，具</w:t>
      </w:r>
      <w:r>
        <w:rPr>
          <w:rFonts w:ascii="Arial" w:hAnsi="Arial" w:cs="Arial" w:eastAsia="Arial" w:hint="default"/>
          <w:spacing w:val="-2"/>
          <w:sz w:val="21"/>
          <w:szCs w:val="21"/>
        </w:rPr>
        <w:t>20</w:t>
      </w:r>
      <w:r>
        <w:rPr>
          <w:rFonts w:ascii="宋体" w:hAnsi="宋体" w:cs="宋体" w:eastAsia="宋体" w:hint="default"/>
          <w:spacing w:val="-2"/>
          <w:sz w:val="21"/>
          <w:szCs w:val="21"/>
        </w:rPr>
        <w:t>余年法官、律师、仲裁员</w:t>
      </w:r>
    </w:p>
    <w:p>
      <w:pPr>
        <w:pStyle w:val="BodyText"/>
        <w:spacing w:line="246" w:lineRule="exact"/>
        <w:ind w:right="0"/>
        <w:jc w:val="left"/>
      </w:pPr>
      <w:r>
        <w:rPr/>
        <w:t>从业经历；现为北京大成律师事务所常委、高级合伙人、律师；央视财经频道特约评论员；中国人民大学</w:t>
      </w:r>
    </w:p>
    <w:p>
      <w:pPr>
        <w:spacing w:line="240" w:lineRule="auto" w:before="10"/>
        <w:rPr>
          <w:rFonts w:ascii="宋体" w:hAnsi="宋体" w:cs="宋体" w:eastAsia="宋体" w:hint="default"/>
          <w:sz w:val="14"/>
          <w:szCs w:val="14"/>
        </w:rPr>
      </w:pPr>
    </w:p>
    <w:p>
      <w:pPr>
        <w:pStyle w:val="BodyText"/>
        <w:spacing w:line="408" w:lineRule="auto"/>
        <w:ind w:right="0"/>
        <w:jc w:val="left"/>
      </w:pPr>
      <w:r>
        <w:rPr>
          <w:spacing w:val="-1"/>
        </w:rPr>
        <w:t>法学院、律师学院客座教授、硕士生导师；北京仲裁委员会仲裁员，武汉仲裁委员会仲裁员；中国青年企</w:t>
      </w:r>
      <w:r>
        <w:rPr>
          <w:spacing w:val="-83"/>
        </w:rPr>
        <w:t> </w:t>
      </w:r>
      <w:r>
        <w:rPr>
          <w:spacing w:val="-83"/>
        </w:rPr>
      </w:r>
      <w:r>
        <w:rPr/>
        <w:t>业家协会理事。</w:t>
      </w:r>
      <w:r>
        <w:rPr>
          <w:rFonts w:ascii="Arial" w:hAnsi="Arial" w:cs="Arial" w:eastAsia="Arial" w:hint="default"/>
        </w:rPr>
        <w:t>2011</w:t>
      </w:r>
      <w:r>
        <w:rPr/>
        <w:t>年</w:t>
      </w:r>
      <w:r>
        <w:rPr>
          <w:rFonts w:ascii="Arial" w:hAnsi="Arial" w:cs="Arial" w:eastAsia="Arial" w:hint="default"/>
        </w:rPr>
        <w:t>9</w:t>
      </w:r>
      <w:r>
        <w:rPr/>
        <w:t>月任为本公司独立董事。</w:t>
      </w:r>
    </w:p>
    <w:p>
      <w:pPr>
        <w:pStyle w:val="BodyText"/>
        <w:spacing w:line="468" w:lineRule="exact" w:before="41"/>
        <w:ind w:right="1129" w:firstLine="420"/>
        <w:jc w:val="both"/>
      </w:pPr>
      <w:r>
        <w:rPr>
          <w:rFonts w:ascii="Microsoft JhengHei" w:hAnsi="Microsoft JhengHei" w:cs="Microsoft JhengHei" w:eastAsia="Microsoft JhengHei" w:hint="default"/>
          <w:b/>
          <w:bCs/>
          <w:spacing w:val="-1"/>
        </w:rPr>
        <w:t>章卫东先生：</w:t>
      </w:r>
      <w:r>
        <w:rPr>
          <w:spacing w:val="-1"/>
        </w:rPr>
        <w:t>获华中科技大学管理学博士学位，武汉大学经济与管理学院工商管理博士后。现任江西</w:t>
      </w:r>
      <w:r>
        <w:rPr/>
        <w:t> </w:t>
      </w:r>
      <w:r>
        <w:rPr>
          <w:spacing w:val="-5"/>
        </w:rPr>
        <w:t>财经大学会计学院会计学教授、博士生导师；财政部管路会计咨询专家，江西省注册会计师协会常务理事，</w:t>
      </w:r>
      <w:r>
        <w:rPr>
          <w:spacing w:val="-101"/>
        </w:rPr>
        <w:t> </w:t>
      </w:r>
      <w:r>
        <w:rPr>
          <w:spacing w:val="-101"/>
        </w:rPr>
      </w:r>
      <w:r>
        <w:rPr>
          <w:spacing w:val="-1"/>
        </w:rPr>
        <w:t>中国商业会计学会常务理事兼学术部副主任，江西省审计协会常务理事。章卫东先生是江西省“新世纪百</w:t>
      </w:r>
      <w:r>
        <w:rPr>
          <w:spacing w:val="-81"/>
        </w:rPr>
        <w:t> </w:t>
      </w:r>
      <w:r>
        <w:rPr>
          <w:spacing w:val="-81"/>
        </w:rPr>
      </w:r>
      <w:r>
        <w:rPr/>
        <w:t>千万人才工程”人选，江西省中青年学科带头人，曾获“江西省‘赣鄱英才</w:t>
      </w:r>
      <w:r>
        <w:rPr>
          <w:rFonts w:ascii="Arial" w:hAnsi="Arial" w:cs="Arial" w:eastAsia="Arial" w:hint="default"/>
        </w:rPr>
        <w:t>555</w:t>
      </w:r>
      <w:r>
        <w:rPr/>
        <w:t>工程’领军人才”、“江</w:t>
      </w:r>
      <w:r>
        <w:rPr>
          <w:spacing w:val="-65"/>
        </w:rPr>
        <w:t> </w:t>
      </w:r>
      <w:r>
        <w:rPr>
          <w:spacing w:val="-65"/>
        </w:rPr>
      </w:r>
      <w:r>
        <w:rPr/>
        <w:t>西省高等院校教学名师”、“江西省先进教育工作者”等荣誉。</w:t>
      </w:r>
      <w:r>
        <w:rPr>
          <w:rFonts w:ascii="Arial" w:hAnsi="Arial" w:cs="Arial" w:eastAsia="Arial" w:hint="default"/>
        </w:rPr>
        <w:t>2013</w:t>
      </w:r>
      <w:r>
        <w:rPr/>
        <w:t>年</w:t>
      </w:r>
      <w:r>
        <w:rPr>
          <w:rFonts w:ascii="Arial" w:hAnsi="Arial" w:cs="Arial" w:eastAsia="Arial" w:hint="default"/>
        </w:rPr>
        <w:t>10</w:t>
      </w:r>
      <w:r>
        <w:rPr/>
        <w:t>月</w:t>
      </w:r>
      <w:r>
        <w:rPr>
          <w:rFonts w:ascii="Arial" w:hAnsi="Arial" w:cs="Arial" w:eastAsia="Arial" w:hint="default"/>
        </w:rPr>
        <w:t>15</w:t>
      </w:r>
      <w:r>
        <w:rPr/>
        <w:t>日任公司第三届董事会独</w:t>
      </w:r>
      <w:r>
        <w:rPr>
          <w:spacing w:val="-22"/>
        </w:rPr>
        <w:t> </w:t>
      </w:r>
      <w:r>
        <w:rPr>
          <w:spacing w:val="-22"/>
        </w:rPr>
      </w:r>
      <w:r>
        <w:rPr/>
        <w:t>立董事。</w:t>
      </w:r>
    </w:p>
    <w:p>
      <w:pPr>
        <w:pStyle w:val="BodyText"/>
        <w:spacing w:line="468" w:lineRule="exact" w:before="156"/>
        <w:ind w:right="1131" w:firstLine="420"/>
        <w:jc w:val="both"/>
      </w:pPr>
      <w:r>
        <w:rPr>
          <w:rFonts w:ascii="Microsoft JhengHei" w:hAnsi="Microsoft JhengHei" w:cs="Microsoft JhengHei" w:eastAsia="Microsoft JhengHei" w:hint="default"/>
          <w:b/>
          <w:bCs/>
          <w:spacing w:val="-1"/>
        </w:rPr>
        <w:t>吕廷杰先生：</w:t>
      </w:r>
      <w:r>
        <w:rPr>
          <w:spacing w:val="-1"/>
        </w:rPr>
        <w:t>党员，北京邮电大学管理工程硕士，日本京都大学应用系统工程博士。现任北京邮电大</w:t>
      </w:r>
      <w:r>
        <w:rPr/>
        <w:t> </w:t>
      </w:r>
      <w:r>
        <w:rPr>
          <w:spacing w:val="-1"/>
        </w:rPr>
        <w:t>学经济管理学院教授、博士生导师。北京邮电大学电子商务研究中心主任。大唐高鸿数据网络技术股份有</w:t>
      </w:r>
      <w:r>
        <w:rPr>
          <w:spacing w:val="-83"/>
        </w:rPr>
        <w:t> </w:t>
      </w:r>
      <w:r>
        <w:rPr>
          <w:spacing w:val="-83"/>
        </w:rPr>
      </w:r>
      <w:r>
        <w:rPr/>
        <w:t>限公司、京东方科技集团有限公司独立董事。</w:t>
      </w:r>
      <w:r>
        <w:rPr>
          <w:rFonts w:ascii="Arial" w:hAnsi="Arial" w:cs="Arial" w:eastAsia="Arial" w:hint="default"/>
        </w:rPr>
        <w:t>2014</w:t>
      </w:r>
      <w:r>
        <w:rPr/>
        <w:t>年</w:t>
      </w:r>
      <w:r>
        <w:rPr>
          <w:rFonts w:ascii="Arial" w:hAnsi="Arial" w:cs="Arial" w:eastAsia="Arial" w:hint="default"/>
        </w:rPr>
        <w:t>6</w:t>
      </w:r>
      <w:r>
        <w:rPr/>
        <w:t>月</w:t>
      </w:r>
      <w:r>
        <w:rPr>
          <w:rFonts w:ascii="Arial" w:hAnsi="Arial" w:cs="Arial" w:eastAsia="Arial" w:hint="default"/>
        </w:rPr>
        <w:t>6</w:t>
      </w:r>
      <w:r>
        <w:rPr/>
        <w:t>日任公司第三届董事会独立董事。</w:t>
      </w:r>
    </w:p>
    <w:p>
      <w:pPr>
        <w:spacing w:line="240" w:lineRule="auto" w:before="9"/>
        <w:rPr>
          <w:rFonts w:ascii="宋体" w:hAnsi="宋体" w:cs="宋体" w:eastAsia="宋体" w:hint="default"/>
          <w:sz w:val="16"/>
          <w:szCs w:val="16"/>
        </w:rPr>
      </w:pPr>
    </w:p>
    <w:p>
      <w:pPr>
        <w:pStyle w:val="BodyText"/>
        <w:spacing w:line="369" w:lineRule="auto"/>
        <w:ind w:right="1128" w:firstLine="420"/>
        <w:jc w:val="both"/>
      </w:pPr>
      <w:r>
        <w:rPr>
          <w:rFonts w:ascii="Microsoft JhengHei" w:hAnsi="Microsoft JhengHei" w:cs="Microsoft JhengHei" w:eastAsia="Microsoft JhengHei" w:hint="default"/>
          <w:b/>
          <w:bCs/>
        </w:rPr>
        <w:t>陈思平先生：</w:t>
      </w:r>
      <w:r>
        <w:rPr/>
        <w:t>西安交通大学博士、浙江大学博士后。</w:t>
      </w:r>
      <w:r>
        <w:rPr>
          <w:rFonts w:ascii="Arial" w:hAnsi="Arial" w:cs="Arial" w:eastAsia="Arial" w:hint="default"/>
        </w:rPr>
        <w:t>1988</w:t>
      </w:r>
      <w:r>
        <w:rPr/>
        <w:t>年至</w:t>
      </w:r>
      <w:r>
        <w:rPr>
          <w:rFonts w:ascii="Arial" w:hAnsi="Arial" w:cs="Arial" w:eastAsia="Arial" w:hint="default"/>
        </w:rPr>
        <w:t>2005</w:t>
      </w:r>
      <w:r>
        <w:rPr/>
        <w:t>年任职于深圳安科高技术股份有</w:t>
      </w:r>
      <w:r>
        <w:rPr>
          <w:spacing w:val="2"/>
        </w:rPr>
        <w:t> </w:t>
      </w:r>
      <w:r>
        <w:rPr/>
        <w:t>限公司担任研究员、总工程师；</w:t>
      </w:r>
      <w:r>
        <w:rPr>
          <w:rFonts w:ascii="Arial" w:hAnsi="Arial" w:cs="Arial" w:eastAsia="Arial" w:hint="default"/>
        </w:rPr>
        <w:t>2005</w:t>
      </w:r>
      <w:r>
        <w:rPr/>
        <w:t>年至</w:t>
      </w:r>
      <w:r>
        <w:rPr>
          <w:rFonts w:ascii="Arial" w:hAnsi="Arial" w:cs="Arial" w:eastAsia="Arial" w:hint="default"/>
        </w:rPr>
        <w:t>2008</w:t>
      </w:r>
      <w:r>
        <w:rPr/>
        <w:t>年任职于深圳大学担任副校长、教授、博士生导师；现任</w:t>
      </w:r>
      <w:r>
        <w:rPr>
          <w:spacing w:val="-27"/>
        </w:rPr>
        <w:t> </w:t>
      </w:r>
      <w:r>
        <w:rPr>
          <w:spacing w:val="-27"/>
        </w:rPr>
      </w:r>
      <w:r>
        <w:rPr>
          <w:spacing w:val="-1"/>
        </w:rPr>
        <w:t>深圳大学教授、博士生导师，兼全国医用电器标准化技术委员会副主任委员。深圳市理邦精密仪器股份有</w:t>
      </w:r>
    </w:p>
    <w:p>
      <w:pPr>
        <w:spacing w:after="0" w:line="369" w:lineRule="auto"/>
        <w:jc w:val="both"/>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460" w:lineRule="auto" w:before="18"/>
        <w:ind w:left="573" w:right="1839" w:hanging="420"/>
        <w:jc w:val="left"/>
        <w:rPr>
          <w:rFonts w:ascii="Microsoft JhengHei" w:hAnsi="Microsoft JhengHei" w:cs="Microsoft JhengHei" w:eastAsia="Microsoft JhengHei" w:hint="default"/>
        </w:rPr>
      </w:pPr>
      <w:r>
        <w:rPr/>
        <w:t>限公司、宏达高科控股股份有限公司独立董事。</w:t>
      </w:r>
      <w:r>
        <w:rPr>
          <w:rFonts w:ascii="Arial" w:hAnsi="Arial" w:cs="Arial" w:eastAsia="Arial" w:hint="default"/>
        </w:rPr>
        <w:t>2014</w:t>
      </w:r>
      <w:r>
        <w:rPr/>
        <w:t>年</w:t>
      </w:r>
      <w:r>
        <w:rPr>
          <w:rFonts w:ascii="Arial" w:hAnsi="Arial" w:cs="Arial" w:eastAsia="Arial" w:hint="default"/>
        </w:rPr>
        <w:t>11</w:t>
      </w:r>
      <w:r>
        <w:rPr/>
        <w:t>月</w:t>
      </w:r>
      <w:r>
        <w:rPr>
          <w:rFonts w:ascii="Arial" w:hAnsi="Arial" w:cs="Arial" w:eastAsia="Arial" w:hint="default"/>
        </w:rPr>
        <w:t>18</w:t>
      </w:r>
      <w:r>
        <w:rPr/>
        <w:t>日任公司第三届董事会独立董事。 </w:t>
      </w:r>
      <w:r>
        <w:rPr>
          <w:rFonts w:ascii="Trebuchet MS" w:hAnsi="Trebuchet MS" w:cs="Trebuchet MS" w:eastAsia="Trebuchet MS" w:hint="default"/>
          <w:b/>
          <w:bCs/>
        </w:rPr>
        <w:t>3</w:t>
      </w:r>
      <w:r>
        <w:rPr>
          <w:rFonts w:ascii="Microsoft JhengHei" w:hAnsi="Microsoft JhengHei" w:cs="Microsoft JhengHei" w:eastAsia="Microsoft JhengHei" w:hint="default"/>
          <w:b/>
          <w:bCs/>
        </w:rPr>
        <w:t>、监事</w:t>
      </w:r>
      <w:r>
        <w:rPr>
          <w:rFonts w:ascii="Microsoft JhengHei" w:hAnsi="Microsoft JhengHei" w:cs="Microsoft JhengHei" w:eastAsia="Microsoft JhengHei" w:hint="default"/>
        </w:rPr>
      </w:r>
    </w:p>
    <w:p>
      <w:pPr>
        <w:pStyle w:val="BodyText"/>
        <w:spacing w:line="369" w:lineRule="auto" w:before="2"/>
        <w:ind w:right="1130" w:firstLine="420"/>
        <w:jc w:val="both"/>
      </w:pPr>
      <w:r>
        <w:rPr>
          <w:rFonts w:ascii="Microsoft JhengHei" w:hAnsi="Microsoft JhengHei" w:cs="Microsoft JhengHei" w:eastAsia="Microsoft JhengHei" w:hint="default"/>
          <w:b/>
          <w:bCs/>
          <w:spacing w:val="-1"/>
        </w:rPr>
        <w:t>张文良先生：</w:t>
      </w:r>
      <w:r>
        <w:rPr>
          <w:spacing w:val="-1"/>
        </w:rPr>
        <w:t>本科，</w:t>
      </w:r>
      <w:r>
        <w:rPr>
          <w:rFonts w:ascii="Arial" w:hAnsi="Arial" w:cs="Arial" w:eastAsia="Arial" w:hint="default"/>
          <w:spacing w:val="-1"/>
        </w:rPr>
        <w:t>2008</w:t>
      </w:r>
      <w:r>
        <w:rPr>
          <w:spacing w:val="-1"/>
        </w:rPr>
        <w:t>年</w:t>
      </w:r>
      <w:r>
        <w:rPr>
          <w:rFonts w:ascii="Arial" w:hAnsi="Arial" w:cs="Arial" w:eastAsia="Arial" w:hint="default"/>
          <w:spacing w:val="-1"/>
        </w:rPr>
        <w:t>-2012</w:t>
      </w:r>
      <w:r>
        <w:rPr>
          <w:spacing w:val="-1"/>
        </w:rPr>
        <w:t>年在民生东都投资集团有限公司任物业公司总经理；</w:t>
      </w:r>
      <w:r>
        <w:rPr>
          <w:rFonts w:ascii="Arial" w:hAnsi="Arial" w:cs="Arial" w:eastAsia="Arial" w:hint="default"/>
          <w:spacing w:val="-1"/>
        </w:rPr>
        <w:t>2012</w:t>
      </w:r>
      <w:r>
        <w:rPr>
          <w:spacing w:val="-1"/>
        </w:rPr>
        <w:t>年</w:t>
      </w:r>
      <w:r>
        <w:rPr>
          <w:rFonts w:ascii="Arial" w:hAnsi="Arial" w:cs="Arial" w:eastAsia="Arial" w:hint="default"/>
          <w:spacing w:val="-1"/>
        </w:rPr>
        <w:t>04</w:t>
      </w:r>
      <w:r>
        <w:rPr>
          <w:spacing w:val="-1"/>
        </w:rPr>
        <w:t>月至</w:t>
      </w:r>
      <w:r>
        <w:rPr/>
        <w:t> 今任职本公司控股股东深圳市神州通投资集团有限公司战略运营部总经理。</w:t>
      </w:r>
      <w:r>
        <w:rPr>
          <w:rFonts w:ascii="Arial" w:hAnsi="Arial" w:cs="Arial" w:eastAsia="Arial" w:hint="default"/>
        </w:rPr>
        <w:t>2014</w:t>
      </w:r>
      <w:r>
        <w:rPr/>
        <w:t>年</w:t>
      </w:r>
      <w:r>
        <w:rPr>
          <w:rFonts w:ascii="Arial" w:hAnsi="Arial" w:cs="Arial" w:eastAsia="Arial" w:hint="default"/>
        </w:rPr>
        <w:t>6</w:t>
      </w:r>
      <w:r>
        <w:rPr/>
        <w:t>月</w:t>
      </w:r>
      <w:r>
        <w:rPr>
          <w:rFonts w:ascii="Arial" w:hAnsi="Arial" w:cs="Arial" w:eastAsia="Arial" w:hint="default"/>
        </w:rPr>
        <w:t>6</w:t>
      </w:r>
      <w:r>
        <w:rPr/>
        <w:t>日经公司</w:t>
      </w:r>
      <w:r>
        <w:rPr>
          <w:rFonts w:ascii="Arial" w:hAnsi="Arial" w:cs="Arial" w:eastAsia="Arial" w:hint="default"/>
        </w:rPr>
        <w:t>2013</w:t>
      </w:r>
      <w:r>
        <w:rPr/>
        <w:t>年</w:t>
      </w:r>
      <w:r>
        <w:rPr>
          <w:spacing w:val="-42"/>
        </w:rPr>
        <w:t> </w:t>
      </w:r>
      <w:r>
        <w:rPr/>
        <w:t>年度股东大会审议，补选张文良先生为公司第三届监事会监事，现任公司第三届监事会主席。</w:t>
      </w:r>
    </w:p>
    <w:p>
      <w:pPr>
        <w:pStyle w:val="BodyText"/>
        <w:spacing w:line="369" w:lineRule="auto" w:before="169"/>
        <w:ind w:right="1130" w:firstLine="420"/>
        <w:jc w:val="both"/>
      </w:pPr>
      <w:r>
        <w:rPr>
          <w:rFonts w:ascii="Microsoft JhengHei" w:hAnsi="Microsoft JhengHei" w:cs="Microsoft JhengHei" w:eastAsia="Microsoft JhengHei" w:hint="default"/>
          <w:b/>
          <w:bCs/>
          <w:spacing w:val="-2"/>
        </w:rPr>
        <w:t>朱维佳先生：</w:t>
      </w:r>
      <w:r>
        <w:rPr>
          <w:spacing w:val="-2"/>
        </w:rPr>
        <w:t>毕业于南京审计学院审计学专业。曾任中华工商时报江苏记者站会计，</w:t>
      </w:r>
      <w:r>
        <w:rPr>
          <w:rFonts w:ascii="Arial" w:hAnsi="Arial" w:cs="Arial" w:eastAsia="Arial" w:hint="default"/>
          <w:spacing w:val="-2"/>
        </w:rPr>
        <w:t>2005</w:t>
      </w:r>
      <w:r>
        <w:rPr>
          <w:spacing w:val="-2"/>
        </w:rPr>
        <w:t>年加盟本公</w:t>
      </w:r>
      <w:r>
        <w:rPr/>
        <w:t> </w:t>
      </w:r>
      <w:r>
        <w:rPr>
          <w:spacing w:val="-1"/>
        </w:rPr>
        <w:t>司，历任本公司审计项目主管、审计项目经理；现任本公司审计部总监助理。</w:t>
      </w:r>
      <w:r>
        <w:rPr>
          <w:rFonts w:ascii="Arial" w:hAnsi="Arial" w:cs="Arial" w:eastAsia="Arial" w:hint="default"/>
          <w:spacing w:val="-1"/>
        </w:rPr>
        <w:t>2015</w:t>
      </w:r>
      <w:r>
        <w:rPr>
          <w:spacing w:val="-1"/>
        </w:rPr>
        <w:t>年</w:t>
      </w:r>
      <w:r>
        <w:rPr>
          <w:rFonts w:ascii="Arial" w:hAnsi="Arial" w:cs="Arial" w:eastAsia="Arial" w:hint="default"/>
          <w:spacing w:val="-1"/>
        </w:rPr>
        <w:t>3</w:t>
      </w:r>
      <w:r>
        <w:rPr>
          <w:spacing w:val="-1"/>
        </w:rPr>
        <w:t>月</w:t>
      </w:r>
      <w:r>
        <w:rPr>
          <w:rFonts w:ascii="Arial" w:hAnsi="Arial" w:cs="Arial" w:eastAsia="Arial" w:hint="default"/>
          <w:spacing w:val="-1"/>
        </w:rPr>
        <w:t>20</w:t>
      </w:r>
      <w:r>
        <w:rPr>
          <w:spacing w:val="-1"/>
        </w:rPr>
        <w:t>日经公司</w:t>
      </w:r>
      <w:r>
        <w:rPr>
          <w:rFonts w:ascii="Arial" w:hAnsi="Arial" w:cs="Arial" w:eastAsia="Arial" w:hint="default"/>
          <w:spacing w:val="-1"/>
        </w:rPr>
        <w:t>2015</w:t>
      </w:r>
      <w:r>
        <w:rPr>
          <w:rFonts w:ascii="Arial" w:hAnsi="Arial" w:cs="Arial" w:eastAsia="Arial" w:hint="default"/>
          <w:spacing w:val="-57"/>
        </w:rPr>
        <w:t> </w:t>
      </w:r>
      <w:r>
        <w:rPr/>
        <w:t>年第一次临时股东大会审议，补选朱维佳先生为公司第三届监事会监事。</w:t>
      </w:r>
    </w:p>
    <w:p>
      <w:pPr>
        <w:pStyle w:val="BodyText"/>
        <w:spacing w:line="369" w:lineRule="auto" w:before="169"/>
        <w:ind w:right="1129" w:firstLine="420"/>
        <w:jc w:val="both"/>
      </w:pPr>
      <w:r>
        <w:rPr>
          <w:rFonts w:ascii="Microsoft JhengHei" w:hAnsi="Microsoft JhengHei" w:cs="Microsoft JhengHei" w:eastAsia="Microsoft JhengHei" w:hint="default"/>
          <w:b/>
          <w:bCs/>
          <w:spacing w:val="-2"/>
        </w:rPr>
        <w:t>李菡女士：</w:t>
      </w:r>
      <w:r>
        <w:rPr>
          <w:spacing w:val="-2"/>
        </w:rPr>
        <w:t>中南财经政法大学</w:t>
      </w:r>
      <w:r>
        <w:rPr>
          <w:rFonts w:ascii="Arial" w:hAnsi="Arial" w:cs="Arial" w:eastAsia="Arial" w:hint="default"/>
          <w:spacing w:val="-2"/>
        </w:rPr>
        <w:t>,</w:t>
      </w:r>
      <w:r>
        <w:rPr>
          <w:spacing w:val="-2"/>
        </w:rPr>
        <w:t>法学硕士。曾任浙江省绍兴公安局副主任科员；广东深鹏律师事务所主</w:t>
      </w:r>
      <w:r>
        <w:rPr/>
        <w:t> </w:t>
      </w:r>
      <w:r>
        <w:rPr>
          <w:spacing w:val="-2"/>
        </w:rPr>
        <w:t>任助理。</w:t>
      </w:r>
      <w:r>
        <w:rPr>
          <w:rFonts w:ascii="Arial" w:hAnsi="Arial" w:cs="Arial" w:eastAsia="Arial" w:hint="default"/>
          <w:spacing w:val="-2"/>
        </w:rPr>
        <w:t>2012</w:t>
      </w:r>
      <w:r>
        <w:rPr>
          <w:spacing w:val="-2"/>
        </w:rPr>
        <w:t>年加盟本公司，现任本公司法务经理。</w:t>
      </w:r>
      <w:r>
        <w:rPr>
          <w:rFonts w:ascii="Arial" w:hAnsi="Arial" w:cs="Arial" w:eastAsia="Arial" w:hint="default"/>
          <w:spacing w:val="-2"/>
        </w:rPr>
        <w:t>2015</w:t>
      </w:r>
      <w:r>
        <w:rPr>
          <w:spacing w:val="-2"/>
        </w:rPr>
        <w:t>年</w:t>
      </w:r>
      <w:r>
        <w:rPr>
          <w:rFonts w:ascii="Arial" w:hAnsi="Arial" w:cs="Arial" w:eastAsia="Arial" w:hint="default"/>
          <w:spacing w:val="-2"/>
        </w:rPr>
        <w:t>3</w:t>
      </w:r>
      <w:r>
        <w:rPr>
          <w:spacing w:val="-2"/>
        </w:rPr>
        <w:t>月</w:t>
      </w:r>
      <w:r>
        <w:rPr>
          <w:rFonts w:ascii="Arial" w:hAnsi="Arial" w:cs="Arial" w:eastAsia="Arial" w:hint="default"/>
          <w:spacing w:val="-2"/>
        </w:rPr>
        <w:t>12</w:t>
      </w:r>
      <w:r>
        <w:rPr>
          <w:spacing w:val="-2"/>
        </w:rPr>
        <w:t>日经公司</w:t>
      </w:r>
      <w:r>
        <w:rPr>
          <w:rFonts w:ascii="Arial" w:hAnsi="Arial" w:cs="Arial" w:eastAsia="Arial" w:hint="default"/>
          <w:spacing w:val="-2"/>
        </w:rPr>
        <w:t>2015</w:t>
      </w:r>
      <w:r>
        <w:rPr>
          <w:spacing w:val="-2"/>
        </w:rPr>
        <w:t>年职工代表大会表决，会</w:t>
      </w:r>
      <w:r>
        <w:rPr>
          <w:spacing w:val="-94"/>
        </w:rPr>
        <w:t> </w:t>
      </w:r>
      <w:r>
        <w:rPr>
          <w:spacing w:val="-94"/>
        </w:rPr>
      </w:r>
      <w:r>
        <w:rPr/>
        <w:t>议选举李菡女士为公司第三届监事会职工代表监事。</w:t>
      </w:r>
    </w:p>
    <w:p>
      <w:pPr>
        <w:spacing w:line="410" w:lineRule="auto" w:before="169"/>
        <w:ind w:left="574" w:right="5502" w:firstLine="0"/>
        <w:jc w:val="left"/>
        <w:rPr>
          <w:rFonts w:ascii="宋体" w:hAnsi="宋体" w:cs="宋体" w:eastAsia="宋体" w:hint="default"/>
          <w:sz w:val="21"/>
          <w:szCs w:val="21"/>
        </w:rPr>
      </w:pPr>
      <w:r>
        <w:rPr>
          <w:rFonts w:ascii="Trebuchet MS" w:hAnsi="Trebuchet MS" w:cs="Trebuchet MS" w:eastAsia="Trebuchet MS" w:hint="default"/>
          <w:b/>
          <w:bCs/>
          <w:sz w:val="21"/>
          <w:szCs w:val="21"/>
        </w:rPr>
        <w:t>4</w:t>
      </w:r>
      <w:r>
        <w:rPr>
          <w:rFonts w:ascii="Microsoft JhengHei" w:hAnsi="Microsoft JhengHei" w:cs="Microsoft JhengHei" w:eastAsia="Microsoft JhengHei" w:hint="default"/>
          <w:b/>
          <w:bCs/>
          <w:sz w:val="21"/>
          <w:szCs w:val="21"/>
        </w:rPr>
        <w:t>、高级管理人员 周友盟女士：</w:t>
      </w:r>
      <w:r>
        <w:rPr>
          <w:rFonts w:ascii="宋体" w:hAnsi="宋体" w:cs="宋体" w:eastAsia="宋体" w:hint="default"/>
          <w:sz w:val="21"/>
          <w:szCs w:val="21"/>
        </w:rPr>
        <w:t>副董事长、总裁，见前述董事介绍。 </w:t>
      </w:r>
      <w:r>
        <w:rPr>
          <w:rFonts w:ascii="Microsoft JhengHei" w:hAnsi="Microsoft JhengHei" w:cs="Microsoft JhengHei" w:eastAsia="Microsoft JhengHei" w:hint="default"/>
          <w:b/>
          <w:bCs/>
          <w:sz w:val="21"/>
          <w:szCs w:val="21"/>
        </w:rPr>
        <w:t>夏小华先生：</w:t>
      </w:r>
      <w:r>
        <w:rPr>
          <w:rFonts w:ascii="宋体" w:hAnsi="宋体" w:cs="宋体" w:eastAsia="宋体" w:hint="default"/>
          <w:sz w:val="21"/>
          <w:szCs w:val="21"/>
        </w:rPr>
        <w:t>董事、高级副总裁，见前述董事介绍。</w:t>
      </w:r>
    </w:p>
    <w:p>
      <w:pPr>
        <w:pStyle w:val="BodyText"/>
        <w:spacing w:line="369" w:lineRule="auto" w:before="60"/>
        <w:ind w:right="1130" w:firstLine="420"/>
        <w:jc w:val="both"/>
      </w:pPr>
      <w:r>
        <w:rPr>
          <w:rFonts w:ascii="Microsoft JhengHei" w:hAnsi="Microsoft JhengHei" w:cs="Microsoft JhengHei" w:eastAsia="Microsoft JhengHei" w:hint="default"/>
          <w:b/>
          <w:bCs/>
          <w:spacing w:val="-1"/>
        </w:rPr>
        <w:t>吴学军先生：</w:t>
      </w:r>
      <w:r>
        <w:rPr>
          <w:spacing w:val="-1"/>
        </w:rPr>
        <w:t>中南工业大学工学学士，曾先后担任希捷国际科技深圳有限公司高级人力资源主任、深</w:t>
      </w:r>
      <w:r>
        <w:rPr/>
        <w:t> </w:t>
      </w:r>
      <w:r>
        <w:rPr>
          <w:spacing w:val="-2"/>
        </w:rPr>
        <w:t>圳市天音通信发展有限公司助理总裁、佳兆业控股集团有限公司副总裁。</w:t>
      </w:r>
      <w:r>
        <w:rPr>
          <w:rFonts w:ascii="Arial" w:hAnsi="Arial" w:cs="Arial" w:eastAsia="Arial" w:hint="default"/>
          <w:spacing w:val="-2"/>
        </w:rPr>
        <w:t>2010</w:t>
      </w:r>
      <w:r>
        <w:rPr>
          <w:spacing w:val="-2"/>
        </w:rPr>
        <w:t>年加盟本公司，现任公司副</w:t>
      </w:r>
      <w:r>
        <w:rPr>
          <w:spacing w:val="-79"/>
        </w:rPr>
        <w:t> </w:t>
      </w:r>
      <w:r>
        <w:rPr>
          <w:spacing w:val="-79"/>
        </w:rPr>
      </w:r>
      <w:r>
        <w:rPr/>
        <w:t>总裁，壹号电商有限公司董事长兼</w:t>
      </w:r>
      <w:r>
        <w:rPr>
          <w:rFonts w:ascii="Arial" w:hAnsi="Arial" w:cs="Arial" w:eastAsia="Arial" w:hint="default"/>
        </w:rPr>
        <w:t>CEO</w:t>
      </w:r>
      <w:r>
        <w:rPr/>
        <w:t>。</w:t>
      </w:r>
    </w:p>
    <w:p>
      <w:pPr>
        <w:pStyle w:val="BodyText"/>
        <w:spacing w:line="468" w:lineRule="exact" w:before="78"/>
        <w:ind w:left="154" w:right="1131" w:firstLine="420"/>
        <w:jc w:val="both"/>
      </w:pPr>
      <w:r>
        <w:rPr>
          <w:rFonts w:ascii="Microsoft JhengHei" w:hAnsi="Microsoft JhengHei" w:cs="Microsoft JhengHei" w:eastAsia="Microsoft JhengHei" w:hint="default"/>
          <w:b/>
          <w:bCs/>
          <w:spacing w:val="-6"/>
        </w:rPr>
        <w:t>罗筱溪女士：</w:t>
      </w:r>
      <w:r>
        <w:rPr>
          <w:spacing w:val="-6"/>
        </w:rPr>
        <w:t>中国国籍，无境外永久居留权，理学硕士，具有深交所董事会秘书资格、独立董事资格、</w:t>
      </w:r>
      <w:r>
        <w:rPr/>
        <w:t> </w:t>
      </w:r>
      <w:r>
        <w:rPr>
          <w:spacing w:val="-1"/>
        </w:rPr>
        <w:t>国际注册金融分析师执业资格、证券分析师从业资格，曾任职深圳宏太健康管理集团有限公司、工银安盛</w:t>
      </w:r>
      <w:r>
        <w:rPr>
          <w:spacing w:val="-83"/>
        </w:rPr>
        <w:t> </w:t>
      </w:r>
      <w:r>
        <w:rPr>
          <w:spacing w:val="-83"/>
        </w:rPr>
      </w:r>
      <w:r>
        <w:rPr>
          <w:spacing w:val="-1"/>
        </w:rPr>
        <w:t>人寿保险有限公司华南分公司、国信证券股份有限公司、深圳市朗科科技股份有限公司，先后分别担任市</w:t>
      </w:r>
      <w:r>
        <w:rPr>
          <w:spacing w:val="-83"/>
        </w:rPr>
        <w:t> </w:t>
      </w:r>
      <w:r>
        <w:rPr>
          <w:spacing w:val="-83"/>
        </w:rPr>
      </w:r>
      <w:r>
        <w:rPr>
          <w:spacing w:val="-1"/>
        </w:rPr>
        <w:t>场总监，市场部经理，投行证券分析师，董事会秘书等职位。现任爱施德股份有限公司副总裁兼董事会秘</w:t>
      </w:r>
      <w:r>
        <w:rPr>
          <w:spacing w:val="-85"/>
        </w:rPr>
        <w:t> </w:t>
      </w:r>
      <w:r>
        <w:rPr>
          <w:spacing w:val="-85"/>
        </w:rPr>
      </w:r>
      <w:r>
        <w:rPr>
          <w:spacing w:val="-6"/>
          <w:w w:val="99"/>
        </w:rPr>
        <w:t>书。罗筱溪女士曾先后荣获新浪财经</w:t>
      </w:r>
      <w:r>
        <w:rPr>
          <w:rFonts w:ascii="Arial" w:hAnsi="Arial" w:cs="Arial" w:eastAsia="Arial" w:hint="default"/>
          <w:spacing w:val="-6"/>
          <w:w w:val="99"/>
        </w:rPr>
        <w:t>2015</w:t>
      </w:r>
      <w:r>
        <w:rPr>
          <w:spacing w:val="-6"/>
          <w:w w:val="99"/>
        </w:rPr>
        <w:t>年最佳董秘，第七届中国上市公司投资者关系天马奖、优秀董秘，</w:t>
      </w:r>
      <w:r>
        <w:rPr>
          <w:spacing w:val="-88"/>
          <w:w w:val="99"/>
        </w:rPr>
        <w:t> </w:t>
      </w:r>
      <w:r>
        <w:rPr>
          <w:spacing w:val="-88"/>
          <w:w w:val="99"/>
        </w:rPr>
      </w:r>
      <w:r>
        <w:rPr/>
        <w:t>新财富第十二届金牌董秘。</w:t>
      </w:r>
    </w:p>
    <w:p>
      <w:pPr>
        <w:pStyle w:val="BodyText"/>
        <w:spacing w:line="468" w:lineRule="exact" w:before="156"/>
        <w:ind w:left="154" w:right="1131" w:firstLine="420"/>
        <w:jc w:val="both"/>
      </w:pPr>
      <w:r>
        <w:rPr>
          <w:rFonts w:ascii="Microsoft JhengHei" w:hAnsi="Microsoft JhengHei" w:cs="Microsoft JhengHei" w:eastAsia="Microsoft JhengHei" w:hint="default"/>
          <w:b/>
          <w:bCs/>
          <w:spacing w:val="-6"/>
        </w:rPr>
        <w:t>陈亮先生：</w:t>
      </w:r>
      <w:r>
        <w:rPr>
          <w:spacing w:val="-6"/>
        </w:rPr>
        <w:t>斯特拉斯克莱德大学（英国）通信管理硕士、中山大学通信工程硕士。曾任职于中国联通，</w:t>
      </w:r>
      <w:r>
        <w:rPr/>
        <w:t> </w:t>
      </w:r>
      <w:r>
        <w:rPr>
          <w:spacing w:val="-1"/>
        </w:rPr>
        <w:t>历任中国联通广东省分公司网络优化中心总经理、个人客户部总经理、移动业务营销中心总经理、中国联</w:t>
      </w:r>
      <w:r>
        <w:rPr>
          <w:spacing w:val="-83"/>
        </w:rPr>
        <w:t> </w:t>
      </w:r>
      <w:r>
        <w:rPr>
          <w:spacing w:val="-83"/>
        </w:rPr>
      </w:r>
      <w:r>
        <w:rPr/>
        <w:t>通汕头市分公司总经理、中国联通吉林省分公司副总经理。经</w:t>
      </w:r>
      <w:r>
        <w:rPr>
          <w:rFonts w:ascii="Arial" w:hAnsi="Arial" w:cs="Arial" w:eastAsia="Arial" w:hint="default"/>
        </w:rPr>
        <w:t>2014</w:t>
      </w:r>
      <w:r>
        <w:rPr/>
        <w:t>年</w:t>
      </w:r>
      <w:r>
        <w:rPr>
          <w:rFonts w:ascii="Arial" w:hAnsi="Arial" w:cs="Arial" w:eastAsia="Arial" w:hint="default"/>
        </w:rPr>
        <w:t>9</w:t>
      </w:r>
      <w:r>
        <w:rPr/>
        <w:t>月</w:t>
      </w:r>
      <w:r>
        <w:rPr>
          <w:rFonts w:ascii="Arial" w:hAnsi="Arial" w:cs="Arial" w:eastAsia="Arial" w:hint="default"/>
        </w:rPr>
        <w:t>22</w:t>
      </w:r>
      <w:r>
        <w:rPr/>
        <w:t>日公司第三届董事会第十五次</w:t>
      </w:r>
    </w:p>
    <w:p>
      <w:pPr>
        <w:spacing w:after="0" w:line="468" w:lineRule="exact"/>
        <w:jc w:val="both"/>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240" w:lineRule="auto" w:before="18"/>
        <w:ind w:right="0"/>
        <w:jc w:val="left"/>
      </w:pPr>
      <w:r>
        <w:rPr/>
        <w:t>（临时）会议审议通过，聘任陈亮先生为公司副总裁。</w:t>
      </w:r>
    </w:p>
    <w:p>
      <w:pPr>
        <w:spacing w:line="240" w:lineRule="auto" w:before="8"/>
        <w:rPr>
          <w:rFonts w:ascii="宋体" w:hAnsi="宋体" w:cs="宋体" w:eastAsia="宋体" w:hint="default"/>
          <w:sz w:val="21"/>
          <w:szCs w:val="21"/>
        </w:rPr>
      </w:pPr>
    </w:p>
    <w:p>
      <w:pPr>
        <w:pStyle w:val="BodyText"/>
        <w:spacing w:line="350" w:lineRule="auto"/>
        <w:ind w:right="0" w:firstLine="420"/>
        <w:jc w:val="left"/>
      </w:pPr>
      <w:r>
        <w:rPr>
          <w:rFonts w:ascii="Microsoft JhengHei" w:hAnsi="Microsoft JhengHei" w:cs="Microsoft JhengHei" w:eastAsia="Microsoft JhengHei" w:hint="default"/>
          <w:b/>
          <w:bCs/>
          <w:spacing w:val="-6"/>
        </w:rPr>
        <w:t>米泽东先生：</w:t>
      </w:r>
      <w:r>
        <w:rPr>
          <w:spacing w:val="-6"/>
        </w:rPr>
        <w:t>中南民族大学货币银行学学士。曾在广东清远大中塑胶制品有限公司、聚友实业（集团）</w:t>
      </w:r>
      <w:r>
        <w:rPr/>
        <w:t> 有限公司任职；</w:t>
      </w:r>
      <w:r>
        <w:rPr>
          <w:rFonts w:ascii="Arial" w:hAnsi="Arial" w:cs="Arial" w:eastAsia="Arial" w:hint="default"/>
        </w:rPr>
        <w:t>2007</w:t>
      </w:r>
      <w:r>
        <w:rPr/>
        <w:t>年至今任深圳市爱施德股份有限公司财务中心总监，经</w:t>
      </w:r>
      <w:r>
        <w:rPr>
          <w:rFonts w:ascii="Arial" w:hAnsi="Arial" w:cs="Arial" w:eastAsia="Arial" w:hint="default"/>
        </w:rPr>
        <w:t>2015</w:t>
      </w:r>
      <w:r>
        <w:rPr/>
        <w:t>年</w:t>
      </w:r>
      <w:r>
        <w:rPr>
          <w:rFonts w:ascii="Arial" w:hAnsi="Arial" w:cs="Arial" w:eastAsia="Arial" w:hint="default"/>
        </w:rPr>
        <w:t>3</w:t>
      </w:r>
      <w:r>
        <w:rPr/>
        <w:t>月</w:t>
      </w:r>
      <w:r>
        <w:rPr>
          <w:rFonts w:ascii="Arial" w:hAnsi="Arial" w:cs="Arial" w:eastAsia="Arial" w:hint="default"/>
        </w:rPr>
        <w:t>3</w:t>
      </w:r>
      <w:r>
        <w:rPr/>
        <w:t>日公司第三届董</w:t>
      </w:r>
    </w:p>
    <w:p>
      <w:pPr>
        <w:pStyle w:val="BodyText"/>
        <w:spacing w:line="388" w:lineRule="auto" w:before="70"/>
        <w:ind w:right="1115"/>
        <w:jc w:val="left"/>
      </w:pPr>
      <w:r>
        <w:rPr/>
        <w:t>事会第二十三次（临时）会议审议通过，聘任米泽东先生为公司财务负责人。经</w:t>
      </w:r>
      <w:r>
        <w:rPr>
          <w:rFonts w:ascii="Arial" w:hAnsi="Arial" w:cs="Arial" w:eastAsia="Arial" w:hint="default"/>
        </w:rPr>
        <w:t>2015</w:t>
      </w:r>
      <w:r>
        <w:rPr/>
        <w:t>年</w:t>
      </w:r>
      <w:r>
        <w:rPr>
          <w:rFonts w:ascii="Arial" w:hAnsi="Arial" w:cs="Arial" w:eastAsia="Arial" w:hint="default"/>
        </w:rPr>
        <w:t>8</w:t>
      </w:r>
      <w:r>
        <w:rPr/>
        <w:t>月</w:t>
      </w:r>
      <w:r>
        <w:rPr>
          <w:rFonts w:ascii="Arial" w:hAnsi="Arial" w:cs="Arial" w:eastAsia="Arial" w:hint="default"/>
        </w:rPr>
        <w:t>21</w:t>
      </w:r>
      <w:r>
        <w:rPr/>
        <w:t>日公司第三 届董事会第二十八次（定期）会议审议通过，聘任米泽东先生为公司副总裁。</w:t>
      </w:r>
    </w:p>
    <w:p>
      <w:pPr>
        <w:pStyle w:val="BodyText"/>
        <w:spacing w:line="468" w:lineRule="exact" w:before="90"/>
        <w:ind w:right="1129" w:firstLine="524"/>
        <w:jc w:val="both"/>
      </w:pPr>
      <w:r>
        <w:rPr>
          <w:rFonts w:ascii="Microsoft JhengHei" w:hAnsi="Microsoft JhengHei" w:cs="Microsoft JhengHei" w:eastAsia="Microsoft JhengHei" w:hint="default"/>
          <w:b/>
          <w:bCs/>
        </w:rPr>
        <w:t>刘红花女士：</w:t>
      </w:r>
      <w:r>
        <w:rPr/>
        <w:t>大专学历，注册会计师、注册评估师。曾任江西南昌钟厂财务科长，江西南昌市红光 </w:t>
      </w:r>
      <w:r>
        <w:rPr>
          <w:spacing w:val="-2"/>
        </w:rPr>
        <w:t>机械厂财务科长，江西东方明珠通信实业有限公司财务部经理。</w:t>
      </w:r>
      <w:r>
        <w:rPr>
          <w:rFonts w:ascii="Arial" w:hAnsi="Arial" w:cs="Arial" w:eastAsia="Arial" w:hint="default"/>
          <w:spacing w:val="-2"/>
        </w:rPr>
        <w:t>1996</w:t>
      </w:r>
      <w:r>
        <w:rPr>
          <w:spacing w:val="-2"/>
        </w:rPr>
        <w:t>年加盟本公司，历任深圳市爱施德实</w:t>
      </w:r>
      <w:r>
        <w:rPr>
          <w:spacing w:val="-79"/>
        </w:rPr>
        <w:t> </w:t>
      </w:r>
      <w:r>
        <w:rPr>
          <w:spacing w:val="-79"/>
        </w:rPr>
      </w:r>
      <w:r>
        <w:rPr>
          <w:spacing w:val="-2"/>
        </w:rPr>
        <w:t>业有限公司财务部经理、审计部经理、监事会主席，现任本公司内审部负责人、审计部高级总监。经</w:t>
      </w:r>
      <w:r>
        <w:rPr>
          <w:rFonts w:ascii="Arial" w:hAnsi="Arial" w:cs="Arial" w:eastAsia="Arial" w:hint="default"/>
          <w:spacing w:val="-2"/>
        </w:rPr>
        <w:t>2015</w:t>
      </w:r>
      <w:r>
        <w:rPr>
          <w:rFonts w:ascii="Arial" w:hAnsi="Arial" w:cs="Arial" w:eastAsia="Arial" w:hint="default"/>
          <w:spacing w:val="-34"/>
        </w:rPr>
        <w:t> </w:t>
      </w:r>
      <w:r>
        <w:rPr/>
        <w:t>年</w:t>
      </w:r>
      <w:r>
        <w:rPr>
          <w:rFonts w:ascii="Arial" w:hAnsi="Arial" w:cs="Arial" w:eastAsia="Arial" w:hint="default"/>
        </w:rPr>
        <w:t>8</w:t>
      </w:r>
      <w:r>
        <w:rPr/>
        <w:t>月</w:t>
      </w:r>
      <w:r>
        <w:rPr>
          <w:rFonts w:ascii="Arial" w:hAnsi="Arial" w:cs="Arial" w:eastAsia="Arial" w:hint="default"/>
        </w:rPr>
        <w:t>21</w:t>
      </w:r>
      <w:r>
        <w:rPr/>
        <w:t>日公司第三届董事会第二十八次（定期）会议审议通过，聘任刘红花女士为公司副总裁。</w:t>
      </w:r>
    </w:p>
    <w:p>
      <w:pPr>
        <w:pStyle w:val="BodyText"/>
        <w:spacing w:line="468" w:lineRule="exact" w:before="156"/>
        <w:ind w:left="154" w:right="0" w:firstLine="420"/>
        <w:jc w:val="left"/>
      </w:pPr>
      <w:r>
        <w:rPr>
          <w:rFonts w:ascii="Microsoft JhengHei" w:hAnsi="Microsoft JhengHei" w:cs="Microsoft JhengHei" w:eastAsia="Microsoft JhengHei" w:hint="default"/>
          <w:b/>
          <w:bCs/>
        </w:rPr>
        <w:t>余斌先生：</w:t>
      </w:r>
      <w:r>
        <w:rPr/>
        <w:t>中国国籍，无境外永久居留权，江西省建材工业学校会计专业，</w:t>
      </w:r>
      <w:r>
        <w:rPr>
          <w:rFonts w:ascii="Arial" w:hAnsi="Arial" w:cs="Arial" w:eastAsia="Arial" w:hint="default"/>
        </w:rPr>
        <w:t>1998</w:t>
      </w:r>
      <w:r>
        <w:rPr/>
        <w:t>年加盟本公司，历任 本公司财务部副经理、哈尔滨分公司总经理，郑州分公司总经理，西安分公司总经理，华西区助理总监、</w:t>
      </w:r>
      <w:r>
        <w:rPr>
          <w:spacing w:val="-27"/>
        </w:rPr>
        <w:t> </w:t>
      </w:r>
      <w:r>
        <w:rPr>
          <w:spacing w:val="-27"/>
        </w:rPr>
      </w:r>
      <w:r>
        <w:rPr/>
        <w:t>总监，华南区总监兼长沙分公司总经理、广东区域管理中心负责人，摩托罗拉业务部总监、事业四部副总</w:t>
      </w:r>
      <w:r>
        <w:rPr/>
        <w:t> 经理，管理大区高级总监，并先后兼华东区总监、营销企划中心总监，公司助理总裁并分管分销财务、客 </w:t>
      </w:r>
      <w:r>
        <w:rPr>
          <w:spacing w:val="-2"/>
        </w:rPr>
        <w:t>服、大区兼</w:t>
      </w:r>
      <w:r>
        <w:rPr>
          <w:rFonts w:ascii="Arial" w:hAnsi="Arial" w:cs="Arial" w:eastAsia="Arial" w:hint="default"/>
          <w:spacing w:val="-2"/>
        </w:rPr>
        <w:t>CRM</w:t>
      </w:r>
      <w:r>
        <w:rPr>
          <w:spacing w:val="-2"/>
        </w:rPr>
        <w:t>项目组组长，现任本公司总部运营管理委员会负责人、人力资源管理部总监、迈奔灵动董</w:t>
      </w:r>
    </w:p>
    <w:p>
      <w:pPr>
        <w:pStyle w:val="BodyText"/>
        <w:spacing w:line="388" w:lineRule="auto" w:before="129"/>
        <w:ind w:left="154" w:right="1114"/>
        <w:jc w:val="left"/>
      </w:pPr>
      <w:r>
        <w:rPr/>
        <w:t>事长、瑞成汇达执行董事。经</w:t>
      </w:r>
      <w:r>
        <w:rPr>
          <w:rFonts w:ascii="Arial" w:hAnsi="Arial" w:cs="Arial" w:eastAsia="Arial" w:hint="default"/>
        </w:rPr>
        <w:t>2015</w:t>
      </w:r>
      <w:r>
        <w:rPr/>
        <w:t>年</w:t>
      </w:r>
      <w:r>
        <w:rPr>
          <w:rFonts w:ascii="Arial" w:hAnsi="Arial" w:cs="Arial" w:eastAsia="Arial" w:hint="default"/>
        </w:rPr>
        <w:t>8</w:t>
      </w:r>
      <w:r>
        <w:rPr/>
        <w:t>月</w:t>
      </w:r>
      <w:r>
        <w:rPr>
          <w:rFonts w:ascii="Arial" w:hAnsi="Arial" w:cs="Arial" w:eastAsia="Arial" w:hint="default"/>
        </w:rPr>
        <w:t>21</w:t>
      </w:r>
      <w:r>
        <w:rPr/>
        <w:t>日公司第三届董事会第二十八次（定期）会议审议通过，聘任 余斌先生为公司副总裁。</w:t>
      </w:r>
    </w:p>
    <w:p>
      <w:pPr>
        <w:pStyle w:val="BodyText"/>
        <w:spacing w:line="468" w:lineRule="exact" w:before="90"/>
        <w:ind w:left="154" w:right="0" w:firstLine="420"/>
        <w:jc w:val="left"/>
      </w:pPr>
      <w:r>
        <w:rPr>
          <w:rFonts w:ascii="Microsoft JhengHei" w:hAnsi="Microsoft JhengHei" w:cs="Microsoft JhengHei" w:eastAsia="Microsoft JhengHei" w:hint="default"/>
          <w:b/>
          <w:bCs/>
          <w:w w:val="95"/>
        </w:rPr>
        <w:t>杨治先生：</w:t>
      </w:r>
      <w:r>
        <w:rPr>
          <w:w w:val="95"/>
        </w:rPr>
        <w:t>中国国籍，无境外永久居留权，浙江大学学士，</w:t>
      </w:r>
      <w:r>
        <w:rPr>
          <w:rFonts w:ascii="Arial" w:hAnsi="Arial" w:cs="Arial" w:eastAsia="Arial" w:hint="default"/>
          <w:w w:val="95"/>
        </w:rPr>
        <w:t>2000</w:t>
      </w:r>
      <w:r>
        <w:rPr>
          <w:w w:val="95"/>
        </w:rPr>
        <w:t>年加盟本公司，历任本公司西安营销</w:t>
      </w:r>
      <w:r>
        <w:rPr/>
        <w:t> 部市场主管，沈阳分公司助理总经理、总经理，三星业务部产品经理、助理总监、总监，分销事业一部总 经理，分销成都分公司总经理，酷人通讯副总经理，分销西南区域管理中心总经理，分销事业部总经理，</w:t>
      </w:r>
      <w:r>
        <w:rPr>
          <w:spacing w:val="-35"/>
        </w:rPr>
        <w:t> </w:t>
      </w:r>
      <w:r>
        <w:rPr>
          <w:spacing w:val="-35"/>
        </w:rPr>
      </w:r>
      <w:r>
        <w:rPr/>
        <w:t>现任本公司分销业务</w:t>
      </w:r>
      <w:r>
        <w:rPr>
          <w:rFonts w:ascii="Arial" w:hAnsi="Arial" w:cs="Arial" w:eastAsia="Arial" w:hint="default"/>
        </w:rPr>
        <w:t>CEO</w:t>
      </w:r>
      <w:r>
        <w:rPr/>
        <w:t>、分销业务总经理、中国联通事业部总经理。经</w:t>
      </w:r>
      <w:r>
        <w:rPr>
          <w:rFonts w:ascii="Arial" w:hAnsi="Arial" w:cs="Arial" w:eastAsia="Arial" w:hint="default"/>
        </w:rPr>
        <w:t>2015</w:t>
      </w:r>
      <w:r>
        <w:rPr/>
        <w:t>年</w:t>
      </w:r>
      <w:r>
        <w:rPr>
          <w:rFonts w:ascii="Arial" w:hAnsi="Arial" w:cs="Arial" w:eastAsia="Arial" w:hint="default"/>
        </w:rPr>
        <w:t>8</w:t>
      </w:r>
      <w:r>
        <w:rPr/>
        <w:t>月</w:t>
      </w:r>
      <w:r>
        <w:rPr>
          <w:rFonts w:ascii="Arial" w:hAnsi="Arial" w:cs="Arial" w:eastAsia="Arial" w:hint="default"/>
        </w:rPr>
        <w:t>21</w:t>
      </w:r>
      <w:r>
        <w:rPr/>
        <w:t>日公司第三届董事 会第二十八次（定期）会议审议通过，聘任杨治先生为公司副总裁。</w:t>
      </w:r>
    </w:p>
    <w:p>
      <w:pPr>
        <w:spacing w:line="240" w:lineRule="auto" w:before="0"/>
        <w:rPr>
          <w:rFonts w:ascii="宋体" w:hAnsi="宋体" w:cs="宋体" w:eastAsia="宋体" w:hint="default"/>
          <w:sz w:val="20"/>
          <w:szCs w:val="20"/>
        </w:rPr>
      </w:pPr>
    </w:p>
    <w:p>
      <w:pPr>
        <w:pStyle w:val="Heading2"/>
        <w:spacing w:line="240" w:lineRule="auto" w:before="143"/>
        <w:ind w:left="154" w:right="0"/>
        <w:jc w:val="left"/>
        <w:rPr>
          <w:b w:val="0"/>
          <w:bCs w:val="0"/>
        </w:rPr>
      </w:pPr>
      <w:bookmarkStart w:name="8.3.2 在股东单位任职情况" w:id="202"/>
      <w:bookmarkEnd w:id="202"/>
      <w:r>
        <w:rPr>
          <w:b w:val="0"/>
          <w:bCs w:val="0"/>
        </w:rPr>
      </w:r>
      <w:r>
        <w:rPr>
          <w:rFonts w:ascii="Trebuchet MS" w:hAnsi="Trebuchet MS" w:cs="Trebuchet MS" w:eastAsia="Trebuchet MS" w:hint="default"/>
        </w:rPr>
        <w:t>8.3.2</w:t>
      </w:r>
      <w:r>
        <w:rPr>
          <w:rFonts w:ascii="Trebuchet MS" w:hAnsi="Trebuchet MS" w:cs="Trebuchet MS" w:eastAsia="Trebuchet MS" w:hint="default"/>
          <w:spacing w:val="-18"/>
        </w:rPr>
        <w:t> </w:t>
      </w:r>
      <w:r>
        <w:rPr/>
        <w:t>在股东单位任职情况</w:t>
      </w:r>
      <w:r>
        <w:rPr>
          <w:b w:val="0"/>
          <w:bCs w:val="0"/>
        </w:rPr>
      </w:r>
    </w:p>
    <w:p>
      <w:pPr>
        <w:spacing w:line="240" w:lineRule="auto" w:before="9"/>
        <w:rPr>
          <w:rFonts w:ascii="Microsoft JhengHei" w:hAnsi="Microsoft JhengHei" w:cs="Microsoft JhengHei" w:eastAsia="Microsoft JhengHei"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197"/>
        <w:gridCol w:w="2641"/>
        <w:gridCol w:w="1122"/>
        <w:gridCol w:w="1771"/>
        <w:gridCol w:w="1326"/>
        <w:gridCol w:w="1485"/>
      </w:tblGrid>
      <w:tr>
        <w:trPr>
          <w:trHeight w:val="162" w:hRule="exact"/>
        </w:trPr>
        <w:tc>
          <w:tcPr>
            <w:tcW w:w="3837" w:type="dxa"/>
            <w:gridSpan w:val="2"/>
            <w:tcBorders>
              <w:top w:val="single" w:sz="4" w:space="0" w:color="5B9BD4"/>
              <w:left w:val="nil" w:sz="6" w:space="0" w:color="auto"/>
              <w:bottom w:val="nil" w:sz="6" w:space="0" w:color="auto"/>
              <w:right w:val="nil" w:sz="6" w:space="0" w:color="auto"/>
            </w:tcBorders>
            <w:shd w:val="clear" w:color="auto" w:fill="DEEAF6"/>
          </w:tcPr>
          <w:p>
            <w:pPr/>
          </w:p>
        </w:tc>
        <w:tc>
          <w:tcPr>
            <w:tcW w:w="1122" w:type="dxa"/>
            <w:vMerge w:val="restart"/>
            <w:tcBorders>
              <w:top w:val="single" w:sz="4" w:space="0" w:color="5B9BD4"/>
              <w:left w:val="nil" w:sz="6" w:space="0" w:color="auto"/>
              <w:right w:val="nil" w:sz="6" w:space="0" w:color="auto"/>
            </w:tcBorders>
            <w:shd w:val="clear" w:color="auto" w:fill="DEEAF6"/>
          </w:tcPr>
          <w:p>
            <w:pPr>
              <w:pStyle w:val="TableParagraph"/>
              <w:spacing w:line="319" w:lineRule="auto" w:before="47"/>
              <w:ind w:left="201" w:right="20" w:hanging="180"/>
              <w:jc w:val="left"/>
              <w:rPr>
                <w:rFonts w:ascii="宋体" w:hAnsi="宋体" w:cs="宋体" w:eastAsia="宋体" w:hint="default"/>
                <w:sz w:val="18"/>
                <w:szCs w:val="18"/>
              </w:rPr>
            </w:pPr>
            <w:r>
              <w:rPr>
                <w:rFonts w:ascii="宋体" w:hAnsi="宋体" w:cs="宋体" w:eastAsia="宋体" w:hint="default"/>
                <w:sz w:val="18"/>
                <w:szCs w:val="18"/>
              </w:rPr>
              <w:t>在股东单位担 任的职务</w:t>
            </w:r>
          </w:p>
        </w:tc>
        <w:tc>
          <w:tcPr>
            <w:tcW w:w="3097" w:type="dxa"/>
            <w:gridSpan w:val="2"/>
            <w:tcBorders>
              <w:top w:val="single" w:sz="4" w:space="0" w:color="5B9BD4"/>
              <w:left w:val="nil" w:sz="6" w:space="0" w:color="auto"/>
              <w:bottom w:val="nil" w:sz="6" w:space="0" w:color="auto"/>
              <w:right w:val="nil" w:sz="6" w:space="0" w:color="auto"/>
            </w:tcBorders>
            <w:shd w:val="clear" w:color="auto" w:fill="DEEAF6"/>
          </w:tcPr>
          <w:p>
            <w:pPr/>
          </w:p>
        </w:tc>
        <w:tc>
          <w:tcPr>
            <w:tcW w:w="1485" w:type="dxa"/>
            <w:vMerge w:val="restart"/>
            <w:tcBorders>
              <w:top w:val="single" w:sz="4" w:space="0" w:color="5B9BD4"/>
              <w:left w:val="nil" w:sz="6" w:space="0" w:color="auto"/>
              <w:right w:val="nil" w:sz="6" w:space="0" w:color="auto"/>
            </w:tcBorders>
            <w:shd w:val="clear" w:color="auto" w:fill="DEEAF6"/>
          </w:tcPr>
          <w:p>
            <w:pPr>
              <w:pStyle w:val="TableParagraph"/>
              <w:spacing w:line="319" w:lineRule="auto" w:before="47"/>
              <w:ind w:left="215" w:right="98"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392" w:hRule="exact"/>
        </w:trPr>
        <w:tc>
          <w:tcPr>
            <w:tcW w:w="1197"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5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641"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right="6"/>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122" w:type="dxa"/>
            <w:vMerge/>
            <w:tcBorders>
              <w:left w:val="nil" w:sz="6" w:space="0" w:color="auto"/>
              <w:right w:val="nil" w:sz="6" w:space="0" w:color="auto"/>
            </w:tcBorders>
            <w:shd w:val="clear" w:color="auto" w:fill="DEEAF6"/>
          </w:tcPr>
          <w:p>
            <w:pPr/>
          </w:p>
        </w:tc>
        <w:tc>
          <w:tcPr>
            <w:tcW w:w="1771"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6"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26"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12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5" w:type="dxa"/>
            <w:vMerge/>
            <w:tcBorders>
              <w:left w:val="nil" w:sz="6" w:space="0" w:color="auto"/>
              <w:right w:val="nil" w:sz="6" w:space="0" w:color="auto"/>
            </w:tcBorders>
            <w:shd w:val="clear" w:color="auto" w:fill="DEEAF6"/>
          </w:tcPr>
          <w:p>
            <w:pPr/>
          </w:p>
        </w:tc>
      </w:tr>
      <w:tr>
        <w:trPr>
          <w:trHeight w:val="161" w:hRule="exact"/>
        </w:trPr>
        <w:tc>
          <w:tcPr>
            <w:tcW w:w="3837" w:type="dxa"/>
            <w:gridSpan w:val="2"/>
            <w:tcBorders>
              <w:top w:val="nil" w:sz="6" w:space="0" w:color="auto"/>
              <w:left w:val="nil" w:sz="6" w:space="0" w:color="auto"/>
              <w:bottom w:val="single" w:sz="4" w:space="0" w:color="5B9BD4"/>
              <w:right w:val="nil" w:sz="6" w:space="0" w:color="auto"/>
            </w:tcBorders>
            <w:shd w:val="clear" w:color="auto" w:fill="DEEAF6"/>
          </w:tcPr>
          <w:p>
            <w:pPr/>
          </w:p>
        </w:tc>
        <w:tc>
          <w:tcPr>
            <w:tcW w:w="1122" w:type="dxa"/>
            <w:vMerge/>
            <w:tcBorders>
              <w:left w:val="nil" w:sz="6" w:space="0" w:color="auto"/>
              <w:bottom w:val="single" w:sz="4" w:space="0" w:color="5B9BD4"/>
              <w:right w:val="nil" w:sz="6" w:space="0" w:color="auto"/>
            </w:tcBorders>
            <w:shd w:val="clear" w:color="auto" w:fill="DEEAF6"/>
          </w:tcPr>
          <w:p>
            <w:pPr/>
          </w:p>
        </w:tc>
        <w:tc>
          <w:tcPr>
            <w:tcW w:w="3097" w:type="dxa"/>
            <w:gridSpan w:val="2"/>
            <w:tcBorders>
              <w:top w:val="nil" w:sz="6" w:space="0" w:color="auto"/>
              <w:left w:val="nil" w:sz="6" w:space="0" w:color="auto"/>
              <w:bottom w:val="single" w:sz="4" w:space="0" w:color="5B9BD4"/>
              <w:right w:val="nil" w:sz="6" w:space="0" w:color="auto"/>
            </w:tcBorders>
            <w:shd w:val="clear" w:color="auto" w:fill="DEEAF6"/>
          </w:tcPr>
          <w:p>
            <w:pPr/>
          </w:p>
        </w:tc>
        <w:tc>
          <w:tcPr>
            <w:tcW w:w="1485" w:type="dxa"/>
            <w:vMerge/>
            <w:tcBorders>
              <w:left w:val="nil" w:sz="6" w:space="0" w:color="auto"/>
              <w:bottom w:val="single" w:sz="4" w:space="0" w:color="5B9BD4"/>
              <w:right w:val="nil" w:sz="6" w:space="0" w:color="auto"/>
            </w:tcBorders>
            <w:shd w:val="clear" w:color="auto" w:fill="DEEAF6"/>
          </w:tcPr>
          <w:p>
            <w:pPr/>
          </w:p>
        </w:tc>
      </w:tr>
      <w:tr>
        <w:trPr>
          <w:trHeight w:val="402" w:hRule="exact"/>
        </w:trPr>
        <w:tc>
          <w:tcPr>
            <w:tcW w:w="119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黄绍武</w:t>
            </w:r>
          </w:p>
        </w:tc>
        <w:tc>
          <w:tcPr>
            <w:tcW w:w="2641"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47"/>
              <w:ind w:right="49"/>
              <w:jc w:val="center"/>
              <w:rPr>
                <w:rFonts w:ascii="宋体" w:hAnsi="宋体" w:cs="宋体" w:eastAsia="宋体" w:hint="default"/>
                <w:sz w:val="18"/>
                <w:szCs w:val="18"/>
              </w:rPr>
            </w:pPr>
            <w:r>
              <w:rPr>
                <w:rFonts w:ascii="宋体" w:hAnsi="宋体" w:cs="宋体" w:eastAsia="宋体" w:hint="default"/>
                <w:sz w:val="18"/>
                <w:szCs w:val="18"/>
              </w:rPr>
              <w:t>深圳市神州通投资集团有限公司</w:t>
            </w:r>
          </w:p>
        </w:tc>
        <w:tc>
          <w:tcPr>
            <w:tcW w:w="112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71"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47"/>
              <w:ind w:right="123"/>
              <w:jc w:val="center"/>
              <w:rPr>
                <w:rFonts w:ascii="宋体" w:hAnsi="宋体" w:cs="宋体" w:eastAsia="宋体" w:hint="default"/>
                <w:sz w:val="18"/>
                <w:szCs w:val="18"/>
              </w:rPr>
            </w:pPr>
            <w:r>
              <w:rPr>
                <w:rFonts w:ascii="Arial" w:hAnsi="Arial" w:cs="Arial" w:eastAsia="Arial" w:hint="default"/>
                <w:sz w:val="18"/>
                <w:szCs w:val="18"/>
              </w:rPr>
              <w:t>2001</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01</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326" w:type="dxa"/>
            <w:tcBorders>
              <w:top w:val="single" w:sz="4" w:space="0" w:color="5B9BD4"/>
              <w:left w:val="nil" w:sz="6" w:space="0" w:color="auto"/>
              <w:bottom w:val="single" w:sz="4" w:space="0" w:color="5B9BD4"/>
              <w:right w:val="nil" w:sz="6" w:space="0" w:color="auto"/>
            </w:tcBorders>
            <w:shd w:val="clear" w:color="auto" w:fill="DEEAF6"/>
          </w:tcPr>
          <w:p>
            <w:pPr/>
          </w:p>
        </w:tc>
        <w:tc>
          <w:tcPr>
            <w:tcW w:w="1485" w:type="dxa"/>
            <w:tcBorders>
              <w:top w:val="single" w:sz="4" w:space="0" w:color="5B9BD4"/>
              <w:left w:val="single" w:sz="12" w:space="0" w:color="DEEAF6"/>
              <w:bottom w:val="single" w:sz="4" w:space="0" w:color="5B9BD4"/>
              <w:right w:val="nil" w:sz="6" w:space="0" w:color="auto"/>
            </w:tcBorders>
          </w:tcPr>
          <w:p>
            <w:pPr>
              <w:pStyle w:val="TableParagraph"/>
              <w:spacing w:line="240" w:lineRule="auto" w:before="47"/>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9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黄绍武</w:t>
            </w:r>
          </w:p>
        </w:tc>
        <w:tc>
          <w:tcPr>
            <w:tcW w:w="2641"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47"/>
              <w:ind w:right="49"/>
              <w:jc w:val="center"/>
              <w:rPr>
                <w:rFonts w:ascii="宋体" w:hAnsi="宋体" w:cs="宋体" w:eastAsia="宋体" w:hint="default"/>
                <w:sz w:val="18"/>
                <w:szCs w:val="18"/>
              </w:rPr>
            </w:pPr>
            <w:r>
              <w:rPr>
                <w:rFonts w:ascii="宋体" w:hAnsi="宋体" w:cs="宋体" w:eastAsia="宋体" w:hint="default"/>
                <w:sz w:val="18"/>
                <w:szCs w:val="18"/>
              </w:rPr>
              <w:t>深圳市全球星投资管理有限公司</w:t>
            </w:r>
          </w:p>
        </w:tc>
        <w:tc>
          <w:tcPr>
            <w:tcW w:w="112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董事长兼总裁</w:t>
            </w:r>
          </w:p>
        </w:tc>
        <w:tc>
          <w:tcPr>
            <w:tcW w:w="1771"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47"/>
              <w:ind w:right="123"/>
              <w:jc w:val="center"/>
              <w:rPr>
                <w:rFonts w:ascii="宋体" w:hAnsi="宋体" w:cs="宋体" w:eastAsia="宋体" w:hint="default"/>
                <w:sz w:val="18"/>
                <w:szCs w:val="18"/>
              </w:rPr>
            </w:pPr>
            <w:r>
              <w:rPr>
                <w:rFonts w:ascii="Arial" w:hAnsi="Arial" w:cs="Arial" w:eastAsia="Arial" w:hint="default"/>
                <w:sz w:val="18"/>
                <w:szCs w:val="18"/>
              </w:rPr>
              <w:t>2000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01</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26</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326" w:type="dxa"/>
            <w:tcBorders>
              <w:top w:val="single" w:sz="4" w:space="0" w:color="5B9BD4"/>
              <w:left w:val="nil" w:sz="6" w:space="0" w:color="auto"/>
              <w:bottom w:val="single" w:sz="4" w:space="0" w:color="5B9BD4"/>
              <w:right w:val="nil" w:sz="6" w:space="0" w:color="auto"/>
            </w:tcBorders>
            <w:shd w:val="clear" w:color="auto" w:fill="DEEAF6"/>
          </w:tcPr>
          <w:p>
            <w:pPr/>
          </w:p>
        </w:tc>
        <w:tc>
          <w:tcPr>
            <w:tcW w:w="1485" w:type="dxa"/>
            <w:tcBorders>
              <w:top w:val="single" w:sz="4" w:space="0" w:color="5B9BD4"/>
              <w:left w:val="single" w:sz="12" w:space="0" w:color="DEEAF6"/>
              <w:bottom w:val="single" w:sz="4" w:space="0" w:color="5B9BD4"/>
              <w:right w:val="nil" w:sz="6" w:space="0" w:color="auto"/>
            </w:tcBorders>
          </w:tcPr>
          <w:p>
            <w:pPr>
              <w:pStyle w:val="TableParagraph"/>
              <w:spacing w:line="240" w:lineRule="auto" w:before="47"/>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9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黄文辉</w:t>
            </w:r>
          </w:p>
        </w:tc>
        <w:tc>
          <w:tcPr>
            <w:tcW w:w="2641"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47"/>
              <w:ind w:right="49"/>
              <w:jc w:val="center"/>
              <w:rPr>
                <w:rFonts w:ascii="宋体" w:hAnsi="宋体" w:cs="宋体" w:eastAsia="宋体" w:hint="default"/>
                <w:sz w:val="18"/>
                <w:szCs w:val="18"/>
              </w:rPr>
            </w:pPr>
            <w:r>
              <w:rPr>
                <w:rFonts w:ascii="宋体" w:hAnsi="宋体" w:cs="宋体" w:eastAsia="宋体" w:hint="default"/>
                <w:sz w:val="18"/>
                <w:szCs w:val="18"/>
              </w:rPr>
              <w:t>深圳市神州通投资集团有限公司</w:t>
            </w:r>
          </w:p>
        </w:tc>
        <w:tc>
          <w:tcPr>
            <w:tcW w:w="112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71"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47"/>
              <w:ind w:right="123"/>
              <w:jc w:val="center"/>
              <w:rPr>
                <w:rFonts w:ascii="宋体" w:hAnsi="宋体" w:cs="宋体" w:eastAsia="宋体" w:hint="default"/>
                <w:sz w:val="18"/>
                <w:szCs w:val="18"/>
              </w:rPr>
            </w:pPr>
            <w:r>
              <w:rPr>
                <w:rFonts w:ascii="Arial" w:hAnsi="Arial" w:cs="Arial" w:eastAsia="Arial" w:hint="default"/>
                <w:sz w:val="18"/>
                <w:szCs w:val="18"/>
              </w:rPr>
              <w:t>2001</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01</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326" w:type="dxa"/>
            <w:tcBorders>
              <w:top w:val="single" w:sz="4" w:space="0" w:color="5B9BD4"/>
              <w:left w:val="nil" w:sz="6" w:space="0" w:color="auto"/>
              <w:bottom w:val="single" w:sz="4" w:space="0" w:color="5B9BD4"/>
              <w:right w:val="nil" w:sz="6" w:space="0" w:color="auto"/>
            </w:tcBorders>
            <w:shd w:val="clear" w:color="auto" w:fill="DEEAF6"/>
          </w:tcPr>
          <w:p>
            <w:pPr/>
          </w:p>
        </w:tc>
        <w:tc>
          <w:tcPr>
            <w:tcW w:w="1485" w:type="dxa"/>
            <w:tcBorders>
              <w:top w:val="single" w:sz="4" w:space="0" w:color="5B9BD4"/>
              <w:left w:val="single" w:sz="12" w:space="0" w:color="DEEAF6"/>
              <w:bottom w:val="single" w:sz="4" w:space="0" w:color="5B9BD4"/>
              <w:right w:val="nil" w:sz="6" w:space="0" w:color="auto"/>
            </w:tcBorders>
          </w:tcPr>
          <w:p>
            <w:pPr>
              <w:pStyle w:val="TableParagraph"/>
              <w:spacing w:line="240" w:lineRule="auto" w:before="47"/>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2" w:type="dxa"/>
        <w:tblLayout w:type="fixed"/>
        <w:tblCellMar>
          <w:top w:w="0" w:type="dxa"/>
          <w:left w:w="0" w:type="dxa"/>
          <w:bottom w:w="0" w:type="dxa"/>
          <w:right w:w="0" w:type="dxa"/>
        </w:tblCellMar>
        <w:tblLook w:val="01E0"/>
      </w:tblPr>
      <w:tblGrid>
        <w:gridCol w:w="1203"/>
        <w:gridCol w:w="2634"/>
        <w:gridCol w:w="1122"/>
        <w:gridCol w:w="1778"/>
        <w:gridCol w:w="1319"/>
        <w:gridCol w:w="1485"/>
      </w:tblGrid>
      <w:tr>
        <w:trPr>
          <w:trHeight w:val="402" w:hRule="exact"/>
        </w:trPr>
        <w:tc>
          <w:tcPr>
            <w:tcW w:w="120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黄文辉</w:t>
            </w:r>
          </w:p>
        </w:tc>
        <w:tc>
          <w:tcPr>
            <w:tcW w:w="2634"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46"/>
              <w:ind w:right="56"/>
              <w:jc w:val="center"/>
              <w:rPr>
                <w:rFonts w:ascii="宋体" w:hAnsi="宋体" w:cs="宋体" w:eastAsia="宋体" w:hint="default"/>
                <w:sz w:val="18"/>
                <w:szCs w:val="18"/>
              </w:rPr>
            </w:pPr>
            <w:r>
              <w:rPr>
                <w:rFonts w:ascii="宋体" w:hAnsi="宋体" w:cs="宋体" w:eastAsia="宋体" w:hint="default"/>
                <w:sz w:val="18"/>
                <w:szCs w:val="18"/>
              </w:rPr>
              <w:t>深圳市全球星投资管理有限公司</w:t>
            </w:r>
          </w:p>
        </w:tc>
        <w:tc>
          <w:tcPr>
            <w:tcW w:w="112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78"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46"/>
              <w:ind w:left="27" w:right="0"/>
              <w:jc w:val="left"/>
              <w:rPr>
                <w:rFonts w:ascii="宋体" w:hAnsi="宋体" w:cs="宋体" w:eastAsia="宋体" w:hint="default"/>
                <w:sz w:val="18"/>
                <w:szCs w:val="18"/>
              </w:rPr>
            </w:pPr>
            <w:r>
              <w:rPr>
                <w:rFonts w:ascii="Arial" w:hAnsi="Arial" w:cs="Arial" w:eastAsia="Arial" w:hint="default"/>
                <w:sz w:val="18"/>
                <w:szCs w:val="18"/>
              </w:rPr>
              <w:t>2000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01</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26</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319" w:type="dxa"/>
            <w:tcBorders>
              <w:top w:val="single" w:sz="4" w:space="0" w:color="5B9BD4"/>
              <w:left w:val="nil" w:sz="6" w:space="0" w:color="auto"/>
              <w:bottom w:val="single" w:sz="4" w:space="0" w:color="5B9BD4"/>
              <w:right w:val="nil" w:sz="6" w:space="0" w:color="auto"/>
            </w:tcBorders>
            <w:shd w:val="clear" w:color="auto" w:fill="DEEAF6"/>
          </w:tcPr>
          <w:p>
            <w:pPr/>
          </w:p>
        </w:tc>
        <w:tc>
          <w:tcPr>
            <w:tcW w:w="1485" w:type="dxa"/>
            <w:tcBorders>
              <w:top w:val="single" w:sz="4" w:space="0" w:color="5B9BD4"/>
              <w:left w:val="single" w:sz="12" w:space="0" w:color="DEEAF6"/>
              <w:bottom w:val="single" w:sz="4" w:space="0" w:color="5B9BD4"/>
              <w:right w:val="nil" w:sz="6" w:space="0" w:color="auto"/>
            </w:tcBorders>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喻子达</w:t>
            </w:r>
          </w:p>
        </w:tc>
        <w:tc>
          <w:tcPr>
            <w:tcW w:w="2634" w:type="dxa"/>
            <w:tcBorders>
              <w:top w:val="single" w:sz="4" w:space="0" w:color="5B9BD4"/>
              <w:left w:val="single" w:sz="11" w:space="0" w:color="DEEAF6"/>
              <w:bottom w:val="single" w:sz="4" w:space="0" w:color="5B9BD4"/>
              <w:right w:val="single" w:sz="11" w:space="0" w:color="DEEAF6"/>
            </w:tcBorders>
          </w:tcPr>
          <w:p>
            <w:pPr>
              <w:pStyle w:val="TableParagraph"/>
              <w:spacing w:line="240" w:lineRule="auto" w:before="46"/>
              <w:ind w:right="56"/>
              <w:jc w:val="center"/>
              <w:rPr>
                <w:rFonts w:ascii="宋体" w:hAnsi="宋体" w:cs="宋体" w:eastAsia="宋体" w:hint="default"/>
                <w:sz w:val="18"/>
                <w:szCs w:val="18"/>
              </w:rPr>
            </w:pPr>
            <w:r>
              <w:rPr>
                <w:rFonts w:ascii="宋体" w:hAnsi="宋体" w:cs="宋体" w:eastAsia="宋体" w:hint="default"/>
                <w:sz w:val="18"/>
                <w:szCs w:val="18"/>
              </w:rPr>
              <w:t>深圳市神州通投资集团有限公司</w:t>
            </w:r>
          </w:p>
        </w:tc>
        <w:tc>
          <w:tcPr>
            <w:tcW w:w="112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778"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46"/>
              <w:ind w:left="27"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09</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23</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319" w:type="dxa"/>
            <w:tcBorders>
              <w:top w:val="single" w:sz="4" w:space="0" w:color="5B9BD4"/>
              <w:left w:val="nil" w:sz="6" w:space="0" w:color="auto"/>
              <w:bottom w:val="single" w:sz="4" w:space="0" w:color="5B9BD4"/>
              <w:right w:val="nil" w:sz="6" w:space="0" w:color="auto"/>
            </w:tcBorders>
            <w:shd w:val="clear" w:color="auto" w:fill="DEEAF6"/>
          </w:tcPr>
          <w:p>
            <w:pPr/>
          </w:p>
        </w:tc>
        <w:tc>
          <w:tcPr>
            <w:tcW w:w="1485" w:type="dxa"/>
            <w:tcBorders>
              <w:top w:val="single" w:sz="4" w:space="0" w:color="5B9BD4"/>
              <w:left w:val="single" w:sz="12" w:space="0" w:color="DEEAF6"/>
              <w:bottom w:val="single" w:sz="4" w:space="0" w:color="5B9BD4"/>
              <w:right w:val="nil" w:sz="6" w:space="0" w:color="auto"/>
            </w:tcBorders>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1" w:hRule="exact"/>
        </w:trPr>
        <w:tc>
          <w:tcPr>
            <w:tcW w:w="1203" w:type="dxa"/>
            <w:tcBorders>
              <w:top w:val="single" w:sz="4" w:space="0" w:color="5B9BD4"/>
              <w:left w:val="nil" w:sz="6" w:space="0" w:color="auto"/>
              <w:bottom w:val="nil" w:sz="6" w:space="0" w:color="auto"/>
              <w:right w:val="nil" w:sz="6" w:space="0" w:color="auto"/>
            </w:tcBorders>
            <w:shd w:val="clear" w:color="auto" w:fill="DEEAF6"/>
          </w:tcPr>
          <w:p>
            <w:pPr/>
          </w:p>
        </w:tc>
        <w:tc>
          <w:tcPr>
            <w:tcW w:w="2634" w:type="dxa"/>
            <w:vMerge w:val="restart"/>
            <w:tcBorders>
              <w:top w:val="single" w:sz="4" w:space="0" w:color="5B9BD4"/>
              <w:left w:val="nil" w:sz="6" w:space="0" w:color="auto"/>
              <w:right w:val="single" w:sz="11" w:space="0" w:color="DEEAF6"/>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深圳市神州通投资集团有限公司</w:t>
            </w:r>
          </w:p>
        </w:tc>
        <w:tc>
          <w:tcPr>
            <w:tcW w:w="1122" w:type="dxa"/>
            <w:vMerge w:val="restart"/>
            <w:tcBorders>
              <w:top w:val="single" w:sz="4" w:space="0" w:color="5B9BD4"/>
              <w:left w:val="nil" w:sz="6" w:space="0" w:color="auto"/>
              <w:right w:val="nil" w:sz="6" w:space="0" w:color="auto"/>
            </w:tcBorders>
            <w:shd w:val="clear" w:color="auto" w:fill="DEEAF6"/>
          </w:tcPr>
          <w:p>
            <w:pPr>
              <w:pStyle w:val="TableParagraph"/>
              <w:spacing w:line="319" w:lineRule="auto" w:before="46"/>
              <w:ind w:left="13" w:right="26"/>
              <w:jc w:val="left"/>
              <w:rPr>
                <w:rFonts w:ascii="宋体" w:hAnsi="宋体" w:cs="宋体" w:eastAsia="宋体" w:hint="default"/>
                <w:sz w:val="18"/>
                <w:szCs w:val="18"/>
              </w:rPr>
            </w:pPr>
            <w:r>
              <w:rPr>
                <w:rFonts w:ascii="宋体" w:hAnsi="宋体" w:cs="宋体" w:eastAsia="宋体" w:hint="default"/>
                <w:sz w:val="18"/>
                <w:szCs w:val="18"/>
              </w:rPr>
              <w:t>战略运营部总 经理</w:t>
            </w:r>
          </w:p>
        </w:tc>
        <w:tc>
          <w:tcPr>
            <w:tcW w:w="1778" w:type="dxa"/>
            <w:vMerge w:val="restart"/>
            <w:tcBorders>
              <w:top w:val="single" w:sz="4" w:space="0" w:color="5B9BD4"/>
              <w:left w:val="single" w:sz="11" w:space="0" w:color="DEEAF6"/>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04</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23</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319" w:type="dxa"/>
            <w:tcBorders>
              <w:top w:val="single" w:sz="4" w:space="0" w:color="5B9BD4"/>
              <w:left w:val="nil" w:sz="6" w:space="0" w:color="auto"/>
              <w:bottom w:val="nil" w:sz="6" w:space="0" w:color="auto"/>
              <w:right w:val="nil" w:sz="6" w:space="0" w:color="auto"/>
            </w:tcBorders>
            <w:shd w:val="clear" w:color="auto" w:fill="DEEAF6"/>
          </w:tcPr>
          <w:p>
            <w:pPr/>
          </w:p>
        </w:tc>
        <w:tc>
          <w:tcPr>
            <w:tcW w:w="1485" w:type="dxa"/>
            <w:vMerge w:val="restart"/>
            <w:tcBorders>
              <w:top w:val="single" w:sz="4" w:space="0" w:color="5B9BD4"/>
              <w:left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203"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张文良</w:t>
            </w:r>
          </w:p>
        </w:tc>
        <w:tc>
          <w:tcPr>
            <w:tcW w:w="2634" w:type="dxa"/>
            <w:vMerge/>
            <w:tcBorders>
              <w:left w:val="nil" w:sz="6" w:space="0" w:color="auto"/>
              <w:right w:val="single" w:sz="11" w:space="0" w:color="DEEAF6"/>
            </w:tcBorders>
          </w:tcPr>
          <w:p>
            <w:pPr/>
          </w:p>
        </w:tc>
        <w:tc>
          <w:tcPr>
            <w:tcW w:w="1122" w:type="dxa"/>
            <w:vMerge/>
            <w:tcBorders>
              <w:left w:val="nil" w:sz="6" w:space="0" w:color="auto"/>
              <w:right w:val="nil" w:sz="6" w:space="0" w:color="auto"/>
            </w:tcBorders>
            <w:shd w:val="clear" w:color="auto" w:fill="DEEAF6"/>
          </w:tcPr>
          <w:p>
            <w:pPr/>
          </w:p>
        </w:tc>
        <w:tc>
          <w:tcPr>
            <w:tcW w:w="1778" w:type="dxa"/>
            <w:vMerge/>
            <w:tcBorders>
              <w:left w:val="single" w:sz="11" w:space="0" w:color="DEEAF6"/>
              <w:right w:val="nil" w:sz="6" w:space="0" w:color="auto"/>
            </w:tcBorders>
          </w:tcPr>
          <w:p>
            <w:pPr/>
          </w:p>
        </w:tc>
        <w:tc>
          <w:tcPr>
            <w:tcW w:w="1319" w:type="dxa"/>
            <w:tcBorders>
              <w:top w:val="nil" w:sz="6" w:space="0" w:color="auto"/>
              <w:left w:val="nil" w:sz="6" w:space="0" w:color="auto"/>
              <w:bottom w:val="nil" w:sz="6" w:space="0" w:color="auto"/>
              <w:right w:val="nil" w:sz="6" w:space="0" w:color="auto"/>
            </w:tcBorders>
            <w:shd w:val="clear" w:color="auto" w:fill="DEEAF6"/>
          </w:tcPr>
          <w:p>
            <w:pPr/>
          </w:p>
        </w:tc>
        <w:tc>
          <w:tcPr>
            <w:tcW w:w="1485" w:type="dxa"/>
            <w:vMerge/>
            <w:tcBorders>
              <w:left w:val="nil" w:sz="6" w:space="0" w:color="auto"/>
              <w:right w:val="nil" w:sz="6" w:space="0" w:color="auto"/>
            </w:tcBorders>
          </w:tcPr>
          <w:p>
            <w:pPr/>
          </w:p>
        </w:tc>
      </w:tr>
      <w:tr>
        <w:trPr>
          <w:trHeight w:val="161" w:hRule="exact"/>
        </w:trPr>
        <w:tc>
          <w:tcPr>
            <w:tcW w:w="1203" w:type="dxa"/>
            <w:tcBorders>
              <w:top w:val="nil" w:sz="6" w:space="0" w:color="auto"/>
              <w:left w:val="nil" w:sz="6" w:space="0" w:color="auto"/>
              <w:bottom w:val="single" w:sz="4" w:space="0" w:color="5B9BD4"/>
              <w:right w:val="nil" w:sz="6" w:space="0" w:color="auto"/>
            </w:tcBorders>
            <w:shd w:val="clear" w:color="auto" w:fill="DEEAF6"/>
          </w:tcPr>
          <w:p>
            <w:pPr/>
          </w:p>
        </w:tc>
        <w:tc>
          <w:tcPr>
            <w:tcW w:w="2634" w:type="dxa"/>
            <w:vMerge/>
            <w:tcBorders>
              <w:left w:val="nil" w:sz="6" w:space="0" w:color="auto"/>
              <w:bottom w:val="single" w:sz="4" w:space="0" w:color="5B9BD4"/>
              <w:right w:val="single" w:sz="11" w:space="0" w:color="DEEAF6"/>
            </w:tcBorders>
          </w:tcPr>
          <w:p>
            <w:pPr/>
          </w:p>
        </w:tc>
        <w:tc>
          <w:tcPr>
            <w:tcW w:w="1122" w:type="dxa"/>
            <w:vMerge/>
            <w:tcBorders>
              <w:left w:val="nil" w:sz="6" w:space="0" w:color="auto"/>
              <w:bottom w:val="single" w:sz="4" w:space="0" w:color="5B9BD4"/>
              <w:right w:val="nil" w:sz="6" w:space="0" w:color="auto"/>
            </w:tcBorders>
            <w:shd w:val="clear" w:color="auto" w:fill="DEEAF6"/>
          </w:tcPr>
          <w:p>
            <w:pPr/>
          </w:p>
        </w:tc>
        <w:tc>
          <w:tcPr>
            <w:tcW w:w="1778" w:type="dxa"/>
            <w:vMerge/>
            <w:tcBorders>
              <w:left w:val="single" w:sz="11" w:space="0" w:color="DEEAF6"/>
              <w:bottom w:val="single" w:sz="4" w:space="0" w:color="5B9BD4"/>
              <w:right w:val="nil" w:sz="6" w:space="0" w:color="auto"/>
            </w:tcBorders>
          </w:tcPr>
          <w:p>
            <w:pPr/>
          </w:p>
        </w:tc>
        <w:tc>
          <w:tcPr>
            <w:tcW w:w="1319" w:type="dxa"/>
            <w:tcBorders>
              <w:top w:val="nil" w:sz="6" w:space="0" w:color="auto"/>
              <w:left w:val="nil" w:sz="6" w:space="0" w:color="auto"/>
              <w:bottom w:val="single" w:sz="4" w:space="0" w:color="5B9BD4"/>
              <w:right w:val="nil" w:sz="6" w:space="0" w:color="auto"/>
            </w:tcBorders>
            <w:shd w:val="clear" w:color="auto" w:fill="DEEAF6"/>
          </w:tcPr>
          <w:p>
            <w:pPr/>
          </w:p>
        </w:tc>
        <w:tc>
          <w:tcPr>
            <w:tcW w:w="1485" w:type="dxa"/>
            <w:vMerge/>
            <w:tcBorders>
              <w:left w:val="nil" w:sz="6" w:space="0" w:color="auto"/>
              <w:bottom w:val="single" w:sz="4" w:space="0" w:color="5B9BD4"/>
              <w:right w:val="nil" w:sz="6" w:space="0" w:color="auto"/>
            </w:tcBorders>
          </w:tcPr>
          <w:p>
            <w:pPr/>
          </w:p>
        </w:tc>
      </w:tr>
      <w:tr>
        <w:trPr>
          <w:trHeight w:val="161" w:hRule="exact"/>
        </w:trPr>
        <w:tc>
          <w:tcPr>
            <w:tcW w:w="1203" w:type="dxa"/>
            <w:tcBorders>
              <w:top w:val="single" w:sz="4" w:space="0" w:color="5B9BD4"/>
              <w:left w:val="nil" w:sz="6" w:space="0" w:color="auto"/>
              <w:bottom w:val="nil" w:sz="6" w:space="0" w:color="auto"/>
              <w:right w:val="nil" w:sz="6" w:space="0" w:color="auto"/>
            </w:tcBorders>
            <w:shd w:val="clear" w:color="auto" w:fill="DEEAF6"/>
          </w:tcPr>
          <w:p>
            <w:pPr/>
          </w:p>
        </w:tc>
        <w:tc>
          <w:tcPr>
            <w:tcW w:w="8338" w:type="dxa"/>
            <w:gridSpan w:val="5"/>
            <w:vMerge w:val="restart"/>
            <w:tcBorders>
              <w:top w:val="single" w:sz="4" w:space="0" w:color="5B9BD4"/>
              <w:left w:val="nil" w:sz="6" w:space="0" w:color="auto"/>
              <w:right w:val="nil" w:sz="6" w:space="0" w:color="auto"/>
            </w:tcBorders>
            <w:shd w:val="clear" w:color="auto" w:fill="DEEAF6"/>
          </w:tcPr>
          <w:p>
            <w:pPr>
              <w:pStyle w:val="TableParagraph"/>
              <w:spacing w:line="302" w:lineRule="auto" w:before="46"/>
              <w:ind w:left="27" w:right="13"/>
              <w:jc w:val="both"/>
              <w:rPr>
                <w:rFonts w:ascii="宋体" w:hAnsi="宋体" w:cs="宋体" w:eastAsia="宋体" w:hint="default"/>
                <w:sz w:val="18"/>
                <w:szCs w:val="18"/>
              </w:rPr>
            </w:pPr>
            <w:r>
              <w:rPr>
                <w:rFonts w:ascii="宋体" w:hAnsi="宋体" w:cs="宋体" w:eastAsia="宋体" w:hint="default"/>
                <w:spacing w:val="-2"/>
                <w:sz w:val="18"/>
                <w:szCs w:val="18"/>
              </w:rPr>
              <w:t>截止报告期末，黄绍武先生持有深圳市神州通投资集团有限公司</w:t>
            </w:r>
            <w:r>
              <w:rPr>
                <w:rFonts w:ascii="宋体" w:hAnsi="宋体" w:cs="宋体" w:eastAsia="宋体" w:hint="default"/>
                <w:spacing w:val="-50"/>
                <w:sz w:val="18"/>
                <w:szCs w:val="18"/>
              </w:rPr>
              <w:t> </w:t>
            </w:r>
            <w:r>
              <w:rPr>
                <w:rFonts w:ascii="Arial" w:hAnsi="Arial" w:cs="Arial" w:eastAsia="Arial" w:hint="default"/>
                <w:spacing w:val="-2"/>
                <w:sz w:val="18"/>
                <w:szCs w:val="18"/>
              </w:rPr>
              <w:t>66.37%</w:t>
            </w:r>
            <w:r>
              <w:rPr>
                <w:rFonts w:ascii="宋体" w:hAnsi="宋体" w:cs="宋体" w:eastAsia="宋体" w:hint="default"/>
                <w:spacing w:val="-2"/>
                <w:sz w:val="18"/>
                <w:szCs w:val="18"/>
              </w:rPr>
              <w:t>的股权，并持有深圳市全球星投资</w:t>
            </w:r>
            <w:r>
              <w:rPr>
                <w:rFonts w:ascii="宋体" w:hAnsi="宋体" w:cs="宋体" w:eastAsia="宋体" w:hint="default"/>
                <w:sz w:val="18"/>
                <w:szCs w:val="18"/>
              </w:rPr>
              <w:t> 管理有限公司</w:t>
            </w:r>
            <w:r>
              <w:rPr>
                <w:rFonts w:ascii="宋体" w:hAnsi="宋体" w:cs="宋体" w:eastAsia="宋体" w:hint="default"/>
                <w:spacing w:val="-61"/>
                <w:sz w:val="18"/>
                <w:szCs w:val="18"/>
              </w:rPr>
              <w:t> </w:t>
            </w:r>
            <w:r>
              <w:rPr>
                <w:rFonts w:ascii="Arial" w:hAnsi="Arial" w:cs="Arial" w:eastAsia="Arial" w:hint="default"/>
                <w:spacing w:val="-2"/>
                <w:sz w:val="18"/>
                <w:szCs w:val="18"/>
              </w:rPr>
              <w:t>66.37%</w:t>
            </w:r>
            <w:r>
              <w:rPr>
                <w:rFonts w:ascii="宋体" w:hAnsi="宋体" w:cs="宋体" w:eastAsia="宋体" w:hint="default"/>
                <w:spacing w:val="-2"/>
                <w:sz w:val="18"/>
                <w:szCs w:val="18"/>
              </w:rPr>
              <w:t>的股权，深圳市神州通投资集团有限公司、深圳市全球星投资管理有限公司构成关联</w:t>
            </w:r>
            <w:r>
              <w:rPr>
                <w:rFonts w:ascii="宋体" w:hAnsi="宋体" w:cs="宋体" w:eastAsia="宋体" w:hint="default"/>
                <w:sz w:val="18"/>
                <w:szCs w:val="18"/>
              </w:rPr>
              <w:t> 股东的关系。</w:t>
            </w:r>
          </w:p>
        </w:tc>
      </w:tr>
      <w:tr>
        <w:trPr>
          <w:trHeight w:val="704" w:hRule="exact"/>
        </w:trPr>
        <w:tc>
          <w:tcPr>
            <w:tcW w:w="1203" w:type="dxa"/>
            <w:tcBorders>
              <w:top w:val="nil" w:sz="6" w:space="0" w:color="auto"/>
              <w:left w:val="nil" w:sz="6" w:space="0" w:color="auto"/>
              <w:bottom w:val="nil" w:sz="6" w:space="0" w:color="auto"/>
              <w:right w:val="nil" w:sz="6" w:space="0" w:color="auto"/>
            </w:tcBorders>
            <w:shd w:val="clear" w:color="auto" w:fill="DEEAF6"/>
          </w:tcPr>
          <w:p>
            <w:pPr>
              <w:pStyle w:val="TableParagraph"/>
              <w:spacing w:line="319" w:lineRule="auto" w:before="46"/>
              <w:ind w:left="13" w:right="107"/>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38" w:type="dxa"/>
            <w:gridSpan w:val="5"/>
            <w:vMerge/>
            <w:tcBorders>
              <w:left w:val="nil" w:sz="6" w:space="0" w:color="auto"/>
              <w:right w:val="nil" w:sz="6" w:space="0" w:color="auto"/>
            </w:tcBorders>
            <w:shd w:val="clear" w:color="auto" w:fill="DEEAF6"/>
          </w:tcPr>
          <w:p>
            <w:pPr/>
          </w:p>
        </w:tc>
      </w:tr>
      <w:tr>
        <w:trPr>
          <w:trHeight w:val="161" w:hRule="exact"/>
        </w:trPr>
        <w:tc>
          <w:tcPr>
            <w:tcW w:w="1203" w:type="dxa"/>
            <w:tcBorders>
              <w:top w:val="nil" w:sz="6" w:space="0" w:color="auto"/>
              <w:left w:val="nil" w:sz="6" w:space="0" w:color="auto"/>
              <w:bottom w:val="single" w:sz="4" w:space="0" w:color="5B9BD4"/>
              <w:right w:val="nil" w:sz="6" w:space="0" w:color="auto"/>
            </w:tcBorders>
            <w:shd w:val="clear" w:color="auto" w:fill="DEEAF6"/>
          </w:tcPr>
          <w:p>
            <w:pPr/>
          </w:p>
        </w:tc>
        <w:tc>
          <w:tcPr>
            <w:tcW w:w="8338" w:type="dxa"/>
            <w:gridSpan w:val="5"/>
            <w:vMerge/>
            <w:tcBorders>
              <w:left w:val="nil" w:sz="6" w:space="0" w:color="auto"/>
              <w:bottom w:val="single" w:sz="4" w:space="0" w:color="5B9BD4"/>
              <w:right w:val="nil" w:sz="6" w:space="0" w:color="auto"/>
            </w:tcBorders>
            <w:shd w:val="clear" w:color="auto" w:fill="DEEAF6"/>
          </w:tcPr>
          <w:p>
            <w:pPr/>
          </w:p>
        </w:tc>
      </w:tr>
    </w:tbl>
    <w:p>
      <w:pPr>
        <w:spacing w:line="240" w:lineRule="auto" w:before="0"/>
        <w:rPr>
          <w:rFonts w:ascii="宋体" w:hAnsi="宋体" w:cs="宋体" w:eastAsia="宋体" w:hint="default"/>
          <w:sz w:val="20"/>
          <w:szCs w:val="20"/>
        </w:rPr>
      </w:pPr>
    </w:p>
    <w:p>
      <w:pPr>
        <w:pStyle w:val="Heading2"/>
        <w:spacing w:line="240" w:lineRule="auto" w:before="73"/>
        <w:ind w:left="154" w:right="0"/>
        <w:jc w:val="left"/>
        <w:rPr>
          <w:b w:val="0"/>
          <w:bCs w:val="0"/>
        </w:rPr>
      </w:pPr>
      <w:bookmarkStart w:name="8.3.3 在其他单位任职情况" w:id="203"/>
      <w:bookmarkEnd w:id="203"/>
      <w:r>
        <w:rPr>
          <w:b w:val="0"/>
          <w:bCs w:val="0"/>
        </w:rPr>
      </w:r>
      <w:r>
        <w:rPr>
          <w:rFonts w:ascii="Trebuchet MS" w:hAnsi="Trebuchet MS" w:cs="Trebuchet MS" w:eastAsia="Trebuchet MS" w:hint="default"/>
        </w:rPr>
        <w:t>8.3.3</w:t>
      </w:r>
      <w:r>
        <w:rPr>
          <w:rFonts w:ascii="Trebuchet MS" w:hAnsi="Trebuchet MS" w:cs="Trebuchet MS" w:eastAsia="Trebuchet MS" w:hint="default"/>
          <w:spacing w:val="-18"/>
        </w:rPr>
        <w:t> </w:t>
      </w:r>
      <w:r>
        <w:rPr/>
        <w:t>在其他单位任职情况</w:t>
      </w:r>
      <w:r>
        <w:rPr>
          <w:b w:val="0"/>
          <w:bCs w:val="0"/>
        </w:rPr>
      </w:r>
    </w:p>
    <w:p>
      <w:pPr>
        <w:spacing w:line="240" w:lineRule="auto" w:before="9"/>
        <w:rPr>
          <w:rFonts w:ascii="Microsoft JhengHei" w:hAnsi="Microsoft JhengHei" w:cs="Microsoft JhengHei" w:eastAsia="Microsoft JhengHei"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842"/>
        <w:gridCol w:w="2378"/>
        <w:gridCol w:w="1239"/>
        <w:gridCol w:w="2054"/>
        <w:gridCol w:w="1665"/>
        <w:gridCol w:w="1363"/>
      </w:tblGrid>
      <w:tr>
        <w:trPr>
          <w:trHeight w:val="161" w:hRule="exact"/>
        </w:trPr>
        <w:tc>
          <w:tcPr>
            <w:tcW w:w="842"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6"/>
              <w:ind w:left="239" w:right="60"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2378" w:type="dxa"/>
            <w:tcBorders>
              <w:top w:val="single" w:sz="4" w:space="0" w:color="5B9BD4"/>
              <w:left w:val="nil" w:sz="6" w:space="0" w:color="auto"/>
              <w:bottom w:val="nil" w:sz="6" w:space="0" w:color="auto"/>
              <w:right w:val="nil" w:sz="6" w:space="0" w:color="auto"/>
            </w:tcBorders>
            <w:shd w:val="clear" w:color="auto" w:fill="DEEAF6"/>
          </w:tcPr>
          <w:p>
            <w:pPr/>
          </w:p>
        </w:tc>
        <w:tc>
          <w:tcPr>
            <w:tcW w:w="1239"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6"/>
              <w:ind w:left="259" w:right="78"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3719" w:type="dxa"/>
            <w:gridSpan w:val="2"/>
            <w:tcBorders>
              <w:top w:val="single" w:sz="4" w:space="0" w:color="5B9BD4"/>
              <w:left w:val="nil" w:sz="6" w:space="0" w:color="auto"/>
              <w:bottom w:val="nil" w:sz="6" w:space="0" w:color="auto"/>
              <w:right w:val="nil" w:sz="6" w:space="0" w:color="auto"/>
            </w:tcBorders>
            <w:shd w:val="clear" w:color="auto" w:fill="DEEAF6"/>
          </w:tcPr>
          <w:p>
            <w:pPr/>
          </w:p>
        </w:tc>
        <w:tc>
          <w:tcPr>
            <w:tcW w:w="1363"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46"/>
              <w:ind w:left="148" w:right="42"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392" w:hRule="exact"/>
        </w:trPr>
        <w:tc>
          <w:tcPr>
            <w:tcW w:w="842" w:type="dxa"/>
            <w:vMerge/>
            <w:tcBorders>
              <w:left w:val="nil" w:sz="6" w:space="0" w:color="auto"/>
              <w:right w:val="nil" w:sz="6" w:space="0" w:color="auto"/>
            </w:tcBorders>
            <w:shd w:val="clear" w:color="auto" w:fill="DEEAF6"/>
          </w:tcPr>
          <w:p>
            <w:pPr/>
          </w:p>
        </w:tc>
        <w:tc>
          <w:tcPr>
            <w:tcW w:w="2378"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648"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239" w:type="dxa"/>
            <w:vMerge/>
            <w:tcBorders>
              <w:left w:val="nil" w:sz="6" w:space="0" w:color="auto"/>
              <w:right w:val="nil" w:sz="6" w:space="0" w:color="auto"/>
            </w:tcBorders>
            <w:shd w:val="clear" w:color="auto" w:fill="DEEAF6"/>
          </w:tcPr>
          <w:p>
            <w:pPr/>
          </w:p>
        </w:tc>
        <w:tc>
          <w:tcPr>
            <w:tcW w:w="2054"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right="480"/>
              <w:jc w:val="right"/>
              <w:rPr>
                <w:rFonts w:ascii="宋体" w:hAnsi="宋体" w:cs="宋体" w:eastAsia="宋体" w:hint="default"/>
                <w:sz w:val="18"/>
                <w:szCs w:val="18"/>
              </w:rPr>
            </w:pPr>
            <w:r>
              <w:rPr>
                <w:rFonts w:ascii="宋体" w:hAnsi="宋体" w:cs="宋体" w:eastAsia="宋体" w:hint="default"/>
                <w:sz w:val="18"/>
                <w:szCs w:val="18"/>
              </w:rPr>
              <w:t>任期起始日期</w:t>
            </w:r>
          </w:p>
        </w:tc>
        <w:tc>
          <w:tcPr>
            <w:tcW w:w="1665"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right="5"/>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63" w:type="dxa"/>
            <w:vMerge/>
            <w:tcBorders>
              <w:left w:val="nil" w:sz="6" w:space="0" w:color="auto"/>
              <w:right w:val="nil" w:sz="6" w:space="0" w:color="auto"/>
            </w:tcBorders>
            <w:shd w:val="clear" w:color="auto" w:fill="DEEAF6"/>
          </w:tcPr>
          <w:p>
            <w:pPr/>
          </w:p>
        </w:tc>
      </w:tr>
      <w:tr>
        <w:trPr>
          <w:trHeight w:val="161" w:hRule="exact"/>
        </w:trPr>
        <w:tc>
          <w:tcPr>
            <w:tcW w:w="842" w:type="dxa"/>
            <w:vMerge/>
            <w:tcBorders>
              <w:left w:val="nil" w:sz="6" w:space="0" w:color="auto"/>
              <w:bottom w:val="single" w:sz="4" w:space="0" w:color="5B9BD4"/>
              <w:right w:val="nil" w:sz="6" w:space="0" w:color="auto"/>
            </w:tcBorders>
            <w:shd w:val="clear" w:color="auto" w:fill="DEEAF6"/>
          </w:tcPr>
          <w:p>
            <w:pPr/>
          </w:p>
        </w:tc>
        <w:tc>
          <w:tcPr>
            <w:tcW w:w="2378" w:type="dxa"/>
            <w:tcBorders>
              <w:top w:val="nil" w:sz="6" w:space="0" w:color="auto"/>
              <w:left w:val="nil" w:sz="6" w:space="0" w:color="auto"/>
              <w:bottom w:val="single" w:sz="4" w:space="0" w:color="5B9BD4"/>
              <w:right w:val="nil" w:sz="6" w:space="0" w:color="auto"/>
            </w:tcBorders>
            <w:shd w:val="clear" w:color="auto" w:fill="DEEAF6"/>
          </w:tcPr>
          <w:p>
            <w:pPr/>
          </w:p>
        </w:tc>
        <w:tc>
          <w:tcPr>
            <w:tcW w:w="1239" w:type="dxa"/>
            <w:vMerge/>
            <w:tcBorders>
              <w:left w:val="nil" w:sz="6" w:space="0" w:color="auto"/>
              <w:bottom w:val="single" w:sz="4" w:space="0" w:color="5B9BD4"/>
              <w:right w:val="nil" w:sz="6" w:space="0" w:color="auto"/>
            </w:tcBorders>
            <w:shd w:val="clear" w:color="auto" w:fill="DEEAF6"/>
          </w:tcPr>
          <w:p>
            <w:pPr/>
          </w:p>
        </w:tc>
        <w:tc>
          <w:tcPr>
            <w:tcW w:w="3719" w:type="dxa"/>
            <w:gridSpan w:val="2"/>
            <w:tcBorders>
              <w:top w:val="nil" w:sz="6" w:space="0" w:color="auto"/>
              <w:left w:val="nil" w:sz="6" w:space="0" w:color="auto"/>
              <w:bottom w:val="single" w:sz="4" w:space="0" w:color="5B9BD4"/>
              <w:right w:val="nil" w:sz="6" w:space="0" w:color="auto"/>
            </w:tcBorders>
            <w:shd w:val="clear" w:color="auto" w:fill="DEEAF6"/>
          </w:tcPr>
          <w:p>
            <w:pPr/>
          </w:p>
        </w:tc>
        <w:tc>
          <w:tcPr>
            <w:tcW w:w="1363" w:type="dxa"/>
            <w:vMerge/>
            <w:tcBorders>
              <w:left w:val="nil" w:sz="6" w:space="0" w:color="auto"/>
              <w:bottom w:val="single" w:sz="4" w:space="0" w:color="5B9BD4"/>
              <w:right w:val="nil" w:sz="6" w:space="0" w:color="auto"/>
            </w:tcBorders>
            <w:shd w:val="clear" w:color="auto" w:fill="DEEAF6"/>
          </w:tcPr>
          <w:p>
            <w:pPr/>
          </w:p>
        </w:tc>
      </w:tr>
      <w:tr>
        <w:trPr>
          <w:trHeight w:val="402" w:hRule="exact"/>
        </w:trPr>
        <w:tc>
          <w:tcPr>
            <w:tcW w:w="8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吕良彪</w:t>
            </w:r>
          </w:p>
        </w:tc>
        <w:tc>
          <w:tcPr>
            <w:tcW w:w="2378"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北京市大成律师事务所</w:t>
            </w:r>
          </w:p>
        </w:tc>
        <w:tc>
          <w:tcPr>
            <w:tcW w:w="123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4" w:right="0"/>
              <w:jc w:val="left"/>
              <w:rPr>
                <w:rFonts w:ascii="宋体" w:hAnsi="宋体" w:cs="宋体" w:eastAsia="宋体" w:hint="default"/>
                <w:sz w:val="18"/>
                <w:szCs w:val="18"/>
              </w:rPr>
            </w:pPr>
            <w:r>
              <w:rPr>
                <w:rFonts w:ascii="宋体" w:hAnsi="宋体" w:cs="宋体" w:eastAsia="宋体" w:hint="default"/>
                <w:sz w:val="18"/>
                <w:szCs w:val="18"/>
              </w:rPr>
              <w:t>高级合伙人</w:t>
            </w:r>
          </w:p>
        </w:tc>
        <w:tc>
          <w:tcPr>
            <w:tcW w:w="2054"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46"/>
              <w:ind w:right="432"/>
              <w:jc w:val="right"/>
              <w:rPr>
                <w:rFonts w:ascii="宋体" w:hAnsi="宋体" w:cs="宋体" w:eastAsia="宋体" w:hint="default"/>
                <w:sz w:val="18"/>
                <w:szCs w:val="18"/>
              </w:rPr>
            </w:pPr>
            <w:r>
              <w:rPr>
                <w:rFonts w:ascii="Arial" w:hAnsi="Arial" w:cs="Arial" w:eastAsia="Arial" w:hint="default"/>
                <w:sz w:val="18"/>
                <w:szCs w:val="18"/>
              </w:rPr>
              <w:t>2004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665" w:type="dxa"/>
            <w:tcBorders>
              <w:top w:val="single" w:sz="4" w:space="0" w:color="5B9BD4"/>
              <w:left w:val="nil" w:sz="6" w:space="0" w:color="auto"/>
              <w:bottom w:val="single" w:sz="4" w:space="0" w:color="5B9BD4"/>
              <w:right w:val="nil" w:sz="6" w:space="0" w:color="auto"/>
            </w:tcBorders>
            <w:shd w:val="clear" w:color="auto" w:fill="DEEAF6"/>
          </w:tcPr>
          <w:p>
            <w:pPr/>
          </w:p>
        </w:tc>
        <w:tc>
          <w:tcPr>
            <w:tcW w:w="1363" w:type="dxa"/>
            <w:tcBorders>
              <w:top w:val="single" w:sz="4" w:space="0" w:color="5B9BD4"/>
              <w:left w:val="single" w:sz="12" w:space="0" w:color="DEEAF6"/>
              <w:bottom w:val="single" w:sz="4" w:space="0" w:color="5B9BD4"/>
              <w:right w:val="nil" w:sz="6" w:space="0" w:color="auto"/>
            </w:tcBorders>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61" w:hRule="exact"/>
        </w:trPr>
        <w:tc>
          <w:tcPr>
            <w:tcW w:w="8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left="13" w:right="0"/>
              <w:jc w:val="left"/>
              <w:rPr>
                <w:rFonts w:ascii="宋体" w:hAnsi="宋体" w:cs="宋体" w:eastAsia="宋体" w:hint="default"/>
                <w:sz w:val="18"/>
                <w:szCs w:val="18"/>
              </w:rPr>
            </w:pPr>
            <w:r>
              <w:rPr>
                <w:rFonts w:ascii="宋体" w:hAnsi="宋体" w:cs="宋体" w:eastAsia="宋体" w:hint="default"/>
                <w:sz w:val="18"/>
                <w:szCs w:val="18"/>
              </w:rPr>
              <w:t>章卫东</w:t>
            </w:r>
          </w:p>
        </w:tc>
        <w:tc>
          <w:tcPr>
            <w:tcW w:w="2378"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7"/>
              <w:ind w:left="27" w:right="0"/>
              <w:jc w:val="left"/>
              <w:rPr>
                <w:rFonts w:ascii="宋体" w:hAnsi="宋体" w:cs="宋体" w:eastAsia="宋体" w:hint="default"/>
                <w:sz w:val="18"/>
                <w:szCs w:val="18"/>
              </w:rPr>
            </w:pPr>
            <w:r>
              <w:rPr>
                <w:rFonts w:ascii="宋体" w:hAnsi="宋体" w:cs="宋体" w:eastAsia="宋体" w:hint="default"/>
                <w:sz w:val="18"/>
                <w:szCs w:val="18"/>
              </w:rPr>
              <w:t>江西财经大学</w:t>
            </w:r>
          </w:p>
        </w:tc>
        <w:tc>
          <w:tcPr>
            <w:tcW w:w="123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left="14"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2054" w:type="dxa"/>
            <w:tcBorders>
              <w:top w:val="single" w:sz="4" w:space="0" w:color="5B9BD4"/>
              <w:left w:val="single" w:sz="11" w:space="0" w:color="DEEAF6"/>
              <w:bottom w:val="single" w:sz="4" w:space="0" w:color="5B9BD4"/>
              <w:right w:val="single" w:sz="12" w:space="0" w:color="DEEAF6"/>
            </w:tcBorders>
          </w:tcPr>
          <w:p>
            <w:pPr/>
          </w:p>
        </w:tc>
        <w:tc>
          <w:tcPr>
            <w:tcW w:w="1665" w:type="dxa"/>
            <w:tcBorders>
              <w:top w:val="single" w:sz="4" w:space="0" w:color="5B9BD4"/>
              <w:left w:val="nil" w:sz="6" w:space="0" w:color="auto"/>
              <w:bottom w:val="single" w:sz="4" w:space="0" w:color="5B9BD4"/>
              <w:right w:val="nil" w:sz="6" w:space="0" w:color="auto"/>
            </w:tcBorders>
            <w:shd w:val="clear" w:color="auto" w:fill="DEEAF6"/>
          </w:tcPr>
          <w:p>
            <w:pPr/>
          </w:p>
        </w:tc>
        <w:tc>
          <w:tcPr>
            <w:tcW w:w="1363" w:type="dxa"/>
            <w:tcBorders>
              <w:top w:val="single" w:sz="4" w:space="0" w:color="5B9BD4"/>
              <w:left w:val="single" w:sz="12" w:space="0" w:color="DEEAF6"/>
              <w:bottom w:val="single" w:sz="4" w:space="0" w:color="5B9BD4"/>
              <w:right w:val="nil" w:sz="6" w:space="0" w:color="auto"/>
            </w:tcBorders>
          </w:tcPr>
          <w:p>
            <w:pPr>
              <w:pStyle w:val="TableParagraph"/>
              <w:spacing w:line="240" w:lineRule="auto" w:before="7"/>
              <w:ind w:left="1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62" w:hRule="exact"/>
        </w:trPr>
        <w:tc>
          <w:tcPr>
            <w:tcW w:w="8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left="13" w:right="0"/>
              <w:jc w:val="left"/>
              <w:rPr>
                <w:rFonts w:ascii="宋体" w:hAnsi="宋体" w:cs="宋体" w:eastAsia="宋体" w:hint="default"/>
                <w:sz w:val="18"/>
                <w:szCs w:val="18"/>
              </w:rPr>
            </w:pPr>
            <w:r>
              <w:rPr>
                <w:rFonts w:ascii="宋体" w:hAnsi="宋体" w:cs="宋体" w:eastAsia="宋体" w:hint="default"/>
                <w:sz w:val="18"/>
                <w:szCs w:val="18"/>
              </w:rPr>
              <w:t>章卫东</w:t>
            </w:r>
          </w:p>
        </w:tc>
        <w:tc>
          <w:tcPr>
            <w:tcW w:w="2378"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
              <w:ind w:left="27" w:right="0"/>
              <w:jc w:val="left"/>
              <w:rPr>
                <w:rFonts w:ascii="宋体" w:hAnsi="宋体" w:cs="宋体" w:eastAsia="宋体" w:hint="default"/>
                <w:sz w:val="18"/>
                <w:szCs w:val="18"/>
              </w:rPr>
            </w:pPr>
            <w:r>
              <w:rPr>
                <w:rFonts w:ascii="宋体" w:hAnsi="宋体" w:cs="宋体" w:eastAsia="宋体" w:hint="default"/>
                <w:sz w:val="18"/>
                <w:szCs w:val="18"/>
              </w:rPr>
              <w:t>江西铜业股份有限公司</w:t>
            </w:r>
          </w:p>
        </w:tc>
        <w:tc>
          <w:tcPr>
            <w:tcW w:w="123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left="1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054"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8"/>
              <w:ind w:right="432"/>
              <w:jc w:val="righ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06</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19</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665" w:type="dxa"/>
            <w:tcBorders>
              <w:top w:val="single" w:sz="4" w:space="0" w:color="5B9BD4"/>
              <w:left w:val="nil" w:sz="6" w:space="0" w:color="auto"/>
              <w:bottom w:val="single" w:sz="4" w:space="0" w:color="5B9BD4"/>
              <w:right w:val="nil" w:sz="6" w:space="0" w:color="auto"/>
            </w:tcBorders>
            <w:shd w:val="clear" w:color="auto" w:fill="DEEAF6"/>
          </w:tcPr>
          <w:p>
            <w:pPr/>
          </w:p>
        </w:tc>
        <w:tc>
          <w:tcPr>
            <w:tcW w:w="1363" w:type="dxa"/>
            <w:tcBorders>
              <w:top w:val="single" w:sz="4" w:space="0" w:color="5B9BD4"/>
              <w:left w:val="single" w:sz="12" w:space="0" w:color="DEEAF6"/>
              <w:bottom w:val="single" w:sz="4" w:space="0" w:color="5B9BD4"/>
              <w:right w:val="nil" w:sz="6" w:space="0" w:color="auto"/>
            </w:tcBorders>
          </w:tcPr>
          <w:p>
            <w:pPr>
              <w:pStyle w:val="TableParagraph"/>
              <w:spacing w:line="240" w:lineRule="auto" w:before="8"/>
              <w:ind w:left="1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1" w:hRule="exact"/>
        </w:trPr>
        <w:tc>
          <w:tcPr>
            <w:tcW w:w="842" w:type="dxa"/>
            <w:tcBorders>
              <w:top w:val="single" w:sz="4" w:space="0" w:color="5B9BD4"/>
              <w:left w:val="nil" w:sz="6" w:space="0" w:color="auto"/>
              <w:bottom w:val="nil" w:sz="6" w:space="0" w:color="auto"/>
              <w:right w:val="nil" w:sz="6" w:space="0" w:color="auto"/>
            </w:tcBorders>
            <w:shd w:val="clear" w:color="auto" w:fill="DEEAF6"/>
          </w:tcPr>
          <w:p>
            <w:pPr/>
          </w:p>
        </w:tc>
        <w:tc>
          <w:tcPr>
            <w:tcW w:w="2378" w:type="dxa"/>
            <w:vMerge w:val="restart"/>
            <w:tcBorders>
              <w:top w:val="single" w:sz="4" w:space="0" w:color="5B9BD4"/>
              <w:left w:val="nil" w:sz="6" w:space="0" w:color="auto"/>
              <w:right w:val="nil" w:sz="6" w:space="0" w:color="auto"/>
            </w:tcBorders>
          </w:tcPr>
          <w:p>
            <w:pPr>
              <w:pStyle w:val="TableParagraph"/>
              <w:spacing w:line="319" w:lineRule="auto" w:before="46"/>
              <w:ind w:left="41" w:right="174"/>
              <w:jc w:val="left"/>
              <w:rPr>
                <w:rFonts w:ascii="宋体" w:hAnsi="宋体" w:cs="宋体" w:eastAsia="宋体" w:hint="default"/>
                <w:sz w:val="18"/>
                <w:szCs w:val="18"/>
              </w:rPr>
            </w:pPr>
            <w:r>
              <w:rPr>
                <w:rFonts w:ascii="宋体" w:hAnsi="宋体" w:cs="宋体" w:eastAsia="宋体" w:hint="default"/>
                <w:sz w:val="18"/>
                <w:szCs w:val="18"/>
              </w:rPr>
              <w:t>大唐高鸿数据网络技术股份 有限公司</w:t>
            </w:r>
          </w:p>
        </w:tc>
        <w:tc>
          <w:tcPr>
            <w:tcW w:w="1239" w:type="dxa"/>
            <w:tcBorders>
              <w:top w:val="single" w:sz="4" w:space="0" w:color="5B9BD4"/>
              <w:left w:val="nil" w:sz="6" w:space="0" w:color="auto"/>
              <w:bottom w:val="nil" w:sz="6" w:space="0" w:color="auto"/>
              <w:right w:val="nil" w:sz="6" w:space="0" w:color="auto"/>
            </w:tcBorders>
            <w:shd w:val="clear" w:color="auto" w:fill="DEEAF6"/>
          </w:tcPr>
          <w:p>
            <w:pPr/>
          </w:p>
        </w:tc>
        <w:tc>
          <w:tcPr>
            <w:tcW w:w="2054" w:type="dxa"/>
            <w:vMerge w:val="restart"/>
            <w:tcBorders>
              <w:top w:val="single" w:sz="4" w:space="0" w:color="5B9BD4"/>
              <w:left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2"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05</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665" w:type="dxa"/>
            <w:tcBorders>
              <w:top w:val="single" w:sz="4" w:space="0" w:color="5B9BD4"/>
              <w:left w:val="nil" w:sz="6" w:space="0" w:color="auto"/>
              <w:bottom w:val="nil" w:sz="6" w:space="0" w:color="auto"/>
              <w:right w:val="nil" w:sz="6" w:space="0" w:color="auto"/>
            </w:tcBorders>
            <w:shd w:val="clear" w:color="auto" w:fill="DEEAF6"/>
          </w:tcPr>
          <w:p>
            <w:pPr/>
          </w:p>
        </w:tc>
        <w:tc>
          <w:tcPr>
            <w:tcW w:w="1363" w:type="dxa"/>
            <w:vMerge w:val="restart"/>
            <w:tcBorders>
              <w:top w:val="single" w:sz="4" w:space="0" w:color="5B9BD4"/>
              <w:left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842"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吕廷杰</w:t>
            </w:r>
          </w:p>
        </w:tc>
        <w:tc>
          <w:tcPr>
            <w:tcW w:w="2378" w:type="dxa"/>
            <w:vMerge/>
            <w:tcBorders>
              <w:left w:val="nil" w:sz="6" w:space="0" w:color="auto"/>
              <w:right w:val="nil" w:sz="6" w:space="0" w:color="auto"/>
            </w:tcBorders>
          </w:tcPr>
          <w:p>
            <w:pPr/>
          </w:p>
        </w:tc>
        <w:tc>
          <w:tcPr>
            <w:tcW w:w="1239"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1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054" w:type="dxa"/>
            <w:vMerge/>
            <w:tcBorders>
              <w:left w:val="nil" w:sz="6" w:space="0" w:color="auto"/>
              <w:right w:val="nil" w:sz="6" w:space="0" w:color="auto"/>
            </w:tcBorders>
          </w:tcPr>
          <w:p>
            <w:pPr/>
          </w:p>
        </w:tc>
        <w:tc>
          <w:tcPr>
            <w:tcW w:w="1665"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right="57"/>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05</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18</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363" w:type="dxa"/>
            <w:vMerge/>
            <w:tcBorders>
              <w:left w:val="nil" w:sz="6" w:space="0" w:color="auto"/>
              <w:right w:val="nil" w:sz="6" w:space="0" w:color="auto"/>
            </w:tcBorders>
          </w:tcPr>
          <w:p>
            <w:pPr/>
          </w:p>
        </w:tc>
      </w:tr>
      <w:tr>
        <w:trPr>
          <w:trHeight w:val="161" w:hRule="exact"/>
        </w:trPr>
        <w:tc>
          <w:tcPr>
            <w:tcW w:w="842" w:type="dxa"/>
            <w:tcBorders>
              <w:top w:val="nil" w:sz="6" w:space="0" w:color="auto"/>
              <w:left w:val="nil" w:sz="6" w:space="0" w:color="auto"/>
              <w:bottom w:val="single" w:sz="4" w:space="0" w:color="5B9BD4"/>
              <w:right w:val="nil" w:sz="6" w:space="0" w:color="auto"/>
            </w:tcBorders>
            <w:shd w:val="clear" w:color="auto" w:fill="DEEAF6"/>
          </w:tcPr>
          <w:p>
            <w:pPr/>
          </w:p>
        </w:tc>
        <w:tc>
          <w:tcPr>
            <w:tcW w:w="2378" w:type="dxa"/>
            <w:vMerge/>
            <w:tcBorders>
              <w:left w:val="nil" w:sz="6" w:space="0" w:color="auto"/>
              <w:bottom w:val="single" w:sz="4" w:space="0" w:color="5B9BD4"/>
              <w:right w:val="nil" w:sz="6" w:space="0" w:color="auto"/>
            </w:tcBorders>
          </w:tcPr>
          <w:p>
            <w:pPr/>
          </w:p>
        </w:tc>
        <w:tc>
          <w:tcPr>
            <w:tcW w:w="1239" w:type="dxa"/>
            <w:tcBorders>
              <w:top w:val="nil" w:sz="6" w:space="0" w:color="auto"/>
              <w:left w:val="nil" w:sz="6" w:space="0" w:color="auto"/>
              <w:bottom w:val="single" w:sz="4" w:space="0" w:color="5B9BD4"/>
              <w:right w:val="nil" w:sz="6" w:space="0" w:color="auto"/>
            </w:tcBorders>
            <w:shd w:val="clear" w:color="auto" w:fill="DEEAF6"/>
          </w:tcPr>
          <w:p>
            <w:pPr/>
          </w:p>
        </w:tc>
        <w:tc>
          <w:tcPr>
            <w:tcW w:w="2054" w:type="dxa"/>
            <w:vMerge/>
            <w:tcBorders>
              <w:left w:val="nil" w:sz="6" w:space="0" w:color="auto"/>
              <w:bottom w:val="single" w:sz="4" w:space="0" w:color="5B9BD4"/>
              <w:right w:val="nil" w:sz="6" w:space="0" w:color="auto"/>
            </w:tcBorders>
          </w:tcPr>
          <w:p>
            <w:pPr/>
          </w:p>
        </w:tc>
        <w:tc>
          <w:tcPr>
            <w:tcW w:w="1665" w:type="dxa"/>
            <w:tcBorders>
              <w:top w:val="nil" w:sz="6" w:space="0" w:color="auto"/>
              <w:left w:val="nil" w:sz="6" w:space="0" w:color="auto"/>
              <w:bottom w:val="single" w:sz="4" w:space="0" w:color="5B9BD4"/>
              <w:right w:val="nil" w:sz="6" w:space="0" w:color="auto"/>
            </w:tcBorders>
            <w:shd w:val="clear" w:color="auto" w:fill="DEEAF6"/>
          </w:tcPr>
          <w:p>
            <w:pPr/>
          </w:p>
        </w:tc>
        <w:tc>
          <w:tcPr>
            <w:tcW w:w="1363" w:type="dxa"/>
            <w:vMerge/>
            <w:tcBorders>
              <w:left w:val="nil" w:sz="6" w:space="0" w:color="auto"/>
              <w:bottom w:val="single" w:sz="4" w:space="0" w:color="5B9BD4"/>
              <w:right w:val="nil" w:sz="6" w:space="0" w:color="auto"/>
            </w:tcBorders>
          </w:tcPr>
          <w:p>
            <w:pPr/>
          </w:p>
        </w:tc>
      </w:tr>
      <w:tr>
        <w:trPr>
          <w:trHeight w:val="402" w:hRule="exact"/>
        </w:trPr>
        <w:tc>
          <w:tcPr>
            <w:tcW w:w="8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吕廷杰</w:t>
            </w:r>
          </w:p>
        </w:tc>
        <w:tc>
          <w:tcPr>
            <w:tcW w:w="2378"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京东方科技集团有限公司</w:t>
            </w:r>
          </w:p>
        </w:tc>
        <w:tc>
          <w:tcPr>
            <w:tcW w:w="123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054"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46"/>
              <w:ind w:right="432"/>
              <w:jc w:val="righ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06</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01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665" w:type="dxa"/>
            <w:tcBorders>
              <w:top w:val="single" w:sz="4" w:space="0" w:color="5B9BD4"/>
              <w:left w:val="nil" w:sz="6" w:space="0" w:color="auto"/>
              <w:bottom w:val="single" w:sz="4" w:space="0" w:color="5B9BD4"/>
              <w:right w:val="nil" w:sz="6" w:space="0" w:color="auto"/>
            </w:tcBorders>
            <w:shd w:val="clear" w:color="auto" w:fill="DEEAF6"/>
          </w:tcPr>
          <w:p>
            <w:pPr/>
          </w:p>
        </w:tc>
        <w:tc>
          <w:tcPr>
            <w:tcW w:w="1363" w:type="dxa"/>
            <w:tcBorders>
              <w:top w:val="single" w:sz="4" w:space="0" w:color="5B9BD4"/>
              <w:left w:val="single" w:sz="12" w:space="0" w:color="DEEAF6"/>
              <w:bottom w:val="single" w:sz="4" w:space="0" w:color="5B9BD4"/>
              <w:right w:val="nil" w:sz="6" w:space="0" w:color="auto"/>
            </w:tcBorders>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陈思平</w:t>
            </w:r>
          </w:p>
        </w:tc>
        <w:tc>
          <w:tcPr>
            <w:tcW w:w="2378"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深圳大学</w:t>
            </w:r>
          </w:p>
        </w:tc>
        <w:tc>
          <w:tcPr>
            <w:tcW w:w="123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4" w:right="0"/>
              <w:jc w:val="left"/>
              <w:rPr>
                <w:rFonts w:ascii="宋体" w:hAnsi="宋体" w:cs="宋体" w:eastAsia="宋体" w:hint="default"/>
                <w:sz w:val="18"/>
                <w:szCs w:val="18"/>
              </w:rPr>
            </w:pPr>
            <w:r>
              <w:rPr>
                <w:rFonts w:ascii="宋体" w:hAnsi="宋体" w:cs="宋体" w:eastAsia="宋体" w:hint="default"/>
                <w:sz w:val="18"/>
                <w:szCs w:val="18"/>
              </w:rPr>
              <w:t>教授、博导</w:t>
            </w:r>
          </w:p>
        </w:tc>
        <w:tc>
          <w:tcPr>
            <w:tcW w:w="2054" w:type="dxa"/>
            <w:tcBorders>
              <w:top w:val="single" w:sz="4" w:space="0" w:color="5B9BD4"/>
              <w:left w:val="single" w:sz="11" w:space="0" w:color="DEEAF6"/>
              <w:bottom w:val="single" w:sz="4" w:space="0" w:color="5B9BD4"/>
              <w:right w:val="single" w:sz="12" w:space="0" w:color="DEEAF6"/>
            </w:tcBorders>
          </w:tcPr>
          <w:p>
            <w:pPr/>
          </w:p>
        </w:tc>
        <w:tc>
          <w:tcPr>
            <w:tcW w:w="1665" w:type="dxa"/>
            <w:tcBorders>
              <w:top w:val="single" w:sz="4" w:space="0" w:color="5B9BD4"/>
              <w:left w:val="nil" w:sz="6" w:space="0" w:color="auto"/>
              <w:bottom w:val="single" w:sz="4" w:space="0" w:color="5B9BD4"/>
              <w:right w:val="nil" w:sz="6" w:space="0" w:color="auto"/>
            </w:tcBorders>
            <w:shd w:val="clear" w:color="auto" w:fill="DEEAF6"/>
          </w:tcPr>
          <w:p>
            <w:pPr/>
          </w:p>
        </w:tc>
        <w:tc>
          <w:tcPr>
            <w:tcW w:w="1363" w:type="dxa"/>
            <w:tcBorders>
              <w:top w:val="single" w:sz="4" w:space="0" w:color="5B9BD4"/>
              <w:left w:val="single" w:sz="12" w:space="0" w:color="DEEAF6"/>
              <w:bottom w:val="single" w:sz="4" w:space="0" w:color="5B9BD4"/>
              <w:right w:val="nil" w:sz="6" w:space="0" w:color="auto"/>
            </w:tcBorders>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1" w:hRule="exact"/>
        </w:trPr>
        <w:tc>
          <w:tcPr>
            <w:tcW w:w="842" w:type="dxa"/>
            <w:tcBorders>
              <w:top w:val="single" w:sz="4" w:space="0" w:color="5B9BD4"/>
              <w:left w:val="nil" w:sz="6" w:space="0" w:color="auto"/>
              <w:bottom w:val="nil" w:sz="6" w:space="0" w:color="auto"/>
              <w:right w:val="nil" w:sz="6" w:space="0" w:color="auto"/>
            </w:tcBorders>
            <w:shd w:val="clear" w:color="auto" w:fill="DEEAF6"/>
          </w:tcPr>
          <w:p>
            <w:pPr/>
          </w:p>
        </w:tc>
        <w:tc>
          <w:tcPr>
            <w:tcW w:w="2378" w:type="dxa"/>
            <w:vMerge w:val="restart"/>
            <w:tcBorders>
              <w:top w:val="single" w:sz="4" w:space="0" w:color="5B9BD4"/>
              <w:left w:val="nil" w:sz="6" w:space="0" w:color="auto"/>
              <w:right w:val="nil" w:sz="6" w:space="0" w:color="auto"/>
            </w:tcBorders>
          </w:tcPr>
          <w:p>
            <w:pPr>
              <w:pStyle w:val="TableParagraph"/>
              <w:spacing w:line="319" w:lineRule="auto" w:before="46"/>
              <w:ind w:left="41" w:right="174"/>
              <w:jc w:val="left"/>
              <w:rPr>
                <w:rFonts w:ascii="宋体" w:hAnsi="宋体" w:cs="宋体" w:eastAsia="宋体" w:hint="default"/>
                <w:sz w:val="18"/>
                <w:szCs w:val="18"/>
              </w:rPr>
            </w:pPr>
            <w:r>
              <w:rPr>
                <w:rFonts w:ascii="宋体" w:hAnsi="宋体" w:cs="宋体" w:eastAsia="宋体" w:hint="default"/>
                <w:sz w:val="18"/>
                <w:szCs w:val="18"/>
              </w:rPr>
              <w:t>深圳市理邦精密仪器股份有 限公司</w:t>
            </w:r>
          </w:p>
        </w:tc>
        <w:tc>
          <w:tcPr>
            <w:tcW w:w="1239" w:type="dxa"/>
            <w:tcBorders>
              <w:top w:val="single" w:sz="4" w:space="0" w:color="5B9BD4"/>
              <w:left w:val="nil" w:sz="6" w:space="0" w:color="auto"/>
              <w:bottom w:val="nil" w:sz="6" w:space="0" w:color="auto"/>
              <w:right w:val="nil" w:sz="6" w:space="0" w:color="auto"/>
            </w:tcBorders>
            <w:shd w:val="clear" w:color="auto" w:fill="DEEAF6"/>
          </w:tcPr>
          <w:p>
            <w:pPr/>
          </w:p>
        </w:tc>
        <w:tc>
          <w:tcPr>
            <w:tcW w:w="2054" w:type="dxa"/>
            <w:vMerge w:val="restart"/>
            <w:tcBorders>
              <w:top w:val="single" w:sz="4" w:space="0" w:color="5B9BD4"/>
              <w:left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2"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02</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20</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665" w:type="dxa"/>
            <w:tcBorders>
              <w:top w:val="single" w:sz="4" w:space="0" w:color="5B9BD4"/>
              <w:left w:val="nil" w:sz="6" w:space="0" w:color="auto"/>
              <w:bottom w:val="nil" w:sz="6" w:space="0" w:color="auto"/>
              <w:right w:val="nil" w:sz="6" w:space="0" w:color="auto"/>
            </w:tcBorders>
            <w:shd w:val="clear" w:color="auto" w:fill="DEEAF6"/>
          </w:tcPr>
          <w:p>
            <w:pPr/>
          </w:p>
        </w:tc>
        <w:tc>
          <w:tcPr>
            <w:tcW w:w="1363" w:type="dxa"/>
            <w:vMerge w:val="restart"/>
            <w:tcBorders>
              <w:top w:val="single" w:sz="4" w:space="0" w:color="5B9BD4"/>
              <w:left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842"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陈思平</w:t>
            </w:r>
          </w:p>
        </w:tc>
        <w:tc>
          <w:tcPr>
            <w:tcW w:w="2378" w:type="dxa"/>
            <w:vMerge/>
            <w:tcBorders>
              <w:left w:val="nil" w:sz="6" w:space="0" w:color="auto"/>
              <w:right w:val="nil" w:sz="6" w:space="0" w:color="auto"/>
            </w:tcBorders>
          </w:tcPr>
          <w:p>
            <w:pPr/>
          </w:p>
        </w:tc>
        <w:tc>
          <w:tcPr>
            <w:tcW w:w="1239"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1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054" w:type="dxa"/>
            <w:vMerge/>
            <w:tcBorders>
              <w:left w:val="nil" w:sz="6" w:space="0" w:color="auto"/>
              <w:right w:val="nil" w:sz="6" w:space="0" w:color="auto"/>
            </w:tcBorders>
          </w:tcPr>
          <w:p>
            <w:pPr/>
          </w:p>
        </w:tc>
        <w:tc>
          <w:tcPr>
            <w:tcW w:w="1665"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right="57"/>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02</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20</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363" w:type="dxa"/>
            <w:vMerge/>
            <w:tcBorders>
              <w:left w:val="nil" w:sz="6" w:space="0" w:color="auto"/>
              <w:right w:val="nil" w:sz="6" w:space="0" w:color="auto"/>
            </w:tcBorders>
          </w:tcPr>
          <w:p>
            <w:pPr/>
          </w:p>
        </w:tc>
      </w:tr>
      <w:tr>
        <w:trPr>
          <w:trHeight w:val="161" w:hRule="exact"/>
        </w:trPr>
        <w:tc>
          <w:tcPr>
            <w:tcW w:w="842" w:type="dxa"/>
            <w:tcBorders>
              <w:top w:val="nil" w:sz="6" w:space="0" w:color="auto"/>
              <w:left w:val="nil" w:sz="6" w:space="0" w:color="auto"/>
              <w:bottom w:val="single" w:sz="4" w:space="0" w:color="5B9BD4"/>
              <w:right w:val="nil" w:sz="6" w:space="0" w:color="auto"/>
            </w:tcBorders>
            <w:shd w:val="clear" w:color="auto" w:fill="DEEAF6"/>
          </w:tcPr>
          <w:p>
            <w:pPr/>
          </w:p>
        </w:tc>
        <w:tc>
          <w:tcPr>
            <w:tcW w:w="2378" w:type="dxa"/>
            <w:vMerge/>
            <w:tcBorders>
              <w:left w:val="nil" w:sz="6" w:space="0" w:color="auto"/>
              <w:bottom w:val="single" w:sz="4" w:space="0" w:color="5B9BD4"/>
              <w:right w:val="nil" w:sz="6" w:space="0" w:color="auto"/>
            </w:tcBorders>
          </w:tcPr>
          <w:p>
            <w:pPr/>
          </w:p>
        </w:tc>
        <w:tc>
          <w:tcPr>
            <w:tcW w:w="1239" w:type="dxa"/>
            <w:tcBorders>
              <w:top w:val="nil" w:sz="6" w:space="0" w:color="auto"/>
              <w:left w:val="nil" w:sz="6" w:space="0" w:color="auto"/>
              <w:bottom w:val="single" w:sz="4" w:space="0" w:color="5B9BD4"/>
              <w:right w:val="nil" w:sz="6" w:space="0" w:color="auto"/>
            </w:tcBorders>
            <w:shd w:val="clear" w:color="auto" w:fill="DEEAF6"/>
          </w:tcPr>
          <w:p>
            <w:pPr/>
          </w:p>
        </w:tc>
        <w:tc>
          <w:tcPr>
            <w:tcW w:w="2054" w:type="dxa"/>
            <w:vMerge/>
            <w:tcBorders>
              <w:left w:val="nil" w:sz="6" w:space="0" w:color="auto"/>
              <w:bottom w:val="single" w:sz="4" w:space="0" w:color="5B9BD4"/>
              <w:right w:val="nil" w:sz="6" w:space="0" w:color="auto"/>
            </w:tcBorders>
          </w:tcPr>
          <w:p>
            <w:pPr/>
          </w:p>
        </w:tc>
        <w:tc>
          <w:tcPr>
            <w:tcW w:w="1665" w:type="dxa"/>
            <w:tcBorders>
              <w:top w:val="nil" w:sz="6" w:space="0" w:color="auto"/>
              <w:left w:val="nil" w:sz="6" w:space="0" w:color="auto"/>
              <w:bottom w:val="single" w:sz="4" w:space="0" w:color="5B9BD4"/>
              <w:right w:val="nil" w:sz="6" w:space="0" w:color="auto"/>
            </w:tcBorders>
            <w:shd w:val="clear" w:color="auto" w:fill="DEEAF6"/>
          </w:tcPr>
          <w:p>
            <w:pPr/>
          </w:p>
        </w:tc>
        <w:tc>
          <w:tcPr>
            <w:tcW w:w="1363" w:type="dxa"/>
            <w:vMerge/>
            <w:tcBorders>
              <w:left w:val="nil" w:sz="6" w:space="0" w:color="auto"/>
              <w:bottom w:val="single" w:sz="4" w:space="0" w:color="5B9BD4"/>
              <w:right w:val="nil" w:sz="6" w:space="0" w:color="auto"/>
            </w:tcBorders>
          </w:tcPr>
          <w:p>
            <w:pPr/>
          </w:p>
        </w:tc>
      </w:tr>
      <w:tr>
        <w:trPr>
          <w:trHeight w:val="402" w:hRule="exact"/>
        </w:trPr>
        <w:tc>
          <w:tcPr>
            <w:tcW w:w="8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陈思平</w:t>
            </w:r>
          </w:p>
        </w:tc>
        <w:tc>
          <w:tcPr>
            <w:tcW w:w="2378"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宏达高科控股股份有限公司</w:t>
            </w:r>
          </w:p>
        </w:tc>
        <w:tc>
          <w:tcPr>
            <w:tcW w:w="123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054"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46"/>
              <w:ind w:right="432"/>
              <w:jc w:val="righ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09</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18</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66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right="57"/>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09</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18</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363" w:type="dxa"/>
            <w:tcBorders>
              <w:top w:val="single" w:sz="4" w:space="0" w:color="5B9BD4"/>
              <w:left w:val="single" w:sz="12" w:space="0" w:color="DEEAF6"/>
              <w:bottom w:val="single" w:sz="4" w:space="0" w:color="5B9BD4"/>
              <w:right w:val="nil" w:sz="6" w:space="0" w:color="auto"/>
            </w:tcBorders>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1"/>
        <w:rPr>
          <w:rFonts w:ascii="宋体" w:hAnsi="宋体" w:cs="宋体" w:eastAsia="宋体" w:hint="default"/>
          <w:sz w:val="6"/>
          <w:szCs w:val="6"/>
        </w:rPr>
      </w:pPr>
    </w:p>
    <w:p>
      <w:pPr>
        <w:pStyle w:val="Heading1"/>
        <w:spacing w:line="409" w:lineRule="exact"/>
        <w:ind w:left="154" w:right="0"/>
        <w:jc w:val="left"/>
        <w:rPr>
          <w:b w:val="0"/>
          <w:bCs w:val="0"/>
        </w:rPr>
      </w:pPr>
      <w:bookmarkStart w:name="8.4 董事、监事、高级管理人员报酬情况" w:id="204"/>
      <w:bookmarkEnd w:id="204"/>
      <w:r>
        <w:rPr>
          <w:b w:val="0"/>
          <w:bCs w:val="0"/>
        </w:rPr>
      </w:r>
      <w:bookmarkStart w:name="_bookmark60" w:id="205"/>
      <w:bookmarkEnd w:id="205"/>
      <w:r>
        <w:rPr>
          <w:b w:val="0"/>
          <w:bCs w:val="0"/>
        </w:rPr>
      </w:r>
      <w:r>
        <w:rPr>
          <w:rFonts w:ascii="Trebuchet MS" w:hAnsi="Trebuchet MS" w:cs="Trebuchet MS" w:eastAsia="Trebuchet MS" w:hint="default"/>
        </w:rPr>
        <w:t>8.4</w:t>
      </w:r>
      <w:r>
        <w:rPr>
          <w:rFonts w:ascii="Trebuchet MS" w:hAnsi="Trebuchet MS" w:cs="Trebuchet MS" w:eastAsia="Trebuchet MS" w:hint="default"/>
          <w:spacing w:val="14"/>
        </w:rPr>
        <w:t> </w:t>
      </w:r>
      <w:r>
        <w:rPr/>
        <w:t>董事、监事、高级管理人员报酬情况</w:t>
      </w:r>
      <w:r>
        <w:rPr>
          <w:b w:val="0"/>
          <w:bCs w:val="0"/>
        </w:rPr>
      </w:r>
    </w:p>
    <w:p>
      <w:pPr>
        <w:spacing w:line="240" w:lineRule="auto" w:before="1"/>
        <w:rPr>
          <w:rFonts w:ascii="Microsoft JhengHei" w:hAnsi="Microsoft JhengHei" w:cs="Microsoft JhengHei" w:eastAsia="Microsoft JhengHei" w:hint="default"/>
          <w:b/>
          <w:bCs/>
          <w:sz w:val="27"/>
          <w:szCs w:val="27"/>
        </w:rPr>
      </w:pPr>
    </w:p>
    <w:p>
      <w:pPr>
        <w:pStyle w:val="Heading2"/>
        <w:spacing w:line="240" w:lineRule="auto"/>
        <w:ind w:right="0"/>
        <w:jc w:val="left"/>
        <w:rPr>
          <w:b w:val="0"/>
          <w:bCs w:val="0"/>
        </w:rPr>
      </w:pPr>
      <w:bookmarkStart w:name="8.4.1 董事、监事、高级管理人员报酬的决策依据和决策程序" w:id="206"/>
      <w:bookmarkEnd w:id="206"/>
      <w:r>
        <w:rPr>
          <w:b w:val="0"/>
          <w:bCs w:val="0"/>
        </w:rPr>
      </w:r>
      <w:r>
        <w:rPr>
          <w:rFonts w:ascii="Trebuchet MS" w:hAnsi="Trebuchet MS" w:cs="Trebuchet MS" w:eastAsia="Trebuchet MS" w:hint="default"/>
        </w:rPr>
        <w:t>8.4.1</w:t>
      </w:r>
      <w:r>
        <w:rPr>
          <w:rFonts w:ascii="Trebuchet MS" w:hAnsi="Trebuchet MS" w:cs="Trebuchet MS" w:eastAsia="Trebuchet MS" w:hint="default"/>
          <w:spacing w:val="-18"/>
        </w:rPr>
        <w:t> </w:t>
      </w:r>
      <w:r>
        <w:rPr/>
        <w:t>董事、监事、高级管理人员报酬的决策依据和决策程序</w:t>
      </w:r>
      <w:r>
        <w:rPr>
          <w:b w:val="0"/>
          <w:bCs w:val="0"/>
        </w:rPr>
      </w:r>
    </w:p>
    <w:p>
      <w:pPr>
        <w:spacing w:line="240" w:lineRule="auto" w:before="11"/>
        <w:rPr>
          <w:rFonts w:ascii="Microsoft JhengHei" w:hAnsi="Microsoft JhengHei" w:cs="Microsoft JhengHei" w:eastAsia="Microsoft JhengHei" w:hint="default"/>
          <w:b/>
          <w:bCs/>
          <w:sz w:val="26"/>
          <w:szCs w:val="26"/>
        </w:rPr>
      </w:pPr>
    </w:p>
    <w:p>
      <w:pPr>
        <w:pStyle w:val="BodyText"/>
        <w:spacing w:line="453" w:lineRule="auto"/>
        <w:ind w:left="573" w:right="0"/>
        <w:jc w:val="left"/>
      </w:pPr>
      <w:r>
        <w:rPr>
          <w:rFonts w:ascii="Trebuchet MS" w:hAnsi="Trebuchet MS" w:cs="Trebuchet MS" w:eastAsia="Trebuchet MS" w:hint="default"/>
          <w:b/>
          <w:bCs/>
        </w:rPr>
        <w:t>1</w:t>
      </w:r>
      <w:r>
        <w:rPr>
          <w:rFonts w:ascii="Microsoft JhengHei" w:hAnsi="Microsoft JhengHei" w:cs="Microsoft JhengHei" w:eastAsia="Microsoft JhengHei" w:hint="default"/>
          <w:b/>
          <w:bCs/>
        </w:rPr>
        <w:t>、决策依据 </w:t>
      </w:r>
      <w:r>
        <w:rPr/>
        <w:t>根据公司《章程》、《股东大会议事规则》、《董事、监事薪酬管理办法》等相关规定，公司董事、</w:t>
      </w:r>
    </w:p>
    <w:p>
      <w:pPr>
        <w:pStyle w:val="BodyText"/>
        <w:spacing w:line="408" w:lineRule="auto" w:before="6"/>
        <w:ind w:right="0"/>
        <w:jc w:val="left"/>
      </w:pPr>
      <w:r>
        <w:rPr>
          <w:spacing w:val="-1"/>
        </w:rPr>
        <w:t>监事的报酬由公司股东大会决定，公司高级管理人员的报酬由公司董事会决定。薪酬与考核委员会研究和</w:t>
      </w:r>
      <w:r>
        <w:rPr>
          <w:spacing w:val="-81"/>
        </w:rPr>
        <w:t> </w:t>
      </w:r>
      <w:r>
        <w:rPr>
          <w:spacing w:val="-81"/>
        </w:rPr>
      </w:r>
      <w:r>
        <w:rPr/>
        <w:t>审查董事、高级管理人员的薪酬政策与方案。</w:t>
      </w:r>
    </w:p>
    <w:p>
      <w:pPr>
        <w:pStyle w:val="Heading5"/>
        <w:spacing w:line="240" w:lineRule="auto" w:before="135"/>
        <w:ind w:left="573" w:right="0"/>
        <w:jc w:val="left"/>
        <w:rPr>
          <w:rFonts w:ascii="Microsoft JhengHei" w:hAnsi="Microsoft JhengHei" w:cs="Microsoft JhengHei" w:eastAsia="Microsoft JhengHei" w:hint="default"/>
          <w:b w:val="0"/>
          <w:bCs w:val="0"/>
        </w:rPr>
      </w:pPr>
      <w:r>
        <w:rPr>
          <w:rFonts w:ascii="Trebuchet MS" w:hAnsi="Trebuchet MS" w:cs="Trebuchet MS" w:eastAsia="Trebuchet MS" w:hint="default"/>
        </w:rPr>
        <w:t>2</w:t>
      </w:r>
      <w:r>
        <w:rPr>
          <w:rFonts w:ascii="Microsoft JhengHei" w:hAnsi="Microsoft JhengHei" w:cs="Microsoft JhengHei" w:eastAsia="Microsoft JhengHei" w:hint="default"/>
        </w:rPr>
        <w:t>、确定程序</w:t>
      </w:r>
      <w:r>
        <w:rPr>
          <w:rFonts w:ascii="Microsoft JhengHei" w:hAnsi="Microsoft JhengHei" w:cs="Microsoft JhengHei" w:eastAsia="Microsoft JhengHei" w:hint="default"/>
          <w:b w:val="0"/>
          <w:bCs w:val="0"/>
        </w:rPr>
      </w:r>
    </w:p>
    <w:p>
      <w:pPr>
        <w:spacing w:line="240" w:lineRule="auto" w:before="12"/>
        <w:rPr>
          <w:rFonts w:ascii="Microsoft JhengHei" w:hAnsi="Microsoft JhengHei" w:cs="Microsoft JhengHei" w:eastAsia="Microsoft JhengHei" w:hint="default"/>
          <w:b/>
          <w:bCs/>
          <w:sz w:val="18"/>
          <w:szCs w:val="18"/>
        </w:rPr>
      </w:pPr>
    </w:p>
    <w:p>
      <w:pPr>
        <w:pStyle w:val="BodyText"/>
        <w:spacing w:line="240" w:lineRule="auto"/>
        <w:ind w:left="573" w:right="0"/>
        <w:jc w:val="left"/>
      </w:pPr>
      <w:r>
        <w:rPr/>
        <w:t>（</w:t>
      </w:r>
      <w:r>
        <w:rPr>
          <w:rFonts w:ascii="Arial" w:hAnsi="Arial" w:cs="Arial" w:eastAsia="Arial" w:hint="default"/>
        </w:rPr>
        <w:t>1</w:t>
      </w:r>
      <w:r>
        <w:rPr/>
        <w:t>）公司根据《董事、监事薪酬管理办法》发放董事、监事津贴。</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388" w:lineRule="auto" w:before="18"/>
        <w:ind w:right="1131" w:firstLine="420"/>
        <w:jc w:val="both"/>
      </w:pPr>
      <w:r>
        <w:rPr/>
        <w:t>（</w:t>
      </w:r>
      <w:r>
        <w:rPr>
          <w:rFonts w:ascii="Arial" w:hAnsi="Arial" w:cs="Arial" w:eastAsia="Arial" w:hint="default"/>
        </w:rPr>
        <w:t>2</w:t>
      </w:r>
      <w:r>
        <w:rPr/>
        <w:t>）公司于</w:t>
      </w:r>
      <w:r>
        <w:rPr>
          <w:rFonts w:ascii="Arial" w:hAnsi="Arial" w:cs="Arial" w:eastAsia="Arial" w:hint="default"/>
        </w:rPr>
        <w:t>2014</w:t>
      </w:r>
      <w:r>
        <w:rPr/>
        <w:t>年</w:t>
      </w:r>
      <w:r>
        <w:rPr>
          <w:rFonts w:ascii="Arial" w:hAnsi="Arial" w:cs="Arial" w:eastAsia="Arial" w:hint="default"/>
        </w:rPr>
        <w:t>3</w:t>
      </w:r>
      <w:r>
        <w:rPr/>
        <w:t>月</w:t>
      </w:r>
      <w:r>
        <w:rPr>
          <w:rFonts w:ascii="Arial" w:hAnsi="Arial" w:cs="Arial" w:eastAsia="Arial" w:hint="default"/>
        </w:rPr>
        <w:t>31</w:t>
      </w:r>
      <w:r>
        <w:rPr/>
        <w:t>日召开了董事会薪酬委员会</w:t>
      </w:r>
      <w:r>
        <w:rPr>
          <w:rFonts w:ascii="Arial" w:hAnsi="Arial" w:cs="Arial" w:eastAsia="Arial" w:hint="default"/>
        </w:rPr>
        <w:t>2014</w:t>
      </w:r>
      <w:r>
        <w:rPr/>
        <w:t>年第一次会议审议通过了《关于调整</w:t>
      </w:r>
      <w:r>
        <w:rPr>
          <w:rFonts w:ascii="Arial" w:hAnsi="Arial" w:cs="Arial" w:eastAsia="Arial" w:hint="default"/>
        </w:rPr>
        <w:t>2014</w:t>
      </w:r>
      <w:r>
        <w:rPr>
          <w:rFonts w:ascii="Arial" w:hAnsi="Arial" w:cs="Arial" w:eastAsia="Arial" w:hint="default"/>
          <w:w w:val="99"/>
        </w:rPr>
        <w:t> </w:t>
      </w:r>
      <w:r>
        <w:rPr>
          <w:spacing w:val="-6"/>
          <w:w w:val="99"/>
        </w:rPr>
        <w:t>年董事薪酬的议案》、《关于调整</w:t>
      </w:r>
      <w:r>
        <w:rPr>
          <w:rFonts w:ascii="Arial" w:hAnsi="Arial" w:cs="Arial" w:eastAsia="Arial" w:hint="default"/>
          <w:spacing w:val="-6"/>
          <w:w w:val="99"/>
        </w:rPr>
        <w:t>2014</w:t>
      </w:r>
      <w:r>
        <w:rPr>
          <w:spacing w:val="-6"/>
          <w:w w:val="99"/>
        </w:rPr>
        <w:t>年高级管理人员薪酬的议案》，该议案并经公司第三届董事会第八次</w:t>
      </w:r>
    </w:p>
    <w:p>
      <w:pPr>
        <w:pStyle w:val="BodyText"/>
        <w:spacing w:line="388" w:lineRule="auto" w:before="32"/>
        <w:ind w:left="154" w:right="1125"/>
        <w:jc w:val="left"/>
      </w:pPr>
      <w:r>
        <w:rPr/>
        <w:t>（定期）会议审议通过。其中《关于调整</w:t>
      </w:r>
      <w:r>
        <w:rPr>
          <w:rFonts w:ascii="Arial" w:hAnsi="Arial" w:cs="Arial" w:eastAsia="Arial" w:hint="default"/>
        </w:rPr>
        <w:t>2014</w:t>
      </w:r>
      <w:r>
        <w:rPr/>
        <w:t>年董事薪酬的议案》已经公司</w:t>
      </w:r>
      <w:r>
        <w:rPr>
          <w:rFonts w:ascii="Arial" w:hAnsi="Arial" w:cs="Arial" w:eastAsia="Arial" w:hint="default"/>
        </w:rPr>
        <w:t>2013</w:t>
      </w:r>
      <w:r>
        <w:rPr/>
        <w:t>年年度股东大会审议通</w:t>
      </w:r>
      <w:r>
        <w:rPr>
          <w:spacing w:val="-25"/>
        </w:rPr>
        <w:t> </w:t>
      </w:r>
      <w:r>
        <w:rPr/>
        <w:t>过。</w:t>
      </w:r>
    </w:p>
    <w:p>
      <w:pPr>
        <w:spacing w:line="240" w:lineRule="auto" w:before="10"/>
        <w:rPr>
          <w:rFonts w:ascii="宋体" w:hAnsi="宋体" w:cs="宋体" w:eastAsia="宋体" w:hint="default"/>
          <w:sz w:val="16"/>
          <w:szCs w:val="16"/>
        </w:rPr>
      </w:pPr>
    </w:p>
    <w:p>
      <w:pPr>
        <w:pStyle w:val="BodyText"/>
        <w:spacing w:line="393" w:lineRule="auto"/>
        <w:ind w:right="1133" w:firstLine="420"/>
        <w:jc w:val="both"/>
      </w:pPr>
      <w:r>
        <w:rPr/>
        <w:t>（</w:t>
      </w:r>
      <w:r>
        <w:rPr>
          <w:rFonts w:ascii="Arial" w:hAnsi="Arial" w:cs="Arial" w:eastAsia="Arial" w:hint="default"/>
        </w:rPr>
        <w:t>3</w:t>
      </w:r>
      <w:r>
        <w:rPr/>
        <w:t>）公司于</w:t>
      </w:r>
      <w:r>
        <w:rPr>
          <w:rFonts w:ascii="Arial" w:hAnsi="Arial" w:cs="Arial" w:eastAsia="Arial" w:hint="default"/>
        </w:rPr>
        <w:t>2015</w:t>
      </w:r>
      <w:r>
        <w:rPr/>
        <w:t>年</w:t>
      </w:r>
      <w:r>
        <w:rPr>
          <w:rFonts w:ascii="Arial" w:hAnsi="Arial" w:cs="Arial" w:eastAsia="Arial" w:hint="default"/>
        </w:rPr>
        <w:t>2</w:t>
      </w:r>
      <w:r>
        <w:rPr/>
        <w:t>月</w:t>
      </w:r>
      <w:r>
        <w:rPr>
          <w:rFonts w:ascii="Arial" w:hAnsi="Arial" w:cs="Arial" w:eastAsia="Arial" w:hint="default"/>
        </w:rPr>
        <w:t>27</w:t>
      </w:r>
      <w:r>
        <w:rPr/>
        <w:t>日召开董事会薪酬委员会</w:t>
      </w:r>
      <w:r>
        <w:rPr>
          <w:rFonts w:ascii="Arial" w:hAnsi="Arial" w:cs="Arial" w:eastAsia="Arial" w:hint="default"/>
        </w:rPr>
        <w:t>2015</w:t>
      </w:r>
      <w:r>
        <w:rPr/>
        <w:t>年第一次会议审议通过了《关于确定财务负 </w:t>
      </w:r>
      <w:r>
        <w:rPr>
          <w:spacing w:val="-2"/>
          <w:w w:val="99"/>
        </w:rPr>
        <w:t>责人米泽东先生薪酬的议案》，</w:t>
      </w:r>
      <w:r>
        <w:rPr>
          <w:rFonts w:ascii="Arial" w:hAnsi="Arial" w:cs="Arial" w:eastAsia="Arial" w:hint="default"/>
          <w:spacing w:val="-2"/>
          <w:w w:val="99"/>
        </w:rPr>
        <w:t>2015</w:t>
      </w:r>
      <w:r>
        <w:rPr>
          <w:spacing w:val="-2"/>
          <w:w w:val="99"/>
        </w:rPr>
        <w:t>年</w:t>
      </w:r>
      <w:r>
        <w:rPr>
          <w:rFonts w:ascii="Arial" w:hAnsi="Arial" w:cs="Arial" w:eastAsia="Arial" w:hint="default"/>
          <w:spacing w:val="-2"/>
          <w:w w:val="99"/>
        </w:rPr>
        <w:t>3</w:t>
      </w:r>
      <w:r>
        <w:rPr>
          <w:spacing w:val="-2"/>
          <w:w w:val="99"/>
        </w:rPr>
        <w:t>月</w:t>
      </w:r>
      <w:r>
        <w:rPr>
          <w:rFonts w:ascii="Arial" w:hAnsi="Arial" w:cs="Arial" w:eastAsia="Arial" w:hint="default"/>
          <w:spacing w:val="-2"/>
          <w:w w:val="99"/>
        </w:rPr>
        <w:t>3</w:t>
      </w:r>
      <w:r>
        <w:rPr>
          <w:spacing w:val="-2"/>
          <w:w w:val="99"/>
        </w:rPr>
        <w:t>日公司第三届董事会第二十三次（临时）会议审议通过了《关</w:t>
      </w:r>
      <w:r>
        <w:rPr>
          <w:spacing w:val="-100"/>
          <w:w w:val="99"/>
        </w:rPr>
        <w:t> </w:t>
      </w:r>
      <w:r>
        <w:rPr>
          <w:spacing w:val="-100"/>
          <w:w w:val="99"/>
        </w:rPr>
      </w:r>
      <w:r>
        <w:rPr>
          <w:spacing w:val="-1"/>
        </w:rPr>
        <w:t>于聘任米泽东先生为公司财务负责人并确认其薪酬的议案》，确定米泽东先生的薪酬根据公司实际经营情</w:t>
      </w:r>
      <w:r>
        <w:rPr>
          <w:spacing w:val="-94"/>
        </w:rPr>
        <w:t> </w:t>
      </w:r>
      <w:r>
        <w:rPr>
          <w:spacing w:val="-94"/>
        </w:rPr>
      </w:r>
      <w:r>
        <w:rPr/>
        <w:t>况及行业发展水平制定，并按照公司高级管理人员薪酬考核标准执行。</w:t>
      </w:r>
    </w:p>
    <w:p>
      <w:pPr>
        <w:spacing w:line="240" w:lineRule="auto" w:before="5"/>
        <w:rPr>
          <w:rFonts w:ascii="宋体" w:hAnsi="宋体" w:cs="宋体" w:eastAsia="宋体" w:hint="default"/>
          <w:sz w:val="16"/>
          <w:szCs w:val="16"/>
        </w:rPr>
      </w:pPr>
    </w:p>
    <w:p>
      <w:pPr>
        <w:pStyle w:val="BodyText"/>
        <w:spacing w:line="398" w:lineRule="auto"/>
        <w:ind w:right="1131" w:firstLine="420"/>
        <w:jc w:val="both"/>
      </w:pPr>
      <w:r>
        <w:rPr/>
        <w:t>（</w:t>
      </w:r>
      <w:r>
        <w:rPr>
          <w:rFonts w:ascii="Arial" w:hAnsi="Arial" w:cs="Arial" w:eastAsia="Arial" w:hint="default"/>
        </w:rPr>
        <w:t>4</w:t>
      </w:r>
      <w:r>
        <w:rPr/>
        <w:t>）公司于</w:t>
      </w:r>
      <w:r>
        <w:rPr>
          <w:rFonts w:ascii="Arial" w:hAnsi="Arial" w:cs="Arial" w:eastAsia="Arial" w:hint="default"/>
        </w:rPr>
        <w:t>2015</w:t>
      </w:r>
      <w:r>
        <w:rPr/>
        <w:t>年</w:t>
      </w:r>
      <w:r>
        <w:rPr>
          <w:rFonts w:ascii="Arial" w:hAnsi="Arial" w:cs="Arial" w:eastAsia="Arial" w:hint="default"/>
        </w:rPr>
        <w:t>8</w:t>
      </w:r>
      <w:r>
        <w:rPr/>
        <w:t>月</w:t>
      </w:r>
      <w:r>
        <w:rPr>
          <w:rFonts w:ascii="Arial" w:hAnsi="Arial" w:cs="Arial" w:eastAsia="Arial" w:hint="default"/>
        </w:rPr>
        <w:t>10</w:t>
      </w:r>
      <w:r>
        <w:rPr/>
        <w:t>日召开董事会薪酬委员会</w:t>
      </w:r>
      <w:r>
        <w:rPr>
          <w:rFonts w:ascii="Arial" w:hAnsi="Arial" w:cs="Arial" w:eastAsia="Arial" w:hint="default"/>
        </w:rPr>
        <w:t>2015</w:t>
      </w:r>
      <w:r>
        <w:rPr/>
        <w:t>年第二次会议审议通过了《关于确定公司副 </w:t>
      </w:r>
      <w:r>
        <w:rPr>
          <w:spacing w:val="-5"/>
          <w:w w:val="99"/>
        </w:rPr>
        <w:t>总裁薪酬的议案》，</w:t>
      </w:r>
      <w:r>
        <w:rPr>
          <w:rFonts w:ascii="Arial" w:hAnsi="Arial" w:cs="Arial" w:eastAsia="Arial" w:hint="default"/>
          <w:spacing w:val="-5"/>
          <w:w w:val="99"/>
        </w:rPr>
        <w:t>2015</w:t>
      </w:r>
      <w:r>
        <w:rPr>
          <w:spacing w:val="-5"/>
          <w:w w:val="99"/>
        </w:rPr>
        <w:t>年</w:t>
      </w:r>
      <w:r>
        <w:rPr>
          <w:rFonts w:ascii="Arial" w:hAnsi="Arial" w:cs="Arial" w:eastAsia="Arial" w:hint="default"/>
          <w:spacing w:val="-5"/>
          <w:w w:val="99"/>
        </w:rPr>
        <w:t>8</w:t>
      </w:r>
      <w:r>
        <w:rPr>
          <w:spacing w:val="-5"/>
          <w:w w:val="99"/>
        </w:rPr>
        <w:t>月</w:t>
      </w:r>
      <w:r>
        <w:rPr>
          <w:rFonts w:ascii="Arial" w:hAnsi="Arial" w:cs="Arial" w:eastAsia="Arial" w:hint="default"/>
          <w:spacing w:val="-5"/>
          <w:w w:val="99"/>
        </w:rPr>
        <w:t>21</w:t>
      </w:r>
      <w:r>
        <w:rPr>
          <w:spacing w:val="-5"/>
          <w:w w:val="99"/>
        </w:rPr>
        <w:t>日公司第三届董事会第二十八次（定期）会议审议通过了《关于聘任公司</w:t>
      </w:r>
      <w:r>
        <w:rPr>
          <w:spacing w:val="-63"/>
          <w:w w:val="99"/>
        </w:rPr>
        <w:t> </w:t>
      </w:r>
      <w:r>
        <w:rPr>
          <w:spacing w:val="-63"/>
          <w:w w:val="99"/>
        </w:rPr>
      </w:r>
      <w:r>
        <w:rPr>
          <w:spacing w:val="-1"/>
        </w:rPr>
        <w:t>副总裁并确认其薪酬的议案》，新聘任的公司副总裁刘红花女士、米泽东先生、余斌先生和杨治先生的薪</w:t>
      </w:r>
      <w:r>
        <w:rPr>
          <w:spacing w:val="-94"/>
        </w:rPr>
        <w:t> </w:t>
      </w:r>
      <w:r>
        <w:rPr>
          <w:spacing w:val="-94"/>
        </w:rPr>
      </w:r>
      <w:r>
        <w:rPr>
          <w:spacing w:val="-1"/>
        </w:rPr>
        <w:t>酬将根据《薪酬与考核委员会实施细则》和公司高级管理人员薪酬考核的相关规定，依据公司实际经营情</w:t>
      </w:r>
      <w:r>
        <w:rPr>
          <w:spacing w:val="-83"/>
        </w:rPr>
        <w:t> </w:t>
      </w:r>
      <w:r>
        <w:rPr>
          <w:spacing w:val="-83"/>
        </w:rPr>
      </w:r>
      <w:r>
        <w:rPr/>
        <w:t>况及行业发展水平制定，并按照公司高级管理人员薪酬考核标准执行。</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bookmarkStart w:name="8.4.2 公司报告期内董事、监事和高级管理人员报酬情况" w:id="207"/>
      <w:bookmarkEnd w:id="207"/>
      <w:r>
        <w:rPr>
          <w:b w:val="0"/>
          <w:bCs w:val="0"/>
        </w:rPr>
      </w:r>
      <w:r>
        <w:rPr>
          <w:rFonts w:ascii="Trebuchet MS" w:hAnsi="Trebuchet MS" w:cs="Trebuchet MS" w:eastAsia="Trebuchet MS" w:hint="default"/>
        </w:rPr>
        <w:t>8.4.2</w:t>
      </w:r>
      <w:r>
        <w:rPr>
          <w:rFonts w:ascii="Trebuchet MS" w:hAnsi="Trebuchet MS" w:cs="Trebuchet MS" w:eastAsia="Trebuchet MS" w:hint="default"/>
          <w:spacing w:val="-18"/>
        </w:rPr>
        <w:t> </w:t>
      </w:r>
      <w:r>
        <w:rPr/>
        <w:t>公司报告期内董事、监事和高级管理人员报酬情况</w:t>
      </w:r>
      <w:r>
        <w:rPr>
          <w:b w:val="0"/>
          <w:bCs w:val="0"/>
        </w:rPr>
      </w:r>
    </w:p>
    <w:p>
      <w:pPr>
        <w:spacing w:line="240" w:lineRule="auto" w:before="1"/>
        <w:rPr>
          <w:rFonts w:ascii="Microsoft JhengHei" w:hAnsi="Microsoft JhengHei" w:cs="Microsoft JhengHei" w:eastAsia="Microsoft JhengHei" w:hint="default"/>
          <w:b/>
          <w:bCs/>
          <w:sz w:val="26"/>
          <w:szCs w:val="26"/>
        </w:rPr>
      </w:pPr>
    </w:p>
    <w:p>
      <w:pPr>
        <w:pStyle w:val="BodyText"/>
        <w:spacing w:line="240" w:lineRule="auto"/>
        <w:ind w:left="0" w:right="1130"/>
        <w:jc w:val="right"/>
      </w:pPr>
      <w:r>
        <w:rPr/>
        <w:t>单位：万元</w:t>
      </w:r>
    </w:p>
    <w:p>
      <w:pPr>
        <w:spacing w:line="240" w:lineRule="auto" w:before="4"/>
        <w:rPr>
          <w:rFonts w:ascii="宋体" w:hAnsi="宋体" w:cs="宋体" w:eastAsia="宋体" w:hint="default"/>
          <w:sz w:val="7"/>
          <w:szCs w:val="7"/>
        </w:rPr>
      </w:pPr>
    </w:p>
    <w:tbl>
      <w:tblPr>
        <w:tblW w:w="0" w:type="auto"/>
        <w:jc w:val="left"/>
        <w:tblInd w:w="852" w:type="dxa"/>
        <w:tblLayout w:type="fixed"/>
        <w:tblCellMar>
          <w:top w:w="0" w:type="dxa"/>
          <w:left w:w="0" w:type="dxa"/>
          <w:bottom w:w="0" w:type="dxa"/>
          <w:right w:w="0" w:type="dxa"/>
        </w:tblCellMar>
        <w:tblLook w:val="01E0"/>
      </w:tblPr>
      <w:tblGrid>
        <w:gridCol w:w="1985"/>
        <w:gridCol w:w="1962"/>
        <w:gridCol w:w="1346"/>
        <w:gridCol w:w="1395"/>
        <w:gridCol w:w="1544"/>
      </w:tblGrid>
      <w:tr>
        <w:trPr>
          <w:trHeight w:val="181" w:hRule="exact"/>
        </w:trPr>
        <w:tc>
          <w:tcPr>
            <w:tcW w:w="5293" w:type="dxa"/>
            <w:gridSpan w:val="3"/>
            <w:tcBorders>
              <w:top w:val="single" w:sz="4" w:space="0" w:color="5B9BD4"/>
              <w:left w:val="nil" w:sz="6" w:space="0" w:color="auto"/>
              <w:bottom w:val="nil" w:sz="6" w:space="0" w:color="auto"/>
              <w:right w:val="nil" w:sz="6" w:space="0" w:color="auto"/>
            </w:tcBorders>
            <w:shd w:val="clear" w:color="auto" w:fill="DEEAF6"/>
          </w:tcPr>
          <w:p>
            <w:pPr/>
          </w:p>
        </w:tc>
        <w:tc>
          <w:tcPr>
            <w:tcW w:w="1395" w:type="dxa"/>
            <w:vMerge w:val="restart"/>
            <w:tcBorders>
              <w:top w:val="single" w:sz="4" w:space="0" w:color="5B9BD4"/>
              <w:left w:val="nil" w:sz="6" w:space="0" w:color="auto"/>
              <w:right w:val="nil" w:sz="6" w:space="0" w:color="auto"/>
            </w:tcBorders>
            <w:shd w:val="clear" w:color="auto" w:fill="DEEAF6"/>
          </w:tcPr>
          <w:p>
            <w:pPr>
              <w:pStyle w:val="TableParagraph"/>
              <w:spacing w:line="357" w:lineRule="auto" w:before="47"/>
              <w:ind w:left="337" w:right="156"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544" w:type="dxa"/>
            <w:vMerge w:val="restart"/>
            <w:tcBorders>
              <w:top w:val="single" w:sz="4" w:space="0" w:color="5B9BD4"/>
              <w:left w:val="nil" w:sz="6" w:space="0" w:color="auto"/>
              <w:right w:val="nil" w:sz="6" w:space="0" w:color="auto"/>
            </w:tcBorders>
            <w:shd w:val="clear" w:color="auto" w:fill="DEEAF6"/>
          </w:tcPr>
          <w:p>
            <w:pPr>
              <w:pStyle w:val="TableParagraph"/>
              <w:spacing w:line="319" w:lineRule="auto" w:before="66"/>
              <w:ind w:left="412" w:right="50" w:hanging="360"/>
              <w:jc w:val="left"/>
              <w:rPr>
                <w:rFonts w:ascii="宋体" w:hAnsi="宋体" w:cs="宋体" w:eastAsia="宋体" w:hint="default"/>
                <w:sz w:val="18"/>
                <w:szCs w:val="18"/>
              </w:rPr>
            </w:pPr>
            <w:r>
              <w:rPr>
                <w:rFonts w:ascii="宋体" w:hAnsi="宋体" w:cs="宋体" w:eastAsia="宋体" w:hint="default"/>
                <w:sz w:val="18"/>
                <w:szCs w:val="18"/>
              </w:rPr>
              <w:t>是否在公司关联方 获取报酬</w:t>
            </w:r>
          </w:p>
        </w:tc>
      </w:tr>
      <w:tr>
        <w:trPr>
          <w:trHeight w:val="392" w:hRule="exact"/>
        </w:trPr>
        <w:tc>
          <w:tcPr>
            <w:tcW w:w="1985"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right="6"/>
              <w:jc w:val="center"/>
              <w:rPr>
                <w:rFonts w:ascii="宋体" w:hAnsi="宋体" w:cs="宋体" w:eastAsia="宋体" w:hint="default"/>
                <w:sz w:val="18"/>
                <w:szCs w:val="18"/>
              </w:rPr>
            </w:pPr>
            <w:r>
              <w:rPr>
                <w:rFonts w:ascii="宋体" w:hAnsi="宋体" w:cs="宋体" w:eastAsia="宋体" w:hint="default"/>
                <w:sz w:val="18"/>
                <w:szCs w:val="18"/>
              </w:rPr>
              <w:t>姓名</w:t>
            </w:r>
          </w:p>
        </w:tc>
        <w:tc>
          <w:tcPr>
            <w:tcW w:w="1962"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46"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6"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95" w:type="dxa"/>
            <w:vMerge/>
            <w:tcBorders>
              <w:left w:val="nil" w:sz="6" w:space="0" w:color="auto"/>
              <w:right w:val="nil" w:sz="6" w:space="0" w:color="auto"/>
            </w:tcBorders>
            <w:shd w:val="clear" w:color="auto" w:fill="DEEAF6"/>
          </w:tcPr>
          <w:p>
            <w:pPr/>
          </w:p>
        </w:tc>
        <w:tc>
          <w:tcPr>
            <w:tcW w:w="1544" w:type="dxa"/>
            <w:vMerge/>
            <w:tcBorders>
              <w:left w:val="nil" w:sz="6" w:space="0" w:color="auto"/>
              <w:right w:val="nil" w:sz="6" w:space="0" w:color="auto"/>
            </w:tcBorders>
            <w:shd w:val="clear" w:color="auto" w:fill="DEEAF6"/>
          </w:tcPr>
          <w:p>
            <w:pPr/>
          </w:p>
        </w:tc>
      </w:tr>
      <w:tr>
        <w:trPr>
          <w:trHeight w:val="181" w:hRule="exact"/>
        </w:trPr>
        <w:tc>
          <w:tcPr>
            <w:tcW w:w="5293" w:type="dxa"/>
            <w:gridSpan w:val="3"/>
            <w:tcBorders>
              <w:top w:val="nil" w:sz="6" w:space="0" w:color="auto"/>
              <w:left w:val="nil" w:sz="6" w:space="0" w:color="auto"/>
              <w:bottom w:val="single" w:sz="4" w:space="0" w:color="5B9BD4"/>
              <w:right w:val="nil" w:sz="6" w:space="0" w:color="auto"/>
            </w:tcBorders>
            <w:shd w:val="clear" w:color="auto" w:fill="DEEAF6"/>
          </w:tcPr>
          <w:p>
            <w:pPr/>
          </w:p>
        </w:tc>
        <w:tc>
          <w:tcPr>
            <w:tcW w:w="1395" w:type="dxa"/>
            <w:vMerge/>
            <w:tcBorders>
              <w:left w:val="nil" w:sz="6" w:space="0" w:color="auto"/>
              <w:bottom w:val="single" w:sz="4" w:space="0" w:color="5B9BD4"/>
              <w:right w:val="nil" w:sz="6" w:space="0" w:color="auto"/>
            </w:tcBorders>
            <w:shd w:val="clear" w:color="auto" w:fill="DEEAF6"/>
          </w:tcPr>
          <w:p>
            <w:pPr/>
          </w:p>
        </w:tc>
        <w:tc>
          <w:tcPr>
            <w:tcW w:w="1544" w:type="dxa"/>
            <w:vMerge/>
            <w:tcBorders>
              <w:left w:val="nil" w:sz="6" w:space="0" w:color="auto"/>
              <w:bottom w:val="single" w:sz="4" w:space="0" w:color="5B9BD4"/>
              <w:right w:val="nil" w:sz="6" w:space="0" w:color="auto"/>
            </w:tcBorders>
            <w:shd w:val="clear" w:color="auto" w:fill="DEEAF6"/>
          </w:tcPr>
          <w:p>
            <w:pPr/>
          </w:p>
        </w:tc>
      </w:tr>
      <w:tr>
        <w:trPr>
          <w:trHeight w:val="402" w:hRule="exact"/>
        </w:trPr>
        <w:tc>
          <w:tcPr>
            <w:tcW w:w="198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right="6"/>
              <w:jc w:val="center"/>
              <w:rPr>
                <w:rFonts w:ascii="宋体" w:hAnsi="宋体" w:cs="宋体" w:eastAsia="宋体" w:hint="default"/>
                <w:sz w:val="18"/>
                <w:szCs w:val="18"/>
              </w:rPr>
            </w:pPr>
            <w:r>
              <w:rPr>
                <w:rFonts w:ascii="宋体" w:hAnsi="宋体" w:cs="宋体" w:eastAsia="宋体" w:hint="default"/>
                <w:sz w:val="18"/>
                <w:szCs w:val="18"/>
              </w:rPr>
              <w:t>黄文辉</w:t>
            </w:r>
          </w:p>
        </w:tc>
        <w:tc>
          <w:tcPr>
            <w:tcW w:w="1962"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46"/>
              <w:ind w:left="2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4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6"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95"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88"/>
              <w:ind w:right="407"/>
              <w:jc w:val="right"/>
              <w:rPr>
                <w:rFonts w:ascii="Arial" w:hAnsi="Arial" w:cs="Arial" w:eastAsia="Arial" w:hint="default"/>
                <w:sz w:val="18"/>
                <w:szCs w:val="18"/>
              </w:rPr>
            </w:pPr>
            <w:r>
              <w:rPr>
                <w:rFonts w:ascii="Arial"/>
                <w:w w:val="95"/>
                <w:sz w:val="18"/>
              </w:rPr>
              <w:t>320.95</w:t>
            </w:r>
            <w:r>
              <w:rPr>
                <w:rFonts w:ascii="Arial"/>
                <w:sz w:val="18"/>
              </w:rPr>
            </w:r>
          </w:p>
        </w:tc>
        <w:tc>
          <w:tcPr>
            <w:tcW w:w="154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68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8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right="6"/>
              <w:jc w:val="center"/>
              <w:rPr>
                <w:rFonts w:ascii="宋体" w:hAnsi="宋体" w:cs="宋体" w:eastAsia="宋体" w:hint="default"/>
                <w:sz w:val="18"/>
                <w:szCs w:val="18"/>
              </w:rPr>
            </w:pPr>
            <w:r>
              <w:rPr>
                <w:rFonts w:ascii="宋体" w:hAnsi="宋体" w:cs="宋体" w:eastAsia="宋体" w:hint="default"/>
                <w:sz w:val="18"/>
                <w:szCs w:val="18"/>
              </w:rPr>
              <w:t>周友盟</w:t>
            </w:r>
          </w:p>
        </w:tc>
        <w:tc>
          <w:tcPr>
            <w:tcW w:w="1962"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46"/>
              <w:ind w:left="20" w:right="0"/>
              <w:jc w:val="left"/>
              <w:rPr>
                <w:rFonts w:ascii="宋体" w:hAnsi="宋体" w:cs="宋体" w:eastAsia="宋体" w:hint="default"/>
                <w:sz w:val="18"/>
                <w:szCs w:val="18"/>
              </w:rPr>
            </w:pPr>
            <w:r>
              <w:rPr>
                <w:rFonts w:ascii="宋体" w:hAnsi="宋体" w:cs="宋体" w:eastAsia="宋体" w:hint="default"/>
                <w:sz w:val="18"/>
                <w:szCs w:val="18"/>
              </w:rPr>
              <w:t>副董事长、总裁</w:t>
            </w:r>
          </w:p>
        </w:tc>
        <w:tc>
          <w:tcPr>
            <w:tcW w:w="134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6"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95"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88"/>
              <w:ind w:right="407"/>
              <w:jc w:val="right"/>
              <w:rPr>
                <w:rFonts w:ascii="Arial" w:hAnsi="Arial" w:cs="Arial" w:eastAsia="Arial" w:hint="default"/>
                <w:sz w:val="18"/>
                <w:szCs w:val="18"/>
              </w:rPr>
            </w:pPr>
            <w:r>
              <w:rPr>
                <w:rFonts w:ascii="Arial"/>
                <w:w w:val="95"/>
                <w:sz w:val="18"/>
              </w:rPr>
              <w:t>310.81</w:t>
            </w:r>
            <w:r>
              <w:rPr>
                <w:rFonts w:ascii="Arial"/>
                <w:sz w:val="18"/>
              </w:rPr>
            </w:r>
          </w:p>
        </w:tc>
        <w:tc>
          <w:tcPr>
            <w:tcW w:w="154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68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8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right="6"/>
              <w:jc w:val="center"/>
              <w:rPr>
                <w:rFonts w:ascii="宋体" w:hAnsi="宋体" w:cs="宋体" w:eastAsia="宋体" w:hint="default"/>
                <w:sz w:val="18"/>
                <w:szCs w:val="18"/>
              </w:rPr>
            </w:pPr>
            <w:r>
              <w:rPr>
                <w:rFonts w:ascii="宋体" w:hAnsi="宋体" w:cs="宋体" w:eastAsia="宋体" w:hint="default"/>
                <w:sz w:val="18"/>
                <w:szCs w:val="18"/>
              </w:rPr>
              <w:t>黄绍武</w:t>
            </w:r>
          </w:p>
        </w:tc>
        <w:tc>
          <w:tcPr>
            <w:tcW w:w="1962"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46"/>
              <w:ind w:left="2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4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6"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95"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88"/>
              <w:ind w:right="0"/>
              <w:jc w:val="center"/>
              <w:rPr>
                <w:rFonts w:ascii="Arial" w:hAnsi="Arial" w:cs="Arial" w:eastAsia="Arial" w:hint="default"/>
                <w:sz w:val="18"/>
                <w:szCs w:val="18"/>
              </w:rPr>
            </w:pPr>
            <w:r>
              <w:rPr>
                <w:rFonts w:ascii="Arial"/>
                <w:w w:val="99"/>
                <w:sz w:val="18"/>
              </w:rPr>
              <w:t>0</w:t>
            </w:r>
            <w:r>
              <w:rPr>
                <w:rFonts w:ascii="Arial"/>
                <w:sz w:val="18"/>
              </w:rPr>
            </w:r>
          </w:p>
        </w:tc>
        <w:tc>
          <w:tcPr>
            <w:tcW w:w="154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68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8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right="6"/>
              <w:jc w:val="center"/>
              <w:rPr>
                <w:rFonts w:ascii="宋体" w:hAnsi="宋体" w:cs="宋体" w:eastAsia="宋体" w:hint="default"/>
                <w:sz w:val="18"/>
                <w:szCs w:val="18"/>
              </w:rPr>
            </w:pPr>
            <w:r>
              <w:rPr>
                <w:rFonts w:ascii="宋体" w:hAnsi="宋体" w:cs="宋体" w:eastAsia="宋体" w:hint="default"/>
                <w:sz w:val="18"/>
                <w:szCs w:val="18"/>
              </w:rPr>
              <w:t>喻子达</w:t>
            </w:r>
          </w:p>
        </w:tc>
        <w:tc>
          <w:tcPr>
            <w:tcW w:w="1962"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46"/>
              <w:ind w:left="2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4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6"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95"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88"/>
              <w:ind w:right="0"/>
              <w:jc w:val="center"/>
              <w:rPr>
                <w:rFonts w:ascii="Arial" w:hAnsi="Arial" w:cs="Arial" w:eastAsia="Arial" w:hint="default"/>
                <w:sz w:val="18"/>
                <w:szCs w:val="18"/>
              </w:rPr>
            </w:pPr>
            <w:r>
              <w:rPr>
                <w:rFonts w:ascii="Arial"/>
                <w:w w:val="99"/>
                <w:sz w:val="18"/>
              </w:rPr>
              <w:t>0</w:t>
            </w:r>
            <w:r>
              <w:rPr>
                <w:rFonts w:ascii="Arial"/>
                <w:sz w:val="18"/>
              </w:rPr>
            </w:r>
          </w:p>
        </w:tc>
        <w:tc>
          <w:tcPr>
            <w:tcW w:w="154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68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8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right="6"/>
              <w:jc w:val="center"/>
              <w:rPr>
                <w:rFonts w:ascii="宋体" w:hAnsi="宋体" w:cs="宋体" w:eastAsia="宋体" w:hint="default"/>
                <w:sz w:val="18"/>
                <w:szCs w:val="18"/>
              </w:rPr>
            </w:pPr>
            <w:r>
              <w:rPr>
                <w:rFonts w:ascii="宋体" w:hAnsi="宋体" w:cs="宋体" w:eastAsia="宋体" w:hint="default"/>
                <w:sz w:val="18"/>
                <w:szCs w:val="18"/>
              </w:rPr>
              <w:t>夏小华</w:t>
            </w:r>
          </w:p>
        </w:tc>
        <w:tc>
          <w:tcPr>
            <w:tcW w:w="1962"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46"/>
              <w:ind w:left="20" w:right="0"/>
              <w:jc w:val="left"/>
              <w:rPr>
                <w:rFonts w:ascii="宋体" w:hAnsi="宋体" w:cs="宋体" w:eastAsia="宋体" w:hint="default"/>
                <w:sz w:val="18"/>
                <w:szCs w:val="18"/>
              </w:rPr>
            </w:pPr>
            <w:r>
              <w:rPr>
                <w:rFonts w:ascii="宋体" w:hAnsi="宋体" w:cs="宋体" w:eastAsia="宋体" w:hint="default"/>
                <w:sz w:val="18"/>
                <w:szCs w:val="18"/>
              </w:rPr>
              <w:t>董事、高级副总裁</w:t>
            </w:r>
          </w:p>
        </w:tc>
        <w:tc>
          <w:tcPr>
            <w:tcW w:w="134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6"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95"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88"/>
              <w:ind w:right="407"/>
              <w:jc w:val="right"/>
              <w:rPr>
                <w:rFonts w:ascii="Arial" w:hAnsi="Arial" w:cs="Arial" w:eastAsia="Arial" w:hint="default"/>
                <w:sz w:val="18"/>
                <w:szCs w:val="18"/>
              </w:rPr>
            </w:pPr>
            <w:r>
              <w:rPr>
                <w:rFonts w:ascii="Arial"/>
                <w:w w:val="95"/>
                <w:sz w:val="18"/>
              </w:rPr>
              <w:t>209.09</w:t>
            </w:r>
            <w:r>
              <w:rPr>
                <w:rFonts w:ascii="Arial"/>
                <w:sz w:val="18"/>
              </w:rPr>
            </w:r>
          </w:p>
        </w:tc>
        <w:tc>
          <w:tcPr>
            <w:tcW w:w="154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68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8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right="6"/>
              <w:jc w:val="center"/>
              <w:rPr>
                <w:rFonts w:ascii="宋体" w:hAnsi="宋体" w:cs="宋体" w:eastAsia="宋体" w:hint="default"/>
                <w:sz w:val="18"/>
                <w:szCs w:val="18"/>
              </w:rPr>
            </w:pPr>
            <w:r>
              <w:rPr>
                <w:rFonts w:ascii="宋体" w:hAnsi="宋体" w:cs="宋体" w:eastAsia="宋体" w:hint="default"/>
                <w:sz w:val="18"/>
                <w:szCs w:val="18"/>
              </w:rPr>
              <w:t>吕良彪</w:t>
            </w:r>
          </w:p>
        </w:tc>
        <w:tc>
          <w:tcPr>
            <w:tcW w:w="1962"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46"/>
              <w:ind w:left="2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4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6"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95"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88"/>
              <w:ind w:right="1"/>
              <w:jc w:val="center"/>
              <w:rPr>
                <w:rFonts w:ascii="Arial" w:hAnsi="Arial" w:cs="Arial" w:eastAsia="Arial" w:hint="default"/>
                <w:sz w:val="18"/>
                <w:szCs w:val="18"/>
              </w:rPr>
            </w:pPr>
            <w:r>
              <w:rPr>
                <w:rFonts w:ascii="Arial"/>
                <w:sz w:val="18"/>
              </w:rPr>
              <w:t>12</w:t>
            </w:r>
          </w:p>
        </w:tc>
        <w:tc>
          <w:tcPr>
            <w:tcW w:w="154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68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8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right="6"/>
              <w:jc w:val="center"/>
              <w:rPr>
                <w:rFonts w:ascii="宋体" w:hAnsi="宋体" w:cs="宋体" w:eastAsia="宋体" w:hint="default"/>
                <w:sz w:val="18"/>
                <w:szCs w:val="18"/>
              </w:rPr>
            </w:pPr>
            <w:r>
              <w:rPr>
                <w:rFonts w:ascii="宋体" w:hAnsi="宋体" w:cs="宋体" w:eastAsia="宋体" w:hint="default"/>
                <w:sz w:val="18"/>
                <w:szCs w:val="18"/>
              </w:rPr>
              <w:t>章卫东</w:t>
            </w:r>
          </w:p>
        </w:tc>
        <w:tc>
          <w:tcPr>
            <w:tcW w:w="1962"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46"/>
              <w:ind w:left="2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4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6"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95"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88"/>
              <w:ind w:right="1"/>
              <w:jc w:val="center"/>
              <w:rPr>
                <w:rFonts w:ascii="Arial" w:hAnsi="Arial" w:cs="Arial" w:eastAsia="Arial" w:hint="default"/>
                <w:sz w:val="18"/>
                <w:szCs w:val="18"/>
              </w:rPr>
            </w:pPr>
            <w:r>
              <w:rPr>
                <w:rFonts w:ascii="Arial"/>
                <w:sz w:val="18"/>
              </w:rPr>
              <w:t>12</w:t>
            </w:r>
          </w:p>
        </w:tc>
        <w:tc>
          <w:tcPr>
            <w:tcW w:w="154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68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8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right="6"/>
              <w:jc w:val="center"/>
              <w:rPr>
                <w:rFonts w:ascii="宋体" w:hAnsi="宋体" w:cs="宋体" w:eastAsia="宋体" w:hint="default"/>
                <w:sz w:val="18"/>
                <w:szCs w:val="18"/>
              </w:rPr>
            </w:pPr>
            <w:r>
              <w:rPr>
                <w:rFonts w:ascii="宋体" w:hAnsi="宋体" w:cs="宋体" w:eastAsia="宋体" w:hint="default"/>
                <w:sz w:val="18"/>
                <w:szCs w:val="18"/>
              </w:rPr>
              <w:t>吕廷杰</w:t>
            </w:r>
          </w:p>
        </w:tc>
        <w:tc>
          <w:tcPr>
            <w:tcW w:w="1962"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46"/>
              <w:ind w:left="2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4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6"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95"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88"/>
              <w:ind w:right="1"/>
              <w:jc w:val="center"/>
              <w:rPr>
                <w:rFonts w:ascii="Arial" w:hAnsi="Arial" w:cs="Arial" w:eastAsia="Arial" w:hint="default"/>
                <w:sz w:val="18"/>
                <w:szCs w:val="18"/>
              </w:rPr>
            </w:pPr>
            <w:r>
              <w:rPr>
                <w:rFonts w:ascii="Arial"/>
                <w:sz w:val="18"/>
              </w:rPr>
              <w:t>12</w:t>
            </w:r>
          </w:p>
        </w:tc>
        <w:tc>
          <w:tcPr>
            <w:tcW w:w="154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68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8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right="6"/>
              <w:jc w:val="center"/>
              <w:rPr>
                <w:rFonts w:ascii="宋体" w:hAnsi="宋体" w:cs="宋体" w:eastAsia="宋体" w:hint="default"/>
                <w:sz w:val="18"/>
                <w:szCs w:val="18"/>
              </w:rPr>
            </w:pPr>
            <w:r>
              <w:rPr>
                <w:rFonts w:ascii="宋体" w:hAnsi="宋体" w:cs="宋体" w:eastAsia="宋体" w:hint="default"/>
                <w:sz w:val="18"/>
                <w:szCs w:val="18"/>
              </w:rPr>
              <w:t>陈思平</w:t>
            </w:r>
          </w:p>
        </w:tc>
        <w:tc>
          <w:tcPr>
            <w:tcW w:w="1962"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46"/>
              <w:ind w:left="2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4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6"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95"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88"/>
              <w:ind w:right="1"/>
              <w:jc w:val="center"/>
              <w:rPr>
                <w:rFonts w:ascii="Arial" w:hAnsi="Arial" w:cs="Arial" w:eastAsia="Arial" w:hint="default"/>
                <w:sz w:val="18"/>
                <w:szCs w:val="18"/>
              </w:rPr>
            </w:pPr>
            <w:r>
              <w:rPr>
                <w:rFonts w:ascii="Arial"/>
                <w:sz w:val="18"/>
              </w:rPr>
              <w:t>12</w:t>
            </w:r>
          </w:p>
        </w:tc>
        <w:tc>
          <w:tcPr>
            <w:tcW w:w="154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68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8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6"/>
              <w:jc w:val="center"/>
              <w:rPr>
                <w:rFonts w:ascii="宋体" w:hAnsi="宋体" w:cs="宋体" w:eastAsia="宋体" w:hint="default"/>
                <w:sz w:val="18"/>
                <w:szCs w:val="18"/>
              </w:rPr>
            </w:pPr>
            <w:r>
              <w:rPr>
                <w:rFonts w:ascii="宋体" w:hAnsi="宋体" w:cs="宋体" w:eastAsia="宋体" w:hint="default"/>
                <w:sz w:val="18"/>
                <w:szCs w:val="18"/>
              </w:rPr>
              <w:t>张文良</w:t>
            </w:r>
          </w:p>
        </w:tc>
        <w:tc>
          <w:tcPr>
            <w:tcW w:w="1962"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47"/>
              <w:ind w:left="2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4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6"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95"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88"/>
              <w:ind w:right="0"/>
              <w:jc w:val="center"/>
              <w:rPr>
                <w:rFonts w:ascii="Arial" w:hAnsi="Arial" w:cs="Arial" w:eastAsia="Arial" w:hint="default"/>
                <w:sz w:val="18"/>
                <w:szCs w:val="18"/>
              </w:rPr>
            </w:pPr>
            <w:r>
              <w:rPr>
                <w:rFonts w:ascii="Arial"/>
                <w:w w:val="99"/>
                <w:sz w:val="18"/>
              </w:rPr>
              <w:t>0</w:t>
            </w:r>
            <w:r>
              <w:rPr>
                <w:rFonts w:ascii="Arial"/>
                <w:sz w:val="18"/>
              </w:rPr>
            </w:r>
          </w:p>
        </w:tc>
        <w:tc>
          <w:tcPr>
            <w:tcW w:w="154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68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8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right="6"/>
              <w:jc w:val="center"/>
              <w:rPr>
                <w:rFonts w:ascii="宋体" w:hAnsi="宋体" w:cs="宋体" w:eastAsia="宋体" w:hint="default"/>
                <w:sz w:val="18"/>
                <w:szCs w:val="18"/>
              </w:rPr>
            </w:pPr>
            <w:r>
              <w:rPr>
                <w:rFonts w:ascii="宋体" w:hAnsi="宋体" w:cs="宋体" w:eastAsia="宋体" w:hint="default"/>
                <w:sz w:val="18"/>
                <w:szCs w:val="18"/>
              </w:rPr>
              <w:t>朱维佳</w:t>
            </w:r>
          </w:p>
        </w:tc>
        <w:tc>
          <w:tcPr>
            <w:tcW w:w="1962"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46"/>
              <w:ind w:left="2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4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6"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95"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88"/>
              <w:ind w:right="458"/>
              <w:jc w:val="right"/>
              <w:rPr>
                <w:rFonts w:ascii="Arial" w:hAnsi="Arial" w:cs="Arial" w:eastAsia="Arial" w:hint="default"/>
                <w:sz w:val="18"/>
                <w:szCs w:val="18"/>
              </w:rPr>
            </w:pPr>
            <w:r>
              <w:rPr>
                <w:rFonts w:ascii="Arial"/>
                <w:w w:val="95"/>
                <w:sz w:val="18"/>
              </w:rPr>
              <w:t>54.83</w:t>
            </w:r>
            <w:r>
              <w:rPr>
                <w:rFonts w:ascii="Arial"/>
                <w:sz w:val="18"/>
              </w:rPr>
            </w:r>
          </w:p>
        </w:tc>
        <w:tc>
          <w:tcPr>
            <w:tcW w:w="154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68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8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right="6"/>
              <w:jc w:val="center"/>
              <w:rPr>
                <w:rFonts w:ascii="宋体" w:hAnsi="宋体" w:cs="宋体" w:eastAsia="宋体" w:hint="default"/>
                <w:sz w:val="18"/>
                <w:szCs w:val="18"/>
              </w:rPr>
            </w:pPr>
            <w:r>
              <w:rPr>
                <w:rFonts w:ascii="宋体" w:hAnsi="宋体" w:cs="宋体" w:eastAsia="宋体" w:hint="default"/>
                <w:sz w:val="18"/>
                <w:szCs w:val="18"/>
              </w:rPr>
              <w:t>李菡</w:t>
            </w:r>
          </w:p>
        </w:tc>
        <w:tc>
          <w:tcPr>
            <w:tcW w:w="1962" w:type="dxa"/>
            <w:tcBorders>
              <w:top w:val="single" w:sz="4" w:space="0" w:color="5B9BD4"/>
              <w:left w:val="single" w:sz="11" w:space="0" w:color="DEEAF6"/>
              <w:bottom w:val="single" w:sz="4" w:space="0" w:color="5B9BD4"/>
              <w:right w:val="single" w:sz="12" w:space="0" w:color="DEEAF6"/>
            </w:tcBorders>
          </w:tcPr>
          <w:p>
            <w:pPr>
              <w:pStyle w:val="TableParagraph"/>
              <w:spacing w:line="240" w:lineRule="auto" w:before="46"/>
              <w:ind w:left="2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4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6"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95" w:type="dxa"/>
            <w:tcBorders>
              <w:top w:val="single" w:sz="4" w:space="0" w:color="5B9BD4"/>
              <w:left w:val="single" w:sz="12" w:space="0" w:color="DEEAF6"/>
              <w:bottom w:val="single" w:sz="4" w:space="0" w:color="5B9BD4"/>
              <w:right w:val="single" w:sz="11" w:space="0" w:color="DEEAF6"/>
            </w:tcBorders>
          </w:tcPr>
          <w:p>
            <w:pPr>
              <w:pStyle w:val="TableParagraph"/>
              <w:spacing w:line="240" w:lineRule="auto" w:before="88"/>
              <w:ind w:right="458"/>
              <w:jc w:val="right"/>
              <w:rPr>
                <w:rFonts w:ascii="Arial" w:hAnsi="Arial" w:cs="Arial" w:eastAsia="Arial" w:hint="default"/>
                <w:sz w:val="18"/>
                <w:szCs w:val="18"/>
              </w:rPr>
            </w:pPr>
            <w:r>
              <w:rPr>
                <w:rFonts w:ascii="Arial"/>
                <w:w w:val="95"/>
                <w:sz w:val="18"/>
              </w:rPr>
              <w:t>35.83</w:t>
            </w:r>
            <w:r>
              <w:rPr>
                <w:rFonts w:ascii="Arial"/>
                <w:sz w:val="18"/>
              </w:rPr>
            </w:r>
          </w:p>
        </w:tc>
        <w:tc>
          <w:tcPr>
            <w:tcW w:w="154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68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172" w:type="dxa"/>
        <w:tblLayout w:type="fixed"/>
        <w:tblCellMar>
          <w:top w:w="0" w:type="dxa"/>
          <w:left w:w="0" w:type="dxa"/>
          <w:bottom w:w="0" w:type="dxa"/>
          <w:right w:w="0" w:type="dxa"/>
        </w:tblCellMar>
        <w:tblLook w:val="01E0"/>
      </w:tblPr>
      <w:tblGrid>
        <w:gridCol w:w="1991"/>
        <w:gridCol w:w="1948"/>
        <w:gridCol w:w="1368"/>
        <w:gridCol w:w="1367"/>
        <w:gridCol w:w="1558"/>
      </w:tblGrid>
      <w:tr>
        <w:trPr>
          <w:trHeight w:val="402" w:hRule="exact"/>
        </w:trPr>
        <w:tc>
          <w:tcPr>
            <w:tcW w:w="19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right="14"/>
              <w:jc w:val="center"/>
              <w:rPr>
                <w:rFonts w:ascii="宋体" w:hAnsi="宋体" w:cs="宋体" w:eastAsia="宋体" w:hint="default"/>
                <w:sz w:val="18"/>
                <w:szCs w:val="18"/>
              </w:rPr>
            </w:pPr>
            <w:r>
              <w:rPr>
                <w:rFonts w:ascii="宋体" w:hAnsi="宋体" w:cs="宋体" w:eastAsia="宋体" w:hint="default"/>
                <w:sz w:val="18"/>
                <w:szCs w:val="18"/>
              </w:rPr>
              <w:t>吴学军</w:t>
            </w:r>
          </w:p>
        </w:tc>
        <w:tc>
          <w:tcPr>
            <w:tcW w:w="1948" w:type="dxa"/>
            <w:tcBorders>
              <w:top w:val="single" w:sz="4" w:space="0" w:color="5B9BD4"/>
              <w:left w:val="nil" w:sz="6" w:space="0" w:color="auto"/>
              <w:bottom w:val="single" w:sz="4" w:space="0" w:color="5B9BD4"/>
              <w:right w:val="nil" w:sz="6" w:space="0" w:color="auto"/>
            </w:tcBorders>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0"/>
              <w:jc w:val="center"/>
              <w:rPr>
                <w:rFonts w:ascii="Arial" w:hAnsi="Arial" w:cs="Arial" w:eastAsia="Arial" w:hint="default"/>
                <w:sz w:val="18"/>
                <w:szCs w:val="18"/>
              </w:rPr>
            </w:pPr>
            <w:r>
              <w:rPr>
                <w:rFonts w:ascii="Arial"/>
                <w:sz w:val="18"/>
              </w:rPr>
              <w:t>157.21</w:t>
            </w:r>
          </w:p>
        </w:tc>
        <w:tc>
          <w:tcPr>
            <w:tcW w:w="155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right="14"/>
              <w:jc w:val="center"/>
              <w:rPr>
                <w:rFonts w:ascii="宋体" w:hAnsi="宋体" w:cs="宋体" w:eastAsia="宋体" w:hint="default"/>
                <w:sz w:val="18"/>
                <w:szCs w:val="18"/>
              </w:rPr>
            </w:pPr>
            <w:r>
              <w:rPr>
                <w:rFonts w:ascii="宋体" w:hAnsi="宋体" w:cs="宋体" w:eastAsia="宋体" w:hint="default"/>
                <w:sz w:val="18"/>
                <w:szCs w:val="18"/>
              </w:rPr>
              <w:t>罗筱溪</w:t>
            </w:r>
          </w:p>
        </w:tc>
        <w:tc>
          <w:tcPr>
            <w:tcW w:w="1948" w:type="dxa"/>
            <w:tcBorders>
              <w:top w:val="single" w:sz="4" w:space="0" w:color="5B9BD4"/>
              <w:left w:val="nil" w:sz="6" w:space="0" w:color="auto"/>
              <w:bottom w:val="single" w:sz="4" w:space="0" w:color="5B9BD4"/>
              <w:right w:val="nil" w:sz="6" w:space="0" w:color="auto"/>
            </w:tcBorders>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副总裁、董事会秘书</w:t>
            </w:r>
          </w:p>
        </w:tc>
        <w:tc>
          <w:tcPr>
            <w:tcW w:w="13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0"/>
              <w:jc w:val="center"/>
              <w:rPr>
                <w:rFonts w:ascii="Arial" w:hAnsi="Arial" w:cs="Arial" w:eastAsia="Arial" w:hint="default"/>
                <w:sz w:val="18"/>
                <w:szCs w:val="18"/>
              </w:rPr>
            </w:pPr>
            <w:r>
              <w:rPr>
                <w:rFonts w:ascii="Arial"/>
                <w:sz w:val="18"/>
              </w:rPr>
              <w:t>141.58</w:t>
            </w:r>
          </w:p>
        </w:tc>
        <w:tc>
          <w:tcPr>
            <w:tcW w:w="155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right="14"/>
              <w:jc w:val="center"/>
              <w:rPr>
                <w:rFonts w:ascii="宋体" w:hAnsi="宋体" w:cs="宋体" w:eastAsia="宋体" w:hint="default"/>
                <w:sz w:val="18"/>
                <w:szCs w:val="18"/>
              </w:rPr>
            </w:pPr>
            <w:r>
              <w:rPr>
                <w:rFonts w:ascii="宋体" w:hAnsi="宋体" w:cs="宋体" w:eastAsia="宋体" w:hint="default"/>
                <w:sz w:val="18"/>
                <w:szCs w:val="18"/>
              </w:rPr>
              <w:t>陈亮</w:t>
            </w:r>
          </w:p>
        </w:tc>
        <w:tc>
          <w:tcPr>
            <w:tcW w:w="1948" w:type="dxa"/>
            <w:tcBorders>
              <w:top w:val="single" w:sz="4" w:space="0" w:color="5B9BD4"/>
              <w:left w:val="nil" w:sz="6" w:space="0" w:color="auto"/>
              <w:bottom w:val="single" w:sz="4" w:space="0" w:color="5B9BD4"/>
              <w:right w:val="nil" w:sz="6" w:space="0" w:color="auto"/>
            </w:tcBorders>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0"/>
              <w:jc w:val="center"/>
              <w:rPr>
                <w:rFonts w:ascii="Arial" w:hAnsi="Arial" w:cs="Arial" w:eastAsia="Arial" w:hint="default"/>
                <w:sz w:val="18"/>
                <w:szCs w:val="18"/>
              </w:rPr>
            </w:pPr>
            <w:r>
              <w:rPr>
                <w:rFonts w:ascii="Arial"/>
                <w:sz w:val="18"/>
              </w:rPr>
              <w:t>140.88</w:t>
            </w:r>
          </w:p>
        </w:tc>
        <w:tc>
          <w:tcPr>
            <w:tcW w:w="155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4"/>
              <w:jc w:val="center"/>
              <w:rPr>
                <w:rFonts w:ascii="宋体" w:hAnsi="宋体" w:cs="宋体" w:eastAsia="宋体" w:hint="default"/>
                <w:sz w:val="18"/>
                <w:szCs w:val="18"/>
              </w:rPr>
            </w:pPr>
            <w:r>
              <w:rPr>
                <w:rFonts w:ascii="宋体" w:hAnsi="宋体" w:cs="宋体" w:eastAsia="宋体" w:hint="default"/>
                <w:sz w:val="18"/>
                <w:szCs w:val="18"/>
              </w:rPr>
              <w:t>米泽东</w:t>
            </w:r>
          </w:p>
        </w:tc>
        <w:tc>
          <w:tcPr>
            <w:tcW w:w="1948"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27" w:right="0"/>
              <w:jc w:val="left"/>
              <w:rPr>
                <w:rFonts w:ascii="宋体" w:hAnsi="宋体" w:cs="宋体" w:eastAsia="宋体" w:hint="default"/>
                <w:sz w:val="18"/>
                <w:szCs w:val="18"/>
              </w:rPr>
            </w:pPr>
            <w:r>
              <w:rPr>
                <w:rFonts w:ascii="宋体" w:hAnsi="宋体" w:cs="宋体" w:eastAsia="宋体" w:hint="default"/>
                <w:sz w:val="18"/>
                <w:szCs w:val="18"/>
              </w:rPr>
              <w:t>副总裁、财务负责人</w:t>
            </w:r>
          </w:p>
        </w:tc>
        <w:tc>
          <w:tcPr>
            <w:tcW w:w="13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0"/>
              <w:jc w:val="center"/>
              <w:rPr>
                <w:rFonts w:ascii="Arial" w:hAnsi="Arial" w:cs="Arial" w:eastAsia="Arial" w:hint="default"/>
                <w:sz w:val="18"/>
                <w:szCs w:val="18"/>
              </w:rPr>
            </w:pPr>
            <w:r>
              <w:rPr>
                <w:rFonts w:ascii="Arial"/>
                <w:sz w:val="18"/>
              </w:rPr>
              <w:t>131.64</w:t>
            </w:r>
          </w:p>
        </w:tc>
        <w:tc>
          <w:tcPr>
            <w:tcW w:w="155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right="14"/>
              <w:jc w:val="center"/>
              <w:rPr>
                <w:rFonts w:ascii="宋体" w:hAnsi="宋体" w:cs="宋体" w:eastAsia="宋体" w:hint="default"/>
                <w:sz w:val="18"/>
                <w:szCs w:val="18"/>
              </w:rPr>
            </w:pPr>
            <w:r>
              <w:rPr>
                <w:rFonts w:ascii="宋体" w:hAnsi="宋体" w:cs="宋体" w:eastAsia="宋体" w:hint="default"/>
                <w:sz w:val="18"/>
                <w:szCs w:val="18"/>
              </w:rPr>
              <w:t>刘红花</w:t>
            </w:r>
          </w:p>
        </w:tc>
        <w:tc>
          <w:tcPr>
            <w:tcW w:w="1948" w:type="dxa"/>
            <w:tcBorders>
              <w:top w:val="single" w:sz="4" w:space="0" w:color="5B9BD4"/>
              <w:left w:val="nil" w:sz="6" w:space="0" w:color="auto"/>
              <w:bottom w:val="single" w:sz="4" w:space="0" w:color="5B9BD4"/>
              <w:right w:val="nil" w:sz="6" w:space="0" w:color="auto"/>
            </w:tcBorders>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0"/>
              <w:jc w:val="center"/>
              <w:rPr>
                <w:rFonts w:ascii="Arial" w:hAnsi="Arial" w:cs="Arial" w:eastAsia="Arial" w:hint="default"/>
                <w:sz w:val="18"/>
                <w:szCs w:val="18"/>
              </w:rPr>
            </w:pPr>
            <w:r>
              <w:rPr>
                <w:rFonts w:ascii="Arial"/>
                <w:sz w:val="18"/>
              </w:rPr>
              <w:t>143.28</w:t>
            </w:r>
          </w:p>
        </w:tc>
        <w:tc>
          <w:tcPr>
            <w:tcW w:w="155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right="14"/>
              <w:jc w:val="center"/>
              <w:rPr>
                <w:rFonts w:ascii="宋体" w:hAnsi="宋体" w:cs="宋体" w:eastAsia="宋体" w:hint="default"/>
                <w:sz w:val="18"/>
                <w:szCs w:val="18"/>
              </w:rPr>
            </w:pPr>
            <w:r>
              <w:rPr>
                <w:rFonts w:ascii="宋体" w:hAnsi="宋体" w:cs="宋体" w:eastAsia="宋体" w:hint="default"/>
                <w:sz w:val="18"/>
                <w:szCs w:val="18"/>
              </w:rPr>
              <w:t>余斌</w:t>
            </w:r>
          </w:p>
        </w:tc>
        <w:tc>
          <w:tcPr>
            <w:tcW w:w="1948" w:type="dxa"/>
            <w:tcBorders>
              <w:top w:val="single" w:sz="4" w:space="0" w:color="5B9BD4"/>
              <w:left w:val="nil" w:sz="6" w:space="0" w:color="auto"/>
              <w:bottom w:val="single" w:sz="4" w:space="0" w:color="5B9BD4"/>
              <w:right w:val="nil" w:sz="6" w:space="0" w:color="auto"/>
            </w:tcBorders>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0"/>
              <w:jc w:val="center"/>
              <w:rPr>
                <w:rFonts w:ascii="Arial" w:hAnsi="Arial" w:cs="Arial" w:eastAsia="Arial" w:hint="default"/>
                <w:sz w:val="18"/>
                <w:szCs w:val="18"/>
              </w:rPr>
            </w:pPr>
            <w:r>
              <w:rPr>
                <w:rFonts w:ascii="Arial"/>
                <w:sz w:val="18"/>
              </w:rPr>
              <w:t>151.07</w:t>
            </w:r>
          </w:p>
        </w:tc>
        <w:tc>
          <w:tcPr>
            <w:tcW w:w="155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right="14"/>
              <w:jc w:val="center"/>
              <w:rPr>
                <w:rFonts w:ascii="宋体" w:hAnsi="宋体" w:cs="宋体" w:eastAsia="宋体" w:hint="default"/>
                <w:sz w:val="18"/>
                <w:szCs w:val="18"/>
              </w:rPr>
            </w:pPr>
            <w:r>
              <w:rPr>
                <w:rFonts w:ascii="宋体" w:hAnsi="宋体" w:cs="宋体" w:eastAsia="宋体" w:hint="default"/>
                <w:sz w:val="18"/>
                <w:szCs w:val="18"/>
              </w:rPr>
              <w:t>杨治</w:t>
            </w:r>
          </w:p>
        </w:tc>
        <w:tc>
          <w:tcPr>
            <w:tcW w:w="1948" w:type="dxa"/>
            <w:tcBorders>
              <w:top w:val="single" w:sz="4" w:space="0" w:color="5B9BD4"/>
              <w:left w:val="nil" w:sz="6" w:space="0" w:color="auto"/>
              <w:bottom w:val="single" w:sz="4" w:space="0" w:color="5B9BD4"/>
              <w:right w:val="nil" w:sz="6" w:space="0" w:color="auto"/>
            </w:tcBorders>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0"/>
              <w:jc w:val="center"/>
              <w:rPr>
                <w:rFonts w:ascii="Arial" w:hAnsi="Arial" w:cs="Arial" w:eastAsia="Arial" w:hint="default"/>
                <w:sz w:val="18"/>
                <w:szCs w:val="18"/>
              </w:rPr>
            </w:pPr>
            <w:r>
              <w:rPr>
                <w:rFonts w:ascii="Arial"/>
                <w:sz w:val="18"/>
              </w:rPr>
              <w:t>191.86</w:t>
            </w:r>
          </w:p>
        </w:tc>
        <w:tc>
          <w:tcPr>
            <w:tcW w:w="155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right="14"/>
              <w:jc w:val="center"/>
              <w:rPr>
                <w:rFonts w:ascii="宋体" w:hAnsi="宋体" w:cs="宋体" w:eastAsia="宋体" w:hint="default"/>
                <w:sz w:val="18"/>
                <w:szCs w:val="18"/>
              </w:rPr>
            </w:pPr>
            <w:r>
              <w:rPr>
                <w:rFonts w:ascii="宋体" w:hAnsi="宋体" w:cs="宋体" w:eastAsia="宋体" w:hint="default"/>
                <w:sz w:val="18"/>
                <w:szCs w:val="18"/>
              </w:rPr>
              <w:t>乐嘉明</w:t>
            </w:r>
          </w:p>
        </w:tc>
        <w:tc>
          <w:tcPr>
            <w:tcW w:w="1948" w:type="dxa"/>
            <w:tcBorders>
              <w:top w:val="single" w:sz="4" w:space="0" w:color="5B9BD4"/>
              <w:left w:val="nil" w:sz="6" w:space="0" w:color="auto"/>
              <w:bottom w:val="single" w:sz="4" w:space="0" w:color="5B9BD4"/>
              <w:right w:val="nil" w:sz="6" w:space="0" w:color="auto"/>
            </w:tcBorders>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3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1"/>
              <w:jc w:val="center"/>
              <w:rPr>
                <w:rFonts w:ascii="Arial" w:hAnsi="Arial" w:cs="Arial" w:eastAsia="Arial" w:hint="default"/>
                <w:sz w:val="18"/>
                <w:szCs w:val="18"/>
              </w:rPr>
            </w:pPr>
            <w:r>
              <w:rPr>
                <w:rFonts w:ascii="Arial"/>
                <w:sz w:val="18"/>
              </w:rPr>
              <w:t>14.32</w:t>
            </w:r>
          </w:p>
        </w:tc>
        <w:tc>
          <w:tcPr>
            <w:tcW w:w="155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right="14"/>
              <w:jc w:val="center"/>
              <w:rPr>
                <w:rFonts w:ascii="宋体" w:hAnsi="宋体" w:cs="宋体" w:eastAsia="宋体" w:hint="default"/>
                <w:sz w:val="18"/>
                <w:szCs w:val="18"/>
              </w:rPr>
            </w:pPr>
            <w:r>
              <w:rPr>
                <w:rFonts w:ascii="宋体" w:hAnsi="宋体" w:cs="宋体" w:eastAsia="宋体" w:hint="default"/>
                <w:sz w:val="18"/>
                <w:szCs w:val="18"/>
              </w:rPr>
              <w:t>温秉汉</w:t>
            </w:r>
          </w:p>
        </w:tc>
        <w:tc>
          <w:tcPr>
            <w:tcW w:w="1948" w:type="dxa"/>
            <w:tcBorders>
              <w:top w:val="single" w:sz="4" w:space="0" w:color="5B9BD4"/>
              <w:left w:val="nil" w:sz="6" w:space="0" w:color="auto"/>
              <w:bottom w:val="single" w:sz="4" w:space="0" w:color="5B9BD4"/>
              <w:right w:val="nil" w:sz="6" w:space="0" w:color="auto"/>
            </w:tcBorders>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1"/>
              <w:jc w:val="center"/>
              <w:rPr>
                <w:rFonts w:ascii="Arial" w:hAnsi="Arial" w:cs="Arial" w:eastAsia="Arial" w:hint="default"/>
                <w:sz w:val="18"/>
                <w:szCs w:val="18"/>
              </w:rPr>
            </w:pPr>
            <w:r>
              <w:rPr>
                <w:rFonts w:ascii="Arial"/>
                <w:sz w:val="18"/>
              </w:rPr>
              <w:t>72.26</w:t>
            </w:r>
          </w:p>
        </w:tc>
        <w:tc>
          <w:tcPr>
            <w:tcW w:w="155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right="14"/>
              <w:jc w:val="center"/>
              <w:rPr>
                <w:rFonts w:ascii="宋体" w:hAnsi="宋体" w:cs="宋体" w:eastAsia="宋体" w:hint="default"/>
                <w:sz w:val="18"/>
                <w:szCs w:val="18"/>
              </w:rPr>
            </w:pPr>
            <w:r>
              <w:rPr>
                <w:rFonts w:ascii="宋体" w:hAnsi="宋体" w:cs="宋体" w:eastAsia="宋体" w:hint="default"/>
                <w:sz w:val="18"/>
                <w:szCs w:val="18"/>
              </w:rPr>
              <w:t>合计</w:t>
            </w:r>
          </w:p>
        </w:tc>
        <w:tc>
          <w:tcPr>
            <w:tcW w:w="1948"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1"/>
              <w:jc w:val="center"/>
              <w:rPr>
                <w:rFonts w:ascii="Arial" w:hAnsi="Arial" w:cs="Arial" w:eastAsia="Arial" w:hint="default"/>
                <w:sz w:val="18"/>
                <w:szCs w:val="18"/>
              </w:rPr>
            </w:pPr>
            <w:r>
              <w:rPr>
                <w:rFonts w:ascii="Arial"/>
                <w:sz w:val="18"/>
              </w:rPr>
              <w:t>--</w:t>
            </w:r>
          </w:p>
        </w:tc>
        <w:tc>
          <w:tcPr>
            <w:tcW w:w="13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right="0"/>
              <w:jc w:val="center"/>
              <w:rPr>
                <w:rFonts w:ascii="Arial" w:hAnsi="Arial" w:cs="Arial" w:eastAsia="Arial" w:hint="default"/>
                <w:sz w:val="18"/>
                <w:szCs w:val="18"/>
              </w:rPr>
            </w:pPr>
            <w:r>
              <w:rPr>
                <w:rFonts w:ascii="Arial"/>
                <w:sz w:val="18"/>
              </w:rPr>
              <w:t>--</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1"/>
              <w:jc w:val="center"/>
              <w:rPr>
                <w:rFonts w:ascii="Arial" w:hAnsi="Arial" w:cs="Arial" w:eastAsia="Arial" w:hint="default"/>
                <w:sz w:val="18"/>
                <w:szCs w:val="18"/>
              </w:rPr>
            </w:pPr>
            <w:r>
              <w:rPr>
                <w:rFonts w:ascii="Arial"/>
                <w:sz w:val="18"/>
              </w:rPr>
              <w:t>2,123.48</w:t>
            </w:r>
          </w:p>
        </w:tc>
        <w:tc>
          <w:tcPr>
            <w:tcW w:w="155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8"/>
              <w:ind w:left="13" w:right="0"/>
              <w:jc w:val="center"/>
              <w:rPr>
                <w:rFonts w:ascii="Arial" w:hAnsi="Arial" w:cs="Arial" w:eastAsia="Arial" w:hint="default"/>
                <w:sz w:val="18"/>
                <w:szCs w:val="18"/>
              </w:rPr>
            </w:pPr>
            <w:r>
              <w:rPr>
                <w:rFonts w:ascii="Arial"/>
                <w:sz w:val="18"/>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5"/>
        <w:spacing w:line="317" w:lineRule="exact" w:before="0"/>
        <w:ind w:left="474" w:right="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公司董事、监事、高级管理人员截至报告期内持有的股权激励情况</w:t>
      </w:r>
      <w:r>
        <w:rPr>
          <w:rFonts w:ascii="Microsoft JhengHei" w:hAnsi="Microsoft JhengHei" w:cs="Microsoft JhengHei" w:eastAsia="Microsoft JhengHei" w:hint="default"/>
          <w:b w:val="0"/>
          <w:bCs w:val="0"/>
        </w:rPr>
      </w:r>
    </w:p>
    <w:p>
      <w:pPr>
        <w:spacing w:line="240" w:lineRule="auto" w:before="10"/>
        <w:rPr>
          <w:rFonts w:ascii="Microsoft JhengHei" w:hAnsi="Microsoft JhengHei" w:cs="Microsoft JhengHei" w:eastAsia="Microsoft JhengHei" w:hint="default"/>
          <w:b/>
          <w:bCs/>
          <w:sz w:val="6"/>
          <w:szCs w:val="6"/>
        </w:rPr>
      </w:pPr>
    </w:p>
    <w:p>
      <w:pPr>
        <w:pStyle w:val="BodyText"/>
        <w:spacing w:line="240" w:lineRule="auto" w:before="18"/>
        <w:ind w:left="0" w:right="1130"/>
        <w:jc w:val="right"/>
      </w:pPr>
      <w:r>
        <w:rPr/>
        <w:t>单位：股</w:t>
      </w:r>
    </w:p>
    <w:p>
      <w:pPr>
        <w:spacing w:line="240" w:lineRule="auto" w:before="5"/>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775"/>
        <w:gridCol w:w="1200"/>
        <w:gridCol w:w="1000"/>
        <w:gridCol w:w="701"/>
        <w:gridCol w:w="1016"/>
        <w:gridCol w:w="839"/>
        <w:gridCol w:w="1108"/>
        <w:gridCol w:w="876"/>
        <w:gridCol w:w="851"/>
        <w:gridCol w:w="850"/>
        <w:gridCol w:w="1134"/>
      </w:tblGrid>
      <w:tr>
        <w:trPr>
          <w:trHeight w:val="1690" w:hRule="exact"/>
        </w:trPr>
        <w:tc>
          <w:tcPr>
            <w:tcW w:w="775"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200"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000"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319" w:lineRule="auto" w:before="46"/>
              <w:ind w:left="139" w:right="13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701"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319" w:lineRule="auto" w:before="46"/>
              <w:ind w:left="169" w:right="169"/>
              <w:jc w:val="both"/>
              <w:rPr>
                <w:rFonts w:ascii="宋体" w:hAnsi="宋体" w:cs="宋体" w:eastAsia="宋体" w:hint="default"/>
                <w:sz w:val="18"/>
                <w:szCs w:val="18"/>
              </w:rPr>
            </w:pPr>
            <w:r>
              <w:rPr>
                <w:rFonts w:ascii="宋体" w:hAnsi="宋体" w:cs="宋体" w:eastAsia="宋体" w:hint="default"/>
                <w:sz w:val="18"/>
                <w:szCs w:val="18"/>
              </w:rPr>
              <w:t>报告 期内 已行 权股 数</w:t>
            </w:r>
          </w:p>
        </w:tc>
        <w:tc>
          <w:tcPr>
            <w:tcW w:w="1016"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319" w:lineRule="auto" w:before="46"/>
              <w:ind w:left="107" w:right="14" w:firstLine="39"/>
              <w:jc w:val="left"/>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89"/>
                <w:sz w:val="18"/>
                <w:szCs w:val="18"/>
              </w:rPr>
              <w:t>格</w:t>
            </w:r>
            <w:r>
              <w:rPr>
                <w:rFonts w:ascii="宋体" w:hAnsi="宋体" w:cs="宋体" w:eastAsia="宋体" w:hint="default"/>
                <w:sz w:val="18"/>
                <w:szCs w:val="18"/>
              </w:rPr>
              <w:t>（元</w:t>
            </w:r>
            <w:r>
              <w:rPr>
                <w:rFonts w:ascii="Arial" w:hAnsi="Arial" w:cs="Arial" w:eastAsia="Arial" w:hint="default"/>
                <w:w w:val="157"/>
                <w:sz w:val="18"/>
                <w:szCs w:val="18"/>
              </w:rPr>
              <w:t>/</w:t>
            </w:r>
            <w:r>
              <w:rPr>
                <w:rFonts w:ascii="宋体" w:hAnsi="宋体" w:cs="宋体" w:eastAsia="宋体" w:hint="default"/>
                <w:sz w:val="18"/>
                <w:szCs w:val="18"/>
              </w:rPr>
              <w:t>股）</w:t>
            </w:r>
          </w:p>
        </w:tc>
        <w:tc>
          <w:tcPr>
            <w:tcW w:w="839"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316" w:lineRule="auto" w:before="46"/>
              <w:ind w:left="148" w:right="149"/>
              <w:jc w:val="left"/>
              <w:rPr>
                <w:rFonts w:ascii="宋体" w:hAnsi="宋体" w:cs="宋体" w:eastAsia="宋体" w:hint="default"/>
                <w:sz w:val="18"/>
                <w:szCs w:val="18"/>
              </w:rPr>
            </w:pPr>
            <w:r>
              <w:rPr>
                <w:rFonts w:ascii="宋体" w:hAnsi="宋体" w:cs="宋体" w:eastAsia="宋体" w:hint="default"/>
                <w:sz w:val="18"/>
                <w:szCs w:val="18"/>
              </w:rPr>
              <w:t>报告期 末市价</w:t>
            </w:r>
          </w:p>
          <w:p>
            <w:pPr>
              <w:pStyle w:val="TableParagraph"/>
              <w:spacing w:line="302" w:lineRule="auto" w:before="19"/>
              <w:ind w:left="238" w:right="198" w:hanging="40"/>
              <w:jc w:val="left"/>
              <w:rPr>
                <w:rFonts w:ascii="宋体" w:hAnsi="宋体" w:cs="宋体" w:eastAsia="宋体" w:hint="default"/>
                <w:sz w:val="18"/>
                <w:szCs w:val="18"/>
              </w:rPr>
            </w:pPr>
            <w:r>
              <w:rPr>
                <w:rFonts w:ascii="宋体" w:hAnsi="宋体" w:cs="宋体" w:eastAsia="宋体" w:hint="default"/>
                <w:w w:val="105"/>
                <w:sz w:val="18"/>
                <w:szCs w:val="18"/>
              </w:rPr>
              <w:t>（元</w:t>
            </w:r>
            <w:r>
              <w:rPr>
                <w:rFonts w:ascii="Arial" w:hAnsi="Arial" w:cs="Arial" w:eastAsia="Arial" w:hint="default"/>
                <w:w w:val="105"/>
                <w:sz w:val="18"/>
                <w:szCs w:val="18"/>
              </w:rPr>
              <w:t>/</w:t>
            </w:r>
            <w:r>
              <w:rPr>
                <w:rFonts w:ascii="Arial" w:hAnsi="Arial" w:cs="Arial" w:eastAsia="Arial" w:hint="default"/>
                <w:spacing w:val="-45"/>
                <w:w w:val="105"/>
                <w:sz w:val="18"/>
                <w:szCs w:val="18"/>
              </w:rPr>
              <w:t> </w:t>
            </w:r>
            <w:r>
              <w:rPr>
                <w:rFonts w:ascii="宋体" w:hAnsi="宋体" w:cs="宋体" w:eastAsia="宋体" w:hint="default"/>
                <w:w w:val="105"/>
                <w:sz w:val="18"/>
                <w:szCs w:val="18"/>
              </w:rPr>
              <w:t>股）</w:t>
            </w:r>
          </w:p>
        </w:tc>
        <w:tc>
          <w:tcPr>
            <w:tcW w:w="1108"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319" w:lineRule="auto" w:before="46"/>
              <w:ind w:left="193" w:right="192"/>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6"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319" w:lineRule="auto" w:before="46"/>
              <w:ind w:left="168" w:right="166"/>
              <w:jc w:val="both"/>
              <w:rPr>
                <w:rFonts w:ascii="宋体" w:hAnsi="宋体" w:cs="宋体" w:eastAsia="宋体" w:hint="default"/>
                <w:sz w:val="18"/>
                <w:szCs w:val="18"/>
              </w:rPr>
            </w:pPr>
            <w:r>
              <w:rPr>
                <w:rFonts w:ascii="宋体" w:hAnsi="宋体" w:cs="宋体" w:eastAsia="宋体" w:hint="default"/>
                <w:sz w:val="18"/>
                <w:szCs w:val="18"/>
              </w:rPr>
              <w:t>本期已 解锁股 份数量</w:t>
            </w:r>
          </w:p>
        </w:tc>
        <w:tc>
          <w:tcPr>
            <w:tcW w:w="851"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319" w:lineRule="auto" w:before="46"/>
              <w:ind w:left="154" w:right="155"/>
              <w:jc w:val="center"/>
              <w:rPr>
                <w:rFonts w:ascii="宋体" w:hAnsi="宋体" w:cs="宋体" w:eastAsia="宋体" w:hint="default"/>
                <w:sz w:val="18"/>
                <w:szCs w:val="18"/>
              </w:rPr>
            </w:pPr>
            <w:r>
              <w:rPr>
                <w:rFonts w:ascii="宋体" w:hAnsi="宋体" w:cs="宋体" w:eastAsia="宋体" w:hint="default"/>
                <w:sz w:val="18"/>
                <w:szCs w:val="18"/>
              </w:rPr>
              <w:t>报告期 新授予 限制性 股票数 量</w:t>
            </w:r>
          </w:p>
        </w:tc>
        <w:tc>
          <w:tcPr>
            <w:tcW w:w="850"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314" w:lineRule="auto" w:before="46"/>
              <w:ind w:left="115" w:right="113"/>
              <w:jc w:val="center"/>
              <w:rPr>
                <w:rFonts w:ascii="宋体" w:hAnsi="宋体" w:cs="宋体" w:eastAsia="宋体" w:hint="default"/>
                <w:sz w:val="18"/>
                <w:szCs w:val="18"/>
              </w:rPr>
            </w:pPr>
            <w:r>
              <w:rPr>
                <w:rFonts w:ascii="宋体" w:hAnsi="宋体" w:cs="宋体" w:eastAsia="宋体" w:hint="default"/>
                <w:sz w:val="18"/>
                <w:szCs w:val="18"/>
              </w:rPr>
              <w:t>限制性 股票的 授予价 格（元</w:t>
            </w:r>
            <w:r>
              <w:rPr>
                <w:rFonts w:ascii="Arial" w:hAnsi="Arial" w:cs="Arial" w:eastAsia="Arial" w:hint="default"/>
                <w:sz w:val="18"/>
                <w:szCs w:val="18"/>
              </w:rPr>
              <w:t>/</w:t>
            </w:r>
            <w:r>
              <w:rPr>
                <w:rFonts w:ascii="Arial" w:hAnsi="Arial" w:cs="Arial" w:eastAsia="Arial" w:hint="default"/>
                <w:spacing w:val="-23"/>
                <w:sz w:val="18"/>
                <w:szCs w:val="18"/>
              </w:rPr>
              <w:t> </w:t>
            </w:r>
            <w:r>
              <w:rPr>
                <w:rFonts w:ascii="宋体" w:hAnsi="宋体" w:cs="宋体" w:eastAsia="宋体" w:hint="default"/>
                <w:sz w:val="18"/>
                <w:szCs w:val="18"/>
              </w:rPr>
              <w:t>股）</w:t>
            </w:r>
          </w:p>
        </w:tc>
        <w:tc>
          <w:tcPr>
            <w:tcW w:w="113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319" w:lineRule="auto" w:before="46"/>
              <w:ind w:left="116" w:right="115"/>
              <w:jc w:val="center"/>
              <w:rPr>
                <w:rFonts w:ascii="宋体" w:hAnsi="宋体" w:cs="宋体" w:eastAsia="宋体" w:hint="default"/>
                <w:sz w:val="18"/>
                <w:szCs w:val="18"/>
              </w:rPr>
            </w:pPr>
            <w:r>
              <w:rPr>
                <w:rFonts w:ascii="宋体" w:hAnsi="宋体" w:cs="宋体" w:eastAsia="宋体" w:hint="default"/>
                <w:sz w:val="18"/>
                <w:szCs w:val="18"/>
              </w:rPr>
              <w:t>期末持有限 制性股票数 量</w:t>
            </w:r>
          </w:p>
        </w:tc>
      </w:tr>
      <w:tr>
        <w:trPr>
          <w:trHeight w:val="425" w:hRule="exact"/>
        </w:trPr>
        <w:tc>
          <w:tcPr>
            <w:tcW w:w="775"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黄文辉</w:t>
            </w:r>
          </w:p>
        </w:tc>
        <w:tc>
          <w:tcPr>
            <w:tcW w:w="1200" w:type="dxa"/>
            <w:tcBorders>
              <w:top w:val="single" w:sz="4" w:space="0" w:color="2D74B5"/>
              <w:left w:val="nil" w:sz="6" w:space="0" w:color="auto"/>
              <w:bottom w:val="single" w:sz="4" w:space="0" w:color="2D74B5"/>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000" w:type="dxa"/>
            <w:tcBorders>
              <w:top w:val="single" w:sz="4" w:space="0" w:color="2D74B5"/>
              <w:left w:val="nil" w:sz="6" w:space="0" w:color="auto"/>
              <w:bottom w:val="single" w:sz="4" w:space="0" w:color="2D74B5"/>
              <w:right w:val="nil" w:sz="6" w:space="0" w:color="auto"/>
            </w:tcBorders>
            <w:shd w:val="clear" w:color="auto" w:fill="DEEAF6"/>
          </w:tcPr>
          <w:p>
            <w:pPr/>
          </w:p>
        </w:tc>
        <w:tc>
          <w:tcPr>
            <w:tcW w:w="701" w:type="dxa"/>
            <w:tcBorders>
              <w:top w:val="single" w:sz="4" w:space="0" w:color="2D74B5"/>
              <w:left w:val="nil" w:sz="6" w:space="0" w:color="auto"/>
              <w:bottom w:val="single" w:sz="4" w:space="0" w:color="2D74B5"/>
              <w:right w:val="nil" w:sz="6" w:space="0" w:color="auto"/>
            </w:tcBorders>
          </w:tcPr>
          <w:p>
            <w:pPr/>
          </w:p>
        </w:tc>
        <w:tc>
          <w:tcPr>
            <w:tcW w:w="1016" w:type="dxa"/>
            <w:tcBorders>
              <w:top w:val="single" w:sz="4" w:space="0" w:color="2D74B5"/>
              <w:left w:val="nil" w:sz="6" w:space="0" w:color="auto"/>
              <w:bottom w:val="single" w:sz="4" w:space="0" w:color="2D74B5"/>
              <w:right w:val="nil" w:sz="6" w:space="0" w:color="auto"/>
            </w:tcBorders>
            <w:shd w:val="clear" w:color="auto" w:fill="DEEAF6"/>
          </w:tcPr>
          <w:p>
            <w:pPr/>
          </w:p>
        </w:tc>
        <w:tc>
          <w:tcPr>
            <w:tcW w:w="839" w:type="dxa"/>
            <w:tcBorders>
              <w:top w:val="single" w:sz="4" w:space="0" w:color="2D74B5"/>
              <w:left w:val="nil" w:sz="6" w:space="0" w:color="auto"/>
              <w:bottom w:val="single" w:sz="4" w:space="0" w:color="2D74B5"/>
              <w:right w:val="nil" w:sz="6" w:space="0" w:color="auto"/>
            </w:tcBorders>
          </w:tcPr>
          <w:p>
            <w:pPr/>
          </w:p>
        </w:tc>
        <w:tc>
          <w:tcPr>
            <w:tcW w:w="1108"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92"/>
              <w:ind w:left="108" w:right="0"/>
              <w:jc w:val="left"/>
              <w:rPr>
                <w:rFonts w:ascii="Arial" w:hAnsi="Arial" w:cs="Arial" w:eastAsia="Arial" w:hint="default"/>
                <w:sz w:val="18"/>
                <w:szCs w:val="18"/>
              </w:rPr>
            </w:pPr>
            <w:r>
              <w:rPr>
                <w:rFonts w:ascii="Arial"/>
                <w:sz w:val="18"/>
              </w:rPr>
              <w:t>2,560,000</w:t>
            </w:r>
          </w:p>
        </w:tc>
        <w:tc>
          <w:tcPr>
            <w:tcW w:w="876" w:type="dxa"/>
            <w:tcBorders>
              <w:top w:val="single" w:sz="4" w:space="0" w:color="2D74B5"/>
              <w:left w:val="nil" w:sz="6" w:space="0" w:color="auto"/>
              <w:bottom w:val="single" w:sz="4" w:space="0" w:color="2D74B5"/>
              <w:right w:val="nil" w:sz="6" w:space="0" w:color="auto"/>
            </w:tcBorders>
          </w:tcPr>
          <w:p>
            <w:pPr/>
          </w:p>
        </w:tc>
        <w:tc>
          <w:tcPr>
            <w:tcW w:w="851" w:type="dxa"/>
            <w:tcBorders>
              <w:top w:val="single" w:sz="4" w:space="0" w:color="2D74B5"/>
              <w:left w:val="nil" w:sz="6" w:space="0" w:color="auto"/>
              <w:bottom w:val="single" w:sz="4" w:space="0" w:color="2D74B5"/>
              <w:right w:val="nil" w:sz="6" w:space="0" w:color="auto"/>
            </w:tcBorders>
            <w:shd w:val="clear" w:color="auto" w:fill="DEEAF6"/>
          </w:tcPr>
          <w:p>
            <w:pPr/>
          </w:p>
        </w:tc>
        <w:tc>
          <w:tcPr>
            <w:tcW w:w="850" w:type="dxa"/>
            <w:tcBorders>
              <w:top w:val="single" w:sz="4" w:space="0" w:color="2D74B5"/>
              <w:left w:val="nil" w:sz="6" w:space="0" w:color="auto"/>
              <w:bottom w:val="single" w:sz="4" w:space="0" w:color="2D74B5"/>
              <w:right w:val="nil" w:sz="6" w:space="0" w:color="auto"/>
            </w:tcBorders>
          </w:tcPr>
          <w:p>
            <w:pPr>
              <w:pStyle w:val="TableParagraph"/>
              <w:spacing w:line="240" w:lineRule="auto" w:before="92"/>
              <w:ind w:left="107" w:right="0"/>
              <w:jc w:val="left"/>
              <w:rPr>
                <w:rFonts w:ascii="Arial" w:hAnsi="Arial" w:cs="Arial" w:eastAsia="Arial" w:hint="default"/>
                <w:sz w:val="18"/>
                <w:szCs w:val="18"/>
              </w:rPr>
            </w:pPr>
            <w:r>
              <w:rPr>
                <w:rFonts w:ascii="Arial"/>
                <w:sz w:val="18"/>
              </w:rPr>
              <w:t>8.75</w:t>
            </w:r>
          </w:p>
        </w:tc>
        <w:tc>
          <w:tcPr>
            <w:tcW w:w="113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92"/>
              <w:ind w:left="107" w:right="0"/>
              <w:jc w:val="left"/>
              <w:rPr>
                <w:rFonts w:ascii="Arial" w:hAnsi="Arial" w:cs="Arial" w:eastAsia="Arial" w:hint="default"/>
                <w:sz w:val="18"/>
                <w:szCs w:val="18"/>
              </w:rPr>
            </w:pPr>
            <w:r>
              <w:rPr>
                <w:rFonts w:ascii="Arial"/>
                <w:sz w:val="18"/>
              </w:rPr>
              <w:t>2,560,000</w:t>
            </w:r>
          </w:p>
        </w:tc>
      </w:tr>
      <w:tr>
        <w:trPr>
          <w:trHeight w:val="715" w:hRule="exact"/>
        </w:trPr>
        <w:tc>
          <w:tcPr>
            <w:tcW w:w="775"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夏小华</w:t>
            </w:r>
          </w:p>
        </w:tc>
        <w:tc>
          <w:tcPr>
            <w:tcW w:w="1200" w:type="dxa"/>
            <w:tcBorders>
              <w:top w:val="single" w:sz="4" w:space="0" w:color="2D74B5"/>
              <w:left w:val="nil" w:sz="6" w:space="0" w:color="auto"/>
              <w:bottom w:val="single" w:sz="4" w:space="0" w:color="2D74B5"/>
              <w:right w:val="nil" w:sz="6" w:space="0" w:color="auto"/>
            </w:tcBorders>
          </w:tcPr>
          <w:p>
            <w:pPr>
              <w:pStyle w:val="TableParagraph"/>
              <w:spacing w:line="316" w:lineRule="auto" w:before="47"/>
              <w:ind w:left="108" w:right="191"/>
              <w:jc w:val="left"/>
              <w:rPr>
                <w:rFonts w:ascii="宋体" w:hAnsi="宋体" w:cs="宋体" w:eastAsia="宋体" w:hint="default"/>
                <w:sz w:val="18"/>
                <w:szCs w:val="18"/>
              </w:rPr>
            </w:pPr>
            <w:r>
              <w:rPr>
                <w:rFonts w:ascii="宋体" w:hAnsi="宋体" w:cs="宋体" w:eastAsia="宋体" w:hint="default"/>
                <w:sz w:val="18"/>
                <w:szCs w:val="18"/>
              </w:rPr>
              <w:t>董事、高级 副总裁</w:t>
            </w:r>
          </w:p>
        </w:tc>
        <w:tc>
          <w:tcPr>
            <w:tcW w:w="1000" w:type="dxa"/>
            <w:tcBorders>
              <w:top w:val="single" w:sz="4" w:space="0" w:color="2D74B5"/>
              <w:left w:val="nil" w:sz="6" w:space="0" w:color="auto"/>
              <w:bottom w:val="single" w:sz="4" w:space="0" w:color="2D74B5"/>
              <w:right w:val="nil" w:sz="6" w:space="0" w:color="auto"/>
            </w:tcBorders>
            <w:shd w:val="clear" w:color="auto" w:fill="DEEAF6"/>
          </w:tcPr>
          <w:p>
            <w:pPr/>
          </w:p>
        </w:tc>
        <w:tc>
          <w:tcPr>
            <w:tcW w:w="701" w:type="dxa"/>
            <w:tcBorders>
              <w:top w:val="single" w:sz="4" w:space="0" w:color="2D74B5"/>
              <w:left w:val="nil" w:sz="6" w:space="0" w:color="auto"/>
              <w:bottom w:val="single" w:sz="4" w:space="0" w:color="2D74B5"/>
              <w:right w:val="nil" w:sz="6" w:space="0" w:color="auto"/>
            </w:tcBorders>
          </w:tcPr>
          <w:p>
            <w:pPr/>
          </w:p>
        </w:tc>
        <w:tc>
          <w:tcPr>
            <w:tcW w:w="1016" w:type="dxa"/>
            <w:tcBorders>
              <w:top w:val="single" w:sz="4" w:space="0" w:color="2D74B5"/>
              <w:left w:val="nil" w:sz="6" w:space="0" w:color="auto"/>
              <w:bottom w:val="single" w:sz="4" w:space="0" w:color="2D74B5"/>
              <w:right w:val="nil" w:sz="6" w:space="0" w:color="auto"/>
            </w:tcBorders>
            <w:shd w:val="clear" w:color="auto" w:fill="DEEAF6"/>
          </w:tcPr>
          <w:p>
            <w:pPr/>
          </w:p>
        </w:tc>
        <w:tc>
          <w:tcPr>
            <w:tcW w:w="839" w:type="dxa"/>
            <w:tcBorders>
              <w:top w:val="single" w:sz="4" w:space="0" w:color="2D74B5"/>
              <w:left w:val="nil" w:sz="6" w:space="0" w:color="auto"/>
              <w:bottom w:val="single" w:sz="4" w:space="0" w:color="2D74B5"/>
              <w:right w:val="nil" w:sz="6" w:space="0" w:color="auto"/>
            </w:tcBorders>
          </w:tcPr>
          <w:p>
            <w:pPr/>
          </w:p>
        </w:tc>
        <w:tc>
          <w:tcPr>
            <w:tcW w:w="1108"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9"/>
              <w:ind w:left="108" w:right="0"/>
              <w:jc w:val="left"/>
              <w:rPr>
                <w:rFonts w:ascii="Arial" w:hAnsi="Arial" w:cs="Arial" w:eastAsia="Arial" w:hint="default"/>
                <w:sz w:val="18"/>
                <w:szCs w:val="18"/>
              </w:rPr>
            </w:pPr>
            <w:r>
              <w:rPr>
                <w:rFonts w:ascii="Arial"/>
                <w:sz w:val="18"/>
              </w:rPr>
              <w:t>1,240,000</w:t>
            </w:r>
          </w:p>
        </w:tc>
        <w:tc>
          <w:tcPr>
            <w:tcW w:w="876" w:type="dxa"/>
            <w:tcBorders>
              <w:top w:val="single" w:sz="4" w:space="0" w:color="2D74B5"/>
              <w:left w:val="nil" w:sz="6" w:space="0" w:color="auto"/>
              <w:bottom w:val="single" w:sz="4" w:space="0" w:color="2D74B5"/>
              <w:right w:val="nil" w:sz="6" w:space="0" w:color="auto"/>
            </w:tcBorders>
          </w:tcPr>
          <w:p>
            <w:pPr/>
          </w:p>
        </w:tc>
        <w:tc>
          <w:tcPr>
            <w:tcW w:w="851" w:type="dxa"/>
            <w:tcBorders>
              <w:top w:val="single" w:sz="4" w:space="0" w:color="2D74B5"/>
              <w:left w:val="nil" w:sz="6" w:space="0" w:color="auto"/>
              <w:bottom w:val="single" w:sz="4" w:space="0" w:color="2D74B5"/>
              <w:right w:val="nil" w:sz="6" w:space="0" w:color="auto"/>
            </w:tcBorders>
            <w:shd w:val="clear" w:color="auto" w:fill="DEEAF6"/>
          </w:tcPr>
          <w:p>
            <w:pPr/>
          </w:p>
        </w:tc>
        <w:tc>
          <w:tcPr>
            <w:tcW w:w="850" w:type="dxa"/>
            <w:tcBorders>
              <w:top w:val="single" w:sz="4" w:space="0" w:color="2D74B5"/>
              <w:left w:val="nil" w:sz="6" w:space="0" w:color="auto"/>
              <w:bottom w:val="single" w:sz="4" w:space="0" w:color="2D74B5"/>
              <w:right w:val="nil" w:sz="6" w:space="0" w:color="auto"/>
            </w:tcBorders>
          </w:tcPr>
          <w:p>
            <w:pPr>
              <w:pStyle w:val="TableParagraph"/>
              <w:spacing w:line="240" w:lineRule="auto" w:before="89"/>
              <w:ind w:left="107" w:right="0"/>
              <w:jc w:val="left"/>
              <w:rPr>
                <w:rFonts w:ascii="Arial" w:hAnsi="Arial" w:cs="Arial" w:eastAsia="Arial" w:hint="default"/>
                <w:sz w:val="18"/>
                <w:szCs w:val="18"/>
              </w:rPr>
            </w:pPr>
            <w:r>
              <w:rPr>
                <w:rFonts w:ascii="Arial"/>
                <w:sz w:val="18"/>
              </w:rPr>
              <w:t>8.75</w:t>
            </w:r>
          </w:p>
        </w:tc>
        <w:tc>
          <w:tcPr>
            <w:tcW w:w="113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9"/>
              <w:ind w:left="107" w:right="0"/>
              <w:jc w:val="left"/>
              <w:rPr>
                <w:rFonts w:ascii="Arial" w:hAnsi="Arial" w:cs="Arial" w:eastAsia="Arial" w:hint="default"/>
                <w:sz w:val="18"/>
                <w:szCs w:val="18"/>
              </w:rPr>
            </w:pPr>
            <w:r>
              <w:rPr>
                <w:rFonts w:ascii="Arial"/>
                <w:sz w:val="18"/>
              </w:rPr>
              <w:t>1,240,000</w:t>
            </w:r>
          </w:p>
        </w:tc>
      </w:tr>
      <w:tr>
        <w:trPr>
          <w:trHeight w:val="682" w:hRule="exact"/>
        </w:trPr>
        <w:tc>
          <w:tcPr>
            <w:tcW w:w="775"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吴学军</w:t>
            </w:r>
          </w:p>
        </w:tc>
        <w:tc>
          <w:tcPr>
            <w:tcW w:w="1200" w:type="dxa"/>
            <w:tcBorders>
              <w:top w:val="single" w:sz="4" w:space="0" w:color="2D74B5"/>
              <w:left w:val="nil" w:sz="6" w:space="0" w:color="auto"/>
              <w:bottom w:val="single" w:sz="4" w:space="0" w:color="2D74B5"/>
              <w:right w:val="nil" w:sz="6" w:space="0" w:color="auto"/>
            </w:tcBorders>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000"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8"/>
              <w:ind w:left="108" w:right="0"/>
              <w:jc w:val="left"/>
              <w:rPr>
                <w:rFonts w:ascii="Arial" w:hAnsi="Arial" w:cs="Arial" w:eastAsia="Arial" w:hint="default"/>
                <w:sz w:val="18"/>
                <w:szCs w:val="18"/>
              </w:rPr>
            </w:pPr>
            <w:r>
              <w:rPr>
                <w:rFonts w:ascii="Arial"/>
                <w:sz w:val="18"/>
              </w:rPr>
              <w:t>400,000</w:t>
            </w:r>
          </w:p>
        </w:tc>
        <w:tc>
          <w:tcPr>
            <w:tcW w:w="701" w:type="dxa"/>
            <w:tcBorders>
              <w:top w:val="single" w:sz="4" w:space="0" w:color="2D74B5"/>
              <w:left w:val="nil" w:sz="6" w:space="0" w:color="auto"/>
              <w:bottom w:val="single" w:sz="4" w:space="0" w:color="2D74B5"/>
              <w:right w:val="nil" w:sz="6" w:space="0" w:color="auto"/>
            </w:tcBorders>
          </w:tcPr>
          <w:p>
            <w:pPr/>
          </w:p>
        </w:tc>
        <w:tc>
          <w:tcPr>
            <w:tcW w:w="1016" w:type="dxa"/>
            <w:tcBorders>
              <w:top w:val="single" w:sz="4" w:space="0" w:color="2D74B5"/>
              <w:left w:val="nil" w:sz="6" w:space="0" w:color="auto"/>
              <w:bottom w:val="single" w:sz="4" w:space="0" w:color="2D74B5"/>
              <w:right w:val="nil" w:sz="6" w:space="0" w:color="auto"/>
            </w:tcBorders>
            <w:shd w:val="clear" w:color="auto" w:fill="DEEAF6"/>
          </w:tcPr>
          <w:p>
            <w:pPr/>
          </w:p>
        </w:tc>
        <w:tc>
          <w:tcPr>
            <w:tcW w:w="839" w:type="dxa"/>
            <w:tcBorders>
              <w:top w:val="single" w:sz="4" w:space="0" w:color="2D74B5"/>
              <w:left w:val="nil" w:sz="6" w:space="0" w:color="auto"/>
              <w:bottom w:val="single" w:sz="4" w:space="0" w:color="2D74B5"/>
              <w:right w:val="nil" w:sz="6" w:space="0" w:color="auto"/>
            </w:tcBorders>
          </w:tcPr>
          <w:p>
            <w:pPr>
              <w:pStyle w:val="TableParagraph"/>
              <w:spacing w:line="240" w:lineRule="auto" w:before="88"/>
              <w:ind w:left="108" w:right="0"/>
              <w:jc w:val="left"/>
              <w:rPr>
                <w:rFonts w:ascii="Arial" w:hAnsi="Arial" w:cs="Arial" w:eastAsia="Arial" w:hint="default"/>
                <w:sz w:val="18"/>
                <w:szCs w:val="18"/>
              </w:rPr>
            </w:pPr>
            <w:r>
              <w:rPr>
                <w:rFonts w:ascii="Arial"/>
                <w:sz w:val="18"/>
              </w:rPr>
              <w:t>17.5</w:t>
            </w:r>
          </w:p>
        </w:tc>
        <w:tc>
          <w:tcPr>
            <w:tcW w:w="1108" w:type="dxa"/>
            <w:tcBorders>
              <w:top w:val="single" w:sz="4" w:space="0" w:color="2D74B5"/>
              <w:left w:val="nil" w:sz="6" w:space="0" w:color="auto"/>
              <w:bottom w:val="single" w:sz="4" w:space="0" w:color="2D74B5"/>
              <w:right w:val="nil" w:sz="6" w:space="0" w:color="auto"/>
            </w:tcBorders>
            <w:shd w:val="clear" w:color="auto" w:fill="DEEAF6"/>
          </w:tcPr>
          <w:p>
            <w:pPr/>
          </w:p>
        </w:tc>
        <w:tc>
          <w:tcPr>
            <w:tcW w:w="876" w:type="dxa"/>
            <w:tcBorders>
              <w:top w:val="single" w:sz="4" w:space="0" w:color="2D74B5"/>
              <w:left w:val="nil" w:sz="6" w:space="0" w:color="auto"/>
              <w:bottom w:val="single" w:sz="4" w:space="0" w:color="2D74B5"/>
              <w:right w:val="nil" w:sz="6" w:space="0" w:color="auto"/>
            </w:tcBorders>
          </w:tcPr>
          <w:p>
            <w:pPr/>
          </w:p>
        </w:tc>
        <w:tc>
          <w:tcPr>
            <w:tcW w:w="851" w:type="dxa"/>
            <w:tcBorders>
              <w:top w:val="single" w:sz="4" w:space="0" w:color="2D74B5"/>
              <w:left w:val="nil" w:sz="6" w:space="0" w:color="auto"/>
              <w:bottom w:val="single" w:sz="4" w:space="0" w:color="2D74B5"/>
              <w:right w:val="nil" w:sz="6" w:space="0" w:color="auto"/>
            </w:tcBorders>
            <w:shd w:val="clear" w:color="auto" w:fill="DEEAF6"/>
          </w:tcPr>
          <w:p>
            <w:pPr/>
          </w:p>
        </w:tc>
        <w:tc>
          <w:tcPr>
            <w:tcW w:w="850" w:type="dxa"/>
            <w:tcBorders>
              <w:top w:val="single" w:sz="4" w:space="0" w:color="2D74B5"/>
              <w:left w:val="nil" w:sz="6" w:space="0" w:color="auto"/>
              <w:bottom w:val="single" w:sz="4" w:space="0" w:color="2D74B5"/>
              <w:right w:val="nil" w:sz="6" w:space="0" w:color="auto"/>
            </w:tcBorders>
          </w:tcPr>
          <w:p>
            <w:pPr/>
          </w:p>
        </w:tc>
        <w:tc>
          <w:tcPr>
            <w:tcW w:w="1134" w:type="dxa"/>
            <w:tcBorders>
              <w:top w:val="single" w:sz="4" w:space="0" w:color="2D74B5"/>
              <w:left w:val="nil" w:sz="6" w:space="0" w:color="auto"/>
              <w:bottom w:val="single" w:sz="4" w:space="0" w:color="2D74B5"/>
              <w:right w:val="nil" w:sz="6" w:space="0" w:color="auto"/>
            </w:tcBorders>
            <w:shd w:val="clear" w:color="auto" w:fill="DEEAF6"/>
          </w:tcPr>
          <w:p>
            <w:pPr/>
          </w:p>
        </w:tc>
      </w:tr>
      <w:tr>
        <w:trPr>
          <w:trHeight w:val="714" w:hRule="exact"/>
        </w:trPr>
        <w:tc>
          <w:tcPr>
            <w:tcW w:w="775"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米泽东</w:t>
            </w:r>
          </w:p>
        </w:tc>
        <w:tc>
          <w:tcPr>
            <w:tcW w:w="1200" w:type="dxa"/>
            <w:tcBorders>
              <w:top w:val="single" w:sz="4" w:space="0" w:color="2D74B5"/>
              <w:left w:val="nil" w:sz="6" w:space="0" w:color="auto"/>
              <w:bottom w:val="single" w:sz="4" w:space="0" w:color="2D74B5"/>
              <w:right w:val="nil" w:sz="6" w:space="0" w:color="auto"/>
            </w:tcBorders>
          </w:tcPr>
          <w:p>
            <w:pPr>
              <w:pStyle w:val="TableParagraph"/>
              <w:spacing w:line="316" w:lineRule="auto" w:before="46"/>
              <w:ind w:left="108" w:right="191"/>
              <w:jc w:val="left"/>
              <w:rPr>
                <w:rFonts w:ascii="宋体" w:hAnsi="宋体" w:cs="宋体" w:eastAsia="宋体" w:hint="default"/>
                <w:sz w:val="18"/>
                <w:szCs w:val="18"/>
              </w:rPr>
            </w:pPr>
            <w:r>
              <w:rPr>
                <w:rFonts w:ascii="宋体" w:hAnsi="宋体" w:cs="宋体" w:eastAsia="宋体" w:hint="default"/>
                <w:sz w:val="18"/>
                <w:szCs w:val="18"/>
              </w:rPr>
              <w:t>副总裁、财 务负责人</w:t>
            </w:r>
          </w:p>
        </w:tc>
        <w:tc>
          <w:tcPr>
            <w:tcW w:w="1000"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8"/>
              <w:ind w:left="108" w:right="0"/>
              <w:jc w:val="left"/>
              <w:rPr>
                <w:rFonts w:ascii="Arial" w:hAnsi="Arial" w:cs="Arial" w:eastAsia="Arial" w:hint="default"/>
                <w:sz w:val="18"/>
                <w:szCs w:val="18"/>
              </w:rPr>
            </w:pPr>
            <w:r>
              <w:rPr>
                <w:rFonts w:ascii="Arial"/>
                <w:sz w:val="18"/>
              </w:rPr>
              <w:t>133,192</w:t>
            </w:r>
          </w:p>
        </w:tc>
        <w:tc>
          <w:tcPr>
            <w:tcW w:w="701" w:type="dxa"/>
            <w:tcBorders>
              <w:top w:val="single" w:sz="4" w:space="0" w:color="2D74B5"/>
              <w:left w:val="nil" w:sz="6" w:space="0" w:color="auto"/>
              <w:bottom w:val="single" w:sz="4" w:space="0" w:color="2D74B5"/>
              <w:right w:val="nil" w:sz="6" w:space="0" w:color="auto"/>
            </w:tcBorders>
          </w:tcPr>
          <w:p>
            <w:pPr/>
          </w:p>
        </w:tc>
        <w:tc>
          <w:tcPr>
            <w:tcW w:w="1016" w:type="dxa"/>
            <w:tcBorders>
              <w:top w:val="single" w:sz="4" w:space="0" w:color="2D74B5"/>
              <w:left w:val="nil" w:sz="6" w:space="0" w:color="auto"/>
              <w:bottom w:val="single" w:sz="4" w:space="0" w:color="2D74B5"/>
              <w:right w:val="nil" w:sz="6" w:space="0" w:color="auto"/>
            </w:tcBorders>
            <w:shd w:val="clear" w:color="auto" w:fill="DEEAF6"/>
          </w:tcPr>
          <w:p>
            <w:pPr/>
          </w:p>
        </w:tc>
        <w:tc>
          <w:tcPr>
            <w:tcW w:w="839" w:type="dxa"/>
            <w:tcBorders>
              <w:top w:val="single" w:sz="4" w:space="0" w:color="2D74B5"/>
              <w:left w:val="nil" w:sz="6" w:space="0" w:color="auto"/>
              <w:bottom w:val="single" w:sz="4" w:space="0" w:color="2D74B5"/>
              <w:right w:val="nil" w:sz="6" w:space="0" w:color="auto"/>
            </w:tcBorders>
          </w:tcPr>
          <w:p>
            <w:pPr>
              <w:pStyle w:val="TableParagraph"/>
              <w:spacing w:line="240" w:lineRule="auto" w:before="88"/>
              <w:ind w:left="108" w:right="0"/>
              <w:jc w:val="left"/>
              <w:rPr>
                <w:rFonts w:ascii="Arial" w:hAnsi="Arial" w:cs="Arial" w:eastAsia="Arial" w:hint="default"/>
                <w:sz w:val="18"/>
                <w:szCs w:val="18"/>
              </w:rPr>
            </w:pPr>
            <w:r>
              <w:rPr>
                <w:rFonts w:ascii="Arial"/>
                <w:sz w:val="18"/>
              </w:rPr>
              <w:t>17.5</w:t>
            </w:r>
          </w:p>
        </w:tc>
        <w:tc>
          <w:tcPr>
            <w:tcW w:w="1108"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8"/>
              <w:ind w:left="108" w:right="0"/>
              <w:jc w:val="left"/>
              <w:rPr>
                <w:rFonts w:ascii="Arial" w:hAnsi="Arial" w:cs="Arial" w:eastAsia="Arial" w:hint="default"/>
                <w:sz w:val="18"/>
                <w:szCs w:val="18"/>
              </w:rPr>
            </w:pPr>
            <w:r>
              <w:rPr>
                <w:rFonts w:ascii="Arial"/>
                <w:sz w:val="18"/>
              </w:rPr>
              <w:t>160,000</w:t>
            </w:r>
          </w:p>
        </w:tc>
        <w:tc>
          <w:tcPr>
            <w:tcW w:w="876" w:type="dxa"/>
            <w:tcBorders>
              <w:top w:val="single" w:sz="4" w:space="0" w:color="2D74B5"/>
              <w:left w:val="nil" w:sz="6" w:space="0" w:color="auto"/>
              <w:bottom w:val="single" w:sz="4" w:space="0" w:color="2D74B5"/>
              <w:right w:val="nil" w:sz="6" w:space="0" w:color="auto"/>
            </w:tcBorders>
          </w:tcPr>
          <w:p>
            <w:pPr/>
          </w:p>
        </w:tc>
        <w:tc>
          <w:tcPr>
            <w:tcW w:w="851" w:type="dxa"/>
            <w:tcBorders>
              <w:top w:val="single" w:sz="4" w:space="0" w:color="2D74B5"/>
              <w:left w:val="nil" w:sz="6" w:space="0" w:color="auto"/>
              <w:bottom w:val="single" w:sz="4" w:space="0" w:color="2D74B5"/>
              <w:right w:val="nil" w:sz="6" w:space="0" w:color="auto"/>
            </w:tcBorders>
            <w:shd w:val="clear" w:color="auto" w:fill="DEEAF6"/>
          </w:tcPr>
          <w:p>
            <w:pPr/>
          </w:p>
        </w:tc>
        <w:tc>
          <w:tcPr>
            <w:tcW w:w="850" w:type="dxa"/>
            <w:tcBorders>
              <w:top w:val="single" w:sz="4" w:space="0" w:color="2D74B5"/>
              <w:left w:val="nil" w:sz="6" w:space="0" w:color="auto"/>
              <w:bottom w:val="single" w:sz="4" w:space="0" w:color="2D74B5"/>
              <w:right w:val="nil" w:sz="6" w:space="0" w:color="auto"/>
            </w:tcBorders>
          </w:tcPr>
          <w:p>
            <w:pPr>
              <w:pStyle w:val="TableParagraph"/>
              <w:spacing w:line="240" w:lineRule="auto" w:before="88"/>
              <w:ind w:left="107" w:right="0"/>
              <w:jc w:val="left"/>
              <w:rPr>
                <w:rFonts w:ascii="Arial" w:hAnsi="Arial" w:cs="Arial" w:eastAsia="Arial" w:hint="default"/>
                <w:sz w:val="18"/>
                <w:szCs w:val="18"/>
              </w:rPr>
            </w:pPr>
            <w:r>
              <w:rPr>
                <w:rFonts w:ascii="Arial"/>
                <w:sz w:val="18"/>
              </w:rPr>
              <w:t>8.75</w:t>
            </w:r>
          </w:p>
        </w:tc>
        <w:tc>
          <w:tcPr>
            <w:tcW w:w="113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8"/>
              <w:ind w:left="107" w:right="0"/>
              <w:jc w:val="left"/>
              <w:rPr>
                <w:rFonts w:ascii="Arial" w:hAnsi="Arial" w:cs="Arial" w:eastAsia="Arial" w:hint="default"/>
                <w:sz w:val="18"/>
                <w:szCs w:val="18"/>
              </w:rPr>
            </w:pPr>
            <w:r>
              <w:rPr>
                <w:rFonts w:ascii="Arial"/>
                <w:sz w:val="18"/>
              </w:rPr>
              <w:t>160,000</w:t>
            </w:r>
          </w:p>
        </w:tc>
      </w:tr>
      <w:tr>
        <w:trPr>
          <w:trHeight w:val="403" w:hRule="exact"/>
        </w:trPr>
        <w:tc>
          <w:tcPr>
            <w:tcW w:w="775"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余斌</w:t>
            </w:r>
          </w:p>
        </w:tc>
        <w:tc>
          <w:tcPr>
            <w:tcW w:w="1200" w:type="dxa"/>
            <w:tcBorders>
              <w:top w:val="single" w:sz="4" w:space="0" w:color="2D74B5"/>
              <w:left w:val="nil" w:sz="6" w:space="0" w:color="auto"/>
              <w:bottom w:val="single" w:sz="4" w:space="0" w:color="2D74B5"/>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000" w:type="dxa"/>
            <w:tcBorders>
              <w:top w:val="single" w:sz="4" w:space="0" w:color="2D74B5"/>
              <w:left w:val="nil" w:sz="6" w:space="0" w:color="auto"/>
              <w:bottom w:val="single" w:sz="4" w:space="0" w:color="2D74B5"/>
              <w:right w:val="nil" w:sz="6" w:space="0" w:color="auto"/>
            </w:tcBorders>
            <w:shd w:val="clear" w:color="auto" w:fill="DEEAF6"/>
          </w:tcPr>
          <w:p>
            <w:pPr/>
          </w:p>
        </w:tc>
        <w:tc>
          <w:tcPr>
            <w:tcW w:w="701" w:type="dxa"/>
            <w:tcBorders>
              <w:top w:val="single" w:sz="4" w:space="0" w:color="2D74B5"/>
              <w:left w:val="nil" w:sz="6" w:space="0" w:color="auto"/>
              <w:bottom w:val="single" w:sz="4" w:space="0" w:color="2D74B5"/>
              <w:right w:val="nil" w:sz="6" w:space="0" w:color="auto"/>
            </w:tcBorders>
          </w:tcPr>
          <w:p>
            <w:pPr/>
          </w:p>
        </w:tc>
        <w:tc>
          <w:tcPr>
            <w:tcW w:w="1016" w:type="dxa"/>
            <w:tcBorders>
              <w:top w:val="single" w:sz="4" w:space="0" w:color="2D74B5"/>
              <w:left w:val="nil" w:sz="6" w:space="0" w:color="auto"/>
              <w:bottom w:val="single" w:sz="4" w:space="0" w:color="2D74B5"/>
              <w:right w:val="nil" w:sz="6" w:space="0" w:color="auto"/>
            </w:tcBorders>
            <w:shd w:val="clear" w:color="auto" w:fill="DEEAF6"/>
          </w:tcPr>
          <w:p>
            <w:pPr/>
          </w:p>
        </w:tc>
        <w:tc>
          <w:tcPr>
            <w:tcW w:w="839" w:type="dxa"/>
            <w:tcBorders>
              <w:top w:val="single" w:sz="4" w:space="0" w:color="2D74B5"/>
              <w:left w:val="nil" w:sz="6" w:space="0" w:color="auto"/>
              <w:bottom w:val="single" w:sz="4" w:space="0" w:color="2D74B5"/>
              <w:right w:val="nil" w:sz="6" w:space="0" w:color="auto"/>
            </w:tcBorders>
          </w:tcPr>
          <w:p>
            <w:pPr/>
          </w:p>
        </w:tc>
        <w:tc>
          <w:tcPr>
            <w:tcW w:w="1108"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8"/>
              <w:ind w:left="108" w:right="0"/>
              <w:jc w:val="left"/>
              <w:rPr>
                <w:rFonts w:ascii="Arial" w:hAnsi="Arial" w:cs="Arial" w:eastAsia="Arial" w:hint="default"/>
                <w:sz w:val="18"/>
                <w:szCs w:val="18"/>
              </w:rPr>
            </w:pPr>
            <w:r>
              <w:rPr>
                <w:rFonts w:ascii="Arial"/>
                <w:sz w:val="18"/>
              </w:rPr>
              <w:t>600,000</w:t>
            </w:r>
          </w:p>
        </w:tc>
        <w:tc>
          <w:tcPr>
            <w:tcW w:w="876" w:type="dxa"/>
            <w:tcBorders>
              <w:top w:val="single" w:sz="4" w:space="0" w:color="2D74B5"/>
              <w:left w:val="nil" w:sz="6" w:space="0" w:color="auto"/>
              <w:bottom w:val="single" w:sz="4" w:space="0" w:color="2D74B5"/>
              <w:right w:val="nil" w:sz="6" w:space="0" w:color="auto"/>
            </w:tcBorders>
          </w:tcPr>
          <w:p>
            <w:pPr/>
          </w:p>
        </w:tc>
        <w:tc>
          <w:tcPr>
            <w:tcW w:w="851" w:type="dxa"/>
            <w:tcBorders>
              <w:top w:val="single" w:sz="4" w:space="0" w:color="2D74B5"/>
              <w:left w:val="nil" w:sz="6" w:space="0" w:color="auto"/>
              <w:bottom w:val="single" w:sz="4" w:space="0" w:color="2D74B5"/>
              <w:right w:val="nil" w:sz="6" w:space="0" w:color="auto"/>
            </w:tcBorders>
            <w:shd w:val="clear" w:color="auto" w:fill="DEEAF6"/>
          </w:tcPr>
          <w:p>
            <w:pPr/>
          </w:p>
        </w:tc>
        <w:tc>
          <w:tcPr>
            <w:tcW w:w="850" w:type="dxa"/>
            <w:tcBorders>
              <w:top w:val="single" w:sz="4" w:space="0" w:color="2D74B5"/>
              <w:left w:val="nil" w:sz="6" w:space="0" w:color="auto"/>
              <w:bottom w:val="single" w:sz="4" w:space="0" w:color="2D74B5"/>
              <w:right w:val="nil" w:sz="6" w:space="0" w:color="auto"/>
            </w:tcBorders>
          </w:tcPr>
          <w:p>
            <w:pPr>
              <w:pStyle w:val="TableParagraph"/>
              <w:spacing w:line="240" w:lineRule="auto" w:before="88"/>
              <w:ind w:left="107" w:right="0"/>
              <w:jc w:val="left"/>
              <w:rPr>
                <w:rFonts w:ascii="Arial" w:hAnsi="Arial" w:cs="Arial" w:eastAsia="Arial" w:hint="default"/>
                <w:sz w:val="18"/>
                <w:szCs w:val="18"/>
              </w:rPr>
            </w:pPr>
            <w:r>
              <w:rPr>
                <w:rFonts w:ascii="Arial"/>
                <w:sz w:val="18"/>
              </w:rPr>
              <w:t>8.75</w:t>
            </w:r>
          </w:p>
        </w:tc>
        <w:tc>
          <w:tcPr>
            <w:tcW w:w="113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8"/>
              <w:ind w:left="107" w:right="0"/>
              <w:jc w:val="left"/>
              <w:rPr>
                <w:rFonts w:ascii="Arial" w:hAnsi="Arial" w:cs="Arial" w:eastAsia="Arial" w:hint="default"/>
                <w:sz w:val="18"/>
                <w:szCs w:val="18"/>
              </w:rPr>
            </w:pPr>
            <w:r>
              <w:rPr>
                <w:rFonts w:ascii="Arial"/>
                <w:sz w:val="18"/>
              </w:rPr>
              <w:t>600,000</w:t>
            </w:r>
          </w:p>
        </w:tc>
      </w:tr>
      <w:tr>
        <w:trPr>
          <w:trHeight w:val="403" w:hRule="exact"/>
        </w:trPr>
        <w:tc>
          <w:tcPr>
            <w:tcW w:w="775"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杨治</w:t>
            </w:r>
          </w:p>
        </w:tc>
        <w:tc>
          <w:tcPr>
            <w:tcW w:w="1200" w:type="dxa"/>
            <w:tcBorders>
              <w:top w:val="single" w:sz="4" w:space="0" w:color="2D74B5"/>
              <w:left w:val="nil" w:sz="6" w:space="0" w:color="auto"/>
              <w:bottom w:val="single" w:sz="4" w:space="0" w:color="2D74B5"/>
              <w:right w:val="nil" w:sz="6" w:space="0" w:color="auto"/>
            </w:tcBorders>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000" w:type="dxa"/>
            <w:tcBorders>
              <w:top w:val="single" w:sz="4" w:space="0" w:color="2D74B5"/>
              <w:left w:val="nil" w:sz="6" w:space="0" w:color="auto"/>
              <w:bottom w:val="single" w:sz="4" w:space="0" w:color="2D74B5"/>
              <w:right w:val="nil" w:sz="6" w:space="0" w:color="auto"/>
            </w:tcBorders>
            <w:shd w:val="clear" w:color="auto" w:fill="DEEAF6"/>
          </w:tcPr>
          <w:p>
            <w:pPr/>
          </w:p>
        </w:tc>
        <w:tc>
          <w:tcPr>
            <w:tcW w:w="701" w:type="dxa"/>
            <w:tcBorders>
              <w:top w:val="single" w:sz="4" w:space="0" w:color="2D74B5"/>
              <w:left w:val="nil" w:sz="6" w:space="0" w:color="auto"/>
              <w:bottom w:val="single" w:sz="4" w:space="0" w:color="2D74B5"/>
              <w:right w:val="nil" w:sz="6" w:space="0" w:color="auto"/>
            </w:tcBorders>
          </w:tcPr>
          <w:p>
            <w:pPr/>
          </w:p>
        </w:tc>
        <w:tc>
          <w:tcPr>
            <w:tcW w:w="1016" w:type="dxa"/>
            <w:tcBorders>
              <w:top w:val="single" w:sz="4" w:space="0" w:color="2D74B5"/>
              <w:left w:val="nil" w:sz="6" w:space="0" w:color="auto"/>
              <w:bottom w:val="single" w:sz="4" w:space="0" w:color="2D74B5"/>
              <w:right w:val="nil" w:sz="6" w:space="0" w:color="auto"/>
            </w:tcBorders>
            <w:shd w:val="clear" w:color="auto" w:fill="DEEAF6"/>
          </w:tcPr>
          <w:p>
            <w:pPr/>
          </w:p>
        </w:tc>
        <w:tc>
          <w:tcPr>
            <w:tcW w:w="839" w:type="dxa"/>
            <w:tcBorders>
              <w:top w:val="single" w:sz="4" w:space="0" w:color="2D74B5"/>
              <w:left w:val="nil" w:sz="6" w:space="0" w:color="auto"/>
              <w:bottom w:val="single" w:sz="4" w:space="0" w:color="2D74B5"/>
              <w:right w:val="nil" w:sz="6" w:space="0" w:color="auto"/>
            </w:tcBorders>
          </w:tcPr>
          <w:p>
            <w:pPr/>
          </w:p>
        </w:tc>
        <w:tc>
          <w:tcPr>
            <w:tcW w:w="1108"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9"/>
              <w:ind w:left="108" w:right="0"/>
              <w:jc w:val="left"/>
              <w:rPr>
                <w:rFonts w:ascii="Arial" w:hAnsi="Arial" w:cs="Arial" w:eastAsia="Arial" w:hint="default"/>
                <w:sz w:val="18"/>
                <w:szCs w:val="18"/>
              </w:rPr>
            </w:pPr>
            <w:r>
              <w:rPr>
                <w:rFonts w:ascii="Arial"/>
                <w:sz w:val="18"/>
              </w:rPr>
              <w:t>200,000</w:t>
            </w:r>
          </w:p>
        </w:tc>
        <w:tc>
          <w:tcPr>
            <w:tcW w:w="876" w:type="dxa"/>
            <w:tcBorders>
              <w:top w:val="single" w:sz="4" w:space="0" w:color="2D74B5"/>
              <w:left w:val="nil" w:sz="6" w:space="0" w:color="auto"/>
              <w:bottom w:val="single" w:sz="4" w:space="0" w:color="2D74B5"/>
              <w:right w:val="nil" w:sz="6" w:space="0" w:color="auto"/>
            </w:tcBorders>
          </w:tcPr>
          <w:p>
            <w:pPr/>
          </w:p>
        </w:tc>
        <w:tc>
          <w:tcPr>
            <w:tcW w:w="851" w:type="dxa"/>
            <w:tcBorders>
              <w:top w:val="single" w:sz="4" w:space="0" w:color="2D74B5"/>
              <w:left w:val="nil" w:sz="6" w:space="0" w:color="auto"/>
              <w:bottom w:val="single" w:sz="4" w:space="0" w:color="2D74B5"/>
              <w:right w:val="nil" w:sz="6" w:space="0" w:color="auto"/>
            </w:tcBorders>
            <w:shd w:val="clear" w:color="auto" w:fill="DEEAF6"/>
          </w:tcPr>
          <w:p>
            <w:pPr/>
          </w:p>
        </w:tc>
        <w:tc>
          <w:tcPr>
            <w:tcW w:w="850" w:type="dxa"/>
            <w:tcBorders>
              <w:top w:val="single" w:sz="4" w:space="0" w:color="2D74B5"/>
              <w:left w:val="nil" w:sz="6" w:space="0" w:color="auto"/>
              <w:bottom w:val="single" w:sz="4" w:space="0" w:color="2D74B5"/>
              <w:right w:val="nil" w:sz="6" w:space="0" w:color="auto"/>
            </w:tcBorders>
          </w:tcPr>
          <w:p>
            <w:pPr>
              <w:pStyle w:val="TableParagraph"/>
              <w:spacing w:line="240" w:lineRule="auto" w:before="89"/>
              <w:ind w:left="107" w:right="0"/>
              <w:jc w:val="left"/>
              <w:rPr>
                <w:rFonts w:ascii="Arial" w:hAnsi="Arial" w:cs="Arial" w:eastAsia="Arial" w:hint="default"/>
                <w:sz w:val="18"/>
                <w:szCs w:val="18"/>
              </w:rPr>
            </w:pPr>
            <w:r>
              <w:rPr>
                <w:rFonts w:ascii="Arial"/>
                <w:sz w:val="18"/>
              </w:rPr>
              <w:t>8.75</w:t>
            </w:r>
          </w:p>
        </w:tc>
        <w:tc>
          <w:tcPr>
            <w:tcW w:w="113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9"/>
              <w:ind w:left="107" w:right="0"/>
              <w:jc w:val="left"/>
              <w:rPr>
                <w:rFonts w:ascii="Arial" w:hAnsi="Arial" w:cs="Arial" w:eastAsia="Arial" w:hint="default"/>
                <w:sz w:val="18"/>
                <w:szCs w:val="18"/>
              </w:rPr>
            </w:pPr>
            <w:r>
              <w:rPr>
                <w:rFonts w:ascii="Arial"/>
                <w:sz w:val="18"/>
              </w:rPr>
              <w:t>200,000</w:t>
            </w:r>
          </w:p>
        </w:tc>
      </w:tr>
      <w:tr>
        <w:trPr>
          <w:trHeight w:val="403" w:hRule="exact"/>
        </w:trPr>
        <w:tc>
          <w:tcPr>
            <w:tcW w:w="775"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0" w:type="dxa"/>
            <w:tcBorders>
              <w:top w:val="single" w:sz="4" w:space="0" w:color="2D74B5"/>
              <w:left w:val="nil" w:sz="6" w:space="0" w:color="auto"/>
              <w:bottom w:val="single" w:sz="4" w:space="0" w:color="2D74B5"/>
              <w:right w:val="nil" w:sz="6" w:space="0" w:color="auto"/>
            </w:tcBorders>
          </w:tcPr>
          <w:p>
            <w:pPr/>
          </w:p>
        </w:tc>
        <w:tc>
          <w:tcPr>
            <w:tcW w:w="1000"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8"/>
              <w:ind w:left="108" w:right="0"/>
              <w:jc w:val="left"/>
              <w:rPr>
                <w:rFonts w:ascii="Arial" w:hAnsi="Arial" w:cs="Arial" w:eastAsia="Arial" w:hint="default"/>
                <w:sz w:val="18"/>
                <w:szCs w:val="18"/>
              </w:rPr>
            </w:pPr>
            <w:r>
              <w:rPr>
                <w:rFonts w:ascii="Arial"/>
                <w:sz w:val="18"/>
              </w:rPr>
              <w:t>533,192</w:t>
            </w:r>
          </w:p>
        </w:tc>
        <w:tc>
          <w:tcPr>
            <w:tcW w:w="701" w:type="dxa"/>
            <w:tcBorders>
              <w:top w:val="single" w:sz="4" w:space="0" w:color="2D74B5"/>
              <w:left w:val="nil" w:sz="6" w:space="0" w:color="auto"/>
              <w:bottom w:val="single" w:sz="4" w:space="0" w:color="2D74B5"/>
              <w:right w:val="nil" w:sz="6" w:space="0" w:color="auto"/>
            </w:tcBorders>
          </w:tcPr>
          <w:p>
            <w:pPr>
              <w:pStyle w:val="TableParagraph"/>
              <w:spacing w:line="240" w:lineRule="auto" w:before="88"/>
              <w:ind w:left="107" w:right="0"/>
              <w:jc w:val="left"/>
              <w:rPr>
                <w:rFonts w:ascii="Arial" w:hAnsi="Arial" w:cs="Arial" w:eastAsia="Arial" w:hint="default"/>
                <w:sz w:val="18"/>
                <w:szCs w:val="18"/>
              </w:rPr>
            </w:pPr>
            <w:r>
              <w:rPr>
                <w:rFonts w:ascii="Arial"/>
                <w:w w:val="99"/>
                <w:sz w:val="18"/>
              </w:rPr>
              <w:t>0</w:t>
            </w:r>
            <w:r>
              <w:rPr>
                <w:rFonts w:ascii="Arial"/>
                <w:sz w:val="18"/>
              </w:rPr>
            </w:r>
          </w:p>
        </w:tc>
        <w:tc>
          <w:tcPr>
            <w:tcW w:w="1016" w:type="dxa"/>
            <w:tcBorders>
              <w:top w:val="single" w:sz="4" w:space="0" w:color="2D74B5"/>
              <w:left w:val="nil" w:sz="6" w:space="0" w:color="auto"/>
              <w:bottom w:val="single" w:sz="4" w:space="0" w:color="2D74B5"/>
              <w:right w:val="nil" w:sz="6" w:space="0" w:color="auto"/>
            </w:tcBorders>
            <w:shd w:val="clear" w:color="auto" w:fill="DEEAF6"/>
          </w:tcPr>
          <w:p>
            <w:pPr/>
          </w:p>
        </w:tc>
        <w:tc>
          <w:tcPr>
            <w:tcW w:w="839" w:type="dxa"/>
            <w:tcBorders>
              <w:top w:val="single" w:sz="4" w:space="0" w:color="2D74B5"/>
              <w:left w:val="nil" w:sz="6" w:space="0" w:color="auto"/>
              <w:bottom w:val="single" w:sz="4" w:space="0" w:color="2D74B5"/>
              <w:right w:val="nil" w:sz="6" w:space="0" w:color="auto"/>
            </w:tcBorders>
          </w:tcPr>
          <w:p>
            <w:pPr/>
          </w:p>
        </w:tc>
        <w:tc>
          <w:tcPr>
            <w:tcW w:w="1108"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8"/>
              <w:ind w:left="108" w:right="0"/>
              <w:jc w:val="left"/>
              <w:rPr>
                <w:rFonts w:ascii="Arial" w:hAnsi="Arial" w:cs="Arial" w:eastAsia="Arial" w:hint="default"/>
                <w:sz w:val="18"/>
                <w:szCs w:val="18"/>
              </w:rPr>
            </w:pPr>
            <w:r>
              <w:rPr>
                <w:rFonts w:ascii="Arial"/>
                <w:sz w:val="18"/>
              </w:rPr>
              <w:t>4,760,000</w:t>
            </w:r>
          </w:p>
        </w:tc>
        <w:tc>
          <w:tcPr>
            <w:tcW w:w="876" w:type="dxa"/>
            <w:tcBorders>
              <w:top w:val="single" w:sz="4" w:space="0" w:color="2D74B5"/>
              <w:left w:val="nil" w:sz="6" w:space="0" w:color="auto"/>
              <w:bottom w:val="single" w:sz="4" w:space="0" w:color="2D74B5"/>
              <w:right w:val="nil" w:sz="6" w:space="0" w:color="auto"/>
            </w:tcBorders>
          </w:tcPr>
          <w:p>
            <w:pPr>
              <w:pStyle w:val="TableParagraph"/>
              <w:spacing w:line="240" w:lineRule="auto" w:before="88"/>
              <w:ind w:left="108" w:right="0"/>
              <w:jc w:val="left"/>
              <w:rPr>
                <w:rFonts w:ascii="Arial" w:hAnsi="Arial" w:cs="Arial" w:eastAsia="Arial" w:hint="default"/>
                <w:sz w:val="18"/>
                <w:szCs w:val="18"/>
              </w:rPr>
            </w:pPr>
            <w:r>
              <w:rPr>
                <w:rFonts w:ascii="Arial"/>
                <w:w w:val="99"/>
                <w:sz w:val="18"/>
              </w:rPr>
              <w:t>0</w:t>
            </w:r>
            <w:r>
              <w:rPr>
                <w:rFonts w:ascii="Arial"/>
                <w:sz w:val="18"/>
              </w:rPr>
            </w:r>
          </w:p>
        </w:tc>
        <w:tc>
          <w:tcPr>
            <w:tcW w:w="851" w:type="dxa"/>
            <w:tcBorders>
              <w:top w:val="single" w:sz="4" w:space="0" w:color="2D74B5"/>
              <w:left w:val="nil" w:sz="6" w:space="0" w:color="auto"/>
              <w:bottom w:val="single" w:sz="4" w:space="0" w:color="2D74B5"/>
              <w:right w:val="nil" w:sz="6" w:space="0" w:color="auto"/>
            </w:tcBorders>
            <w:shd w:val="clear" w:color="auto" w:fill="DEEAF6"/>
          </w:tcPr>
          <w:p>
            <w:pPr/>
          </w:p>
        </w:tc>
        <w:tc>
          <w:tcPr>
            <w:tcW w:w="850" w:type="dxa"/>
            <w:tcBorders>
              <w:top w:val="single" w:sz="4" w:space="0" w:color="2D74B5"/>
              <w:left w:val="nil" w:sz="6" w:space="0" w:color="auto"/>
              <w:bottom w:val="single" w:sz="4" w:space="0" w:color="2D74B5"/>
              <w:right w:val="nil" w:sz="6" w:space="0" w:color="auto"/>
            </w:tcBorders>
          </w:tcPr>
          <w:p>
            <w:pPr/>
          </w:p>
        </w:tc>
        <w:tc>
          <w:tcPr>
            <w:tcW w:w="113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8"/>
              <w:ind w:left="107" w:right="0"/>
              <w:jc w:val="left"/>
              <w:rPr>
                <w:rFonts w:ascii="Arial" w:hAnsi="Arial" w:cs="Arial" w:eastAsia="Arial" w:hint="default"/>
                <w:sz w:val="18"/>
                <w:szCs w:val="18"/>
              </w:rPr>
            </w:pPr>
            <w:r>
              <w:rPr>
                <w:rFonts w:ascii="Arial"/>
                <w:sz w:val="18"/>
              </w:rPr>
              <w:t>4,760,000</w:t>
            </w:r>
          </w:p>
        </w:tc>
      </w:tr>
    </w:tbl>
    <w:p>
      <w:pPr>
        <w:spacing w:line="240" w:lineRule="auto" w:before="11"/>
        <w:rPr>
          <w:rFonts w:ascii="宋体" w:hAnsi="宋体" w:cs="宋体" w:eastAsia="宋体" w:hint="default"/>
          <w:sz w:val="6"/>
          <w:szCs w:val="6"/>
        </w:rPr>
      </w:pPr>
    </w:p>
    <w:p>
      <w:pPr>
        <w:pStyle w:val="Heading1"/>
        <w:spacing w:line="409" w:lineRule="exact"/>
        <w:ind w:left="474" w:right="0"/>
        <w:jc w:val="left"/>
        <w:rPr>
          <w:b w:val="0"/>
          <w:bCs w:val="0"/>
        </w:rPr>
      </w:pPr>
      <w:bookmarkStart w:name="8.5 公司员工情况" w:id="208"/>
      <w:bookmarkEnd w:id="208"/>
      <w:r>
        <w:rPr>
          <w:b w:val="0"/>
          <w:bCs w:val="0"/>
        </w:rPr>
      </w:r>
      <w:bookmarkStart w:name="_bookmark61" w:id="209"/>
      <w:bookmarkEnd w:id="209"/>
      <w:r>
        <w:rPr>
          <w:b w:val="0"/>
          <w:bCs w:val="0"/>
        </w:rPr>
      </w:r>
      <w:r>
        <w:rPr>
          <w:rFonts w:ascii="Trebuchet MS" w:hAnsi="Trebuchet MS" w:cs="Trebuchet MS" w:eastAsia="Trebuchet MS" w:hint="default"/>
        </w:rPr>
        <w:t>8.5</w:t>
      </w:r>
      <w:r>
        <w:rPr>
          <w:rFonts w:ascii="Trebuchet MS" w:hAnsi="Trebuchet MS" w:cs="Trebuchet MS" w:eastAsia="Trebuchet MS" w:hint="default"/>
          <w:spacing w:val="14"/>
        </w:rPr>
        <w:t> </w:t>
      </w:r>
      <w:r>
        <w:rPr/>
        <w:t>公司员工情况</w:t>
      </w:r>
      <w:r>
        <w:rPr>
          <w:b w:val="0"/>
          <w:bCs w:val="0"/>
        </w:rPr>
      </w:r>
    </w:p>
    <w:p>
      <w:pPr>
        <w:spacing w:line="240" w:lineRule="auto" w:before="17"/>
        <w:rPr>
          <w:rFonts w:ascii="Microsoft JhengHei" w:hAnsi="Microsoft JhengHei" w:cs="Microsoft JhengHei" w:eastAsia="Microsoft JhengHei" w:hint="default"/>
          <w:b/>
          <w:bCs/>
          <w:sz w:val="26"/>
          <w:szCs w:val="26"/>
        </w:rPr>
      </w:pPr>
    </w:p>
    <w:p>
      <w:pPr>
        <w:pStyle w:val="Heading2"/>
        <w:spacing w:line="240" w:lineRule="auto"/>
        <w:ind w:left="474" w:right="0"/>
        <w:jc w:val="left"/>
        <w:rPr>
          <w:b w:val="0"/>
          <w:bCs w:val="0"/>
        </w:rPr>
      </w:pPr>
      <w:bookmarkStart w:name="8.5.1 员工数量、专业构成及教育程度" w:id="210"/>
      <w:bookmarkEnd w:id="210"/>
      <w:r>
        <w:rPr>
          <w:b w:val="0"/>
          <w:bCs w:val="0"/>
        </w:rPr>
      </w:r>
      <w:r>
        <w:rPr>
          <w:rFonts w:ascii="Trebuchet MS" w:hAnsi="Trebuchet MS" w:cs="Trebuchet MS" w:eastAsia="Trebuchet MS" w:hint="default"/>
        </w:rPr>
        <w:t>8.5.1</w:t>
      </w:r>
      <w:r>
        <w:rPr>
          <w:rFonts w:ascii="Trebuchet MS" w:hAnsi="Trebuchet MS" w:cs="Trebuchet MS" w:eastAsia="Trebuchet MS" w:hint="default"/>
          <w:spacing w:val="-18"/>
        </w:rPr>
        <w:t> </w:t>
      </w:r>
      <w:r>
        <w:rPr/>
        <w:t>员工数量、专业构成及教育程度</w:t>
      </w:r>
      <w:r>
        <w:rPr>
          <w:b w:val="0"/>
          <w:bCs w:val="0"/>
        </w:rPr>
      </w:r>
    </w:p>
    <w:p>
      <w:pPr>
        <w:spacing w:line="240" w:lineRule="auto" w:before="3"/>
        <w:rPr>
          <w:rFonts w:ascii="Microsoft JhengHei" w:hAnsi="Microsoft JhengHei" w:cs="Microsoft JhengHei" w:eastAsia="Microsoft JhengHei" w:hint="default"/>
          <w:b/>
          <w:bCs/>
          <w:sz w:val="27"/>
          <w:szCs w:val="27"/>
        </w:rPr>
      </w:pPr>
    </w:p>
    <w:tbl>
      <w:tblPr>
        <w:tblW w:w="0" w:type="auto"/>
        <w:jc w:val="left"/>
        <w:tblInd w:w="507" w:type="dxa"/>
        <w:tblLayout w:type="fixed"/>
        <w:tblCellMar>
          <w:top w:w="0" w:type="dxa"/>
          <w:left w:w="0" w:type="dxa"/>
          <w:bottom w:w="0" w:type="dxa"/>
          <w:right w:w="0" w:type="dxa"/>
        </w:tblCellMar>
        <w:tblLook w:val="01E0"/>
      </w:tblPr>
      <w:tblGrid>
        <w:gridCol w:w="5067"/>
        <w:gridCol w:w="4500"/>
      </w:tblGrid>
      <w:tr>
        <w:trPr>
          <w:trHeight w:val="411" w:hRule="exact"/>
        </w:trPr>
        <w:tc>
          <w:tcPr>
            <w:tcW w:w="5067" w:type="dxa"/>
            <w:tcBorders>
              <w:top w:val="single" w:sz="8" w:space="0" w:color="5B9BD4"/>
              <w:left w:val="nil" w:sz="6" w:space="0" w:color="auto"/>
              <w:bottom w:val="single" w:sz="8"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500" w:type="dxa"/>
            <w:tcBorders>
              <w:top w:val="single" w:sz="8" w:space="0" w:color="5B9BD4"/>
              <w:left w:val="nil" w:sz="6" w:space="0" w:color="auto"/>
              <w:bottom w:val="single" w:sz="8" w:space="0" w:color="5B9BD4"/>
              <w:right w:val="nil" w:sz="6" w:space="0" w:color="auto"/>
            </w:tcBorders>
          </w:tcPr>
          <w:p>
            <w:pPr>
              <w:pStyle w:val="TableParagraph"/>
              <w:spacing w:line="240" w:lineRule="auto" w:before="88"/>
              <w:ind w:right="26"/>
              <w:jc w:val="right"/>
              <w:rPr>
                <w:rFonts w:ascii="Arial" w:hAnsi="Arial" w:cs="Arial" w:eastAsia="Arial" w:hint="default"/>
                <w:sz w:val="18"/>
                <w:szCs w:val="18"/>
              </w:rPr>
            </w:pPr>
            <w:r>
              <w:rPr>
                <w:rFonts w:ascii="Arial"/>
                <w:spacing w:val="-1"/>
                <w:w w:val="95"/>
                <w:sz w:val="18"/>
              </w:rPr>
              <w:t>1733</w:t>
            </w:r>
            <w:r>
              <w:rPr>
                <w:rFonts w:ascii="Arial"/>
                <w:sz w:val="18"/>
              </w:rPr>
            </w:r>
          </w:p>
        </w:tc>
      </w:tr>
      <w:tr>
        <w:trPr>
          <w:trHeight w:val="421" w:hRule="exact"/>
        </w:trPr>
        <w:tc>
          <w:tcPr>
            <w:tcW w:w="5067" w:type="dxa"/>
            <w:tcBorders>
              <w:top w:val="single" w:sz="8" w:space="0" w:color="5B9BD4"/>
              <w:left w:val="nil" w:sz="6" w:space="0" w:color="auto"/>
              <w:bottom w:val="single" w:sz="8" w:space="0" w:color="5B9BD4"/>
              <w:right w:val="nil" w:sz="6" w:space="0" w:color="auto"/>
            </w:tcBorders>
            <w:shd w:val="clear" w:color="auto" w:fill="DEEAF6"/>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500" w:type="dxa"/>
            <w:tcBorders>
              <w:top w:val="single" w:sz="8" w:space="0" w:color="5B9BD4"/>
              <w:left w:val="nil" w:sz="6" w:space="0" w:color="auto"/>
              <w:bottom w:val="single" w:sz="8" w:space="0" w:color="5B9BD4"/>
              <w:right w:val="nil" w:sz="6" w:space="0" w:color="auto"/>
            </w:tcBorders>
          </w:tcPr>
          <w:p>
            <w:pPr>
              <w:pStyle w:val="TableParagraph"/>
              <w:spacing w:line="240" w:lineRule="auto" w:before="93"/>
              <w:ind w:right="26"/>
              <w:jc w:val="right"/>
              <w:rPr>
                <w:rFonts w:ascii="Arial" w:hAnsi="Arial" w:cs="Arial" w:eastAsia="Arial" w:hint="default"/>
                <w:sz w:val="18"/>
                <w:szCs w:val="18"/>
              </w:rPr>
            </w:pPr>
            <w:r>
              <w:rPr>
                <w:rFonts w:ascii="Arial"/>
                <w:spacing w:val="-1"/>
                <w:w w:val="95"/>
                <w:sz w:val="18"/>
              </w:rPr>
              <w:t>1297</w:t>
            </w:r>
            <w:r>
              <w:rPr>
                <w:rFonts w:ascii="Arial"/>
                <w:sz w:val="18"/>
              </w:rPr>
            </w:r>
          </w:p>
        </w:tc>
      </w:tr>
      <w:tr>
        <w:trPr>
          <w:trHeight w:val="403" w:hRule="exact"/>
        </w:trPr>
        <w:tc>
          <w:tcPr>
            <w:tcW w:w="5067" w:type="dxa"/>
            <w:tcBorders>
              <w:top w:val="single" w:sz="8" w:space="0" w:color="5B9BD4"/>
              <w:left w:val="nil" w:sz="6" w:space="0" w:color="auto"/>
              <w:bottom w:val="single" w:sz="8"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500" w:type="dxa"/>
            <w:tcBorders>
              <w:top w:val="single" w:sz="8" w:space="0" w:color="5B9BD4"/>
              <w:left w:val="nil" w:sz="6" w:space="0" w:color="auto"/>
              <w:bottom w:val="single" w:sz="8" w:space="0" w:color="5B9BD4"/>
              <w:right w:val="nil" w:sz="6" w:space="0" w:color="auto"/>
            </w:tcBorders>
          </w:tcPr>
          <w:p>
            <w:pPr>
              <w:pStyle w:val="TableParagraph"/>
              <w:spacing w:line="240" w:lineRule="auto" w:before="88"/>
              <w:ind w:right="26"/>
              <w:jc w:val="right"/>
              <w:rPr>
                <w:rFonts w:ascii="Arial" w:hAnsi="Arial" w:cs="Arial" w:eastAsia="Arial" w:hint="default"/>
                <w:sz w:val="18"/>
                <w:szCs w:val="18"/>
              </w:rPr>
            </w:pPr>
            <w:r>
              <w:rPr>
                <w:rFonts w:ascii="Arial"/>
                <w:spacing w:val="-1"/>
                <w:w w:val="95"/>
                <w:sz w:val="18"/>
              </w:rPr>
              <w:t>3030</w:t>
            </w:r>
            <w:r>
              <w:rPr>
                <w:rFonts w:ascii="Arial"/>
                <w:sz w:val="18"/>
              </w:rPr>
            </w:r>
          </w:p>
        </w:tc>
      </w:tr>
    </w:tbl>
    <w:p>
      <w:pPr>
        <w:spacing w:after="0" w:line="240" w:lineRule="auto"/>
        <w:jc w:val="right"/>
        <w:rPr>
          <w:rFonts w:ascii="Arial" w:hAnsi="Arial" w:cs="Arial" w:eastAsia="Arial" w:hint="default"/>
          <w:sz w:val="18"/>
          <w:szCs w:val="18"/>
        </w:rPr>
        <w:sectPr>
          <w:pgSz w:w="11910" w:h="16840"/>
          <w:pgMar w:header="877" w:footer="979" w:top="1100" w:bottom="1160" w:left="660" w:right="0"/>
        </w:sectPr>
      </w:pPr>
    </w:p>
    <w:p>
      <w:pPr>
        <w:spacing w:line="240" w:lineRule="auto" w:before="6"/>
        <w:rPr>
          <w:rFonts w:ascii="Times New Roman" w:hAnsi="Times New Roman" w:cs="Times New Roman" w:eastAsia="Times New Roman" w:hint="default"/>
          <w:sz w:val="27"/>
          <w:szCs w:val="27"/>
        </w:rPr>
      </w:pPr>
    </w:p>
    <w:tbl>
      <w:tblPr>
        <w:tblW w:w="0" w:type="auto"/>
        <w:jc w:val="left"/>
        <w:tblInd w:w="183" w:type="dxa"/>
        <w:tblLayout w:type="fixed"/>
        <w:tblCellMar>
          <w:top w:w="0" w:type="dxa"/>
          <w:left w:w="0" w:type="dxa"/>
          <w:bottom w:w="0" w:type="dxa"/>
          <w:right w:w="0" w:type="dxa"/>
        </w:tblCellMar>
        <w:tblLook w:val="01E0"/>
      </w:tblPr>
      <w:tblGrid>
        <w:gridCol w:w="5056"/>
        <w:gridCol w:w="4500"/>
      </w:tblGrid>
      <w:tr>
        <w:trPr>
          <w:trHeight w:val="425" w:hRule="exact"/>
        </w:trPr>
        <w:tc>
          <w:tcPr>
            <w:tcW w:w="5056" w:type="dxa"/>
            <w:tcBorders>
              <w:top w:val="single" w:sz="8" w:space="0" w:color="5B9BD4"/>
              <w:left w:val="nil" w:sz="6" w:space="0" w:color="auto"/>
              <w:bottom w:val="single" w:sz="8" w:space="0" w:color="5B9BD4"/>
              <w:right w:val="nil" w:sz="6" w:space="0" w:color="auto"/>
            </w:tcBorders>
            <w:shd w:val="clear" w:color="auto" w:fill="DEEAF6"/>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500" w:type="dxa"/>
            <w:tcBorders>
              <w:top w:val="single" w:sz="8" w:space="0" w:color="5B9BD4"/>
              <w:left w:val="single" w:sz="11" w:space="0" w:color="DEEAF6"/>
              <w:bottom w:val="single" w:sz="8" w:space="0" w:color="5B9BD4"/>
              <w:right w:val="nil" w:sz="6" w:space="0" w:color="auto"/>
            </w:tcBorders>
          </w:tcPr>
          <w:p>
            <w:pPr>
              <w:pStyle w:val="TableParagraph"/>
              <w:spacing w:line="240" w:lineRule="auto" w:before="90"/>
              <w:ind w:right="12"/>
              <w:jc w:val="right"/>
              <w:rPr>
                <w:rFonts w:ascii="Arial" w:hAnsi="Arial" w:cs="Arial" w:eastAsia="Arial" w:hint="default"/>
                <w:sz w:val="18"/>
                <w:szCs w:val="18"/>
              </w:rPr>
            </w:pPr>
            <w:r>
              <w:rPr>
                <w:rFonts w:ascii="Arial"/>
                <w:spacing w:val="-1"/>
                <w:w w:val="95"/>
                <w:sz w:val="18"/>
              </w:rPr>
              <w:t>3179</w:t>
            </w:r>
            <w:r>
              <w:rPr>
                <w:rFonts w:ascii="Arial"/>
                <w:sz w:val="18"/>
              </w:rPr>
            </w:r>
          </w:p>
        </w:tc>
      </w:tr>
      <w:tr>
        <w:trPr>
          <w:trHeight w:val="414" w:hRule="exact"/>
        </w:trPr>
        <w:tc>
          <w:tcPr>
            <w:tcW w:w="5056" w:type="dxa"/>
            <w:tcBorders>
              <w:top w:val="single" w:sz="8" w:space="0" w:color="5B9BD4"/>
              <w:left w:val="nil" w:sz="6" w:space="0" w:color="auto"/>
              <w:bottom w:val="single" w:sz="8"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500" w:type="dxa"/>
            <w:tcBorders>
              <w:top w:val="single" w:sz="8" w:space="0" w:color="5B9BD4"/>
              <w:left w:val="single" w:sz="11" w:space="0" w:color="DEEAF6"/>
              <w:bottom w:val="single" w:sz="8" w:space="0" w:color="5B9BD4"/>
              <w:right w:val="nil" w:sz="6" w:space="0" w:color="auto"/>
            </w:tcBorders>
          </w:tcPr>
          <w:p>
            <w:pPr>
              <w:pStyle w:val="TableParagraph"/>
              <w:spacing w:line="240" w:lineRule="auto" w:before="88"/>
              <w:ind w:right="12"/>
              <w:jc w:val="right"/>
              <w:rPr>
                <w:rFonts w:ascii="Arial" w:hAnsi="Arial" w:cs="Arial" w:eastAsia="Arial" w:hint="default"/>
                <w:sz w:val="18"/>
                <w:szCs w:val="18"/>
              </w:rPr>
            </w:pPr>
            <w:r>
              <w:rPr>
                <w:rFonts w:ascii="Arial"/>
                <w:w w:val="99"/>
                <w:sz w:val="18"/>
              </w:rPr>
              <w:t>0</w:t>
            </w:r>
            <w:r>
              <w:rPr>
                <w:rFonts w:ascii="Arial"/>
                <w:sz w:val="18"/>
              </w:rPr>
            </w:r>
          </w:p>
        </w:tc>
      </w:tr>
      <w:tr>
        <w:trPr>
          <w:trHeight w:val="407" w:hRule="exact"/>
        </w:trPr>
        <w:tc>
          <w:tcPr>
            <w:tcW w:w="9556" w:type="dxa"/>
            <w:gridSpan w:val="2"/>
            <w:tcBorders>
              <w:top w:val="single" w:sz="8" w:space="0" w:color="5B9BD4"/>
              <w:left w:val="nil" w:sz="6" w:space="0" w:color="auto"/>
              <w:bottom w:val="single" w:sz="8" w:space="0" w:color="5B9BD4"/>
              <w:right w:val="nil" w:sz="6" w:space="0" w:color="auto"/>
            </w:tcBorders>
            <w:shd w:val="clear" w:color="auto" w:fill="DEEAF6"/>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24" w:hRule="exact"/>
        </w:trPr>
        <w:tc>
          <w:tcPr>
            <w:tcW w:w="5056" w:type="dxa"/>
            <w:tcBorders>
              <w:top w:val="single" w:sz="8" w:space="0" w:color="5B9BD4"/>
              <w:left w:val="nil" w:sz="6" w:space="0" w:color="auto"/>
              <w:bottom w:val="single" w:sz="8" w:space="0" w:color="5B9BD4"/>
              <w:right w:val="nil" w:sz="6" w:space="0" w:color="auto"/>
            </w:tcBorders>
            <w:shd w:val="clear" w:color="auto" w:fill="DEEAF6"/>
          </w:tcPr>
          <w:p>
            <w:pPr>
              <w:pStyle w:val="TableParagraph"/>
              <w:spacing w:line="240" w:lineRule="auto" w:before="60"/>
              <w:ind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500" w:type="dxa"/>
            <w:tcBorders>
              <w:top w:val="single" w:sz="8" w:space="0" w:color="5B9BD4"/>
              <w:left w:val="nil" w:sz="6" w:space="0" w:color="auto"/>
              <w:bottom w:val="single" w:sz="8" w:space="0" w:color="5B9BD4"/>
              <w:right w:val="nil" w:sz="6" w:space="0" w:color="auto"/>
            </w:tcBorders>
            <w:shd w:val="clear" w:color="auto" w:fill="DEEAF6"/>
          </w:tcPr>
          <w:p>
            <w:pPr>
              <w:pStyle w:val="TableParagraph"/>
              <w:spacing w:line="240" w:lineRule="auto" w:before="60"/>
              <w:ind w:left="1453"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13" w:hRule="exact"/>
        </w:trPr>
        <w:tc>
          <w:tcPr>
            <w:tcW w:w="5056" w:type="dxa"/>
            <w:tcBorders>
              <w:top w:val="single" w:sz="8" w:space="0" w:color="5B9BD4"/>
              <w:left w:val="nil" w:sz="6" w:space="0" w:color="auto"/>
              <w:bottom w:val="single" w:sz="8"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500" w:type="dxa"/>
            <w:tcBorders>
              <w:top w:val="single" w:sz="8" w:space="0" w:color="5B9BD4"/>
              <w:left w:val="single" w:sz="11" w:space="0" w:color="DEEAF6"/>
              <w:bottom w:val="single" w:sz="8" w:space="0" w:color="5B9BD4"/>
              <w:right w:val="nil" w:sz="6" w:space="0" w:color="auto"/>
            </w:tcBorders>
          </w:tcPr>
          <w:p>
            <w:pPr>
              <w:pStyle w:val="TableParagraph"/>
              <w:spacing w:line="240" w:lineRule="auto" w:before="88"/>
              <w:ind w:right="12"/>
              <w:jc w:val="right"/>
              <w:rPr>
                <w:rFonts w:ascii="Arial" w:hAnsi="Arial" w:cs="Arial" w:eastAsia="Arial" w:hint="default"/>
                <w:sz w:val="18"/>
                <w:szCs w:val="18"/>
              </w:rPr>
            </w:pPr>
            <w:r>
              <w:rPr>
                <w:rFonts w:ascii="Arial"/>
                <w:w w:val="95"/>
                <w:sz w:val="18"/>
              </w:rPr>
              <w:t>2,149</w:t>
            </w:r>
            <w:r>
              <w:rPr>
                <w:rFonts w:ascii="Arial"/>
                <w:sz w:val="18"/>
              </w:rPr>
            </w:r>
          </w:p>
        </w:tc>
      </w:tr>
      <w:tr>
        <w:trPr>
          <w:trHeight w:val="420" w:hRule="exact"/>
        </w:trPr>
        <w:tc>
          <w:tcPr>
            <w:tcW w:w="5056" w:type="dxa"/>
            <w:tcBorders>
              <w:top w:val="single" w:sz="8" w:space="0" w:color="5B9BD4"/>
              <w:left w:val="nil" w:sz="6" w:space="0" w:color="auto"/>
              <w:bottom w:val="single" w:sz="8" w:space="0" w:color="5B9BD4"/>
              <w:right w:val="nil" w:sz="6" w:space="0" w:color="auto"/>
            </w:tcBorders>
            <w:shd w:val="clear" w:color="auto" w:fill="DEEAF6"/>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500" w:type="dxa"/>
            <w:tcBorders>
              <w:top w:val="single" w:sz="8" w:space="0" w:color="5B9BD4"/>
              <w:left w:val="single" w:sz="11" w:space="0" w:color="DEEAF6"/>
              <w:bottom w:val="single" w:sz="8" w:space="0" w:color="5B9BD4"/>
              <w:right w:val="nil" w:sz="6" w:space="0" w:color="auto"/>
            </w:tcBorders>
          </w:tcPr>
          <w:p>
            <w:pPr>
              <w:pStyle w:val="TableParagraph"/>
              <w:spacing w:line="240" w:lineRule="auto" w:before="92"/>
              <w:ind w:right="12"/>
              <w:jc w:val="right"/>
              <w:rPr>
                <w:rFonts w:ascii="Arial" w:hAnsi="Arial" w:cs="Arial" w:eastAsia="Arial" w:hint="default"/>
                <w:sz w:val="18"/>
                <w:szCs w:val="18"/>
              </w:rPr>
            </w:pPr>
            <w:r>
              <w:rPr>
                <w:rFonts w:ascii="Arial"/>
                <w:spacing w:val="-1"/>
                <w:w w:val="95"/>
                <w:sz w:val="18"/>
              </w:rPr>
              <w:t>184</w:t>
            </w:r>
            <w:r>
              <w:rPr>
                <w:rFonts w:ascii="Arial"/>
                <w:sz w:val="18"/>
              </w:rPr>
            </w:r>
          </w:p>
        </w:tc>
      </w:tr>
      <w:tr>
        <w:trPr>
          <w:trHeight w:val="413" w:hRule="exact"/>
        </w:trPr>
        <w:tc>
          <w:tcPr>
            <w:tcW w:w="5056" w:type="dxa"/>
            <w:tcBorders>
              <w:top w:val="single" w:sz="8" w:space="0" w:color="5B9BD4"/>
              <w:left w:val="nil" w:sz="6" w:space="0" w:color="auto"/>
              <w:bottom w:val="single" w:sz="8"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500" w:type="dxa"/>
            <w:tcBorders>
              <w:top w:val="single" w:sz="8" w:space="0" w:color="5B9BD4"/>
              <w:left w:val="single" w:sz="11" w:space="0" w:color="DEEAF6"/>
              <w:bottom w:val="single" w:sz="8" w:space="0" w:color="5B9BD4"/>
              <w:right w:val="nil" w:sz="6" w:space="0" w:color="auto"/>
            </w:tcBorders>
          </w:tcPr>
          <w:p>
            <w:pPr>
              <w:pStyle w:val="TableParagraph"/>
              <w:spacing w:line="240" w:lineRule="auto" w:before="88"/>
              <w:ind w:right="12"/>
              <w:jc w:val="right"/>
              <w:rPr>
                <w:rFonts w:ascii="Arial" w:hAnsi="Arial" w:cs="Arial" w:eastAsia="Arial" w:hint="default"/>
                <w:sz w:val="18"/>
                <w:szCs w:val="18"/>
              </w:rPr>
            </w:pPr>
            <w:r>
              <w:rPr>
                <w:rFonts w:ascii="Arial"/>
                <w:spacing w:val="-1"/>
                <w:w w:val="95"/>
                <w:sz w:val="18"/>
              </w:rPr>
              <w:t>209</w:t>
            </w:r>
            <w:r>
              <w:rPr>
                <w:rFonts w:ascii="Arial"/>
                <w:sz w:val="18"/>
              </w:rPr>
            </w:r>
          </w:p>
        </w:tc>
      </w:tr>
      <w:tr>
        <w:trPr>
          <w:trHeight w:val="412" w:hRule="exact"/>
        </w:trPr>
        <w:tc>
          <w:tcPr>
            <w:tcW w:w="5056" w:type="dxa"/>
            <w:tcBorders>
              <w:top w:val="single" w:sz="8" w:space="0" w:color="5B9BD4"/>
              <w:left w:val="nil" w:sz="6" w:space="0" w:color="auto"/>
              <w:bottom w:val="single" w:sz="8"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500" w:type="dxa"/>
            <w:tcBorders>
              <w:top w:val="single" w:sz="8" w:space="0" w:color="5B9BD4"/>
              <w:left w:val="single" w:sz="11" w:space="0" w:color="DEEAF6"/>
              <w:bottom w:val="single" w:sz="8" w:space="0" w:color="5B9BD4"/>
              <w:right w:val="nil" w:sz="6" w:space="0" w:color="auto"/>
            </w:tcBorders>
          </w:tcPr>
          <w:p>
            <w:pPr>
              <w:pStyle w:val="TableParagraph"/>
              <w:spacing w:line="240" w:lineRule="auto" w:before="87"/>
              <w:ind w:right="12"/>
              <w:jc w:val="right"/>
              <w:rPr>
                <w:rFonts w:ascii="Arial" w:hAnsi="Arial" w:cs="Arial" w:eastAsia="Arial" w:hint="default"/>
                <w:sz w:val="18"/>
                <w:szCs w:val="18"/>
              </w:rPr>
            </w:pPr>
            <w:r>
              <w:rPr>
                <w:rFonts w:ascii="Arial"/>
                <w:spacing w:val="-1"/>
                <w:w w:val="95"/>
                <w:sz w:val="18"/>
              </w:rPr>
              <w:t>488</w:t>
            </w:r>
            <w:r>
              <w:rPr>
                <w:rFonts w:ascii="Arial"/>
                <w:sz w:val="18"/>
              </w:rPr>
            </w:r>
          </w:p>
        </w:tc>
      </w:tr>
      <w:tr>
        <w:trPr>
          <w:trHeight w:val="419" w:hRule="exact"/>
        </w:trPr>
        <w:tc>
          <w:tcPr>
            <w:tcW w:w="5056" w:type="dxa"/>
            <w:tcBorders>
              <w:top w:val="single" w:sz="8" w:space="0" w:color="5B9BD4"/>
              <w:left w:val="nil" w:sz="6" w:space="0" w:color="auto"/>
              <w:bottom w:val="single" w:sz="8" w:space="0" w:color="5B9BD4"/>
              <w:right w:val="nil" w:sz="6" w:space="0" w:color="auto"/>
            </w:tcBorders>
            <w:shd w:val="clear" w:color="auto" w:fill="DEEAF6"/>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500" w:type="dxa"/>
            <w:tcBorders>
              <w:top w:val="single" w:sz="8" w:space="0" w:color="5B9BD4"/>
              <w:left w:val="single" w:sz="11" w:space="0" w:color="DEEAF6"/>
              <w:bottom w:val="single" w:sz="8" w:space="0" w:color="5B9BD4"/>
              <w:right w:val="nil" w:sz="6" w:space="0" w:color="auto"/>
            </w:tcBorders>
          </w:tcPr>
          <w:p>
            <w:pPr>
              <w:pStyle w:val="TableParagraph"/>
              <w:spacing w:line="240" w:lineRule="auto" w:before="93"/>
              <w:ind w:right="12"/>
              <w:jc w:val="right"/>
              <w:rPr>
                <w:rFonts w:ascii="Arial" w:hAnsi="Arial" w:cs="Arial" w:eastAsia="Arial" w:hint="default"/>
                <w:sz w:val="18"/>
                <w:szCs w:val="18"/>
              </w:rPr>
            </w:pPr>
            <w:r>
              <w:rPr>
                <w:rFonts w:ascii="Arial"/>
                <w:w w:val="95"/>
                <w:sz w:val="18"/>
              </w:rPr>
              <w:t>3,030</w:t>
            </w:r>
            <w:r>
              <w:rPr>
                <w:rFonts w:ascii="Arial"/>
                <w:sz w:val="18"/>
              </w:rPr>
            </w:r>
          </w:p>
        </w:tc>
      </w:tr>
      <w:tr>
        <w:trPr>
          <w:trHeight w:val="4199" w:hRule="exact"/>
        </w:trPr>
        <w:tc>
          <w:tcPr>
            <w:tcW w:w="9556" w:type="dxa"/>
            <w:gridSpan w:val="2"/>
            <w:tcBorders>
              <w:top w:val="single" w:sz="10" w:space="0" w:color="5B9BD4"/>
              <w:left w:val="nil" w:sz="6" w:space="0" w:color="auto"/>
              <w:bottom w:val="single" w:sz="8" w:space="0" w:color="5B9BD4"/>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468" w:lineRule="exact"/>
              <w:ind w:left="181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8"/>
                <w:sz w:val="20"/>
                <w:szCs w:val="20"/>
              </w:rPr>
              <w:drawing>
                <wp:inline distT="0" distB="0" distL="0" distR="0">
                  <wp:extent cx="3772430" cy="2202179"/>
                  <wp:effectExtent l="0" t="0" r="0" b="0"/>
                  <wp:docPr id="3" name="image10.png" descr=""/>
                  <wp:cNvGraphicFramePr>
                    <a:graphicFrameLocks noChangeAspect="1"/>
                  </wp:cNvGraphicFramePr>
                  <a:graphic>
                    <a:graphicData uri="http://schemas.openxmlformats.org/drawingml/2006/picture">
                      <pic:pic>
                        <pic:nvPicPr>
                          <pic:cNvPr id="4" name="image10.png"/>
                          <pic:cNvPicPr/>
                        </pic:nvPicPr>
                        <pic:blipFill>
                          <a:blip r:embed="rId46" cstate="print"/>
                          <a:stretch>
                            <a:fillRect/>
                          </a:stretch>
                        </pic:blipFill>
                        <pic:spPr>
                          <a:xfrm>
                            <a:off x="0" y="0"/>
                            <a:ext cx="3772430" cy="2202179"/>
                          </a:xfrm>
                          <a:prstGeom prst="rect">
                            <a:avLst/>
                          </a:prstGeom>
                        </pic:spPr>
                      </pic:pic>
                    </a:graphicData>
                  </a:graphic>
                </wp:inline>
              </w:drawing>
            </w:r>
            <w:r>
              <w:rPr>
                <w:rFonts w:ascii="Times New Roman" w:hAnsi="Times New Roman" w:cs="Times New Roman" w:eastAsia="Times New Roman" w:hint="default"/>
                <w:position w:val="-68"/>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5"/>
                <w:szCs w:val="25"/>
              </w:rPr>
            </w:pPr>
          </w:p>
        </w:tc>
      </w:tr>
      <w:tr>
        <w:trPr>
          <w:trHeight w:val="401" w:hRule="exact"/>
        </w:trPr>
        <w:tc>
          <w:tcPr>
            <w:tcW w:w="9556" w:type="dxa"/>
            <w:gridSpan w:val="2"/>
            <w:tcBorders>
              <w:top w:val="single" w:sz="8" w:space="0" w:color="5B9BD4"/>
              <w:left w:val="nil" w:sz="6" w:space="0" w:color="auto"/>
              <w:bottom w:val="single" w:sz="8" w:space="0" w:color="5B9BD4"/>
              <w:right w:val="nil" w:sz="6" w:space="0" w:color="auto"/>
            </w:tcBorders>
            <w:shd w:val="clear" w:color="auto" w:fill="DEEAF6"/>
          </w:tcPr>
          <w:p>
            <w:pPr>
              <w:pStyle w:val="TableParagraph"/>
              <w:spacing w:line="240" w:lineRule="auto" w:before="46"/>
              <w:ind w:left="-1" w:right="1"/>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22" w:hRule="exact"/>
        </w:trPr>
        <w:tc>
          <w:tcPr>
            <w:tcW w:w="5056" w:type="dxa"/>
            <w:tcBorders>
              <w:top w:val="single" w:sz="8" w:space="0" w:color="5B9BD4"/>
              <w:left w:val="nil" w:sz="6" w:space="0" w:color="auto"/>
              <w:bottom w:val="single" w:sz="8" w:space="0" w:color="5B9BD4"/>
              <w:right w:val="nil" w:sz="6" w:space="0" w:color="auto"/>
            </w:tcBorders>
            <w:shd w:val="clear" w:color="auto" w:fill="DEEAF6"/>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500" w:type="dxa"/>
            <w:tcBorders>
              <w:top w:val="single" w:sz="8" w:space="0" w:color="5B9BD4"/>
              <w:left w:val="nil" w:sz="6" w:space="0" w:color="auto"/>
              <w:bottom w:val="single" w:sz="8" w:space="0" w:color="5B9BD4"/>
              <w:right w:val="nil" w:sz="6" w:space="0" w:color="auto"/>
            </w:tcBorders>
            <w:shd w:val="clear" w:color="auto" w:fill="DEEAF6"/>
          </w:tcPr>
          <w:p>
            <w:pPr>
              <w:pStyle w:val="TableParagraph"/>
              <w:spacing w:line="240" w:lineRule="auto" w:before="58"/>
              <w:ind w:left="27"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21" w:hRule="exact"/>
        </w:trPr>
        <w:tc>
          <w:tcPr>
            <w:tcW w:w="5056" w:type="dxa"/>
            <w:tcBorders>
              <w:top w:val="single" w:sz="8" w:space="0" w:color="5B9BD4"/>
              <w:left w:val="nil" w:sz="6" w:space="0" w:color="auto"/>
              <w:bottom w:val="single" w:sz="8" w:space="0" w:color="5B9BD4"/>
              <w:right w:val="nil" w:sz="6" w:space="0" w:color="auto"/>
            </w:tcBorders>
            <w:shd w:val="clear" w:color="auto" w:fill="DEEAF6"/>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500" w:type="dxa"/>
            <w:tcBorders>
              <w:top w:val="single" w:sz="8" w:space="0" w:color="5B9BD4"/>
              <w:left w:val="single" w:sz="11" w:space="0" w:color="DEEAF6"/>
              <w:bottom w:val="single" w:sz="8" w:space="0" w:color="5B9BD4"/>
              <w:right w:val="nil" w:sz="6" w:space="0" w:color="auto"/>
            </w:tcBorders>
          </w:tcPr>
          <w:p>
            <w:pPr>
              <w:pStyle w:val="TableParagraph"/>
              <w:spacing w:line="240" w:lineRule="auto" w:before="93"/>
              <w:ind w:right="12"/>
              <w:jc w:val="right"/>
              <w:rPr>
                <w:rFonts w:ascii="Arial" w:hAnsi="Arial" w:cs="Arial" w:eastAsia="Arial" w:hint="default"/>
                <w:sz w:val="18"/>
                <w:szCs w:val="18"/>
              </w:rPr>
            </w:pPr>
            <w:r>
              <w:rPr>
                <w:rFonts w:ascii="Arial"/>
                <w:w w:val="99"/>
                <w:sz w:val="18"/>
              </w:rPr>
              <w:t>2</w:t>
            </w:r>
            <w:r>
              <w:rPr>
                <w:rFonts w:ascii="Arial"/>
                <w:sz w:val="18"/>
              </w:rPr>
            </w:r>
          </w:p>
        </w:tc>
      </w:tr>
      <w:tr>
        <w:trPr>
          <w:trHeight w:val="412" w:hRule="exact"/>
        </w:trPr>
        <w:tc>
          <w:tcPr>
            <w:tcW w:w="5056" w:type="dxa"/>
            <w:tcBorders>
              <w:top w:val="single" w:sz="8" w:space="0" w:color="5B9BD4"/>
              <w:left w:val="nil" w:sz="6" w:space="0" w:color="auto"/>
              <w:bottom w:val="single" w:sz="8"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500" w:type="dxa"/>
            <w:tcBorders>
              <w:top w:val="single" w:sz="8" w:space="0" w:color="5B9BD4"/>
              <w:left w:val="single" w:sz="11" w:space="0" w:color="DEEAF6"/>
              <w:bottom w:val="single" w:sz="8" w:space="0" w:color="5B9BD4"/>
              <w:right w:val="nil" w:sz="6" w:space="0" w:color="auto"/>
            </w:tcBorders>
          </w:tcPr>
          <w:p>
            <w:pPr>
              <w:pStyle w:val="TableParagraph"/>
              <w:spacing w:line="240" w:lineRule="auto" w:before="88"/>
              <w:ind w:right="12"/>
              <w:jc w:val="right"/>
              <w:rPr>
                <w:rFonts w:ascii="Arial" w:hAnsi="Arial" w:cs="Arial" w:eastAsia="Arial" w:hint="default"/>
                <w:sz w:val="18"/>
                <w:szCs w:val="18"/>
              </w:rPr>
            </w:pPr>
            <w:r>
              <w:rPr>
                <w:rFonts w:ascii="Arial"/>
                <w:spacing w:val="-1"/>
                <w:w w:val="95"/>
                <w:sz w:val="18"/>
              </w:rPr>
              <w:t>35</w:t>
            </w:r>
            <w:r>
              <w:rPr>
                <w:rFonts w:ascii="Arial"/>
                <w:sz w:val="18"/>
              </w:rPr>
            </w:r>
          </w:p>
        </w:tc>
      </w:tr>
      <w:tr>
        <w:trPr>
          <w:trHeight w:val="421" w:hRule="exact"/>
        </w:trPr>
        <w:tc>
          <w:tcPr>
            <w:tcW w:w="5056" w:type="dxa"/>
            <w:tcBorders>
              <w:top w:val="single" w:sz="8" w:space="0" w:color="5B9BD4"/>
              <w:left w:val="nil" w:sz="6" w:space="0" w:color="auto"/>
              <w:bottom w:val="single" w:sz="8" w:space="0" w:color="5B9BD4"/>
              <w:right w:val="nil" w:sz="6" w:space="0" w:color="auto"/>
            </w:tcBorders>
            <w:shd w:val="clear" w:color="auto" w:fill="DEEAF6"/>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500" w:type="dxa"/>
            <w:tcBorders>
              <w:top w:val="single" w:sz="8" w:space="0" w:color="5B9BD4"/>
              <w:left w:val="single" w:sz="11" w:space="0" w:color="DEEAF6"/>
              <w:bottom w:val="single" w:sz="8" w:space="0" w:color="5B9BD4"/>
              <w:right w:val="nil" w:sz="6" w:space="0" w:color="auto"/>
            </w:tcBorders>
          </w:tcPr>
          <w:p>
            <w:pPr>
              <w:pStyle w:val="TableParagraph"/>
              <w:spacing w:line="240" w:lineRule="auto" w:before="93"/>
              <w:ind w:right="12"/>
              <w:jc w:val="right"/>
              <w:rPr>
                <w:rFonts w:ascii="Arial" w:hAnsi="Arial" w:cs="Arial" w:eastAsia="Arial" w:hint="default"/>
                <w:sz w:val="18"/>
                <w:szCs w:val="18"/>
              </w:rPr>
            </w:pPr>
            <w:r>
              <w:rPr>
                <w:rFonts w:ascii="Arial"/>
                <w:w w:val="95"/>
                <w:sz w:val="18"/>
              </w:rPr>
              <w:t>1,004</w:t>
            </w:r>
            <w:r>
              <w:rPr>
                <w:rFonts w:ascii="Arial"/>
                <w:sz w:val="18"/>
              </w:rPr>
            </w:r>
          </w:p>
        </w:tc>
      </w:tr>
      <w:tr>
        <w:trPr>
          <w:trHeight w:val="413" w:hRule="exact"/>
        </w:trPr>
        <w:tc>
          <w:tcPr>
            <w:tcW w:w="5056" w:type="dxa"/>
            <w:tcBorders>
              <w:top w:val="single" w:sz="8" w:space="0" w:color="5B9BD4"/>
              <w:left w:val="nil" w:sz="6" w:space="0" w:color="auto"/>
              <w:bottom w:val="single" w:sz="8"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500" w:type="dxa"/>
            <w:tcBorders>
              <w:top w:val="single" w:sz="8" w:space="0" w:color="5B9BD4"/>
              <w:left w:val="single" w:sz="11" w:space="0" w:color="DEEAF6"/>
              <w:bottom w:val="single" w:sz="8" w:space="0" w:color="5B9BD4"/>
              <w:right w:val="nil" w:sz="6" w:space="0" w:color="auto"/>
            </w:tcBorders>
          </w:tcPr>
          <w:p>
            <w:pPr>
              <w:pStyle w:val="TableParagraph"/>
              <w:spacing w:line="240" w:lineRule="auto" w:before="88"/>
              <w:ind w:right="12"/>
              <w:jc w:val="right"/>
              <w:rPr>
                <w:rFonts w:ascii="Arial" w:hAnsi="Arial" w:cs="Arial" w:eastAsia="Arial" w:hint="default"/>
                <w:sz w:val="18"/>
                <w:szCs w:val="18"/>
              </w:rPr>
            </w:pPr>
            <w:r>
              <w:rPr>
                <w:rFonts w:ascii="Arial"/>
                <w:w w:val="95"/>
                <w:sz w:val="18"/>
              </w:rPr>
              <w:t>1,550</w:t>
            </w:r>
            <w:r>
              <w:rPr>
                <w:rFonts w:ascii="Arial"/>
                <w:sz w:val="18"/>
              </w:rPr>
            </w:r>
          </w:p>
        </w:tc>
      </w:tr>
      <w:tr>
        <w:trPr>
          <w:trHeight w:val="420" w:hRule="exact"/>
        </w:trPr>
        <w:tc>
          <w:tcPr>
            <w:tcW w:w="5056" w:type="dxa"/>
            <w:tcBorders>
              <w:top w:val="single" w:sz="8" w:space="0" w:color="5B9BD4"/>
              <w:left w:val="nil" w:sz="6" w:space="0" w:color="auto"/>
              <w:bottom w:val="single" w:sz="8" w:space="0" w:color="5B9BD4"/>
              <w:right w:val="nil" w:sz="6" w:space="0" w:color="auto"/>
            </w:tcBorders>
            <w:shd w:val="clear" w:color="auto" w:fill="DEEAF6"/>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500" w:type="dxa"/>
            <w:tcBorders>
              <w:top w:val="single" w:sz="8" w:space="0" w:color="5B9BD4"/>
              <w:left w:val="single" w:sz="11" w:space="0" w:color="DEEAF6"/>
              <w:bottom w:val="single" w:sz="8" w:space="0" w:color="5B9BD4"/>
              <w:right w:val="nil" w:sz="6" w:space="0" w:color="auto"/>
            </w:tcBorders>
          </w:tcPr>
          <w:p>
            <w:pPr>
              <w:pStyle w:val="TableParagraph"/>
              <w:spacing w:line="240" w:lineRule="auto" w:before="92"/>
              <w:ind w:right="12"/>
              <w:jc w:val="right"/>
              <w:rPr>
                <w:rFonts w:ascii="Arial" w:hAnsi="Arial" w:cs="Arial" w:eastAsia="Arial" w:hint="default"/>
                <w:sz w:val="18"/>
                <w:szCs w:val="18"/>
              </w:rPr>
            </w:pPr>
            <w:r>
              <w:rPr>
                <w:rFonts w:ascii="Arial"/>
                <w:spacing w:val="-1"/>
                <w:w w:val="95"/>
                <w:sz w:val="18"/>
              </w:rPr>
              <w:t>439</w:t>
            </w:r>
            <w:r>
              <w:rPr>
                <w:rFonts w:ascii="Arial"/>
                <w:sz w:val="18"/>
              </w:rPr>
            </w:r>
          </w:p>
        </w:tc>
      </w:tr>
      <w:tr>
        <w:trPr>
          <w:trHeight w:val="412" w:hRule="exact"/>
        </w:trPr>
        <w:tc>
          <w:tcPr>
            <w:tcW w:w="5056" w:type="dxa"/>
            <w:tcBorders>
              <w:top w:val="single" w:sz="8" w:space="0" w:color="5B9BD4"/>
              <w:left w:val="nil" w:sz="6" w:space="0" w:color="auto"/>
              <w:bottom w:val="single" w:sz="8" w:space="0" w:color="5B9BD4"/>
              <w:right w:val="nil" w:sz="6" w:space="0" w:color="auto"/>
            </w:tcBorders>
            <w:shd w:val="clear" w:color="auto" w:fill="DEEAF6"/>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500" w:type="dxa"/>
            <w:tcBorders>
              <w:top w:val="single" w:sz="8" w:space="0" w:color="5B9BD4"/>
              <w:left w:val="single" w:sz="11" w:space="0" w:color="DEEAF6"/>
              <w:bottom w:val="single" w:sz="8" w:space="0" w:color="5B9BD4"/>
              <w:right w:val="nil" w:sz="6" w:space="0" w:color="auto"/>
            </w:tcBorders>
          </w:tcPr>
          <w:p>
            <w:pPr>
              <w:pStyle w:val="TableParagraph"/>
              <w:spacing w:line="240" w:lineRule="auto" w:before="93"/>
              <w:ind w:right="12"/>
              <w:jc w:val="right"/>
              <w:rPr>
                <w:rFonts w:ascii="Arial" w:hAnsi="Arial" w:cs="Arial" w:eastAsia="Arial" w:hint="default"/>
                <w:sz w:val="18"/>
                <w:szCs w:val="18"/>
              </w:rPr>
            </w:pPr>
            <w:r>
              <w:rPr>
                <w:rFonts w:ascii="Arial"/>
                <w:w w:val="95"/>
                <w:sz w:val="18"/>
              </w:rPr>
              <w:t>3,030</w:t>
            </w:r>
            <w:r>
              <w:rPr>
                <w:rFonts w:ascii="Arial"/>
                <w:sz w:val="18"/>
              </w:rPr>
            </w:r>
          </w:p>
        </w:tc>
      </w:tr>
    </w:tbl>
    <w:p>
      <w:pPr>
        <w:spacing w:after="0" w:line="240" w:lineRule="auto"/>
        <w:jc w:val="right"/>
        <w:rPr>
          <w:rFonts w:ascii="Arial" w:hAnsi="Arial" w:cs="Arial" w:eastAsia="Arial" w:hint="default"/>
          <w:sz w:val="18"/>
          <w:szCs w:val="18"/>
        </w:rPr>
        <w:sectPr>
          <w:pgSz w:w="11910" w:h="16840"/>
          <w:pgMar w:header="877" w:footer="979" w:top="110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p>
      <w:pPr>
        <w:spacing w:line="3251" w:lineRule="exact"/>
        <w:ind w:left="198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4"/>
          <w:sz w:val="20"/>
          <w:szCs w:val="20"/>
        </w:rPr>
        <w:drawing>
          <wp:inline distT="0" distB="0" distL="0" distR="0">
            <wp:extent cx="3786582" cy="2064543"/>
            <wp:effectExtent l="0" t="0" r="0" b="0"/>
            <wp:docPr id="5" name="image11.png" descr=""/>
            <wp:cNvGraphicFramePr>
              <a:graphicFrameLocks noChangeAspect="1"/>
            </wp:cNvGraphicFramePr>
            <a:graphic>
              <a:graphicData uri="http://schemas.openxmlformats.org/drawingml/2006/picture">
                <pic:pic>
                  <pic:nvPicPr>
                    <pic:cNvPr id="6" name="image11.png"/>
                    <pic:cNvPicPr/>
                  </pic:nvPicPr>
                  <pic:blipFill>
                    <a:blip r:embed="rId47" cstate="print"/>
                    <a:stretch>
                      <a:fillRect/>
                    </a:stretch>
                  </pic:blipFill>
                  <pic:spPr>
                    <a:xfrm>
                      <a:off x="0" y="0"/>
                      <a:ext cx="3786582" cy="2064543"/>
                    </a:xfrm>
                    <a:prstGeom prst="rect">
                      <a:avLst/>
                    </a:prstGeom>
                  </pic:spPr>
                </pic:pic>
              </a:graphicData>
            </a:graphic>
          </wp:inline>
        </w:drawing>
      </w:r>
      <w:r>
        <w:rPr>
          <w:rFonts w:ascii="Times New Roman" w:hAnsi="Times New Roman" w:cs="Times New Roman" w:eastAsia="Times New Roman" w:hint="default"/>
          <w:position w:val="-64"/>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spacing w:line="348" w:lineRule="exact" w:before="0"/>
        <w:ind w:left="153" w:right="0" w:firstLine="0"/>
        <w:jc w:val="left"/>
        <w:rPr>
          <w:rFonts w:ascii="Microsoft JhengHei" w:hAnsi="Microsoft JhengHei" w:cs="Microsoft JhengHei" w:eastAsia="Microsoft JhengHei" w:hint="default"/>
          <w:sz w:val="24"/>
          <w:szCs w:val="24"/>
        </w:rPr>
      </w:pPr>
      <w:bookmarkStart w:name="8.5.2 薪酬政策" w:id="211"/>
      <w:bookmarkEnd w:id="211"/>
      <w:r>
        <w:rPr/>
      </w:r>
      <w:r>
        <w:rPr>
          <w:rFonts w:ascii="Trebuchet MS" w:hAnsi="Trebuchet MS" w:cs="Trebuchet MS" w:eastAsia="Trebuchet MS" w:hint="default"/>
          <w:b/>
          <w:bCs/>
          <w:sz w:val="24"/>
          <w:szCs w:val="24"/>
        </w:rPr>
        <w:t>8.5.2</w:t>
      </w:r>
      <w:r>
        <w:rPr>
          <w:rFonts w:ascii="Trebuchet MS" w:hAnsi="Trebuchet MS" w:cs="Trebuchet MS" w:eastAsia="Trebuchet MS" w:hint="default"/>
          <w:b/>
          <w:bCs/>
          <w:spacing w:val="-18"/>
          <w:sz w:val="24"/>
          <w:szCs w:val="24"/>
        </w:rPr>
        <w:t> </w:t>
      </w:r>
      <w:r>
        <w:rPr>
          <w:rFonts w:ascii="Microsoft JhengHei" w:hAnsi="Microsoft JhengHei" w:cs="Microsoft JhengHei" w:eastAsia="Microsoft JhengHei" w:hint="default"/>
          <w:b/>
          <w:bCs/>
          <w:sz w:val="24"/>
          <w:szCs w:val="24"/>
        </w:rPr>
        <w:t>薪酬政策</w:t>
      </w:r>
      <w:r>
        <w:rPr>
          <w:rFonts w:ascii="Microsoft JhengHei" w:hAnsi="Microsoft JhengHei" w:cs="Microsoft JhengHei" w:eastAsia="Microsoft JhengHei" w:hint="default"/>
          <w:sz w:val="24"/>
          <w:szCs w:val="24"/>
        </w:rPr>
      </w:r>
    </w:p>
    <w:p>
      <w:pPr>
        <w:spacing w:line="240" w:lineRule="auto" w:before="7"/>
        <w:rPr>
          <w:rFonts w:ascii="Microsoft JhengHei" w:hAnsi="Microsoft JhengHei" w:cs="Microsoft JhengHei" w:eastAsia="Microsoft JhengHei" w:hint="default"/>
          <w:b/>
          <w:bCs/>
          <w:sz w:val="29"/>
          <w:szCs w:val="29"/>
        </w:rPr>
      </w:pPr>
    </w:p>
    <w:p>
      <w:pPr>
        <w:pStyle w:val="BodyText"/>
        <w:spacing w:line="408" w:lineRule="auto" w:before="18"/>
        <w:ind w:right="1131" w:firstLine="420"/>
        <w:jc w:val="both"/>
      </w:pPr>
      <w:r>
        <w:rPr>
          <w:spacing w:val="-1"/>
        </w:rPr>
        <w:t>公司员工薪酬由薪资、考核奖金、激励奖金三部分构成。其中，薪资实行月薪制，根据岗位承担责任</w:t>
      </w:r>
      <w:r>
        <w:rPr/>
        <w:t> </w:t>
      </w:r>
      <w:r>
        <w:rPr>
          <w:spacing w:val="-1"/>
        </w:rPr>
        <w:t>的大小和任职条件的高低，结合任职人员的能力和综合条件，参照同行业薪酬标准，以月度为周期根据考</w:t>
      </w:r>
      <w:r>
        <w:rPr>
          <w:spacing w:val="-83"/>
        </w:rPr>
        <w:t> </w:t>
      </w:r>
      <w:r>
        <w:rPr>
          <w:spacing w:val="-83"/>
        </w:rPr>
      </w:r>
      <w:r>
        <w:rPr>
          <w:spacing w:val="-1"/>
        </w:rPr>
        <w:t>勤核算计发；考核奖金根据不同情况实行月度制、季度制、半年制及年度制，根据员工的绩效考核结果计</w:t>
      </w:r>
      <w:r>
        <w:rPr>
          <w:spacing w:val="-86"/>
        </w:rPr>
        <w:t> </w:t>
      </w:r>
      <w:r>
        <w:rPr>
          <w:spacing w:val="-86"/>
        </w:rPr>
      </w:r>
      <w:r>
        <w:rPr/>
        <w:t>发；激励奖金实行年度制，根据公司年度经营业绩情况进行计提。</w:t>
      </w:r>
    </w:p>
    <w:p>
      <w:pPr>
        <w:spacing w:line="240" w:lineRule="auto" w:before="9"/>
        <w:rPr>
          <w:rFonts w:ascii="宋体" w:hAnsi="宋体" w:cs="宋体" w:eastAsia="宋体" w:hint="default"/>
          <w:sz w:val="24"/>
          <w:szCs w:val="24"/>
        </w:rPr>
      </w:pPr>
    </w:p>
    <w:p>
      <w:pPr>
        <w:pStyle w:val="Heading2"/>
        <w:spacing w:line="240" w:lineRule="auto"/>
        <w:ind w:right="0"/>
        <w:jc w:val="left"/>
        <w:rPr>
          <w:b w:val="0"/>
          <w:bCs w:val="0"/>
        </w:rPr>
      </w:pPr>
      <w:bookmarkStart w:name="8.5.3 培训计划" w:id="212"/>
      <w:bookmarkEnd w:id="212"/>
      <w:r>
        <w:rPr>
          <w:b w:val="0"/>
          <w:bCs w:val="0"/>
        </w:rPr>
      </w:r>
      <w:r>
        <w:rPr>
          <w:rFonts w:ascii="Trebuchet MS" w:hAnsi="Trebuchet MS" w:cs="Trebuchet MS" w:eastAsia="Trebuchet MS" w:hint="default"/>
        </w:rPr>
        <w:t>8.5.3</w:t>
      </w:r>
      <w:r>
        <w:rPr>
          <w:rFonts w:ascii="Trebuchet MS" w:hAnsi="Trebuchet MS" w:cs="Trebuchet MS" w:eastAsia="Trebuchet MS" w:hint="default"/>
          <w:spacing w:val="-18"/>
        </w:rPr>
        <w:t> </w:t>
      </w:r>
      <w:r>
        <w:rPr/>
        <w:t>培训计划</w:t>
      </w:r>
      <w:r>
        <w:rPr>
          <w:b w:val="0"/>
          <w:bCs w:val="0"/>
        </w:rPr>
      </w:r>
    </w:p>
    <w:p>
      <w:pPr>
        <w:spacing w:line="240" w:lineRule="auto" w:before="8"/>
        <w:rPr>
          <w:rFonts w:ascii="Microsoft JhengHei" w:hAnsi="Microsoft JhengHei" w:cs="Microsoft JhengHei" w:eastAsia="Microsoft JhengHei" w:hint="default"/>
          <w:b/>
          <w:bCs/>
          <w:sz w:val="30"/>
          <w:szCs w:val="30"/>
        </w:rPr>
      </w:pPr>
    </w:p>
    <w:p>
      <w:pPr>
        <w:pStyle w:val="BodyText"/>
        <w:spacing w:line="388" w:lineRule="auto"/>
        <w:ind w:right="1128" w:firstLine="420"/>
        <w:jc w:val="both"/>
      </w:pPr>
      <w:r>
        <w:rPr/>
        <w:t>公司对新员工安排入职系统培训；定期组织员工进行培训，培训内容涵盖文化、管理、审计、</w:t>
      </w:r>
      <w:r>
        <w:rPr>
          <w:rFonts w:ascii="Arial" w:hAnsi="Arial" w:cs="Arial" w:eastAsia="Arial" w:hint="default"/>
        </w:rPr>
        <w:t>IT</w:t>
      </w:r>
      <w:r>
        <w:rPr/>
        <w:t>、业</w:t>
      </w:r>
      <w:r>
        <w:rPr>
          <w:spacing w:val="1"/>
        </w:rPr>
        <w:t> </w:t>
      </w:r>
      <w:r>
        <w:rPr/>
        <w:t>务等。开发线上学习平台，为员工提供移动终端学习通道。</w:t>
      </w:r>
    </w:p>
    <w:p>
      <w:pPr>
        <w:spacing w:line="240" w:lineRule="auto" w:before="12"/>
        <w:rPr>
          <w:rFonts w:ascii="宋体" w:hAnsi="宋体" w:cs="宋体" w:eastAsia="宋体" w:hint="default"/>
          <w:sz w:val="25"/>
          <w:szCs w:val="25"/>
        </w:rPr>
      </w:pPr>
    </w:p>
    <w:p>
      <w:pPr>
        <w:pStyle w:val="Heading2"/>
        <w:spacing w:line="240" w:lineRule="auto"/>
        <w:ind w:right="0"/>
        <w:jc w:val="left"/>
        <w:rPr>
          <w:b w:val="0"/>
          <w:bCs w:val="0"/>
        </w:rPr>
      </w:pPr>
      <w:bookmarkStart w:name="8.5.4 劳务外包情况" w:id="213"/>
      <w:bookmarkEnd w:id="213"/>
      <w:r>
        <w:rPr>
          <w:b w:val="0"/>
          <w:bCs w:val="0"/>
        </w:rPr>
      </w:r>
      <w:r>
        <w:rPr>
          <w:rFonts w:ascii="Trebuchet MS" w:hAnsi="Trebuchet MS" w:cs="Trebuchet MS" w:eastAsia="Trebuchet MS" w:hint="default"/>
        </w:rPr>
        <w:t>8.5.4</w:t>
      </w:r>
      <w:r>
        <w:rPr>
          <w:rFonts w:ascii="Trebuchet MS" w:hAnsi="Trebuchet MS" w:cs="Trebuchet MS" w:eastAsia="Trebuchet MS" w:hint="default"/>
          <w:spacing w:val="-18"/>
        </w:rPr>
        <w:t> </w:t>
      </w:r>
      <w:r>
        <w:rPr/>
        <w:t>劳务外包情况</w:t>
      </w:r>
      <w:r>
        <w:rPr>
          <w:b w:val="0"/>
          <w:bCs w:val="0"/>
        </w:rPr>
      </w:r>
    </w:p>
    <w:p>
      <w:pPr>
        <w:spacing w:line="240" w:lineRule="auto" w:before="1"/>
        <w:rPr>
          <w:rFonts w:ascii="Microsoft JhengHei" w:hAnsi="Microsoft JhengHei" w:cs="Microsoft JhengHei" w:eastAsia="Microsoft JhengHei" w:hint="default"/>
          <w:b/>
          <w:bCs/>
          <w:sz w:val="26"/>
          <w:szCs w:val="26"/>
        </w:rPr>
      </w:pPr>
    </w:p>
    <w:p>
      <w:pPr>
        <w:pStyle w:val="BodyText"/>
        <w:spacing w:line="240" w:lineRule="auto"/>
        <w:ind w:left="573" w:right="0"/>
        <w:jc w:val="left"/>
      </w:pPr>
      <w:r>
        <w:rPr/>
        <w:t>报告期内，公司不存在劳务外包的情况。</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1"/>
        <w:spacing w:line="409" w:lineRule="exact"/>
        <w:ind w:left="3829" w:right="4807"/>
        <w:jc w:val="center"/>
        <w:rPr>
          <w:b w:val="0"/>
          <w:bCs w:val="0"/>
        </w:rPr>
      </w:pPr>
      <w:bookmarkStart w:name="第九节 公司治理" w:id="214"/>
      <w:bookmarkEnd w:id="214"/>
      <w:r>
        <w:rPr>
          <w:b w:val="0"/>
          <w:bCs w:val="0"/>
        </w:rPr>
      </w:r>
      <w:bookmarkStart w:name="_bookmark62" w:id="215"/>
      <w:bookmarkEnd w:id="215"/>
      <w:r>
        <w:rPr>
          <w:b w:val="0"/>
          <w:bCs w:val="0"/>
        </w:rPr>
      </w:r>
      <w:r>
        <w:rPr>
          <w:color w:val="2D74B5"/>
        </w:rPr>
        <w:t>第九节  公司治理</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7"/>
        <w:rPr>
          <w:rFonts w:ascii="Microsoft JhengHei" w:hAnsi="Microsoft JhengHei" w:cs="Microsoft JhengHei" w:eastAsia="Microsoft JhengHei" w:hint="default"/>
          <w:b/>
          <w:bCs/>
          <w:sz w:val="14"/>
          <w:szCs w:val="14"/>
        </w:rPr>
      </w:pPr>
    </w:p>
    <w:p>
      <w:pPr>
        <w:pStyle w:val="Heading1"/>
        <w:spacing w:line="409" w:lineRule="exact"/>
        <w:ind w:right="0"/>
        <w:jc w:val="left"/>
        <w:rPr>
          <w:b w:val="0"/>
          <w:bCs w:val="0"/>
        </w:rPr>
      </w:pPr>
      <w:bookmarkStart w:name="9.1 公司治理的基本状况" w:id="216"/>
      <w:bookmarkEnd w:id="216"/>
      <w:r>
        <w:rPr>
          <w:b w:val="0"/>
          <w:bCs w:val="0"/>
        </w:rPr>
      </w:r>
      <w:bookmarkStart w:name="_bookmark63" w:id="217"/>
      <w:bookmarkEnd w:id="217"/>
      <w:r>
        <w:rPr>
          <w:b w:val="0"/>
          <w:bCs w:val="0"/>
        </w:rPr>
      </w:r>
      <w:r>
        <w:rPr>
          <w:rFonts w:ascii="Trebuchet MS" w:hAnsi="Trebuchet MS" w:cs="Trebuchet MS" w:eastAsia="Trebuchet MS" w:hint="default"/>
        </w:rPr>
        <w:t>9.1</w:t>
      </w:r>
      <w:r>
        <w:rPr>
          <w:rFonts w:ascii="Trebuchet MS" w:hAnsi="Trebuchet MS" w:cs="Trebuchet MS" w:eastAsia="Trebuchet MS" w:hint="default"/>
          <w:spacing w:val="14"/>
        </w:rPr>
        <w:t> </w:t>
      </w:r>
      <w:r>
        <w:rPr/>
        <w:t>公司治理的基本状况</w:t>
      </w:r>
      <w:r>
        <w:rPr>
          <w:b w:val="0"/>
          <w:bCs w:val="0"/>
        </w:rPr>
      </w:r>
    </w:p>
    <w:p>
      <w:pPr>
        <w:pStyle w:val="BodyText"/>
        <w:spacing w:line="408" w:lineRule="auto" w:before="194"/>
        <w:ind w:right="1133" w:firstLine="420"/>
        <w:jc w:val="both"/>
      </w:pPr>
      <w:r>
        <w:rPr>
          <w:spacing w:val="-1"/>
        </w:rPr>
        <w:t>报告期内，公司严格按照《公司法》、《证券法》、《上市公司治理准则》、《深圳证券交易所股票</w:t>
      </w:r>
      <w:r>
        <w:rPr/>
        <w:t> </w:t>
      </w:r>
      <w:r>
        <w:rPr>
          <w:spacing w:val="-1"/>
        </w:rPr>
        <w:t>上市规则》和《中小企业板上市公司规范运作指引》等相关法律、法规的规定，不断完善公司法人治理结</w:t>
      </w:r>
      <w:r>
        <w:rPr>
          <w:spacing w:val="-83"/>
        </w:rPr>
        <w:t> </w:t>
      </w:r>
      <w:r>
        <w:rPr>
          <w:spacing w:val="-83"/>
        </w:rPr>
      </w:r>
      <w:r>
        <w:rPr/>
        <w:t>构，提高公司治理水平，健全内部控制体系，规范公司运作。</w:t>
      </w:r>
    </w:p>
    <w:p>
      <w:pPr>
        <w:pStyle w:val="BodyText"/>
        <w:spacing w:line="408" w:lineRule="auto" w:before="46"/>
        <w:ind w:right="1131" w:firstLine="420"/>
        <w:jc w:val="both"/>
      </w:pPr>
      <w:r>
        <w:rPr>
          <w:spacing w:val="-6"/>
        </w:rPr>
        <w:t>报告期内，公司按照《上市公司股东大会规则》、《公司章程》等规定的要求，规范三会召集、召开、</w:t>
      </w:r>
      <w:r>
        <w:rPr/>
        <w:t> </w:t>
      </w:r>
      <w:r>
        <w:rPr>
          <w:spacing w:val="-1"/>
        </w:rPr>
        <w:t>表决程序，董事、监事依法行使职权，能够勤勉、尽责地履行权利、义务和责任，维护公司及股东的合法</w:t>
      </w:r>
      <w:r>
        <w:rPr>
          <w:spacing w:val="-83"/>
        </w:rPr>
        <w:t> </w:t>
      </w:r>
      <w:r>
        <w:rPr>
          <w:spacing w:val="-83"/>
        </w:rPr>
      </w:r>
      <w:r>
        <w:rPr>
          <w:spacing w:val="-1"/>
        </w:rPr>
        <w:t>权益。公司按照相关信息披露制度要求，真实、准确、完整、及时地履行信息披露义务，确保公司所有股</w:t>
      </w:r>
      <w:r>
        <w:rPr>
          <w:spacing w:val="-83"/>
        </w:rPr>
        <w:t> </w:t>
      </w:r>
      <w:r>
        <w:rPr>
          <w:spacing w:val="-83"/>
        </w:rPr>
      </w:r>
      <w:r>
        <w:rPr/>
        <w:t>东能够以平等的机会获得信息。</w:t>
      </w:r>
    </w:p>
    <w:p>
      <w:pPr>
        <w:pStyle w:val="BodyText"/>
        <w:spacing w:line="408" w:lineRule="auto" w:before="46"/>
        <w:ind w:left="154" w:right="1131" w:firstLine="420"/>
        <w:jc w:val="both"/>
      </w:pPr>
      <w:r>
        <w:rPr>
          <w:spacing w:val="-1"/>
        </w:rPr>
        <w:t>截至报告期末，公司不存在向大股东、实际控制人提供未公开信息等治理非规范情况。公司治理的实</w:t>
      </w:r>
      <w:r>
        <w:rPr/>
        <w:t> 际状况基本符合中国证监会及深圳证券交易所有关上市公司治理的规范性文件的要求。</w:t>
      </w:r>
    </w:p>
    <w:p>
      <w:pPr>
        <w:spacing w:line="240" w:lineRule="auto" w:before="8"/>
        <w:rPr>
          <w:rFonts w:ascii="宋体" w:hAnsi="宋体" w:cs="宋体" w:eastAsia="宋体" w:hint="default"/>
          <w:sz w:val="24"/>
          <w:szCs w:val="24"/>
        </w:rPr>
      </w:pPr>
    </w:p>
    <w:p>
      <w:pPr>
        <w:pStyle w:val="Heading2"/>
        <w:spacing w:line="240" w:lineRule="auto"/>
        <w:ind w:right="0"/>
        <w:jc w:val="left"/>
        <w:rPr>
          <w:b w:val="0"/>
          <w:bCs w:val="0"/>
        </w:rPr>
      </w:pPr>
      <w:bookmarkStart w:name="9.1.1 关于股东和股东大会" w:id="218"/>
      <w:bookmarkEnd w:id="218"/>
      <w:r>
        <w:rPr>
          <w:b w:val="0"/>
          <w:bCs w:val="0"/>
        </w:rPr>
      </w:r>
      <w:r>
        <w:rPr>
          <w:rFonts w:ascii="Trebuchet MS" w:hAnsi="Trebuchet MS" w:cs="Trebuchet MS" w:eastAsia="Trebuchet MS" w:hint="default"/>
        </w:rPr>
        <w:t>9.1.1</w:t>
      </w:r>
      <w:r>
        <w:rPr>
          <w:rFonts w:ascii="Trebuchet MS" w:hAnsi="Trebuchet MS" w:cs="Trebuchet MS" w:eastAsia="Trebuchet MS" w:hint="default"/>
          <w:spacing w:val="-18"/>
        </w:rPr>
        <w:t> </w:t>
      </w:r>
      <w:r>
        <w:rPr/>
        <w:t>关于股东和股东大会</w:t>
      </w:r>
      <w:r>
        <w:rPr>
          <w:b w:val="0"/>
          <w:bCs w:val="0"/>
        </w:rPr>
      </w:r>
    </w:p>
    <w:p>
      <w:pPr>
        <w:spacing w:line="240" w:lineRule="auto" w:before="8"/>
        <w:rPr>
          <w:rFonts w:ascii="Microsoft JhengHei" w:hAnsi="Microsoft JhengHei" w:cs="Microsoft JhengHei" w:eastAsia="Microsoft JhengHei" w:hint="default"/>
          <w:b/>
          <w:bCs/>
          <w:sz w:val="30"/>
          <w:szCs w:val="30"/>
        </w:rPr>
      </w:pPr>
    </w:p>
    <w:p>
      <w:pPr>
        <w:pStyle w:val="BodyText"/>
        <w:spacing w:line="408" w:lineRule="auto"/>
        <w:ind w:right="1132" w:firstLine="420"/>
        <w:jc w:val="both"/>
      </w:pPr>
      <w:r>
        <w:rPr>
          <w:spacing w:val="-1"/>
        </w:rPr>
        <w:t>报告期内，公司严格按照《公司法》、公司章程和《股东大会议事规则》的规定和要求，规范股东大</w:t>
      </w:r>
      <w:r>
        <w:rPr/>
        <w:t> 会的召集、召开、表决程序，平等对待所有股东，确保股东特别是中小股东享有平等地位和合法权益。</w:t>
      </w:r>
    </w:p>
    <w:p>
      <w:pPr>
        <w:spacing w:line="240" w:lineRule="auto" w:before="8"/>
        <w:rPr>
          <w:rFonts w:ascii="宋体" w:hAnsi="宋体" w:cs="宋体" w:eastAsia="宋体" w:hint="default"/>
          <w:sz w:val="24"/>
          <w:szCs w:val="24"/>
        </w:rPr>
      </w:pPr>
    </w:p>
    <w:p>
      <w:pPr>
        <w:pStyle w:val="Heading2"/>
        <w:spacing w:line="240" w:lineRule="auto"/>
        <w:ind w:right="0"/>
        <w:jc w:val="left"/>
        <w:rPr>
          <w:b w:val="0"/>
          <w:bCs w:val="0"/>
        </w:rPr>
      </w:pPr>
      <w:bookmarkStart w:name="9.1.2 关于控股股东与公司的关系" w:id="219"/>
      <w:bookmarkEnd w:id="219"/>
      <w:r>
        <w:rPr>
          <w:b w:val="0"/>
          <w:bCs w:val="0"/>
        </w:rPr>
      </w:r>
      <w:r>
        <w:rPr>
          <w:rFonts w:ascii="Trebuchet MS" w:hAnsi="Trebuchet MS" w:cs="Trebuchet MS" w:eastAsia="Trebuchet MS" w:hint="default"/>
        </w:rPr>
        <w:t>9.1.2</w:t>
      </w:r>
      <w:r>
        <w:rPr>
          <w:rFonts w:ascii="Trebuchet MS" w:hAnsi="Trebuchet MS" w:cs="Trebuchet MS" w:eastAsia="Trebuchet MS" w:hint="default"/>
          <w:spacing w:val="-18"/>
        </w:rPr>
        <w:t> </w:t>
      </w:r>
      <w:r>
        <w:rPr/>
        <w:t>关于控股股东与公司的关系</w:t>
      </w:r>
      <w:r>
        <w:rPr>
          <w:b w:val="0"/>
          <w:bCs w:val="0"/>
        </w:rPr>
      </w:r>
    </w:p>
    <w:p>
      <w:pPr>
        <w:spacing w:line="240" w:lineRule="auto" w:before="8"/>
        <w:rPr>
          <w:rFonts w:ascii="Microsoft JhengHei" w:hAnsi="Microsoft JhengHei" w:cs="Microsoft JhengHei" w:eastAsia="Microsoft JhengHei" w:hint="default"/>
          <w:b/>
          <w:bCs/>
          <w:sz w:val="30"/>
          <w:szCs w:val="30"/>
        </w:rPr>
      </w:pPr>
    </w:p>
    <w:p>
      <w:pPr>
        <w:pStyle w:val="BodyText"/>
        <w:spacing w:line="408" w:lineRule="auto"/>
        <w:ind w:right="1131" w:firstLine="420"/>
        <w:jc w:val="both"/>
      </w:pPr>
      <w:r>
        <w:rPr>
          <w:spacing w:val="-1"/>
        </w:rPr>
        <w:t>公司拥有完整的业务体系和面向市场独立经营的能力，在业务、资产、人员、财务、机构上独立于控</w:t>
      </w:r>
      <w:r>
        <w:rPr/>
        <w:t> </w:t>
      </w:r>
      <w:r>
        <w:rPr>
          <w:spacing w:val="-1"/>
        </w:rPr>
        <w:t>股股东，公司董事会、监事会和股东大会独立运作。公司控股股东没有超越公司股东大会直接或间接干预</w:t>
      </w:r>
      <w:r>
        <w:rPr>
          <w:spacing w:val="-83"/>
        </w:rPr>
        <w:t> </w:t>
      </w:r>
      <w:r>
        <w:rPr>
          <w:spacing w:val="-83"/>
        </w:rPr>
      </w:r>
      <w:r>
        <w:rPr/>
        <w:t>公司的决策和经营活动的行为，不存在占用公司资金的情况。</w:t>
      </w:r>
    </w:p>
    <w:p>
      <w:pPr>
        <w:spacing w:line="240" w:lineRule="auto" w:before="8"/>
        <w:rPr>
          <w:rFonts w:ascii="宋体" w:hAnsi="宋体" w:cs="宋体" w:eastAsia="宋体" w:hint="default"/>
          <w:sz w:val="24"/>
          <w:szCs w:val="24"/>
        </w:rPr>
      </w:pPr>
    </w:p>
    <w:p>
      <w:pPr>
        <w:pStyle w:val="Heading2"/>
        <w:spacing w:line="240" w:lineRule="auto"/>
        <w:ind w:right="0"/>
        <w:jc w:val="left"/>
        <w:rPr>
          <w:b w:val="0"/>
          <w:bCs w:val="0"/>
        </w:rPr>
      </w:pPr>
      <w:bookmarkStart w:name="9.1.3 关于董事和董事会" w:id="220"/>
      <w:bookmarkEnd w:id="220"/>
      <w:r>
        <w:rPr>
          <w:b w:val="0"/>
          <w:bCs w:val="0"/>
        </w:rPr>
      </w:r>
      <w:r>
        <w:rPr>
          <w:rFonts w:ascii="Trebuchet MS" w:hAnsi="Trebuchet MS" w:cs="Trebuchet MS" w:eastAsia="Trebuchet MS" w:hint="default"/>
        </w:rPr>
        <w:t>9.1.3</w:t>
      </w:r>
      <w:r>
        <w:rPr>
          <w:rFonts w:ascii="Trebuchet MS" w:hAnsi="Trebuchet MS" w:cs="Trebuchet MS" w:eastAsia="Trebuchet MS" w:hint="default"/>
          <w:spacing w:val="-18"/>
        </w:rPr>
        <w:t> </w:t>
      </w:r>
      <w:r>
        <w:rPr/>
        <w:t>关于董事和董事会</w:t>
      </w:r>
      <w:r>
        <w:rPr>
          <w:b w:val="0"/>
          <w:bCs w:val="0"/>
        </w:rPr>
      </w:r>
    </w:p>
    <w:p>
      <w:pPr>
        <w:spacing w:line="240" w:lineRule="auto" w:before="8"/>
        <w:rPr>
          <w:rFonts w:ascii="Microsoft JhengHei" w:hAnsi="Microsoft JhengHei" w:cs="Microsoft JhengHei" w:eastAsia="Microsoft JhengHei" w:hint="default"/>
          <w:b/>
          <w:bCs/>
          <w:sz w:val="30"/>
          <w:szCs w:val="30"/>
        </w:rPr>
      </w:pPr>
    </w:p>
    <w:p>
      <w:pPr>
        <w:pStyle w:val="BodyText"/>
        <w:spacing w:line="398" w:lineRule="auto"/>
        <w:ind w:right="1118" w:firstLine="420"/>
        <w:jc w:val="left"/>
      </w:pPr>
      <w:r>
        <w:rPr/>
        <w:t>公司董事的选聘程序公开、公平、公正；截止本报告披露日公司有董事</w:t>
      </w:r>
      <w:r>
        <w:rPr>
          <w:rFonts w:ascii="Arial" w:hAnsi="Arial" w:cs="Arial" w:eastAsia="Arial" w:hint="default"/>
        </w:rPr>
        <w:t>9</w:t>
      </w:r>
      <w:r>
        <w:rPr/>
        <w:t>名，其中独立董事四名，董 </w:t>
      </w:r>
      <w:r>
        <w:rPr>
          <w:spacing w:val="-1"/>
        </w:rPr>
        <w:t>事会的人数及人员构成符合法律法规的要求。董事会能够严格按照《公司法》、公司章程和《董事会议事</w:t>
      </w:r>
      <w:r>
        <w:rPr>
          <w:spacing w:val="-83"/>
        </w:rPr>
        <w:t> </w:t>
      </w:r>
      <w:r>
        <w:rPr>
          <w:spacing w:val="-83"/>
        </w:rPr>
      </w:r>
      <w:r>
        <w:rPr>
          <w:spacing w:val="-5"/>
        </w:rPr>
        <w:t>规则》等法律法规和制度的要求开展工作。公司董事诚信、勤勉地履行职责，亲自出席董事会和股东大会，</w:t>
      </w:r>
    </w:p>
    <w:p>
      <w:pPr>
        <w:spacing w:after="0" w:line="398"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408" w:lineRule="auto" w:before="18"/>
        <w:ind w:right="1131"/>
        <w:jc w:val="both"/>
      </w:pPr>
      <w:r>
        <w:rPr>
          <w:spacing w:val="-1"/>
        </w:rPr>
        <w:t>积极参加由深圳证监局及深圳证券交易所组织的相关培训，熟悉有关法律法规，并能够不受影响地独立履</w:t>
      </w:r>
      <w:r>
        <w:rPr>
          <w:spacing w:val="-81"/>
        </w:rPr>
        <w:t> </w:t>
      </w:r>
      <w:r>
        <w:rPr>
          <w:spacing w:val="-81"/>
        </w:rPr>
      </w:r>
      <w:r>
        <w:rPr>
          <w:spacing w:val="-1"/>
        </w:rPr>
        <w:t>行职责。公司董事会下设战略委员会、提名委员会、审计委员会、薪酬与考核委员会四个专门委员会，为</w:t>
      </w:r>
      <w:r>
        <w:rPr>
          <w:spacing w:val="-83"/>
        </w:rPr>
        <w:t> </w:t>
      </w:r>
      <w:r>
        <w:rPr>
          <w:spacing w:val="-83"/>
        </w:rPr>
      </w:r>
      <w:r>
        <w:rPr/>
        <w:t>董事会的决策提供专业的意见和参考。</w:t>
      </w:r>
    </w:p>
    <w:p>
      <w:pPr>
        <w:spacing w:line="240" w:lineRule="auto" w:before="9"/>
        <w:rPr>
          <w:rFonts w:ascii="宋体" w:hAnsi="宋体" w:cs="宋体" w:eastAsia="宋体" w:hint="default"/>
          <w:sz w:val="24"/>
          <w:szCs w:val="24"/>
        </w:rPr>
      </w:pPr>
    </w:p>
    <w:p>
      <w:pPr>
        <w:pStyle w:val="Heading2"/>
        <w:spacing w:line="240" w:lineRule="auto"/>
        <w:ind w:right="0"/>
        <w:jc w:val="both"/>
        <w:rPr>
          <w:b w:val="0"/>
          <w:bCs w:val="0"/>
        </w:rPr>
      </w:pPr>
      <w:bookmarkStart w:name="9.1.4 关于监事和监事会" w:id="221"/>
      <w:bookmarkEnd w:id="221"/>
      <w:r>
        <w:rPr>
          <w:b w:val="0"/>
          <w:bCs w:val="0"/>
        </w:rPr>
      </w:r>
      <w:r>
        <w:rPr>
          <w:rFonts w:ascii="Trebuchet MS" w:hAnsi="Trebuchet MS" w:cs="Trebuchet MS" w:eastAsia="Trebuchet MS" w:hint="default"/>
        </w:rPr>
        <w:t>9.1.4</w:t>
      </w:r>
      <w:r>
        <w:rPr>
          <w:rFonts w:ascii="Trebuchet MS" w:hAnsi="Trebuchet MS" w:cs="Trebuchet MS" w:eastAsia="Trebuchet MS" w:hint="default"/>
          <w:spacing w:val="-18"/>
        </w:rPr>
        <w:t> </w:t>
      </w:r>
      <w:r>
        <w:rPr/>
        <w:t>关于监事和监事会</w:t>
      </w:r>
      <w:r>
        <w:rPr>
          <w:b w:val="0"/>
          <w:bCs w:val="0"/>
        </w:rPr>
      </w:r>
    </w:p>
    <w:p>
      <w:pPr>
        <w:spacing w:line="240" w:lineRule="auto" w:before="8"/>
        <w:rPr>
          <w:rFonts w:ascii="Microsoft JhengHei" w:hAnsi="Microsoft JhengHei" w:cs="Microsoft JhengHei" w:eastAsia="Microsoft JhengHei" w:hint="default"/>
          <w:b/>
          <w:bCs/>
          <w:sz w:val="30"/>
          <w:szCs w:val="30"/>
        </w:rPr>
      </w:pPr>
    </w:p>
    <w:p>
      <w:pPr>
        <w:pStyle w:val="BodyText"/>
        <w:spacing w:line="408" w:lineRule="auto"/>
        <w:ind w:right="1131" w:firstLine="420"/>
        <w:jc w:val="both"/>
      </w:pPr>
      <w:r>
        <w:rPr>
          <w:spacing w:val="-1"/>
        </w:rPr>
        <w:t>公司严格按照《公司法》、公司章程的规定选举产生监事两名，通过职工代表大会选举了职工代表监</w:t>
      </w:r>
      <w:r>
        <w:rPr/>
        <w:t> </w:t>
      </w:r>
      <w:r>
        <w:rPr>
          <w:spacing w:val="-6"/>
        </w:rPr>
        <w:t>事一名，监事会的人数及构成符合法律、法规的要求；公司各位监事严格按照《公司法》、公司章程和《监</w:t>
      </w:r>
      <w:r>
        <w:rPr>
          <w:spacing w:val="-59"/>
        </w:rPr>
        <w:t> </w:t>
      </w:r>
      <w:r>
        <w:rPr>
          <w:spacing w:val="-59"/>
        </w:rPr>
      </w:r>
      <w:r>
        <w:rPr>
          <w:spacing w:val="-1"/>
        </w:rPr>
        <w:t>事会议事规则》的有关规定认真履行职责，监事会对公司财务状况、重大事项以及公司董事及高级管理人</w:t>
      </w:r>
      <w:r>
        <w:rPr>
          <w:spacing w:val="-83"/>
        </w:rPr>
        <w:t> </w:t>
      </w:r>
      <w:r>
        <w:rPr>
          <w:spacing w:val="-83"/>
        </w:rPr>
      </w:r>
      <w:r>
        <w:rPr/>
        <w:t>员履行职责的合法、合规性进行监督，维护公司及股东的合法权益。</w:t>
      </w:r>
    </w:p>
    <w:p>
      <w:pPr>
        <w:spacing w:line="240" w:lineRule="auto" w:before="8"/>
        <w:rPr>
          <w:rFonts w:ascii="宋体" w:hAnsi="宋体" w:cs="宋体" w:eastAsia="宋体" w:hint="default"/>
          <w:sz w:val="24"/>
          <w:szCs w:val="24"/>
        </w:rPr>
      </w:pPr>
    </w:p>
    <w:p>
      <w:pPr>
        <w:pStyle w:val="Heading2"/>
        <w:spacing w:line="240" w:lineRule="auto"/>
        <w:ind w:right="0"/>
        <w:jc w:val="both"/>
        <w:rPr>
          <w:b w:val="0"/>
          <w:bCs w:val="0"/>
        </w:rPr>
      </w:pPr>
      <w:bookmarkStart w:name="9.1.5 关于绩效评价与激励约束机制" w:id="222"/>
      <w:bookmarkEnd w:id="222"/>
      <w:r>
        <w:rPr>
          <w:b w:val="0"/>
          <w:bCs w:val="0"/>
        </w:rPr>
      </w:r>
      <w:r>
        <w:rPr>
          <w:rFonts w:ascii="Trebuchet MS" w:hAnsi="Trebuchet MS" w:cs="Trebuchet MS" w:eastAsia="Trebuchet MS" w:hint="default"/>
        </w:rPr>
        <w:t>9.1.5</w:t>
      </w:r>
      <w:r>
        <w:rPr>
          <w:rFonts w:ascii="Trebuchet MS" w:hAnsi="Trebuchet MS" w:cs="Trebuchet MS" w:eastAsia="Trebuchet MS" w:hint="default"/>
          <w:spacing w:val="-18"/>
        </w:rPr>
        <w:t> </w:t>
      </w:r>
      <w:r>
        <w:rPr/>
        <w:t>关于绩效评价与激励约束机制</w:t>
      </w:r>
      <w:r>
        <w:rPr>
          <w:b w:val="0"/>
          <w:bCs w:val="0"/>
        </w:rPr>
      </w:r>
    </w:p>
    <w:p>
      <w:pPr>
        <w:spacing w:line="240" w:lineRule="auto" w:before="8"/>
        <w:rPr>
          <w:rFonts w:ascii="Microsoft JhengHei" w:hAnsi="Microsoft JhengHei" w:cs="Microsoft JhengHei" w:eastAsia="Microsoft JhengHei" w:hint="default"/>
          <w:b/>
          <w:bCs/>
          <w:sz w:val="30"/>
          <w:szCs w:val="30"/>
        </w:rPr>
      </w:pPr>
    </w:p>
    <w:p>
      <w:pPr>
        <w:pStyle w:val="BodyText"/>
        <w:spacing w:line="408" w:lineRule="auto"/>
        <w:ind w:right="1130" w:firstLine="420"/>
        <w:jc w:val="both"/>
      </w:pPr>
      <w:r>
        <w:rPr>
          <w:spacing w:val="-1"/>
        </w:rPr>
        <w:t>公司建立了公正透明的董事、监事和高级管理人员的绩效评价标准和程序，建立了经理人员的薪酬与</w:t>
      </w:r>
      <w:r>
        <w:rPr/>
        <w:t> </w:t>
      </w:r>
      <w:r>
        <w:rPr>
          <w:spacing w:val="-1"/>
        </w:rPr>
        <w:t>公司绩效相联系的激励机制，保持了经理人员的稳定性。公司经理人员的任免履行了法定的程序，严格按</w:t>
      </w:r>
      <w:r>
        <w:rPr>
          <w:spacing w:val="-82"/>
        </w:rPr>
        <w:t> </w:t>
      </w:r>
      <w:r>
        <w:rPr>
          <w:spacing w:val="-82"/>
        </w:rPr>
      </w:r>
      <w:r>
        <w:rPr/>
        <w:t>照有关法律法规和公司章程的规定进行。</w:t>
      </w:r>
    </w:p>
    <w:p>
      <w:pPr>
        <w:spacing w:line="240" w:lineRule="auto" w:before="9"/>
        <w:rPr>
          <w:rFonts w:ascii="宋体" w:hAnsi="宋体" w:cs="宋体" w:eastAsia="宋体" w:hint="default"/>
          <w:sz w:val="24"/>
          <w:szCs w:val="24"/>
        </w:rPr>
      </w:pPr>
    </w:p>
    <w:p>
      <w:pPr>
        <w:pStyle w:val="Heading2"/>
        <w:spacing w:line="240" w:lineRule="auto"/>
        <w:ind w:right="0"/>
        <w:jc w:val="both"/>
        <w:rPr>
          <w:b w:val="0"/>
          <w:bCs w:val="0"/>
        </w:rPr>
      </w:pPr>
      <w:bookmarkStart w:name="9.1.6 关于相关利益者" w:id="223"/>
      <w:bookmarkEnd w:id="223"/>
      <w:r>
        <w:rPr>
          <w:b w:val="0"/>
          <w:bCs w:val="0"/>
        </w:rPr>
      </w:r>
      <w:r>
        <w:rPr>
          <w:rFonts w:ascii="Trebuchet MS" w:hAnsi="Trebuchet MS" w:cs="Trebuchet MS" w:eastAsia="Trebuchet MS" w:hint="default"/>
        </w:rPr>
        <w:t>9.1.6</w:t>
      </w:r>
      <w:r>
        <w:rPr>
          <w:rFonts w:ascii="Trebuchet MS" w:hAnsi="Trebuchet MS" w:cs="Trebuchet MS" w:eastAsia="Trebuchet MS" w:hint="default"/>
          <w:spacing w:val="-18"/>
        </w:rPr>
        <w:t> </w:t>
      </w:r>
      <w:r>
        <w:rPr/>
        <w:t>关于相关利益者</w:t>
      </w:r>
      <w:r>
        <w:rPr>
          <w:b w:val="0"/>
          <w:bCs w:val="0"/>
        </w:rPr>
      </w:r>
    </w:p>
    <w:p>
      <w:pPr>
        <w:spacing w:line="240" w:lineRule="auto" w:before="8"/>
        <w:rPr>
          <w:rFonts w:ascii="Microsoft JhengHei" w:hAnsi="Microsoft JhengHei" w:cs="Microsoft JhengHei" w:eastAsia="Microsoft JhengHei" w:hint="default"/>
          <w:b/>
          <w:bCs/>
          <w:sz w:val="30"/>
          <w:szCs w:val="30"/>
        </w:rPr>
      </w:pPr>
    </w:p>
    <w:p>
      <w:pPr>
        <w:pStyle w:val="BodyText"/>
        <w:spacing w:line="408" w:lineRule="auto"/>
        <w:ind w:right="1018" w:firstLine="420"/>
        <w:jc w:val="left"/>
      </w:pPr>
      <w:r>
        <w:rPr>
          <w:spacing w:val="-3"/>
        </w:rPr>
        <w:t>公司能够充分尊重和维护相关利益者的合法权益，加强与相关利益者合作，加强与各方的沟通和交流，</w:t>
      </w:r>
      <w:r>
        <w:rPr/>
        <w:t> 在创造利润最大化的同时，实现社会、股东、员工等各方利益的协调平衡，以推动公司持续、稳定、健康 地发展。</w:t>
      </w:r>
    </w:p>
    <w:p>
      <w:pPr>
        <w:spacing w:line="240" w:lineRule="auto" w:before="8"/>
        <w:rPr>
          <w:rFonts w:ascii="宋体" w:hAnsi="宋体" w:cs="宋体" w:eastAsia="宋体" w:hint="default"/>
          <w:sz w:val="24"/>
          <w:szCs w:val="24"/>
        </w:rPr>
      </w:pPr>
    </w:p>
    <w:p>
      <w:pPr>
        <w:pStyle w:val="Heading2"/>
        <w:spacing w:line="240" w:lineRule="auto"/>
        <w:ind w:right="0"/>
        <w:jc w:val="both"/>
        <w:rPr>
          <w:b w:val="0"/>
          <w:bCs w:val="0"/>
        </w:rPr>
      </w:pPr>
      <w:bookmarkStart w:name="9.1.7 关于信息披露与透明度" w:id="224"/>
      <w:bookmarkEnd w:id="224"/>
      <w:r>
        <w:rPr>
          <w:b w:val="0"/>
          <w:bCs w:val="0"/>
        </w:rPr>
      </w:r>
      <w:r>
        <w:rPr>
          <w:rFonts w:ascii="Trebuchet MS" w:hAnsi="Trebuchet MS" w:cs="Trebuchet MS" w:eastAsia="Trebuchet MS" w:hint="default"/>
        </w:rPr>
        <w:t>9.1.7</w:t>
      </w:r>
      <w:r>
        <w:rPr>
          <w:rFonts w:ascii="Trebuchet MS" w:hAnsi="Trebuchet MS" w:cs="Trebuchet MS" w:eastAsia="Trebuchet MS" w:hint="default"/>
          <w:spacing w:val="-18"/>
        </w:rPr>
        <w:t> </w:t>
      </w:r>
      <w:r>
        <w:rPr/>
        <w:t>关于信息披露与透明度</w:t>
      </w:r>
      <w:r>
        <w:rPr>
          <w:b w:val="0"/>
          <w:bCs w:val="0"/>
        </w:rPr>
      </w:r>
    </w:p>
    <w:p>
      <w:pPr>
        <w:spacing w:line="240" w:lineRule="auto" w:before="8"/>
        <w:rPr>
          <w:rFonts w:ascii="Microsoft JhengHei" w:hAnsi="Microsoft JhengHei" w:cs="Microsoft JhengHei" w:eastAsia="Microsoft JhengHei" w:hint="default"/>
          <w:b/>
          <w:bCs/>
          <w:sz w:val="30"/>
          <w:szCs w:val="30"/>
        </w:rPr>
      </w:pPr>
    </w:p>
    <w:p>
      <w:pPr>
        <w:pStyle w:val="BodyText"/>
        <w:spacing w:line="403" w:lineRule="auto"/>
        <w:ind w:right="0" w:firstLine="420"/>
        <w:jc w:val="left"/>
      </w:pPr>
      <w:r>
        <w:rPr/>
        <w:t>公司严格按照《信息披露事务管理制度》和《投资者关系管理制度》，确定了信息披露的基本原则、 信息披露义务人和职责、信息披露的内容、信息的提供与收集、信息披露的程序、信息披露方式及保密措 </w:t>
      </w:r>
      <w:r>
        <w:rPr>
          <w:spacing w:val="-1"/>
        </w:rPr>
        <w:t>施等。公司指定《中国证券报》、《证券时报》和巨潮网（</w:t>
      </w:r>
      <w:hyperlink r:id="rId29">
        <w:r>
          <w:rPr>
            <w:rFonts w:ascii="Arial" w:hAnsi="Arial" w:cs="Arial" w:eastAsia="Arial" w:hint="default"/>
            <w:spacing w:val="-1"/>
          </w:rPr>
          <w:t>www.cninfo.com.cn</w:t>
        </w:r>
      </w:hyperlink>
      <w:r>
        <w:rPr>
          <w:spacing w:val="-1"/>
        </w:rPr>
        <w:t>）为公司信息披露的报</w:t>
      </w:r>
      <w:r>
        <w:rPr>
          <w:spacing w:val="100"/>
        </w:rPr>
        <w:t> </w:t>
      </w:r>
      <w:r>
        <w:rPr/>
        <w:t>纸和网站，公司指定董事会秘书负责信息披露工作、接待投资者的来访和咨询。公平对待所有投资者，真</w:t>
      </w:r>
      <w:r>
        <w:rPr/>
        <w:t> 实、准确、完整、及时地进行信息披露，提高公司透明度，保障全体股东的合法权益。</w:t>
      </w:r>
    </w:p>
    <w:p>
      <w:pPr>
        <w:spacing w:after="0" w:line="403"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pStyle w:val="Heading2"/>
        <w:spacing w:line="240" w:lineRule="auto" w:before="93"/>
        <w:ind w:right="0"/>
        <w:jc w:val="left"/>
        <w:rPr>
          <w:b w:val="0"/>
          <w:bCs w:val="0"/>
        </w:rPr>
      </w:pPr>
      <w:bookmarkStart w:name="9.1.8 关于内部审计制度" w:id="225"/>
      <w:bookmarkEnd w:id="225"/>
      <w:r>
        <w:rPr>
          <w:b w:val="0"/>
          <w:bCs w:val="0"/>
        </w:rPr>
      </w:r>
      <w:r>
        <w:rPr>
          <w:rFonts w:ascii="Trebuchet MS" w:hAnsi="Trebuchet MS" w:cs="Trebuchet MS" w:eastAsia="Trebuchet MS" w:hint="default"/>
        </w:rPr>
        <w:t>9.1.8</w:t>
      </w:r>
      <w:r>
        <w:rPr>
          <w:rFonts w:ascii="Trebuchet MS" w:hAnsi="Trebuchet MS" w:cs="Trebuchet MS" w:eastAsia="Trebuchet MS" w:hint="default"/>
          <w:spacing w:val="-18"/>
        </w:rPr>
        <w:t> </w:t>
      </w:r>
      <w:r>
        <w:rPr/>
        <w:t>关于内部审计制度</w:t>
      </w:r>
      <w:r>
        <w:rPr>
          <w:b w:val="0"/>
          <w:bCs w:val="0"/>
        </w:rPr>
      </w:r>
    </w:p>
    <w:p>
      <w:pPr>
        <w:spacing w:line="240" w:lineRule="auto" w:before="8"/>
        <w:rPr>
          <w:rFonts w:ascii="Microsoft JhengHei" w:hAnsi="Microsoft JhengHei" w:cs="Microsoft JhengHei" w:eastAsia="Microsoft JhengHei" w:hint="default"/>
          <w:b/>
          <w:bCs/>
          <w:sz w:val="30"/>
          <w:szCs w:val="30"/>
        </w:rPr>
      </w:pPr>
    </w:p>
    <w:p>
      <w:pPr>
        <w:pStyle w:val="BodyText"/>
        <w:spacing w:line="408" w:lineRule="auto"/>
        <w:ind w:right="1131" w:firstLine="420"/>
        <w:jc w:val="both"/>
      </w:pPr>
      <w:r>
        <w:rPr>
          <w:spacing w:val="-1"/>
        </w:rPr>
        <w:t>公司已经建立了内部审计制度，设置内部审计部门，公司内部审计部门对公司日常运行、内控制度和</w:t>
      </w:r>
      <w:r>
        <w:rPr/>
        <w:t> 公司重大关联交易等重大事项进行有效控制。</w:t>
      </w:r>
    </w:p>
    <w:p>
      <w:pPr>
        <w:spacing w:line="240" w:lineRule="auto" w:before="8"/>
        <w:rPr>
          <w:rFonts w:ascii="宋体" w:hAnsi="宋体" w:cs="宋体" w:eastAsia="宋体" w:hint="default"/>
          <w:sz w:val="24"/>
          <w:szCs w:val="24"/>
        </w:rPr>
      </w:pPr>
    </w:p>
    <w:p>
      <w:pPr>
        <w:pStyle w:val="Heading2"/>
        <w:spacing w:line="240" w:lineRule="auto"/>
        <w:ind w:right="0"/>
        <w:jc w:val="left"/>
        <w:rPr>
          <w:b w:val="0"/>
          <w:bCs w:val="0"/>
        </w:rPr>
      </w:pPr>
      <w:bookmarkStart w:name="9.1.9 公司治理专项活动开展情况以及内幕信息知情人登记管理制度的制定、实施情" w:id="226"/>
      <w:bookmarkEnd w:id="226"/>
      <w:r>
        <w:rPr>
          <w:b w:val="0"/>
          <w:bCs w:val="0"/>
        </w:rPr>
      </w:r>
      <w:r>
        <w:rPr>
          <w:rFonts w:ascii="Trebuchet MS" w:hAnsi="Trebuchet MS" w:cs="Trebuchet MS" w:eastAsia="Trebuchet MS" w:hint="default"/>
        </w:rPr>
        <w:t>9.1.9</w:t>
      </w:r>
      <w:r>
        <w:rPr>
          <w:rFonts w:ascii="Trebuchet MS" w:hAnsi="Trebuchet MS" w:cs="Trebuchet MS" w:eastAsia="Trebuchet MS" w:hint="default"/>
          <w:spacing w:val="-18"/>
        </w:rPr>
        <w:t> </w:t>
      </w:r>
      <w:r>
        <w:rPr/>
        <w:t>公司治理专项活动开展情况以及内幕信息知情人登记管理制度的制定、实施情况</w:t>
      </w:r>
      <w:r>
        <w:rPr>
          <w:b w:val="0"/>
          <w:bCs w:val="0"/>
        </w:rPr>
      </w:r>
    </w:p>
    <w:p>
      <w:pPr>
        <w:spacing w:line="240" w:lineRule="auto" w:before="8"/>
        <w:rPr>
          <w:rFonts w:ascii="Microsoft JhengHei" w:hAnsi="Microsoft JhengHei" w:cs="Microsoft JhengHei" w:eastAsia="Microsoft JhengHei" w:hint="default"/>
          <w:b/>
          <w:bCs/>
          <w:sz w:val="30"/>
          <w:szCs w:val="30"/>
        </w:rPr>
      </w:pPr>
    </w:p>
    <w:p>
      <w:pPr>
        <w:pStyle w:val="BodyText"/>
        <w:spacing w:line="393" w:lineRule="auto"/>
        <w:ind w:right="1130" w:firstLine="420"/>
        <w:jc w:val="both"/>
      </w:pPr>
      <w:r>
        <w:rPr>
          <w:spacing w:val="-1"/>
        </w:rPr>
        <w:t>公司已根据中国证监会发布的《关于上市公司建立内幕信息知情人登记管理制度的规定》（证监会公</w:t>
      </w:r>
      <w:r>
        <w:rPr/>
        <w:t> </w:t>
      </w:r>
      <w:r>
        <w:rPr>
          <w:spacing w:val="-1"/>
        </w:rPr>
        <w:t>告</w:t>
      </w:r>
      <w:r>
        <w:rPr>
          <w:rFonts w:ascii="Arial" w:hAnsi="Arial" w:cs="Arial" w:eastAsia="Arial" w:hint="default"/>
          <w:spacing w:val="-1"/>
        </w:rPr>
        <w:t>[2011]30</w:t>
      </w:r>
      <w:r>
        <w:rPr>
          <w:spacing w:val="-1"/>
        </w:rPr>
        <w:t>号）及深圳证券交易所相关文件的要求，制定了《内幕信息知情人登记制度》和《外部信息报</w:t>
      </w:r>
      <w:r>
        <w:rPr>
          <w:spacing w:val="-61"/>
        </w:rPr>
        <w:t> </w:t>
      </w:r>
      <w:r>
        <w:rPr>
          <w:spacing w:val="-61"/>
        </w:rPr>
      </w:r>
      <w:r>
        <w:rPr/>
        <w:t>送和使用管理制度》，对外部信息使用人就公司内幕信息的保密作出了相关规定，并于</w:t>
      </w:r>
      <w:r>
        <w:rPr>
          <w:rFonts w:ascii="Arial" w:hAnsi="Arial" w:cs="Arial" w:eastAsia="Arial" w:hint="default"/>
        </w:rPr>
        <w:t>2010</w:t>
      </w:r>
      <w:r>
        <w:rPr/>
        <w:t>年</w:t>
      </w:r>
      <w:r>
        <w:rPr>
          <w:rFonts w:ascii="Arial" w:hAnsi="Arial" w:cs="Arial" w:eastAsia="Arial" w:hint="default"/>
        </w:rPr>
        <w:t>8</w:t>
      </w:r>
      <w:r>
        <w:rPr/>
        <w:t>月</w:t>
      </w:r>
      <w:r>
        <w:rPr>
          <w:rFonts w:ascii="Arial" w:hAnsi="Arial" w:cs="Arial" w:eastAsia="Arial" w:hint="default"/>
        </w:rPr>
        <w:t>19</w:t>
      </w:r>
      <w:r>
        <w:rPr/>
        <w:t>日在</w:t>
      </w:r>
      <w:r>
        <w:rPr>
          <w:spacing w:val="1"/>
        </w:rPr>
        <w:t> </w:t>
      </w:r>
      <w:r>
        <w:rPr/>
        <w:t>巨潮资讯网（</w:t>
      </w:r>
      <w:hyperlink r:id="rId29">
        <w:r>
          <w:rPr>
            <w:rFonts w:ascii="Arial" w:hAnsi="Arial" w:cs="Arial" w:eastAsia="Arial" w:hint="default"/>
          </w:rPr>
          <w:t>www.cninfo.com.cn</w:t>
        </w:r>
      </w:hyperlink>
      <w:r>
        <w:rPr/>
        <w:t>）进行披露。报告期内，公司严格按照上述有关规定执行，不存在被</w:t>
      </w:r>
    </w:p>
    <w:p>
      <w:pPr>
        <w:pStyle w:val="BodyText"/>
        <w:spacing w:line="240" w:lineRule="auto" w:before="28"/>
        <w:ind w:right="0"/>
        <w:jc w:val="left"/>
      </w:pPr>
      <w:r>
        <w:rPr/>
        <w:t>监管部门采取监管措施或行政处罚的情况，不存在董事、监事和高级管理人员违规买卖公司股票的情况。</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2"/>
        <w:spacing w:line="240" w:lineRule="auto"/>
        <w:ind w:right="0"/>
        <w:jc w:val="left"/>
        <w:rPr>
          <w:b w:val="0"/>
          <w:bCs w:val="0"/>
        </w:rPr>
      </w:pPr>
      <w:bookmarkStart w:name="9.1.10公司治理与《公司法》和中国证监会相关规定的要求不存在差异。" w:id="227"/>
      <w:bookmarkEnd w:id="227"/>
      <w:r>
        <w:rPr>
          <w:b w:val="0"/>
          <w:bCs w:val="0"/>
        </w:rPr>
      </w:r>
      <w:r>
        <w:rPr>
          <w:rFonts w:ascii="Trebuchet MS" w:hAnsi="Trebuchet MS" w:cs="Trebuchet MS" w:eastAsia="Trebuchet MS" w:hint="default"/>
          <w:w w:val="95"/>
        </w:rPr>
        <w:t>9.1.10    </w:t>
      </w:r>
      <w:r>
        <w:rPr>
          <w:rFonts w:ascii="Trebuchet MS" w:hAnsi="Trebuchet MS" w:cs="Trebuchet MS" w:eastAsia="Trebuchet MS" w:hint="default"/>
          <w:spacing w:val="27"/>
          <w:w w:val="95"/>
        </w:rPr>
        <w:t> </w:t>
      </w:r>
      <w:r>
        <w:rPr>
          <w:w w:val="95"/>
        </w:rPr>
        <w:t>公司治理与《公司法》和中国证监会相关规定的要求不存在差异。</w:t>
      </w:r>
      <w:r>
        <w:rPr>
          <w:b w:val="0"/>
          <w:bCs w:val="0"/>
          <w:w w:val="95"/>
        </w:rPr>
      </w:r>
    </w:p>
    <w:p>
      <w:pPr>
        <w:spacing w:line="240" w:lineRule="auto" w:before="2"/>
        <w:rPr>
          <w:rFonts w:ascii="Microsoft JhengHei" w:hAnsi="Microsoft JhengHei" w:cs="Microsoft JhengHei" w:eastAsia="Microsoft JhengHei" w:hint="default"/>
          <w:b/>
          <w:bCs/>
          <w:sz w:val="29"/>
          <w:szCs w:val="29"/>
        </w:rPr>
      </w:pPr>
    </w:p>
    <w:p>
      <w:pPr>
        <w:spacing w:line="357" w:lineRule="auto" w:before="0"/>
        <w:ind w:left="153" w:right="1103" w:firstLine="0"/>
        <w:jc w:val="left"/>
        <w:rPr>
          <w:rFonts w:ascii="Microsoft JhengHei" w:hAnsi="Microsoft JhengHei" w:cs="Microsoft JhengHei" w:eastAsia="Microsoft JhengHei" w:hint="default"/>
          <w:sz w:val="24"/>
          <w:szCs w:val="24"/>
        </w:rPr>
      </w:pPr>
      <w:bookmarkStart w:name="9.1.11 公司治理的实际状况与中国证监会发布的有关上市公司治理的规范性文件不" w:id="228"/>
      <w:bookmarkEnd w:id="228"/>
      <w:r>
        <w:rPr/>
      </w:r>
      <w:r>
        <w:rPr>
          <w:rFonts w:ascii="Trebuchet MS" w:hAnsi="Trebuchet MS" w:cs="Trebuchet MS" w:eastAsia="Trebuchet MS" w:hint="default"/>
          <w:b/>
          <w:bCs/>
          <w:sz w:val="24"/>
          <w:szCs w:val="24"/>
        </w:rPr>
        <w:t>9.1.11</w:t>
      </w:r>
      <w:r>
        <w:rPr>
          <w:rFonts w:ascii="Trebuchet MS" w:hAnsi="Trebuchet MS" w:cs="Trebuchet MS" w:eastAsia="Trebuchet MS" w:hint="default"/>
          <w:b/>
          <w:bCs/>
          <w:spacing w:val="-17"/>
          <w:sz w:val="24"/>
          <w:szCs w:val="24"/>
        </w:rPr>
        <w:t> </w:t>
      </w:r>
      <w:r>
        <w:rPr>
          <w:rFonts w:ascii="Microsoft JhengHei" w:hAnsi="Microsoft JhengHei" w:cs="Microsoft JhengHei" w:eastAsia="Microsoft JhengHei" w:hint="default"/>
          <w:b/>
          <w:bCs/>
          <w:spacing w:val="6"/>
          <w:sz w:val="24"/>
          <w:szCs w:val="24"/>
        </w:rPr>
        <w:t>公司治理的实际状况与中国证监会发布的有关上市公司治理的规范性文件不存在重 </w:t>
      </w:r>
      <w:r>
        <w:rPr>
          <w:rFonts w:ascii="Microsoft JhengHei" w:hAnsi="Microsoft JhengHei" w:cs="Microsoft JhengHei" w:eastAsia="Microsoft JhengHei" w:hint="default"/>
          <w:b/>
          <w:bCs/>
          <w:sz w:val="24"/>
          <w:szCs w:val="24"/>
        </w:rPr>
        <w:t>大差异。</w:t>
      </w:r>
      <w:r>
        <w:rPr>
          <w:rFonts w:ascii="Microsoft JhengHei" w:hAnsi="Microsoft JhengHei" w:cs="Microsoft JhengHei" w:eastAsia="Microsoft JhengHei" w:hint="default"/>
          <w:sz w:val="24"/>
          <w:szCs w:val="24"/>
        </w:rPr>
      </w:r>
    </w:p>
    <w:p>
      <w:pPr>
        <w:spacing w:line="240" w:lineRule="auto" w:before="3"/>
        <w:rPr>
          <w:rFonts w:ascii="Microsoft JhengHei" w:hAnsi="Microsoft JhengHei" w:cs="Microsoft JhengHei" w:eastAsia="Microsoft JhengHei" w:hint="default"/>
          <w:b/>
          <w:bCs/>
          <w:sz w:val="16"/>
          <w:szCs w:val="16"/>
        </w:rPr>
      </w:pPr>
    </w:p>
    <w:p>
      <w:pPr>
        <w:pStyle w:val="Heading1"/>
        <w:spacing w:line="288" w:lineRule="auto"/>
        <w:ind w:right="1127"/>
        <w:jc w:val="left"/>
        <w:rPr>
          <w:b w:val="0"/>
          <w:bCs w:val="0"/>
        </w:rPr>
      </w:pPr>
      <w:bookmarkStart w:name="9.2 公司相对于控股股东在业务、人员、资产、机构、财务等方面的独立情况" w:id="229"/>
      <w:bookmarkEnd w:id="229"/>
      <w:r>
        <w:rPr>
          <w:b w:val="0"/>
          <w:bCs w:val="0"/>
        </w:rPr>
      </w:r>
      <w:bookmarkStart w:name="_bookmark64" w:id="230"/>
      <w:bookmarkEnd w:id="230"/>
      <w:r>
        <w:rPr>
          <w:b w:val="0"/>
          <w:bCs w:val="0"/>
        </w:rPr>
      </w:r>
      <w:r>
        <w:rPr>
          <w:rFonts w:ascii="Trebuchet MS" w:hAnsi="Trebuchet MS" w:cs="Trebuchet MS" w:eastAsia="Trebuchet MS" w:hint="default"/>
        </w:rPr>
        <w:t>9.2</w:t>
      </w:r>
      <w:r>
        <w:rPr>
          <w:rFonts w:ascii="Trebuchet MS" w:hAnsi="Trebuchet MS" w:cs="Trebuchet MS" w:eastAsia="Trebuchet MS" w:hint="default"/>
          <w:spacing w:val="74"/>
        </w:rPr>
        <w:t> </w:t>
      </w:r>
      <w:r>
        <w:rPr/>
        <w:t>公司相对于控股股东在业务、人员、资产、机构、财务等方面的独立</w:t>
      </w:r>
      <w:r>
        <w:rPr>
          <w:spacing w:val="2"/>
        </w:rPr>
        <w:t> </w:t>
      </w:r>
      <w:r>
        <w:rPr/>
        <w:t>情况</w:t>
      </w:r>
      <w:r>
        <w:rPr>
          <w:b w:val="0"/>
          <w:bCs w:val="0"/>
        </w:rPr>
      </w:r>
    </w:p>
    <w:p>
      <w:pPr>
        <w:pStyle w:val="BodyText"/>
        <w:spacing w:line="408" w:lineRule="auto" w:before="114"/>
        <w:ind w:right="1131" w:firstLine="420"/>
        <w:jc w:val="both"/>
      </w:pPr>
      <w:r>
        <w:rPr>
          <w:spacing w:val="-1"/>
        </w:rPr>
        <w:t>报告期内，公司严格按照《公司法》和《公司章程》的有关规定规范运作，逐步健全了公司的法人治</w:t>
      </w:r>
      <w:r>
        <w:rPr/>
        <w:t> </w:t>
      </w:r>
      <w:r>
        <w:rPr>
          <w:spacing w:val="-1"/>
        </w:rPr>
        <w:t>理结构，在业务、资产、人员、机构、财务等方面做到了与控股股东分开，具有独立完整的业务及自主经</w:t>
      </w:r>
      <w:r>
        <w:rPr>
          <w:spacing w:val="-83"/>
        </w:rPr>
        <w:t> </w:t>
      </w:r>
      <w:r>
        <w:rPr>
          <w:spacing w:val="-83"/>
        </w:rPr>
      </w:r>
      <w:r>
        <w:rPr/>
        <w:t>营能力，具体如下：</w:t>
      </w:r>
    </w:p>
    <w:p>
      <w:pPr>
        <w:pStyle w:val="BodyText"/>
        <w:spacing w:line="388" w:lineRule="auto" w:before="46"/>
        <w:ind w:right="1141" w:firstLine="420"/>
        <w:jc w:val="both"/>
      </w:pPr>
      <w:r>
        <w:rPr>
          <w:rFonts w:ascii="Arial" w:hAnsi="Arial" w:cs="Arial" w:eastAsia="Arial" w:hint="default"/>
        </w:rPr>
        <w:t>1</w:t>
      </w:r>
      <w:r>
        <w:rPr/>
        <w:t>、业务独立方面：公司主要从事手机及数码电子产品销售渠道综合服务，具有完全独立的业务运作 系统，主营业务收入和业务利润完全不依赖于股东及其他关联方。</w:t>
      </w:r>
    </w:p>
    <w:p>
      <w:pPr>
        <w:pStyle w:val="BodyText"/>
        <w:spacing w:line="400" w:lineRule="auto" w:before="63"/>
        <w:ind w:right="1131" w:firstLine="420"/>
        <w:jc w:val="both"/>
      </w:pPr>
      <w:r>
        <w:rPr>
          <w:rFonts w:ascii="Arial" w:hAnsi="Arial" w:cs="Arial" w:eastAsia="Arial" w:hint="default"/>
        </w:rPr>
        <w:t>2</w:t>
      </w:r>
      <w:r>
        <w:rPr/>
        <w:t>、资产完整方面：公司由深圳市爱施德实业有限公司整体变更设立，变更时未进行任何业务和资产 </w:t>
      </w:r>
      <w:r>
        <w:rPr>
          <w:spacing w:val="-1"/>
        </w:rPr>
        <w:t>的剥离，深圳市爱施德实业有限公司的业务、资产、机构及相关债权、债务均已整体进入本公司。公司拥</w:t>
      </w:r>
      <w:r>
        <w:rPr>
          <w:spacing w:val="-83"/>
        </w:rPr>
        <w:t> </w:t>
      </w:r>
      <w:r>
        <w:rPr>
          <w:spacing w:val="-83"/>
        </w:rPr>
      </w:r>
      <w:r>
        <w:rPr>
          <w:spacing w:val="-1"/>
        </w:rPr>
        <w:t>有完整的销售系统、支持系统和配套设施；对经营相关资产均合法拥有所有权或使用权；具有独立的产品</w:t>
      </w:r>
      <w:r>
        <w:rPr>
          <w:spacing w:val="-83"/>
        </w:rPr>
        <w:t> </w:t>
      </w:r>
      <w:r>
        <w:rPr>
          <w:spacing w:val="-83"/>
        </w:rPr>
      </w:r>
      <w:r>
        <w:rPr>
          <w:spacing w:val="-1"/>
        </w:rPr>
        <w:t>采购和产品销售系统。公司与股东之间的资产产权界定清晰，生产经营场所独立，不存在依靠股东的经营</w:t>
      </w:r>
    </w:p>
    <w:p>
      <w:pPr>
        <w:spacing w:after="0" w:line="400" w:lineRule="auto"/>
        <w:jc w:val="both"/>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408" w:lineRule="auto" w:before="18"/>
        <w:ind w:left="213" w:right="419"/>
        <w:jc w:val="left"/>
      </w:pPr>
      <w:r>
        <w:rPr>
          <w:spacing w:val="-1"/>
        </w:rPr>
        <w:t>场所进行经营的情况。报告期内，公司没有以资产为各股东的债务提供担保，公司对所有资产拥有完全的</w:t>
      </w:r>
      <w:r>
        <w:rPr>
          <w:spacing w:val="-83"/>
        </w:rPr>
        <w:t> </w:t>
      </w:r>
      <w:r>
        <w:rPr>
          <w:spacing w:val="-83"/>
        </w:rPr>
      </w:r>
      <w:r>
        <w:rPr/>
        <w:t>控制权、支配权。</w:t>
      </w:r>
    </w:p>
    <w:p>
      <w:pPr>
        <w:pStyle w:val="BodyText"/>
        <w:spacing w:line="405" w:lineRule="auto" w:before="46"/>
        <w:ind w:left="213" w:right="1131" w:firstLine="420"/>
        <w:jc w:val="both"/>
      </w:pPr>
      <w:r>
        <w:rPr>
          <w:rFonts w:ascii="Arial" w:hAnsi="Arial" w:cs="Arial" w:eastAsia="Arial" w:hint="default"/>
        </w:rPr>
        <w:t>3</w:t>
      </w:r>
      <w:r>
        <w:rPr/>
        <w:t>、人员独立方面：公司董事、监事、及高级管理人员均依合法程序选举或聘任，不存在主要股东超 </w:t>
      </w:r>
      <w:r>
        <w:rPr>
          <w:spacing w:val="-1"/>
        </w:rPr>
        <w:t>越公司董事会和股东大会做出人事任免决定的情况。公司董事长、总裁、副总裁、财务负责人、董事会秘</w:t>
      </w:r>
      <w:r>
        <w:rPr>
          <w:spacing w:val="-83"/>
        </w:rPr>
        <w:t> </w:t>
      </w:r>
      <w:r>
        <w:rPr>
          <w:spacing w:val="-83"/>
        </w:rPr>
      </w:r>
      <w:r>
        <w:rPr>
          <w:spacing w:val="-1"/>
        </w:rPr>
        <w:t>书等高级管理人员均专职在本公司工作并领取报酬，未在股东单位及其下属企业担任任何行政职务，亦未</w:t>
      </w:r>
      <w:r>
        <w:rPr>
          <w:spacing w:val="-81"/>
        </w:rPr>
        <w:t> </w:t>
      </w:r>
      <w:r>
        <w:rPr>
          <w:spacing w:val="-81"/>
        </w:rPr>
      </w:r>
      <w:r>
        <w:rPr>
          <w:spacing w:val="-1"/>
        </w:rPr>
        <w:t>在与公司业务相同或相近的其他企业任职。公司已建立了独立的人事档案、人事聘用和任免制度以及独立</w:t>
      </w:r>
      <w:r>
        <w:rPr>
          <w:spacing w:val="-81"/>
        </w:rPr>
        <w:t> </w:t>
      </w:r>
      <w:r>
        <w:rPr>
          <w:spacing w:val="-81"/>
        </w:rPr>
      </w:r>
      <w:r>
        <w:rPr>
          <w:spacing w:val="-1"/>
        </w:rPr>
        <w:t>的工资薪酬管理制度，并与全体员工签订了劳动合同，由公司人力资源中心独立负责公司员工的聘任、考</w:t>
      </w:r>
      <w:r>
        <w:rPr>
          <w:spacing w:val="-83"/>
        </w:rPr>
        <w:t> </w:t>
      </w:r>
      <w:r>
        <w:rPr>
          <w:spacing w:val="-83"/>
        </w:rPr>
      </w:r>
      <w:r>
        <w:rPr/>
        <w:t>核和奖惩；公司在员工的社会保障、工资薪酬等方面均与股东单位分账独立。</w:t>
      </w:r>
    </w:p>
    <w:p>
      <w:pPr>
        <w:pStyle w:val="BodyText"/>
        <w:spacing w:line="400" w:lineRule="auto" w:before="48"/>
        <w:ind w:left="213" w:right="1130" w:firstLine="420"/>
        <w:jc w:val="both"/>
      </w:pPr>
      <w:r>
        <w:rPr>
          <w:rFonts w:ascii="Arial" w:hAnsi="Arial" w:cs="Arial" w:eastAsia="Arial" w:hint="default"/>
        </w:rPr>
        <w:t>4</w:t>
      </w:r>
      <w:r>
        <w:rPr/>
        <w:t>、财务独立方面：公司已按照《企业会计准则》的要求建立了一套独立、完整、规范的财务会计核 </w:t>
      </w:r>
      <w:r>
        <w:rPr>
          <w:spacing w:val="-5"/>
        </w:rPr>
        <w:t>算体系和财务管理制度，并建立了相应的内部控制制度，独立做出财务决策。公司设立了独立的财务部门，</w:t>
      </w:r>
      <w:r>
        <w:rPr>
          <w:spacing w:val="-101"/>
        </w:rPr>
        <w:t> </w:t>
      </w:r>
      <w:r>
        <w:rPr>
          <w:spacing w:val="-101"/>
        </w:rPr>
      </w:r>
      <w:r>
        <w:rPr>
          <w:spacing w:val="-1"/>
        </w:rPr>
        <w:t>配备了专职财务人员；公司在银行单独开立账户，拥有独立的银行账号；公司作为独立的纳税人，依法独</w:t>
      </w:r>
      <w:r>
        <w:rPr>
          <w:spacing w:val="-86"/>
        </w:rPr>
        <w:t> </w:t>
      </w:r>
      <w:r>
        <w:rPr>
          <w:spacing w:val="-86"/>
        </w:rPr>
      </w:r>
      <w:r>
        <w:rPr/>
        <w:t>立纳税。</w:t>
      </w:r>
    </w:p>
    <w:p>
      <w:pPr>
        <w:pStyle w:val="BodyText"/>
        <w:spacing w:line="388" w:lineRule="auto" w:before="52"/>
        <w:ind w:left="214" w:right="1133" w:firstLine="420"/>
        <w:jc w:val="both"/>
      </w:pPr>
      <w:r>
        <w:rPr>
          <w:rFonts w:ascii="Arial" w:hAnsi="Arial" w:cs="Arial" w:eastAsia="Arial" w:hint="default"/>
        </w:rPr>
        <w:t>5</w:t>
      </w:r>
      <w:r>
        <w:rPr/>
        <w:t>、机构独立方面：公司设有股东大会、董事会、监事会以及公司各级管理部门等机构，独立行使经 </w:t>
      </w:r>
      <w:r>
        <w:rPr>
          <w:spacing w:val="-1"/>
        </w:rPr>
        <w:t>营管理职权。公司建立了完善的组织结构，拥有完整的采购、销售系统及支持部门，各部门已构成了一个</w:t>
      </w:r>
    </w:p>
    <w:p>
      <w:pPr>
        <w:pStyle w:val="BodyText"/>
        <w:spacing w:line="240" w:lineRule="auto" w:before="63"/>
        <w:ind w:left="214" w:right="419"/>
        <w:jc w:val="left"/>
      </w:pPr>
      <w:r>
        <w:rPr/>
        <w:t>有机整体。报告期内，公司与股东不存在机构混同的情形，未发生股东干预本公司正常经营活动的现象。</w:t>
      </w:r>
    </w:p>
    <w:p>
      <w:pPr>
        <w:pStyle w:val="Heading1"/>
        <w:spacing w:line="240" w:lineRule="auto" w:before="112"/>
        <w:ind w:left="214" w:right="1513"/>
        <w:jc w:val="left"/>
        <w:rPr>
          <w:b w:val="0"/>
          <w:bCs w:val="0"/>
        </w:rPr>
      </w:pPr>
      <w:bookmarkStart w:name="9.3 同业竞争情况" w:id="231"/>
      <w:bookmarkEnd w:id="231"/>
      <w:r>
        <w:rPr>
          <w:b w:val="0"/>
          <w:bCs w:val="0"/>
        </w:rPr>
      </w:r>
      <w:bookmarkStart w:name="_bookmark65" w:id="232"/>
      <w:bookmarkEnd w:id="232"/>
      <w:r>
        <w:rPr>
          <w:b w:val="0"/>
          <w:bCs w:val="0"/>
        </w:rPr>
      </w:r>
      <w:r>
        <w:rPr>
          <w:rFonts w:ascii="Trebuchet MS" w:hAnsi="Trebuchet MS" w:cs="Trebuchet MS" w:eastAsia="Trebuchet MS" w:hint="default"/>
        </w:rPr>
        <w:t>9.3</w:t>
      </w:r>
      <w:r>
        <w:rPr>
          <w:rFonts w:ascii="Trebuchet MS" w:hAnsi="Trebuchet MS" w:cs="Trebuchet MS" w:eastAsia="Trebuchet MS" w:hint="default"/>
          <w:spacing w:val="14"/>
        </w:rPr>
        <w:t> </w:t>
      </w:r>
      <w:r>
        <w:rPr/>
        <w:t>同业竞争情况</w:t>
      </w:r>
      <w:r>
        <w:rPr>
          <w:b w:val="0"/>
          <w:bCs w:val="0"/>
        </w:rPr>
      </w:r>
    </w:p>
    <w:p>
      <w:pPr>
        <w:spacing w:before="181"/>
        <w:ind w:left="214" w:right="151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pStyle w:val="Heading1"/>
        <w:spacing w:line="240" w:lineRule="auto" w:before="76"/>
        <w:ind w:left="214" w:right="1513"/>
        <w:jc w:val="left"/>
        <w:rPr>
          <w:b w:val="0"/>
          <w:bCs w:val="0"/>
        </w:rPr>
      </w:pPr>
      <w:bookmarkStart w:name="9.4 报告期内召开的年度股东大会和临时股东大会的有关情况" w:id="233"/>
      <w:bookmarkEnd w:id="233"/>
      <w:r>
        <w:rPr>
          <w:b w:val="0"/>
          <w:bCs w:val="0"/>
        </w:rPr>
      </w:r>
      <w:bookmarkStart w:name="_bookmark66" w:id="234"/>
      <w:bookmarkEnd w:id="234"/>
      <w:r>
        <w:rPr>
          <w:b w:val="0"/>
          <w:bCs w:val="0"/>
        </w:rPr>
      </w:r>
      <w:r>
        <w:rPr>
          <w:rFonts w:ascii="Trebuchet MS" w:hAnsi="Trebuchet MS" w:cs="Trebuchet MS" w:eastAsia="Trebuchet MS" w:hint="default"/>
        </w:rPr>
        <w:t>9.4</w:t>
      </w:r>
      <w:r>
        <w:rPr>
          <w:rFonts w:ascii="Trebuchet MS" w:hAnsi="Trebuchet MS" w:cs="Trebuchet MS" w:eastAsia="Trebuchet MS" w:hint="default"/>
          <w:spacing w:val="14"/>
        </w:rPr>
        <w:t> </w:t>
      </w:r>
      <w:r>
        <w:rPr/>
        <w:t>报告期内召开的年度股东大会和临时股东大会的有关情况</w:t>
      </w:r>
      <w:r>
        <w:rPr>
          <w:b w:val="0"/>
          <w:bCs w:val="0"/>
        </w:rPr>
      </w:r>
    </w:p>
    <w:p>
      <w:pPr>
        <w:spacing w:line="240" w:lineRule="auto" w:before="1"/>
        <w:rPr>
          <w:rFonts w:ascii="Microsoft JhengHei" w:hAnsi="Microsoft JhengHei" w:cs="Microsoft JhengHei" w:eastAsia="Microsoft JhengHei" w:hint="default"/>
          <w:b/>
          <w:bCs/>
          <w:sz w:val="27"/>
          <w:szCs w:val="27"/>
        </w:rPr>
      </w:pPr>
    </w:p>
    <w:p>
      <w:pPr>
        <w:pStyle w:val="Heading2"/>
        <w:spacing w:line="240" w:lineRule="auto"/>
        <w:ind w:left="214" w:right="1513"/>
        <w:jc w:val="left"/>
        <w:rPr>
          <w:b w:val="0"/>
          <w:bCs w:val="0"/>
        </w:rPr>
      </w:pPr>
      <w:bookmarkStart w:name="9.4.1 本报告期股东大会情况" w:id="235"/>
      <w:bookmarkEnd w:id="235"/>
      <w:r>
        <w:rPr>
          <w:b w:val="0"/>
          <w:bCs w:val="0"/>
        </w:rPr>
      </w:r>
      <w:r>
        <w:rPr>
          <w:rFonts w:ascii="Trebuchet MS" w:hAnsi="Trebuchet MS" w:cs="Trebuchet MS" w:eastAsia="Trebuchet MS" w:hint="default"/>
        </w:rPr>
        <w:t>9.4.1</w:t>
      </w:r>
      <w:r>
        <w:rPr>
          <w:rFonts w:ascii="Trebuchet MS" w:hAnsi="Trebuchet MS" w:cs="Trebuchet MS" w:eastAsia="Trebuchet MS" w:hint="default"/>
          <w:spacing w:val="-18"/>
        </w:rPr>
        <w:t> </w:t>
      </w:r>
      <w:r>
        <w:rPr/>
        <w:t>本报告期股东大会情况</w:t>
      </w:r>
      <w:r>
        <w:rPr>
          <w:b w:val="0"/>
          <w:bCs w:val="0"/>
        </w:rPr>
      </w:r>
    </w:p>
    <w:p>
      <w:pPr>
        <w:spacing w:line="240" w:lineRule="auto" w:before="2"/>
        <w:rPr>
          <w:rFonts w:ascii="Microsoft JhengHei" w:hAnsi="Microsoft JhengHei" w:cs="Microsoft JhengHei" w:eastAsia="Microsoft JhengHei" w:hint="default"/>
          <w:b/>
          <w:bCs/>
          <w:sz w:val="27"/>
          <w:szCs w:val="27"/>
        </w:rPr>
      </w:pPr>
    </w:p>
    <w:tbl>
      <w:tblPr>
        <w:tblW w:w="0" w:type="auto"/>
        <w:jc w:val="left"/>
        <w:tblInd w:w="101" w:type="dxa"/>
        <w:tblLayout w:type="fixed"/>
        <w:tblCellMar>
          <w:top w:w="0" w:type="dxa"/>
          <w:left w:w="0" w:type="dxa"/>
          <w:bottom w:w="0" w:type="dxa"/>
          <w:right w:w="0" w:type="dxa"/>
        </w:tblCellMar>
        <w:tblLook w:val="01E0"/>
      </w:tblPr>
      <w:tblGrid>
        <w:gridCol w:w="1384"/>
        <w:gridCol w:w="1418"/>
        <w:gridCol w:w="992"/>
        <w:gridCol w:w="1559"/>
        <w:gridCol w:w="1417"/>
        <w:gridCol w:w="2796"/>
      </w:tblGrid>
      <w:tr>
        <w:trPr>
          <w:trHeight w:val="709" w:hRule="exact"/>
        </w:trPr>
        <w:tc>
          <w:tcPr>
            <w:tcW w:w="138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418"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99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319" w:lineRule="auto" w:before="46"/>
              <w:ind w:left="225" w:right="134" w:hanging="90"/>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559"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417"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6"/>
              <w:ind w:left="34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796"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9" w:hRule="exact"/>
        </w:trPr>
        <w:tc>
          <w:tcPr>
            <w:tcW w:w="138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302" w:lineRule="auto" w:before="51"/>
              <w:ind w:left="108" w:right="111"/>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年第一次 临时股东大会</w:t>
            </w:r>
          </w:p>
        </w:tc>
        <w:tc>
          <w:tcPr>
            <w:tcW w:w="1418" w:type="dxa"/>
            <w:tcBorders>
              <w:top w:val="single" w:sz="4" w:space="0" w:color="2D74B5"/>
              <w:left w:val="nil" w:sz="6" w:space="0" w:color="auto"/>
              <w:bottom w:val="single" w:sz="4" w:space="0" w:color="2D74B5"/>
              <w:right w:val="nil" w:sz="6" w:space="0" w:color="auto"/>
            </w:tcBorders>
          </w:tcPr>
          <w:p>
            <w:pPr>
              <w:pStyle w:val="TableParagraph"/>
              <w:spacing w:line="240" w:lineRule="auto" w:before="51"/>
              <w:ind w:right="12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99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92"/>
              <w:ind w:right="105"/>
              <w:jc w:val="right"/>
              <w:rPr>
                <w:rFonts w:ascii="Arial" w:hAnsi="Arial" w:cs="Arial" w:eastAsia="Arial" w:hint="default"/>
                <w:sz w:val="18"/>
                <w:szCs w:val="18"/>
              </w:rPr>
            </w:pPr>
            <w:r>
              <w:rPr>
                <w:rFonts w:ascii="Arial"/>
                <w:w w:val="95"/>
                <w:sz w:val="18"/>
              </w:rPr>
              <w:t>0.01%</w:t>
            </w:r>
            <w:r>
              <w:rPr>
                <w:rFonts w:ascii="Arial"/>
                <w:sz w:val="18"/>
              </w:rPr>
            </w:r>
          </w:p>
        </w:tc>
        <w:tc>
          <w:tcPr>
            <w:tcW w:w="1559" w:type="dxa"/>
            <w:tcBorders>
              <w:top w:val="single" w:sz="4" w:space="0" w:color="2D74B5"/>
              <w:left w:val="nil" w:sz="6" w:space="0" w:color="auto"/>
              <w:bottom w:val="single" w:sz="4" w:space="0" w:color="2D74B5"/>
              <w:right w:val="nil" w:sz="6" w:space="0" w:color="auto"/>
            </w:tcBorders>
          </w:tcPr>
          <w:p>
            <w:pPr>
              <w:pStyle w:val="TableParagraph"/>
              <w:spacing w:line="240" w:lineRule="auto" w:before="51"/>
              <w:ind w:left="108" w:right="0"/>
              <w:jc w:val="left"/>
              <w:rPr>
                <w:rFonts w:ascii="Arial" w:hAnsi="Arial" w:cs="Arial" w:eastAsia="Arial"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03</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20</w:t>
            </w:r>
          </w:p>
          <w:p>
            <w:pPr>
              <w:pStyle w:val="TableParagraph"/>
              <w:spacing w:line="240" w:lineRule="auto" w:before="65"/>
              <w:ind w:left="10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7"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51"/>
              <w:ind w:left="107"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03</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5"/>
              <w:ind w:left="107" w:right="0"/>
              <w:jc w:val="left"/>
              <w:rPr>
                <w:rFonts w:ascii="宋体" w:hAnsi="宋体" w:cs="宋体" w:eastAsia="宋体" w:hint="default"/>
                <w:sz w:val="18"/>
                <w:szCs w:val="18"/>
              </w:rPr>
            </w:pPr>
            <w:r>
              <w:rPr>
                <w:rFonts w:ascii="Arial" w:hAnsi="Arial" w:cs="Arial" w:eastAsia="Arial" w:hint="default"/>
                <w:sz w:val="18"/>
                <w:szCs w:val="18"/>
              </w:rPr>
              <w:t>21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796" w:type="dxa"/>
            <w:tcBorders>
              <w:top w:val="single" w:sz="4" w:space="0" w:color="2D74B5"/>
              <w:left w:val="nil" w:sz="6" w:space="0" w:color="auto"/>
              <w:bottom w:val="single" w:sz="4" w:space="0" w:color="2D74B5"/>
              <w:right w:val="nil" w:sz="6" w:space="0" w:color="auto"/>
            </w:tcBorders>
          </w:tcPr>
          <w:p>
            <w:pPr>
              <w:pStyle w:val="TableParagraph"/>
              <w:spacing w:line="319" w:lineRule="auto" w:before="51"/>
              <w:ind w:left="108" w:right="17"/>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《证券时报》和</w:t>
            </w:r>
            <w:r>
              <w:rPr>
                <w:rFonts w:ascii="宋体" w:hAnsi="宋体" w:cs="宋体" w:eastAsia="宋体" w:hint="default"/>
                <w:sz w:val="18"/>
                <w:szCs w:val="18"/>
              </w:rPr>
              <w:t> 巨潮资讯</w:t>
            </w:r>
            <w:r>
              <w:rPr>
                <w:rFonts w:ascii="宋体" w:hAnsi="宋体" w:cs="宋体" w:eastAsia="宋体" w:hint="default"/>
                <w:spacing w:val="-89"/>
                <w:sz w:val="18"/>
                <w:szCs w:val="18"/>
              </w:rPr>
              <w:t>网</w:t>
            </w:r>
            <w:r>
              <w:rPr>
                <w:rFonts w:ascii="宋体" w:hAnsi="宋体" w:cs="宋体" w:eastAsia="宋体" w:hint="default"/>
                <w:sz w:val="18"/>
                <w:szCs w:val="18"/>
              </w:rPr>
              <w:t>（</w:t>
            </w:r>
            <w:hyperlink r:id="rId35">
              <w:r>
                <w:rPr>
                  <w:rFonts w:ascii="Arial" w:hAnsi="Arial" w:cs="Arial" w:eastAsia="Arial" w:hint="default"/>
                  <w:spacing w:val="-1"/>
                  <w:w w:val="115"/>
                  <w:sz w:val="18"/>
                  <w:szCs w:val="18"/>
                </w:rPr>
                <w:t>w</w:t>
              </w:r>
              <w:r>
                <w:rPr>
                  <w:rFonts w:ascii="Arial" w:hAnsi="Arial" w:cs="Arial" w:eastAsia="Arial" w:hint="default"/>
                  <w:w w:val="115"/>
                  <w:sz w:val="18"/>
                  <w:szCs w:val="18"/>
                </w:rPr>
                <w:t>ww</w:t>
              </w:r>
              <w:r>
                <w:rPr>
                  <w:rFonts w:ascii="Arial" w:hAnsi="Arial" w:cs="Arial" w:eastAsia="Arial" w:hint="default"/>
                  <w:w w:val="110"/>
                  <w:sz w:val="18"/>
                  <w:szCs w:val="18"/>
                </w:rPr>
                <w:t>.cni</w:t>
              </w:r>
              <w:r>
                <w:rPr>
                  <w:rFonts w:ascii="Arial" w:hAnsi="Arial" w:cs="Arial" w:eastAsia="Arial" w:hint="default"/>
                  <w:spacing w:val="-1"/>
                  <w:w w:val="110"/>
                  <w:sz w:val="18"/>
                  <w:szCs w:val="18"/>
                </w:rPr>
                <w:t>n</w:t>
              </w:r>
              <w:r>
                <w:rPr>
                  <w:rFonts w:ascii="Arial" w:hAnsi="Arial" w:cs="Arial" w:eastAsia="Arial" w:hint="default"/>
                  <w:w w:val="116"/>
                  <w:sz w:val="18"/>
                  <w:szCs w:val="18"/>
                </w:rPr>
                <w:t>fo.com</w:t>
              </w:r>
            </w:hyperlink>
            <w:r>
              <w:rPr>
                <w:rFonts w:ascii="宋体" w:hAnsi="宋体" w:cs="宋体" w:eastAsia="宋体" w:hint="default"/>
                <w:sz w:val="18"/>
                <w:szCs w:val="18"/>
              </w:rPr>
              <w:t>）</w:t>
            </w:r>
          </w:p>
        </w:tc>
      </w:tr>
      <w:tr>
        <w:trPr>
          <w:trHeight w:val="714" w:hRule="exact"/>
        </w:trPr>
        <w:tc>
          <w:tcPr>
            <w:tcW w:w="138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302" w:lineRule="auto" w:before="46"/>
              <w:ind w:left="108" w:right="111"/>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1"/>
                <w:sz w:val="18"/>
                <w:szCs w:val="18"/>
              </w:rPr>
              <w:t> </w:t>
            </w:r>
            <w:r>
              <w:rPr>
                <w:rFonts w:ascii="宋体" w:hAnsi="宋体" w:cs="宋体" w:eastAsia="宋体" w:hint="default"/>
                <w:sz w:val="18"/>
                <w:szCs w:val="18"/>
              </w:rPr>
              <w:t>年年度股 东大会</w:t>
            </w:r>
          </w:p>
        </w:tc>
        <w:tc>
          <w:tcPr>
            <w:tcW w:w="1418" w:type="dxa"/>
            <w:tcBorders>
              <w:top w:val="single" w:sz="4" w:space="0" w:color="2D74B5"/>
              <w:left w:val="nil" w:sz="6" w:space="0" w:color="auto"/>
              <w:bottom w:val="single" w:sz="4" w:space="0" w:color="2D74B5"/>
              <w:right w:val="nil" w:sz="6" w:space="0" w:color="auto"/>
            </w:tcBorders>
          </w:tcPr>
          <w:p>
            <w:pPr>
              <w:pStyle w:val="TableParagraph"/>
              <w:spacing w:line="240" w:lineRule="auto" w:before="46"/>
              <w:ind w:right="12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99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8"/>
              <w:ind w:right="105"/>
              <w:jc w:val="right"/>
              <w:rPr>
                <w:rFonts w:ascii="Arial" w:hAnsi="Arial" w:cs="Arial" w:eastAsia="Arial" w:hint="default"/>
                <w:sz w:val="18"/>
                <w:szCs w:val="18"/>
              </w:rPr>
            </w:pPr>
            <w:r>
              <w:rPr>
                <w:rFonts w:ascii="Arial"/>
                <w:w w:val="95"/>
                <w:sz w:val="18"/>
              </w:rPr>
              <w:t>0.04%</w:t>
            </w:r>
            <w:r>
              <w:rPr>
                <w:rFonts w:ascii="Arial"/>
                <w:sz w:val="18"/>
              </w:rPr>
            </w:r>
          </w:p>
        </w:tc>
        <w:tc>
          <w:tcPr>
            <w:tcW w:w="1559" w:type="dxa"/>
            <w:tcBorders>
              <w:top w:val="single" w:sz="4" w:space="0" w:color="2D74B5"/>
              <w:left w:val="nil" w:sz="6" w:space="0" w:color="auto"/>
              <w:bottom w:val="single" w:sz="4" w:space="0" w:color="2D74B5"/>
              <w:right w:val="nil" w:sz="6" w:space="0" w:color="auto"/>
            </w:tcBorders>
          </w:tcPr>
          <w:p>
            <w:pPr>
              <w:pStyle w:val="TableParagraph"/>
              <w:spacing w:line="240" w:lineRule="auto" w:before="46"/>
              <w:ind w:left="108" w:right="0"/>
              <w:jc w:val="left"/>
              <w:rPr>
                <w:rFonts w:ascii="Arial" w:hAnsi="Arial" w:cs="Arial" w:eastAsia="Arial"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05</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19</w:t>
            </w:r>
          </w:p>
          <w:p>
            <w:pPr>
              <w:pStyle w:val="TableParagraph"/>
              <w:spacing w:line="240" w:lineRule="auto" w:before="65"/>
              <w:ind w:left="10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7"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6"/>
              <w:ind w:left="107"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05</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5"/>
              <w:ind w:left="107" w:right="0"/>
              <w:jc w:val="left"/>
              <w:rPr>
                <w:rFonts w:ascii="宋体" w:hAnsi="宋体" w:cs="宋体" w:eastAsia="宋体" w:hint="default"/>
                <w:sz w:val="18"/>
                <w:szCs w:val="18"/>
              </w:rPr>
            </w:pPr>
            <w:r>
              <w:rPr>
                <w:rFonts w:ascii="Arial" w:hAnsi="Arial" w:cs="Arial" w:eastAsia="Arial" w:hint="default"/>
                <w:sz w:val="18"/>
                <w:szCs w:val="18"/>
              </w:rPr>
              <w:t>20</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796" w:type="dxa"/>
            <w:tcBorders>
              <w:top w:val="single" w:sz="4" w:space="0" w:color="2D74B5"/>
              <w:left w:val="nil" w:sz="6" w:space="0" w:color="auto"/>
              <w:bottom w:val="single" w:sz="4" w:space="0" w:color="2D74B5"/>
              <w:right w:val="nil" w:sz="6" w:space="0" w:color="auto"/>
            </w:tcBorders>
          </w:tcPr>
          <w:p>
            <w:pPr>
              <w:pStyle w:val="TableParagraph"/>
              <w:spacing w:line="319" w:lineRule="auto" w:before="46"/>
              <w:ind w:left="108" w:right="17"/>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《证券时报》和</w:t>
            </w:r>
            <w:r>
              <w:rPr>
                <w:rFonts w:ascii="宋体" w:hAnsi="宋体" w:cs="宋体" w:eastAsia="宋体" w:hint="default"/>
                <w:sz w:val="18"/>
                <w:szCs w:val="18"/>
              </w:rPr>
              <w:t> 巨潮资讯</w:t>
            </w:r>
            <w:r>
              <w:rPr>
                <w:rFonts w:ascii="宋体" w:hAnsi="宋体" w:cs="宋体" w:eastAsia="宋体" w:hint="default"/>
                <w:spacing w:val="-89"/>
                <w:sz w:val="18"/>
                <w:szCs w:val="18"/>
              </w:rPr>
              <w:t>网</w:t>
            </w:r>
            <w:r>
              <w:rPr>
                <w:rFonts w:ascii="宋体" w:hAnsi="宋体" w:cs="宋体" w:eastAsia="宋体" w:hint="default"/>
                <w:sz w:val="18"/>
                <w:szCs w:val="18"/>
              </w:rPr>
              <w:t>（</w:t>
            </w:r>
            <w:hyperlink r:id="rId35">
              <w:r>
                <w:rPr>
                  <w:rFonts w:ascii="Arial" w:hAnsi="Arial" w:cs="Arial" w:eastAsia="Arial" w:hint="default"/>
                  <w:spacing w:val="-1"/>
                  <w:w w:val="115"/>
                  <w:sz w:val="18"/>
                  <w:szCs w:val="18"/>
                </w:rPr>
                <w:t>w</w:t>
              </w:r>
              <w:r>
                <w:rPr>
                  <w:rFonts w:ascii="Arial" w:hAnsi="Arial" w:cs="Arial" w:eastAsia="Arial" w:hint="default"/>
                  <w:w w:val="115"/>
                  <w:sz w:val="18"/>
                  <w:szCs w:val="18"/>
                </w:rPr>
                <w:t>ww</w:t>
              </w:r>
              <w:r>
                <w:rPr>
                  <w:rFonts w:ascii="Arial" w:hAnsi="Arial" w:cs="Arial" w:eastAsia="Arial" w:hint="default"/>
                  <w:w w:val="110"/>
                  <w:sz w:val="18"/>
                  <w:szCs w:val="18"/>
                </w:rPr>
                <w:t>.cni</w:t>
              </w:r>
              <w:r>
                <w:rPr>
                  <w:rFonts w:ascii="Arial" w:hAnsi="Arial" w:cs="Arial" w:eastAsia="Arial" w:hint="default"/>
                  <w:spacing w:val="-1"/>
                  <w:w w:val="110"/>
                  <w:sz w:val="18"/>
                  <w:szCs w:val="18"/>
                </w:rPr>
                <w:t>n</w:t>
              </w:r>
              <w:r>
                <w:rPr>
                  <w:rFonts w:ascii="Arial" w:hAnsi="Arial" w:cs="Arial" w:eastAsia="Arial" w:hint="default"/>
                  <w:w w:val="116"/>
                  <w:sz w:val="18"/>
                  <w:szCs w:val="18"/>
                </w:rPr>
                <w:t>fo.com</w:t>
              </w:r>
            </w:hyperlink>
            <w:r>
              <w:rPr>
                <w:rFonts w:ascii="宋体" w:hAnsi="宋体" w:cs="宋体" w:eastAsia="宋体" w:hint="default"/>
                <w:sz w:val="18"/>
                <w:szCs w:val="18"/>
              </w:rPr>
              <w:t>）</w:t>
            </w:r>
          </w:p>
        </w:tc>
      </w:tr>
      <w:tr>
        <w:trPr>
          <w:trHeight w:val="714" w:hRule="exact"/>
        </w:trPr>
        <w:tc>
          <w:tcPr>
            <w:tcW w:w="138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302" w:lineRule="auto" w:before="46"/>
              <w:ind w:left="108" w:right="111"/>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年第二次 临时股东大会</w:t>
            </w:r>
          </w:p>
        </w:tc>
        <w:tc>
          <w:tcPr>
            <w:tcW w:w="1418" w:type="dxa"/>
            <w:tcBorders>
              <w:top w:val="single" w:sz="4" w:space="0" w:color="2D74B5"/>
              <w:left w:val="nil" w:sz="6" w:space="0" w:color="auto"/>
              <w:bottom w:val="single" w:sz="4" w:space="0" w:color="2D74B5"/>
              <w:right w:val="nil" w:sz="6" w:space="0" w:color="auto"/>
            </w:tcBorders>
          </w:tcPr>
          <w:p>
            <w:pPr>
              <w:pStyle w:val="TableParagraph"/>
              <w:spacing w:line="240" w:lineRule="auto" w:before="46"/>
              <w:ind w:right="12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99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8"/>
              <w:ind w:right="105"/>
              <w:jc w:val="right"/>
              <w:rPr>
                <w:rFonts w:ascii="Arial" w:hAnsi="Arial" w:cs="Arial" w:eastAsia="Arial" w:hint="default"/>
                <w:sz w:val="18"/>
                <w:szCs w:val="18"/>
              </w:rPr>
            </w:pPr>
            <w:r>
              <w:rPr>
                <w:rFonts w:ascii="Arial"/>
                <w:w w:val="95"/>
                <w:sz w:val="18"/>
              </w:rPr>
              <w:t>0.06%</w:t>
            </w:r>
            <w:r>
              <w:rPr>
                <w:rFonts w:ascii="Arial"/>
                <w:sz w:val="18"/>
              </w:rPr>
            </w:r>
          </w:p>
        </w:tc>
        <w:tc>
          <w:tcPr>
            <w:tcW w:w="1559" w:type="dxa"/>
            <w:tcBorders>
              <w:top w:val="single" w:sz="4" w:space="0" w:color="2D74B5"/>
              <w:left w:val="nil" w:sz="6" w:space="0" w:color="auto"/>
              <w:bottom w:val="single" w:sz="4" w:space="0" w:color="2D74B5"/>
              <w:right w:val="nil" w:sz="6" w:space="0" w:color="auto"/>
            </w:tcBorders>
          </w:tcPr>
          <w:p>
            <w:pPr>
              <w:pStyle w:val="TableParagraph"/>
              <w:spacing w:line="240" w:lineRule="auto" w:before="46"/>
              <w:ind w:left="108" w:right="0"/>
              <w:jc w:val="left"/>
              <w:rPr>
                <w:rFonts w:ascii="Arial" w:hAnsi="Arial" w:cs="Arial" w:eastAsia="Arial"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05</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27</w:t>
            </w:r>
          </w:p>
          <w:p>
            <w:pPr>
              <w:pStyle w:val="TableParagraph"/>
              <w:spacing w:line="240" w:lineRule="auto" w:before="65"/>
              <w:ind w:left="10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7"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6"/>
              <w:ind w:left="107"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05</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5"/>
              <w:ind w:left="107" w:right="0"/>
              <w:jc w:val="left"/>
              <w:rPr>
                <w:rFonts w:ascii="宋体" w:hAnsi="宋体" w:cs="宋体" w:eastAsia="宋体" w:hint="default"/>
                <w:sz w:val="18"/>
                <w:szCs w:val="18"/>
              </w:rPr>
            </w:pPr>
            <w:r>
              <w:rPr>
                <w:rFonts w:ascii="Arial" w:hAnsi="Arial" w:cs="Arial" w:eastAsia="Arial" w:hint="default"/>
                <w:sz w:val="18"/>
                <w:szCs w:val="18"/>
              </w:rPr>
              <w:t>28</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796" w:type="dxa"/>
            <w:tcBorders>
              <w:top w:val="single" w:sz="4" w:space="0" w:color="2D74B5"/>
              <w:left w:val="nil" w:sz="6" w:space="0" w:color="auto"/>
              <w:bottom w:val="single" w:sz="4" w:space="0" w:color="2D74B5"/>
              <w:right w:val="nil" w:sz="6" w:space="0" w:color="auto"/>
            </w:tcBorders>
          </w:tcPr>
          <w:p>
            <w:pPr>
              <w:pStyle w:val="TableParagraph"/>
              <w:spacing w:line="319" w:lineRule="auto" w:before="46"/>
              <w:ind w:left="108" w:right="17"/>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《证券时报》和</w:t>
            </w:r>
            <w:r>
              <w:rPr>
                <w:rFonts w:ascii="宋体" w:hAnsi="宋体" w:cs="宋体" w:eastAsia="宋体" w:hint="default"/>
                <w:sz w:val="18"/>
                <w:szCs w:val="18"/>
              </w:rPr>
              <w:t> 巨潮资讯</w:t>
            </w:r>
            <w:r>
              <w:rPr>
                <w:rFonts w:ascii="宋体" w:hAnsi="宋体" w:cs="宋体" w:eastAsia="宋体" w:hint="default"/>
                <w:spacing w:val="-89"/>
                <w:sz w:val="18"/>
                <w:szCs w:val="18"/>
              </w:rPr>
              <w:t>网</w:t>
            </w:r>
            <w:r>
              <w:rPr>
                <w:rFonts w:ascii="宋体" w:hAnsi="宋体" w:cs="宋体" w:eastAsia="宋体" w:hint="default"/>
                <w:sz w:val="18"/>
                <w:szCs w:val="18"/>
              </w:rPr>
              <w:t>（</w:t>
            </w:r>
            <w:hyperlink r:id="rId35">
              <w:r>
                <w:rPr>
                  <w:rFonts w:ascii="Arial" w:hAnsi="Arial" w:cs="Arial" w:eastAsia="Arial" w:hint="default"/>
                  <w:spacing w:val="-1"/>
                  <w:w w:val="115"/>
                  <w:sz w:val="18"/>
                  <w:szCs w:val="18"/>
                </w:rPr>
                <w:t>w</w:t>
              </w:r>
              <w:r>
                <w:rPr>
                  <w:rFonts w:ascii="Arial" w:hAnsi="Arial" w:cs="Arial" w:eastAsia="Arial" w:hint="default"/>
                  <w:w w:val="115"/>
                  <w:sz w:val="18"/>
                  <w:szCs w:val="18"/>
                </w:rPr>
                <w:t>ww</w:t>
              </w:r>
              <w:r>
                <w:rPr>
                  <w:rFonts w:ascii="Arial" w:hAnsi="Arial" w:cs="Arial" w:eastAsia="Arial" w:hint="default"/>
                  <w:w w:val="110"/>
                  <w:sz w:val="18"/>
                  <w:szCs w:val="18"/>
                </w:rPr>
                <w:t>.cni</w:t>
              </w:r>
              <w:r>
                <w:rPr>
                  <w:rFonts w:ascii="Arial" w:hAnsi="Arial" w:cs="Arial" w:eastAsia="Arial" w:hint="default"/>
                  <w:spacing w:val="-1"/>
                  <w:w w:val="110"/>
                  <w:sz w:val="18"/>
                  <w:szCs w:val="18"/>
                </w:rPr>
                <w:t>n</w:t>
              </w:r>
              <w:r>
                <w:rPr>
                  <w:rFonts w:ascii="Arial" w:hAnsi="Arial" w:cs="Arial" w:eastAsia="Arial" w:hint="default"/>
                  <w:w w:val="116"/>
                  <w:sz w:val="18"/>
                  <w:szCs w:val="18"/>
                </w:rPr>
                <w:t>fo.com</w:t>
              </w:r>
            </w:hyperlink>
            <w:r>
              <w:rPr>
                <w:rFonts w:ascii="宋体" w:hAnsi="宋体" w:cs="宋体" w:eastAsia="宋体" w:hint="default"/>
                <w:sz w:val="18"/>
                <w:szCs w:val="18"/>
              </w:rPr>
              <w:t>）</w:t>
            </w:r>
          </w:p>
        </w:tc>
      </w:tr>
      <w:tr>
        <w:trPr>
          <w:trHeight w:val="714" w:hRule="exact"/>
        </w:trPr>
        <w:tc>
          <w:tcPr>
            <w:tcW w:w="138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302" w:lineRule="auto" w:before="46"/>
              <w:ind w:left="108" w:right="111"/>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年第三次 临时股东大会</w:t>
            </w:r>
          </w:p>
        </w:tc>
        <w:tc>
          <w:tcPr>
            <w:tcW w:w="1418" w:type="dxa"/>
            <w:tcBorders>
              <w:top w:val="single" w:sz="4" w:space="0" w:color="2D74B5"/>
              <w:left w:val="nil" w:sz="6" w:space="0" w:color="auto"/>
              <w:bottom w:val="single" w:sz="4" w:space="0" w:color="2D74B5"/>
              <w:right w:val="nil" w:sz="6" w:space="0" w:color="auto"/>
            </w:tcBorders>
          </w:tcPr>
          <w:p>
            <w:pPr>
              <w:pStyle w:val="TableParagraph"/>
              <w:spacing w:line="240" w:lineRule="auto" w:before="46"/>
              <w:ind w:right="12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99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8"/>
              <w:ind w:right="105"/>
              <w:jc w:val="right"/>
              <w:rPr>
                <w:rFonts w:ascii="Arial" w:hAnsi="Arial" w:cs="Arial" w:eastAsia="Arial" w:hint="default"/>
                <w:sz w:val="18"/>
                <w:szCs w:val="18"/>
              </w:rPr>
            </w:pPr>
            <w:r>
              <w:rPr>
                <w:rFonts w:ascii="Arial"/>
                <w:w w:val="95"/>
                <w:sz w:val="18"/>
              </w:rPr>
              <w:t>0.01%</w:t>
            </w:r>
            <w:r>
              <w:rPr>
                <w:rFonts w:ascii="Arial"/>
                <w:sz w:val="18"/>
              </w:rPr>
            </w:r>
          </w:p>
        </w:tc>
        <w:tc>
          <w:tcPr>
            <w:tcW w:w="1559" w:type="dxa"/>
            <w:tcBorders>
              <w:top w:val="single" w:sz="4" w:space="0" w:color="2D74B5"/>
              <w:left w:val="nil" w:sz="6" w:space="0" w:color="auto"/>
              <w:bottom w:val="single" w:sz="4" w:space="0" w:color="2D74B5"/>
              <w:right w:val="nil" w:sz="6" w:space="0" w:color="auto"/>
            </w:tcBorders>
          </w:tcPr>
          <w:p>
            <w:pPr>
              <w:pStyle w:val="TableParagraph"/>
              <w:spacing w:line="240" w:lineRule="auto" w:before="46"/>
              <w:ind w:left="108" w:right="0"/>
              <w:jc w:val="left"/>
              <w:rPr>
                <w:rFonts w:ascii="Arial" w:hAnsi="Arial" w:cs="Arial" w:eastAsia="Arial"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10</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13</w:t>
            </w:r>
          </w:p>
          <w:p>
            <w:pPr>
              <w:pStyle w:val="TableParagraph"/>
              <w:spacing w:line="240" w:lineRule="auto" w:before="65"/>
              <w:ind w:left="10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7"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6"/>
              <w:ind w:left="107"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5"/>
              <w:ind w:left="107" w:right="0"/>
              <w:jc w:val="left"/>
              <w:rPr>
                <w:rFonts w:ascii="宋体" w:hAnsi="宋体" w:cs="宋体" w:eastAsia="宋体" w:hint="default"/>
                <w:sz w:val="18"/>
                <w:szCs w:val="18"/>
              </w:rPr>
            </w:pPr>
            <w:r>
              <w:rPr>
                <w:rFonts w:ascii="Arial" w:hAnsi="Arial" w:cs="Arial" w:eastAsia="Arial" w:hint="default"/>
                <w:sz w:val="18"/>
                <w:szCs w:val="18"/>
              </w:rPr>
              <w:t>14</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796" w:type="dxa"/>
            <w:tcBorders>
              <w:top w:val="single" w:sz="4" w:space="0" w:color="2D74B5"/>
              <w:left w:val="nil" w:sz="6" w:space="0" w:color="auto"/>
              <w:bottom w:val="single" w:sz="4" w:space="0" w:color="2D74B5"/>
              <w:right w:val="nil" w:sz="6" w:space="0" w:color="auto"/>
            </w:tcBorders>
          </w:tcPr>
          <w:p>
            <w:pPr>
              <w:pStyle w:val="TableParagraph"/>
              <w:spacing w:line="319" w:lineRule="auto" w:before="46"/>
              <w:ind w:left="108" w:right="17"/>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《证券时报》和</w:t>
            </w:r>
            <w:r>
              <w:rPr>
                <w:rFonts w:ascii="宋体" w:hAnsi="宋体" w:cs="宋体" w:eastAsia="宋体" w:hint="default"/>
                <w:sz w:val="18"/>
                <w:szCs w:val="18"/>
              </w:rPr>
              <w:t> 巨潮资讯</w:t>
            </w:r>
            <w:r>
              <w:rPr>
                <w:rFonts w:ascii="宋体" w:hAnsi="宋体" w:cs="宋体" w:eastAsia="宋体" w:hint="default"/>
                <w:spacing w:val="-89"/>
                <w:sz w:val="18"/>
                <w:szCs w:val="18"/>
              </w:rPr>
              <w:t>网</w:t>
            </w:r>
            <w:r>
              <w:rPr>
                <w:rFonts w:ascii="宋体" w:hAnsi="宋体" w:cs="宋体" w:eastAsia="宋体" w:hint="default"/>
                <w:sz w:val="18"/>
                <w:szCs w:val="18"/>
              </w:rPr>
              <w:t>（</w:t>
            </w:r>
            <w:hyperlink r:id="rId35">
              <w:r>
                <w:rPr>
                  <w:rFonts w:ascii="Arial" w:hAnsi="Arial" w:cs="Arial" w:eastAsia="Arial" w:hint="default"/>
                  <w:spacing w:val="-1"/>
                  <w:w w:val="115"/>
                  <w:sz w:val="18"/>
                  <w:szCs w:val="18"/>
                </w:rPr>
                <w:t>w</w:t>
              </w:r>
              <w:r>
                <w:rPr>
                  <w:rFonts w:ascii="Arial" w:hAnsi="Arial" w:cs="Arial" w:eastAsia="Arial" w:hint="default"/>
                  <w:w w:val="115"/>
                  <w:sz w:val="18"/>
                  <w:szCs w:val="18"/>
                </w:rPr>
                <w:t>ww</w:t>
              </w:r>
              <w:r>
                <w:rPr>
                  <w:rFonts w:ascii="Arial" w:hAnsi="Arial" w:cs="Arial" w:eastAsia="Arial" w:hint="default"/>
                  <w:w w:val="110"/>
                  <w:sz w:val="18"/>
                  <w:szCs w:val="18"/>
                </w:rPr>
                <w:t>.cni</w:t>
              </w:r>
              <w:r>
                <w:rPr>
                  <w:rFonts w:ascii="Arial" w:hAnsi="Arial" w:cs="Arial" w:eastAsia="Arial" w:hint="default"/>
                  <w:spacing w:val="-1"/>
                  <w:w w:val="110"/>
                  <w:sz w:val="18"/>
                  <w:szCs w:val="18"/>
                </w:rPr>
                <w:t>n</w:t>
              </w:r>
              <w:r>
                <w:rPr>
                  <w:rFonts w:ascii="Arial" w:hAnsi="Arial" w:cs="Arial" w:eastAsia="Arial" w:hint="default"/>
                  <w:w w:val="116"/>
                  <w:sz w:val="18"/>
                  <w:szCs w:val="18"/>
                </w:rPr>
                <w:t>fo.com</w:t>
              </w:r>
            </w:hyperlink>
            <w:r>
              <w:rPr>
                <w:rFonts w:ascii="宋体" w:hAnsi="宋体" w:cs="宋体" w:eastAsia="宋体" w:hint="default"/>
                <w:sz w:val="18"/>
                <w:szCs w:val="18"/>
              </w:rPr>
              <w:t>）</w:t>
            </w:r>
          </w:p>
        </w:tc>
      </w:tr>
      <w:tr>
        <w:trPr>
          <w:trHeight w:val="402" w:hRule="exact"/>
        </w:trPr>
        <w:tc>
          <w:tcPr>
            <w:tcW w:w="138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6"/>
              <w:ind w:right="3"/>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年第四次</w:t>
            </w:r>
          </w:p>
        </w:tc>
        <w:tc>
          <w:tcPr>
            <w:tcW w:w="1418" w:type="dxa"/>
            <w:tcBorders>
              <w:top w:val="single" w:sz="4" w:space="0" w:color="2D74B5"/>
              <w:left w:val="nil" w:sz="6" w:space="0" w:color="auto"/>
              <w:bottom w:val="single" w:sz="4" w:space="0" w:color="2D74B5"/>
              <w:right w:val="nil" w:sz="6" w:space="0" w:color="auto"/>
            </w:tcBorders>
          </w:tcPr>
          <w:p>
            <w:pPr>
              <w:pStyle w:val="TableParagraph"/>
              <w:spacing w:line="240" w:lineRule="auto" w:before="46"/>
              <w:ind w:right="12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992"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8"/>
              <w:ind w:right="105"/>
              <w:jc w:val="right"/>
              <w:rPr>
                <w:rFonts w:ascii="Arial" w:hAnsi="Arial" w:cs="Arial" w:eastAsia="Arial" w:hint="default"/>
                <w:sz w:val="18"/>
                <w:szCs w:val="18"/>
              </w:rPr>
            </w:pPr>
            <w:r>
              <w:rPr>
                <w:rFonts w:ascii="Arial"/>
                <w:w w:val="95"/>
                <w:sz w:val="18"/>
              </w:rPr>
              <w:t>0.00%</w:t>
            </w:r>
            <w:r>
              <w:rPr>
                <w:rFonts w:ascii="Arial"/>
                <w:sz w:val="18"/>
              </w:rPr>
            </w:r>
          </w:p>
        </w:tc>
        <w:tc>
          <w:tcPr>
            <w:tcW w:w="1559" w:type="dxa"/>
            <w:tcBorders>
              <w:top w:val="single" w:sz="4" w:space="0" w:color="2D74B5"/>
              <w:left w:val="nil" w:sz="6" w:space="0" w:color="auto"/>
              <w:bottom w:val="single" w:sz="4" w:space="0" w:color="2D74B5"/>
              <w:right w:val="nil" w:sz="6" w:space="0" w:color="auto"/>
            </w:tcBorders>
          </w:tcPr>
          <w:p>
            <w:pPr>
              <w:pStyle w:val="TableParagraph"/>
              <w:spacing w:line="240" w:lineRule="auto" w:before="46"/>
              <w:ind w:right="2"/>
              <w:jc w:val="center"/>
              <w:rPr>
                <w:rFonts w:ascii="Arial" w:hAnsi="Arial" w:cs="Arial" w:eastAsia="Arial"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28</w:t>
            </w:r>
          </w:p>
        </w:tc>
        <w:tc>
          <w:tcPr>
            <w:tcW w:w="1417"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6"/>
              <w:ind w:left="107"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p>
        </w:tc>
        <w:tc>
          <w:tcPr>
            <w:tcW w:w="2796" w:type="dxa"/>
            <w:tcBorders>
              <w:top w:val="single" w:sz="4" w:space="0" w:color="2D74B5"/>
              <w:left w:val="nil" w:sz="6" w:space="0" w:color="auto"/>
              <w:bottom w:val="single" w:sz="4" w:space="0" w:color="2D74B5"/>
              <w:right w:val="nil" w:sz="6" w:space="0" w:color="auto"/>
            </w:tcBorders>
          </w:tcPr>
          <w:p>
            <w:pPr>
              <w:pStyle w:val="TableParagraph"/>
              <w:spacing w:line="240" w:lineRule="auto" w:before="46"/>
              <w:ind w:right="58"/>
              <w:jc w:val="center"/>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《证券时报》和</w:t>
            </w:r>
          </w:p>
        </w:tc>
      </w:tr>
    </w:tbl>
    <w:p>
      <w:pPr>
        <w:spacing w:after="0" w:line="240" w:lineRule="auto"/>
        <w:jc w:val="center"/>
        <w:rPr>
          <w:rFonts w:ascii="宋体" w:hAnsi="宋体" w:cs="宋体" w:eastAsia="宋体" w:hint="default"/>
          <w:sz w:val="18"/>
          <w:szCs w:val="18"/>
        </w:rPr>
        <w:sectPr>
          <w:pgSz w:w="11910" w:h="16840"/>
          <w:pgMar w:header="877" w:footer="979" w:top="1100" w:bottom="1160" w:left="920" w:right="0"/>
        </w:sectPr>
      </w:pPr>
    </w:p>
    <w:p>
      <w:pPr>
        <w:spacing w:line="240" w:lineRule="auto" w:before="7"/>
        <w:rPr>
          <w:rFonts w:ascii="Microsoft JhengHei" w:hAnsi="Microsoft JhengHei" w:cs="Microsoft JhengHei" w:eastAsia="Microsoft JhengHei" w:hint="default"/>
          <w:b/>
          <w:bCs/>
          <w:sz w:val="18"/>
          <w:szCs w:val="18"/>
        </w:rPr>
      </w:pPr>
    </w:p>
    <w:tbl>
      <w:tblPr>
        <w:tblW w:w="0" w:type="auto"/>
        <w:jc w:val="left"/>
        <w:tblInd w:w="101" w:type="dxa"/>
        <w:tblLayout w:type="fixed"/>
        <w:tblCellMar>
          <w:top w:w="0" w:type="dxa"/>
          <w:left w:w="0" w:type="dxa"/>
          <w:bottom w:w="0" w:type="dxa"/>
          <w:right w:w="0" w:type="dxa"/>
        </w:tblCellMar>
        <w:tblLook w:val="01E0"/>
      </w:tblPr>
      <w:tblGrid>
        <w:gridCol w:w="1384"/>
        <w:gridCol w:w="1418"/>
        <w:gridCol w:w="992"/>
        <w:gridCol w:w="1559"/>
        <w:gridCol w:w="1417"/>
        <w:gridCol w:w="2796"/>
      </w:tblGrid>
      <w:tr>
        <w:trPr>
          <w:trHeight w:val="362" w:hRule="exact"/>
        </w:trPr>
        <w:tc>
          <w:tcPr>
            <w:tcW w:w="138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7"/>
              <w:ind w:left="108"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18" w:type="dxa"/>
            <w:tcBorders>
              <w:top w:val="single" w:sz="4" w:space="0" w:color="2D74B5"/>
              <w:left w:val="nil" w:sz="6" w:space="0" w:color="auto"/>
              <w:bottom w:val="single" w:sz="4" w:space="0" w:color="2D74B5"/>
              <w:right w:val="nil" w:sz="6" w:space="0" w:color="auto"/>
            </w:tcBorders>
          </w:tcPr>
          <w:p>
            <w:pPr/>
          </w:p>
        </w:tc>
        <w:tc>
          <w:tcPr>
            <w:tcW w:w="992" w:type="dxa"/>
            <w:tcBorders>
              <w:top w:val="single" w:sz="4" w:space="0" w:color="2D74B5"/>
              <w:left w:val="nil" w:sz="6" w:space="0" w:color="auto"/>
              <w:bottom w:val="single" w:sz="4" w:space="0" w:color="2D74B5"/>
              <w:right w:val="nil" w:sz="6" w:space="0" w:color="auto"/>
            </w:tcBorders>
            <w:shd w:val="clear" w:color="auto" w:fill="DEEAF6"/>
          </w:tcPr>
          <w:p>
            <w:pPr/>
          </w:p>
        </w:tc>
        <w:tc>
          <w:tcPr>
            <w:tcW w:w="1559" w:type="dxa"/>
            <w:tcBorders>
              <w:top w:val="single" w:sz="4" w:space="0" w:color="2D74B5"/>
              <w:left w:val="nil" w:sz="6" w:space="0" w:color="auto"/>
              <w:bottom w:val="single" w:sz="4" w:space="0" w:color="2D74B5"/>
              <w:right w:val="nil" w:sz="6" w:space="0" w:color="auto"/>
            </w:tcBorders>
          </w:tcPr>
          <w:p>
            <w:pPr>
              <w:pStyle w:val="TableParagraph"/>
              <w:spacing w:line="240" w:lineRule="auto" w:before="7"/>
              <w:ind w:left="10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7"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7"/>
              <w:ind w:left="107" w:right="0"/>
              <w:jc w:val="left"/>
              <w:rPr>
                <w:rFonts w:ascii="宋体" w:hAnsi="宋体" w:cs="宋体" w:eastAsia="宋体" w:hint="default"/>
                <w:sz w:val="18"/>
                <w:szCs w:val="18"/>
              </w:rPr>
            </w:pPr>
            <w:r>
              <w:rPr>
                <w:rFonts w:ascii="Arial" w:hAnsi="Arial" w:cs="Arial" w:eastAsia="Arial" w:hint="default"/>
                <w:sz w:val="18"/>
                <w:szCs w:val="18"/>
              </w:rPr>
              <w:t>29</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796" w:type="dxa"/>
            <w:tcBorders>
              <w:top w:val="single" w:sz="4" w:space="0" w:color="2D74B5"/>
              <w:left w:val="nil" w:sz="6" w:space="0" w:color="auto"/>
              <w:bottom w:val="single" w:sz="4" w:space="0" w:color="2D74B5"/>
              <w:right w:val="nil" w:sz="6" w:space="0" w:color="auto"/>
            </w:tcBorders>
          </w:tcPr>
          <w:p>
            <w:pPr>
              <w:pStyle w:val="TableParagraph"/>
              <w:spacing w:line="240" w:lineRule="auto" w:before="7"/>
              <w:ind w:left="108" w:right="0"/>
              <w:jc w:val="left"/>
              <w:rPr>
                <w:rFonts w:ascii="宋体" w:hAnsi="宋体" w:cs="宋体" w:eastAsia="宋体" w:hint="default"/>
                <w:sz w:val="18"/>
                <w:szCs w:val="18"/>
              </w:rPr>
            </w:pPr>
            <w:r>
              <w:rPr>
                <w:rFonts w:ascii="宋体" w:hAnsi="宋体" w:cs="宋体" w:eastAsia="宋体" w:hint="default"/>
                <w:sz w:val="18"/>
                <w:szCs w:val="18"/>
              </w:rPr>
              <w:t>巨潮资讯</w:t>
            </w:r>
            <w:r>
              <w:rPr>
                <w:rFonts w:ascii="宋体" w:hAnsi="宋体" w:cs="宋体" w:eastAsia="宋体" w:hint="default"/>
                <w:spacing w:val="-89"/>
                <w:sz w:val="18"/>
                <w:szCs w:val="18"/>
              </w:rPr>
              <w:t>网</w:t>
            </w:r>
            <w:r>
              <w:rPr>
                <w:rFonts w:ascii="宋体" w:hAnsi="宋体" w:cs="宋体" w:eastAsia="宋体" w:hint="default"/>
                <w:sz w:val="18"/>
                <w:szCs w:val="18"/>
              </w:rPr>
              <w:t>（</w:t>
            </w:r>
            <w:hyperlink r:id="rId35">
              <w:r>
                <w:rPr>
                  <w:rFonts w:ascii="Arial" w:hAnsi="Arial" w:cs="Arial" w:eastAsia="Arial" w:hint="default"/>
                  <w:spacing w:val="-1"/>
                  <w:w w:val="115"/>
                  <w:sz w:val="18"/>
                  <w:szCs w:val="18"/>
                </w:rPr>
                <w:t>w</w:t>
              </w:r>
              <w:r>
                <w:rPr>
                  <w:rFonts w:ascii="Arial" w:hAnsi="Arial" w:cs="Arial" w:eastAsia="Arial" w:hint="default"/>
                  <w:w w:val="115"/>
                  <w:sz w:val="18"/>
                  <w:szCs w:val="18"/>
                </w:rPr>
                <w:t>ww</w:t>
              </w:r>
              <w:r>
                <w:rPr>
                  <w:rFonts w:ascii="Arial" w:hAnsi="Arial" w:cs="Arial" w:eastAsia="Arial" w:hint="default"/>
                  <w:w w:val="110"/>
                  <w:sz w:val="18"/>
                  <w:szCs w:val="18"/>
                </w:rPr>
                <w:t>.cni</w:t>
              </w:r>
              <w:r>
                <w:rPr>
                  <w:rFonts w:ascii="Arial" w:hAnsi="Arial" w:cs="Arial" w:eastAsia="Arial" w:hint="default"/>
                  <w:spacing w:val="-1"/>
                  <w:w w:val="110"/>
                  <w:sz w:val="18"/>
                  <w:szCs w:val="18"/>
                </w:rPr>
                <w:t>n</w:t>
              </w:r>
              <w:r>
                <w:rPr>
                  <w:rFonts w:ascii="Arial" w:hAnsi="Arial" w:cs="Arial" w:eastAsia="Arial" w:hint="default"/>
                  <w:w w:val="116"/>
                  <w:sz w:val="18"/>
                  <w:szCs w:val="18"/>
                </w:rPr>
                <w:t>fo.com</w:t>
              </w:r>
            </w:hyperlink>
            <w:r>
              <w:rPr>
                <w:rFonts w:ascii="宋体" w:hAnsi="宋体" w:cs="宋体" w:eastAsia="宋体" w:hint="default"/>
                <w:sz w:val="18"/>
                <w:szCs w:val="18"/>
              </w:rPr>
              <w:t>）</w:t>
            </w:r>
          </w:p>
        </w:tc>
      </w:tr>
    </w:tbl>
    <w:p>
      <w:pPr>
        <w:spacing w:line="240" w:lineRule="auto" w:before="4"/>
        <w:rPr>
          <w:rFonts w:ascii="Microsoft JhengHei" w:hAnsi="Microsoft JhengHei" w:cs="Microsoft JhengHei" w:eastAsia="Microsoft JhengHei" w:hint="default"/>
          <w:b/>
          <w:bCs/>
          <w:sz w:val="23"/>
          <w:szCs w:val="23"/>
        </w:rPr>
      </w:pPr>
    </w:p>
    <w:p>
      <w:pPr>
        <w:spacing w:line="348" w:lineRule="exact" w:before="0"/>
        <w:ind w:left="214" w:right="1513" w:firstLine="0"/>
        <w:jc w:val="left"/>
        <w:rPr>
          <w:rFonts w:ascii="Microsoft JhengHei" w:hAnsi="Microsoft JhengHei" w:cs="Microsoft JhengHei" w:eastAsia="Microsoft JhengHei" w:hint="default"/>
          <w:sz w:val="24"/>
          <w:szCs w:val="24"/>
        </w:rPr>
      </w:pPr>
      <w:bookmarkStart w:name="9.4.2 表决权恢复的优先股股东请求召开临时股东大会" w:id="236"/>
      <w:bookmarkEnd w:id="236"/>
      <w:r>
        <w:rPr/>
      </w:r>
      <w:r>
        <w:rPr>
          <w:rFonts w:ascii="Trebuchet MS" w:hAnsi="Trebuchet MS" w:cs="Trebuchet MS" w:eastAsia="Trebuchet MS" w:hint="default"/>
          <w:b/>
          <w:bCs/>
          <w:sz w:val="24"/>
          <w:szCs w:val="24"/>
        </w:rPr>
        <w:t>9.4.2</w:t>
      </w:r>
      <w:r>
        <w:rPr>
          <w:rFonts w:ascii="Trebuchet MS" w:hAnsi="Trebuchet MS" w:cs="Trebuchet MS" w:eastAsia="Trebuchet MS" w:hint="default"/>
          <w:b/>
          <w:bCs/>
          <w:spacing w:val="-18"/>
          <w:sz w:val="24"/>
          <w:szCs w:val="24"/>
        </w:rPr>
        <w:t> </w:t>
      </w:r>
      <w:r>
        <w:rPr>
          <w:rFonts w:ascii="Microsoft JhengHei" w:hAnsi="Microsoft JhengHei" w:cs="Microsoft JhengHei" w:eastAsia="Microsoft JhengHei" w:hint="default"/>
          <w:b/>
          <w:bCs/>
          <w:sz w:val="24"/>
          <w:szCs w:val="24"/>
        </w:rPr>
        <w:t>表决权恢复的优先股股东请求召开临时股东大会</w:t>
      </w:r>
      <w:r>
        <w:rPr>
          <w:rFonts w:ascii="Microsoft JhengHei" w:hAnsi="Microsoft JhengHei" w:cs="Microsoft JhengHei" w:eastAsia="Microsoft JhengHei" w:hint="default"/>
          <w:sz w:val="24"/>
          <w:szCs w:val="24"/>
        </w:rPr>
      </w:r>
    </w:p>
    <w:p>
      <w:pPr>
        <w:spacing w:line="240" w:lineRule="auto" w:before="9"/>
        <w:rPr>
          <w:rFonts w:ascii="Microsoft JhengHei" w:hAnsi="Microsoft JhengHei" w:cs="Microsoft JhengHei" w:eastAsia="Microsoft JhengHei" w:hint="default"/>
          <w:b/>
          <w:bCs/>
          <w:sz w:val="27"/>
          <w:szCs w:val="27"/>
        </w:rPr>
      </w:pPr>
    </w:p>
    <w:p>
      <w:pPr>
        <w:spacing w:before="0"/>
        <w:ind w:left="213" w:right="151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pStyle w:val="Heading1"/>
        <w:spacing w:line="240" w:lineRule="auto" w:before="75"/>
        <w:ind w:left="213" w:right="1513"/>
        <w:jc w:val="left"/>
        <w:rPr>
          <w:b w:val="0"/>
          <w:bCs w:val="0"/>
        </w:rPr>
      </w:pPr>
      <w:bookmarkStart w:name="9.5 报告期内独立董事履行职责的情况" w:id="237"/>
      <w:bookmarkEnd w:id="237"/>
      <w:r>
        <w:rPr>
          <w:b w:val="0"/>
          <w:bCs w:val="0"/>
        </w:rPr>
      </w:r>
      <w:bookmarkStart w:name="_bookmark67" w:id="238"/>
      <w:bookmarkEnd w:id="238"/>
      <w:r>
        <w:rPr>
          <w:b w:val="0"/>
          <w:bCs w:val="0"/>
        </w:rPr>
      </w:r>
      <w:r>
        <w:rPr>
          <w:rFonts w:ascii="Trebuchet MS" w:hAnsi="Trebuchet MS" w:cs="Trebuchet MS" w:eastAsia="Trebuchet MS" w:hint="default"/>
        </w:rPr>
        <w:t>9.5</w:t>
      </w:r>
      <w:r>
        <w:rPr>
          <w:rFonts w:ascii="Trebuchet MS" w:hAnsi="Trebuchet MS" w:cs="Trebuchet MS" w:eastAsia="Trebuchet MS" w:hint="default"/>
          <w:spacing w:val="14"/>
        </w:rPr>
        <w:t> </w:t>
      </w:r>
      <w:r>
        <w:rPr/>
        <w:t>报告期内独立董事履行职责的情况</w:t>
      </w:r>
      <w:r>
        <w:rPr>
          <w:b w:val="0"/>
          <w:bCs w:val="0"/>
        </w:rPr>
      </w:r>
    </w:p>
    <w:p>
      <w:pPr>
        <w:spacing w:line="240" w:lineRule="auto" w:before="1"/>
        <w:rPr>
          <w:rFonts w:ascii="Microsoft JhengHei" w:hAnsi="Microsoft JhengHei" w:cs="Microsoft JhengHei" w:eastAsia="Microsoft JhengHei" w:hint="default"/>
          <w:b/>
          <w:bCs/>
          <w:sz w:val="27"/>
          <w:szCs w:val="27"/>
        </w:rPr>
      </w:pPr>
    </w:p>
    <w:p>
      <w:pPr>
        <w:pStyle w:val="Heading2"/>
        <w:spacing w:line="240" w:lineRule="auto"/>
        <w:ind w:left="213" w:right="1513"/>
        <w:jc w:val="left"/>
        <w:rPr>
          <w:b w:val="0"/>
          <w:bCs w:val="0"/>
        </w:rPr>
      </w:pPr>
      <w:bookmarkStart w:name="9.5.1 独立董事出席董事会及股东大会的情况" w:id="239"/>
      <w:bookmarkEnd w:id="239"/>
      <w:r>
        <w:rPr>
          <w:b w:val="0"/>
          <w:bCs w:val="0"/>
        </w:rPr>
      </w:r>
      <w:r>
        <w:rPr>
          <w:rFonts w:ascii="Trebuchet MS" w:hAnsi="Trebuchet MS" w:cs="Trebuchet MS" w:eastAsia="Trebuchet MS" w:hint="default"/>
        </w:rPr>
        <w:t>9.5.1</w:t>
      </w:r>
      <w:r>
        <w:rPr>
          <w:rFonts w:ascii="Trebuchet MS" w:hAnsi="Trebuchet MS" w:cs="Trebuchet MS" w:eastAsia="Trebuchet MS" w:hint="default"/>
          <w:spacing w:val="-18"/>
        </w:rPr>
        <w:t> </w:t>
      </w:r>
      <w:r>
        <w:rPr/>
        <w:t>独立董事出席董事会及股东大会的情况</w:t>
      </w:r>
      <w:r>
        <w:rPr>
          <w:b w:val="0"/>
          <w:bCs w:val="0"/>
        </w:rPr>
      </w:r>
    </w:p>
    <w:p>
      <w:pPr>
        <w:spacing w:line="240" w:lineRule="auto" w:before="2"/>
        <w:rPr>
          <w:rFonts w:ascii="Microsoft JhengHei" w:hAnsi="Microsoft JhengHei" w:cs="Microsoft JhengHei" w:eastAsia="Microsoft JhengHei" w:hint="default"/>
          <w:b/>
          <w:bCs/>
          <w:sz w:val="27"/>
          <w:szCs w:val="27"/>
        </w:rPr>
      </w:pPr>
    </w:p>
    <w:tbl>
      <w:tblPr>
        <w:tblW w:w="0" w:type="auto"/>
        <w:jc w:val="left"/>
        <w:tblInd w:w="101"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1021" w:hRule="exact"/>
        </w:trPr>
        <w:tc>
          <w:tcPr>
            <w:tcW w:w="9569" w:type="dxa"/>
            <w:gridSpan w:val="7"/>
            <w:tcBorders>
              <w:top w:val="single" w:sz="4" w:space="0" w:color="2D74B5"/>
              <w:left w:val="nil" w:sz="6" w:space="0" w:color="auto"/>
              <w:bottom w:val="single" w:sz="4" w:space="0" w:color="2D74B5"/>
              <w:right w:val="nil" w:sz="6" w:space="0" w:color="auto"/>
            </w:tcBorders>
            <w:shd w:val="clear" w:color="auto" w:fill="DEEAF6"/>
          </w:tcPr>
          <w:p>
            <w:pPr>
              <w:pStyle w:val="TableParagraph"/>
              <w:tabs>
                <w:tab w:pos="1745" w:val="left" w:leader="none"/>
                <w:tab w:pos="3069" w:val="left" w:leader="none"/>
                <w:tab w:pos="4393" w:val="left" w:leader="none"/>
                <w:tab w:pos="4663" w:val="left" w:leader="none"/>
                <w:tab w:pos="5717" w:val="left" w:leader="none"/>
                <w:tab w:pos="7222" w:val="left" w:leader="none"/>
                <w:tab w:pos="8366" w:val="left" w:leader="none"/>
              </w:tabs>
              <w:spacing w:line="316" w:lineRule="auto" w:before="47"/>
              <w:ind w:left="1745" w:right="120" w:hanging="1474"/>
              <w:jc w:val="left"/>
              <w:rPr>
                <w:rFonts w:ascii="宋体" w:hAnsi="宋体" w:cs="宋体" w:eastAsia="宋体" w:hint="default"/>
                <w:sz w:val="18"/>
                <w:szCs w:val="18"/>
              </w:rPr>
            </w:pPr>
            <w:r>
              <w:rPr>
                <w:rFonts w:ascii="宋体" w:hAnsi="宋体" w:cs="宋体" w:eastAsia="宋体" w:hint="default"/>
                <w:sz w:val="18"/>
                <w:szCs w:val="18"/>
              </w:rPr>
              <w:t>独立董事姓名</w:t>
              <w:tab/>
              <w:t>本报告期应参</w:t>
              <w:tab/>
              <w:t>现场出席次数</w:t>
              <w:tab/>
              <w:t>以通讯方式参</w:t>
              <w:tab/>
              <w:t>委托出席次数</w:t>
              <w:tab/>
              <w:t>缺席次数</w:t>
              <w:tab/>
              <w:t>是否连续两次 加董事会次数</w:t>
              <w:tab/>
              <w:tab/>
              <w:tab/>
              <w:t>加次数</w:t>
              <w:tab/>
              <w:tab/>
              <w:tab/>
              <w:t>未亲自参加会</w:t>
            </w:r>
          </w:p>
          <w:p>
            <w:pPr>
              <w:pStyle w:val="TableParagraph"/>
              <w:spacing w:line="240" w:lineRule="auto" w:before="19"/>
              <w:ind w:right="570"/>
              <w:jc w:val="right"/>
              <w:rPr>
                <w:rFonts w:ascii="宋体" w:hAnsi="宋体" w:cs="宋体" w:eastAsia="宋体" w:hint="default"/>
                <w:sz w:val="18"/>
                <w:szCs w:val="18"/>
              </w:rPr>
            </w:pPr>
            <w:r>
              <w:rPr>
                <w:rFonts w:ascii="宋体" w:hAnsi="宋体" w:cs="宋体" w:eastAsia="宋体" w:hint="default"/>
                <w:sz w:val="18"/>
                <w:szCs w:val="18"/>
              </w:rPr>
              <w:t>议</w:t>
            </w:r>
          </w:p>
        </w:tc>
      </w:tr>
      <w:tr>
        <w:trPr>
          <w:trHeight w:val="407" w:hRule="exact"/>
        </w:trPr>
        <w:tc>
          <w:tcPr>
            <w:tcW w:w="162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章卫东</w:t>
            </w:r>
          </w:p>
        </w:tc>
        <w:tc>
          <w:tcPr>
            <w:tcW w:w="1325" w:type="dxa"/>
            <w:tcBorders>
              <w:top w:val="single" w:sz="4" w:space="0" w:color="2D74B5"/>
              <w:left w:val="nil" w:sz="6" w:space="0" w:color="auto"/>
              <w:bottom w:val="single" w:sz="4" w:space="0" w:color="2D74B5"/>
              <w:right w:val="nil" w:sz="6" w:space="0" w:color="auto"/>
            </w:tcBorders>
          </w:tcPr>
          <w:p>
            <w:pPr>
              <w:pStyle w:val="TableParagraph"/>
              <w:spacing w:line="240" w:lineRule="auto" w:before="94"/>
              <w:ind w:right="107"/>
              <w:jc w:val="right"/>
              <w:rPr>
                <w:rFonts w:ascii="Arial" w:hAnsi="Arial" w:cs="Arial" w:eastAsia="Arial" w:hint="default"/>
                <w:sz w:val="18"/>
                <w:szCs w:val="18"/>
              </w:rPr>
            </w:pPr>
            <w:r>
              <w:rPr>
                <w:rFonts w:ascii="Arial"/>
                <w:spacing w:val="-1"/>
                <w:w w:val="95"/>
                <w:sz w:val="18"/>
              </w:rPr>
              <w:t>14</w:t>
            </w:r>
            <w:r>
              <w:rPr>
                <w:rFonts w:ascii="Arial"/>
                <w:sz w:val="18"/>
              </w:rPr>
            </w:r>
          </w:p>
        </w:tc>
        <w:tc>
          <w:tcPr>
            <w:tcW w:w="132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94"/>
              <w:ind w:right="105"/>
              <w:jc w:val="right"/>
              <w:rPr>
                <w:rFonts w:ascii="Arial" w:hAnsi="Arial" w:cs="Arial" w:eastAsia="Arial" w:hint="default"/>
                <w:sz w:val="18"/>
                <w:szCs w:val="18"/>
              </w:rPr>
            </w:pPr>
            <w:r>
              <w:rPr>
                <w:rFonts w:ascii="Arial"/>
                <w:w w:val="99"/>
                <w:sz w:val="18"/>
              </w:rPr>
              <w:t>4</w:t>
            </w:r>
            <w:r>
              <w:rPr>
                <w:rFonts w:ascii="Arial"/>
                <w:sz w:val="18"/>
              </w:rPr>
            </w:r>
          </w:p>
        </w:tc>
        <w:tc>
          <w:tcPr>
            <w:tcW w:w="1324" w:type="dxa"/>
            <w:tcBorders>
              <w:top w:val="single" w:sz="4" w:space="0" w:color="2D74B5"/>
              <w:left w:val="nil" w:sz="6" w:space="0" w:color="auto"/>
              <w:bottom w:val="single" w:sz="4" w:space="0" w:color="2D74B5"/>
              <w:right w:val="nil" w:sz="6" w:space="0" w:color="auto"/>
            </w:tcBorders>
          </w:tcPr>
          <w:p>
            <w:pPr>
              <w:pStyle w:val="TableParagraph"/>
              <w:spacing w:line="240" w:lineRule="auto" w:before="94"/>
              <w:ind w:right="107"/>
              <w:jc w:val="right"/>
              <w:rPr>
                <w:rFonts w:ascii="Arial" w:hAnsi="Arial" w:cs="Arial" w:eastAsia="Arial" w:hint="default"/>
                <w:sz w:val="18"/>
                <w:szCs w:val="18"/>
              </w:rPr>
            </w:pPr>
            <w:r>
              <w:rPr>
                <w:rFonts w:ascii="Arial"/>
                <w:spacing w:val="-1"/>
                <w:w w:val="95"/>
                <w:sz w:val="18"/>
              </w:rPr>
              <w:t>10</w:t>
            </w:r>
            <w:r>
              <w:rPr>
                <w:rFonts w:ascii="Arial"/>
                <w:sz w:val="18"/>
              </w:rPr>
            </w:r>
          </w:p>
        </w:tc>
        <w:tc>
          <w:tcPr>
            <w:tcW w:w="1325" w:type="dxa"/>
            <w:tcBorders>
              <w:top w:val="single" w:sz="4" w:space="0" w:color="2D74B5"/>
              <w:left w:val="nil" w:sz="6" w:space="0" w:color="auto"/>
              <w:bottom w:val="single" w:sz="4" w:space="0" w:color="2D74B5"/>
              <w:right w:val="nil" w:sz="6" w:space="0" w:color="auto"/>
            </w:tcBorders>
            <w:shd w:val="clear" w:color="auto" w:fill="DEEAF6"/>
          </w:tcPr>
          <w:p>
            <w:pPr/>
          </w:p>
        </w:tc>
        <w:tc>
          <w:tcPr>
            <w:tcW w:w="1324" w:type="dxa"/>
            <w:tcBorders>
              <w:top w:val="single" w:sz="4" w:space="0" w:color="2D74B5"/>
              <w:left w:val="nil" w:sz="6" w:space="0" w:color="auto"/>
              <w:bottom w:val="single" w:sz="4" w:space="0" w:color="2D74B5"/>
              <w:right w:val="nil" w:sz="6" w:space="0" w:color="auto"/>
            </w:tcBorders>
          </w:tcPr>
          <w:p>
            <w:pPr/>
          </w:p>
        </w:tc>
        <w:tc>
          <w:tcPr>
            <w:tcW w:w="132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吕良彪</w:t>
            </w:r>
          </w:p>
        </w:tc>
        <w:tc>
          <w:tcPr>
            <w:tcW w:w="1325" w:type="dxa"/>
            <w:tcBorders>
              <w:top w:val="single" w:sz="4" w:space="0" w:color="2D74B5"/>
              <w:left w:val="nil" w:sz="6" w:space="0" w:color="auto"/>
              <w:bottom w:val="single" w:sz="4" w:space="0" w:color="2D74B5"/>
              <w:right w:val="nil" w:sz="6" w:space="0" w:color="auto"/>
            </w:tcBorders>
          </w:tcPr>
          <w:p>
            <w:pPr>
              <w:pStyle w:val="TableParagraph"/>
              <w:spacing w:line="240" w:lineRule="auto" w:before="88"/>
              <w:ind w:right="107"/>
              <w:jc w:val="right"/>
              <w:rPr>
                <w:rFonts w:ascii="Arial" w:hAnsi="Arial" w:cs="Arial" w:eastAsia="Arial" w:hint="default"/>
                <w:sz w:val="18"/>
                <w:szCs w:val="18"/>
              </w:rPr>
            </w:pPr>
            <w:r>
              <w:rPr>
                <w:rFonts w:ascii="Arial"/>
                <w:spacing w:val="-1"/>
                <w:w w:val="95"/>
                <w:sz w:val="18"/>
              </w:rPr>
              <w:t>14</w:t>
            </w:r>
            <w:r>
              <w:rPr>
                <w:rFonts w:ascii="Arial"/>
                <w:sz w:val="18"/>
              </w:rPr>
            </w:r>
          </w:p>
        </w:tc>
        <w:tc>
          <w:tcPr>
            <w:tcW w:w="132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8"/>
              <w:ind w:right="105"/>
              <w:jc w:val="right"/>
              <w:rPr>
                <w:rFonts w:ascii="Arial" w:hAnsi="Arial" w:cs="Arial" w:eastAsia="Arial" w:hint="default"/>
                <w:sz w:val="18"/>
                <w:szCs w:val="18"/>
              </w:rPr>
            </w:pPr>
            <w:r>
              <w:rPr>
                <w:rFonts w:ascii="Arial"/>
                <w:w w:val="99"/>
                <w:sz w:val="18"/>
              </w:rPr>
              <w:t>7</w:t>
            </w:r>
            <w:r>
              <w:rPr>
                <w:rFonts w:ascii="Arial"/>
                <w:sz w:val="18"/>
              </w:rPr>
            </w:r>
          </w:p>
        </w:tc>
        <w:tc>
          <w:tcPr>
            <w:tcW w:w="1324" w:type="dxa"/>
            <w:tcBorders>
              <w:top w:val="single" w:sz="4" w:space="0" w:color="2D74B5"/>
              <w:left w:val="nil" w:sz="6" w:space="0" w:color="auto"/>
              <w:bottom w:val="single" w:sz="4" w:space="0" w:color="2D74B5"/>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w w:val="99"/>
                <w:sz w:val="18"/>
              </w:rPr>
              <w:t>7</w:t>
            </w:r>
            <w:r>
              <w:rPr>
                <w:rFonts w:ascii="Arial"/>
                <w:sz w:val="18"/>
              </w:rPr>
            </w:r>
          </w:p>
        </w:tc>
        <w:tc>
          <w:tcPr>
            <w:tcW w:w="1325" w:type="dxa"/>
            <w:tcBorders>
              <w:top w:val="single" w:sz="4" w:space="0" w:color="2D74B5"/>
              <w:left w:val="nil" w:sz="6" w:space="0" w:color="auto"/>
              <w:bottom w:val="single" w:sz="4" w:space="0" w:color="2D74B5"/>
              <w:right w:val="nil" w:sz="6" w:space="0" w:color="auto"/>
            </w:tcBorders>
            <w:shd w:val="clear" w:color="auto" w:fill="DEEAF6"/>
          </w:tcPr>
          <w:p>
            <w:pPr/>
          </w:p>
        </w:tc>
        <w:tc>
          <w:tcPr>
            <w:tcW w:w="1324" w:type="dxa"/>
            <w:tcBorders>
              <w:top w:val="single" w:sz="4" w:space="0" w:color="2D74B5"/>
              <w:left w:val="nil" w:sz="6" w:space="0" w:color="auto"/>
              <w:bottom w:val="single" w:sz="4" w:space="0" w:color="2D74B5"/>
              <w:right w:val="nil" w:sz="6" w:space="0" w:color="auto"/>
            </w:tcBorders>
          </w:tcPr>
          <w:p>
            <w:pPr/>
          </w:p>
        </w:tc>
        <w:tc>
          <w:tcPr>
            <w:tcW w:w="132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吕廷杰</w:t>
            </w:r>
          </w:p>
        </w:tc>
        <w:tc>
          <w:tcPr>
            <w:tcW w:w="1325" w:type="dxa"/>
            <w:tcBorders>
              <w:top w:val="single" w:sz="4" w:space="0" w:color="2D74B5"/>
              <w:left w:val="nil" w:sz="6" w:space="0" w:color="auto"/>
              <w:bottom w:val="single" w:sz="4" w:space="0" w:color="2D74B5"/>
              <w:right w:val="nil" w:sz="6" w:space="0" w:color="auto"/>
            </w:tcBorders>
          </w:tcPr>
          <w:p>
            <w:pPr>
              <w:pStyle w:val="TableParagraph"/>
              <w:spacing w:line="240" w:lineRule="auto" w:before="88"/>
              <w:ind w:right="107"/>
              <w:jc w:val="right"/>
              <w:rPr>
                <w:rFonts w:ascii="Arial" w:hAnsi="Arial" w:cs="Arial" w:eastAsia="Arial" w:hint="default"/>
                <w:sz w:val="18"/>
                <w:szCs w:val="18"/>
              </w:rPr>
            </w:pPr>
            <w:r>
              <w:rPr>
                <w:rFonts w:ascii="Arial"/>
                <w:spacing w:val="-1"/>
                <w:w w:val="95"/>
                <w:sz w:val="18"/>
              </w:rPr>
              <w:t>14</w:t>
            </w:r>
            <w:r>
              <w:rPr>
                <w:rFonts w:ascii="Arial"/>
                <w:sz w:val="18"/>
              </w:rPr>
            </w:r>
          </w:p>
        </w:tc>
        <w:tc>
          <w:tcPr>
            <w:tcW w:w="132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8"/>
              <w:ind w:right="105"/>
              <w:jc w:val="right"/>
              <w:rPr>
                <w:rFonts w:ascii="Arial" w:hAnsi="Arial" w:cs="Arial" w:eastAsia="Arial" w:hint="default"/>
                <w:sz w:val="18"/>
                <w:szCs w:val="18"/>
              </w:rPr>
            </w:pPr>
            <w:r>
              <w:rPr>
                <w:rFonts w:ascii="Arial"/>
                <w:w w:val="99"/>
                <w:sz w:val="18"/>
              </w:rPr>
              <w:t>3</w:t>
            </w:r>
            <w:r>
              <w:rPr>
                <w:rFonts w:ascii="Arial"/>
                <w:sz w:val="18"/>
              </w:rPr>
            </w:r>
          </w:p>
        </w:tc>
        <w:tc>
          <w:tcPr>
            <w:tcW w:w="1324" w:type="dxa"/>
            <w:tcBorders>
              <w:top w:val="single" w:sz="4" w:space="0" w:color="2D74B5"/>
              <w:left w:val="nil" w:sz="6" w:space="0" w:color="auto"/>
              <w:bottom w:val="single" w:sz="4" w:space="0" w:color="2D74B5"/>
              <w:right w:val="nil" w:sz="6" w:space="0" w:color="auto"/>
            </w:tcBorders>
          </w:tcPr>
          <w:p>
            <w:pPr>
              <w:pStyle w:val="TableParagraph"/>
              <w:spacing w:line="240" w:lineRule="auto" w:before="88"/>
              <w:ind w:right="107"/>
              <w:jc w:val="right"/>
              <w:rPr>
                <w:rFonts w:ascii="Arial" w:hAnsi="Arial" w:cs="Arial" w:eastAsia="Arial" w:hint="default"/>
                <w:sz w:val="18"/>
                <w:szCs w:val="18"/>
              </w:rPr>
            </w:pPr>
            <w:r>
              <w:rPr>
                <w:rFonts w:ascii="Arial"/>
                <w:spacing w:val="-1"/>
                <w:w w:val="95"/>
                <w:sz w:val="18"/>
              </w:rPr>
              <w:t>10</w:t>
            </w:r>
            <w:r>
              <w:rPr>
                <w:rFonts w:ascii="Arial"/>
                <w:sz w:val="18"/>
              </w:rPr>
            </w:r>
          </w:p>
        </w:tc>
        <w:tc>
          <w:tcPr>
            <w:tcW w:w="1325"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8"/>
              <w:ind w:right="107"/>
              <w:jc w:val="right"/>
              <w:rPr>
                <w:rFonts w:ascii="Arial" w:hAnsi="Arial" w:cs="Arial" w:eastAsia="Arial" w:hint="default"/>
                <w:sz w:val="18"/>
                <w:szCs w:val="18"/>
              </w:rPr>
            </w:pPr>
            <w:r>
              <w:rPr>
                <w:rFonts w:ascii="Arial"/>
                <w:w w:val="99"/>
                <w:sz w:val="18"/>
              </w:rPr>
              <w:t>1</w:t>
            </w:r>
            <w:r>
              <w:rPr>
                <w:rFonts w:ascii="Arial"/>
                <w:sz w:val="18"/>
              </w:rPr>
            </w:r>
          </w:p>
        </w:tc>
        <w:tc>
          <w:tcPr>
            <w:tcW w:w="1324" w:type="dxa"/>
            <w:tcBorders>
              <w:top w:val="single" w:sz="4" w:space="0" w:color="2D74B5"/>
              <w:left w:val="nil" w:sz="6" w:space="0" w:color="auto"/>
              <w:bottom w:val="single" w:sz="4" w:space="0" w:color="2D74B5"/>
              <w:right w:val="nil" w:sz="6" w:space="0" w:color="auto"/>
            </w:tcBorders>
          </w:tcPr>
          <w:p>
            <w:pPr/>
          </w:p>
        </w:tc>
        <w:tc>
          <w:tcPr>
            <w:tcW w:w="132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陈思平</w:t>
            </w:r>
          </w:p>
        </w:tc>
        <w:tc>
          <w:tcPr>
            <w:tcW w:w="1325" w:type="dxa"/>
            <w:tcBorders>
              <w:top w:val="single" w:sz="4" w:space="0" w:color="2D74B5"/>
              <w:left w:val="nil" w:sz="6" w:space="0" w:color="auto"/>
              <w:bottom w:val="single" w:sz="4" w:space="0" w:color="2D74B5"/>
              <w:right w:val="nil" w:sz="6" w:space="0" w:color="auto"/>
            </w:tcBorders>
          </w:tcPr>
          <w:p>
            <w:pPr>
              <w:pStyle w:val="TableParagraph"/>
              <w:spacing w:line="240" w:lineRule="auto" w:before="88"/>
              <w:ind w:right="107"/>
              <w:jc w:val="right"/>
              <w:rPr>
                <w:rFonts w:ascii="Arial" w:hAnsi="Arial" w:cs="Arial" w:eastAsia="Arial" w:hint="default"/>
                <w:sz w:val="18"/>
                <w:szCs w:val="18"/>
              </w:rPr>
            </w:pPr>
            <w:r>
              <w:rPr>
                <w:rFonts w:ascii="Arial"/>
                <w:spacing w:val="-1"/>
                <w:w w:val="95"/>
                <w:sz w:val="18"/>
              </w:rPr>
              <w:t>14</w:t>
            </w:r>
            <w:r>
              <w:rPr>
                <w:rFonts w:ascii="Arial"/>
                <w:sz w:val="18"/>
              </w:rPr>
            </w:r>
          </w:p>
        </w:tc>
        <w:tc>
          <w:tcPr>
            <w:tcW w:w="132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8"/>
              <w:ind w:right="105"/>
              <w:jc w:val="right"/>
              <w:rPr>
                <w:rFonts w:ascii="Arial" w:hAnsi="Arial" w:cs="Arial" w:eastAsia="Arial" w:hint="default"/>
                <w:sz w:val="18"/>
                <w:szCs w:val="18"/>
              </w:rPr>
            </w:pPr>
            <w:r>
              <w:rPr>
                <w:rFonts w:ascii="Arial"/>
                <w:w w:val="99"/>
                <w:sz w:val="18"/>
              </w:rPr>
              <w:t>3</w:t>
            </w:r>
            <w:r>
              <w:rPr>
                <w:rFonts w:ascii="Arial"/>
                <w:sz w:val="18"/>
              </w:rPr>
            </w:r>
          </w:p>
        </w:tc>
        <w:tc>
          <w:tcPr>
            <w:tcW w:w="1324" w:type="dxa"/>
            <w:tcBorders>
              <w:top w:val="single" w:sz="4" w:space="0" w:color="2D74B5"/>
              <w:left w:val="nil" w:sz="6" w:space="0" w:color="auto"/>
              <w:bottom w:val="single" w:sz="4" w:space="0" w:color="2D74B5"/>
              <w:right w:val="nil" w:sz="6" w:space="0" w:color="auto"/>
            </w:tcBorders>
          </w:tcPr>
          <w:p>
            <w:pPr>
              <w:pStyle w:val="TableParagraph"/>
              <w:spacing w:line="240" w:lineRule="auto" w:before="88"/>
              <w:ind w:right="107"/>
              <w:jc w:val="right"/>
              <w:rPr>
                <w:rFonts w:ascii="Arial" w:hAnsi="Arial" w:cs="Arial" w:eastAsia="Arial" w:hint="default"/>
                <w:sz w:val="18"/>
                <w:szCs w:val="18"/>
              </w:rPr>
            </w:pPr>
            <w:r>
              <w:rPr>
                <w:rFonts w:ascii="Arial"/>
                <w:spacing w:val="-1"/>
                <w:w w:val="95"/>
                <w:sz w:val="18"/>
              </w:rPr>
              <w:t>10</w:t>
            </w:r>
            <w:r>
              <w:rPr>
                <w:rFonts w:ascii="Arial"/>
                <w:sz w:val="18"/>
              </w:rPr>
            </w:r>
          </w:p>
        </w:tc>
        <w:tc>
          <w:tcPr>
            <w:tcW w:w="1325"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88"/>
              <w:ind w:right="107"/>
              <w:jc w:val="right"/>
              <w:rPr>
                <w:rFonts w:ascii="Arial" w:hAnsi="Arial" w:cs="Arial" w:eastAsia="Arial" w:hint="default"/>
                <w:sz w:val="18"/>
                <w:szCs w:val="18"/>
              </w:rPr>
            </w:pPr>
            <w:r>
              <w:rPr>
                <w:rFonts w:ascii="Arial"/>
                <w:w w:val="99"/>
                <w:sz w:val="18"/>
              </w:rPr>
              <w:t>1</w:t>
            </w:r>
            <w:r>
              <w:rPr>
                <w:rFonts w:ascii="Arial"/>
                <w:sz w:val="18"/>
              </w:rPr>
            </w:r>
          </w:p>
        </w:tc>
        <w:tc>
          <w:tcPr>
            <w:tcW w:w="1324" w:type="dxa"/>
            <w:tcBorders>
              <w:top w:val="single" w:sz="4" w:space="0" w:color="2D74B5"/>
              <w:left w:val="nil" w:sz="6" w:space="0" w:color="auto"/>
              <w:bottom w:val="single" w:sz="4" w:space="0" w:color="2D74B5"/>
              <w:right w:val="nil" w:sz="6" w:space="0" w:color="auto"/>
            </w:tcBorders>
          </w:tcPr>
          <w:p>
            <w:pPr/>
          </w:p>
        </w:tc>
        <w:tc>
          <w:tcPr>
            <w:tcW w:w="1324" w:type="dxa"/>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2949" w:type="dxa"/>
            <w:gridSpan w:val="2"/>
            <w:tcBorders>
              <w:top w:val="single" w:sz="4" w:space="0" w:color="2D74B5"/>
              <w:left w:val="nil" w:sz="6" w:space="0" w:color="auto"/>
              <w:bottom w:val="single" w:sz="4" w:space="0" w:color="2D74B5"/>
              <w:right w:val="nil" w:sz="6" w:space="0" w:color="auto"/>
            </w:tcBorders>
            <w:shd w:val="clear" w:color="auto" w:fill="DEEAF6"/>
          </w:tcPr>
          <w:p>
            <w:pPr>
              <w:pStyle w:val="TableParagraph"/>
              <w:spacing w:line="240" w:lineRule="auto" w:before="48"/>
              <w:ind w:left="108"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2D74B5"/>
              <w:left w:val="nil" w:sz="6" w:space="0" w:color="auto"/>
              <w:bottom w:val="single" w:sz="4" w:space="0" w:color="2D74B5"/>
              <w:right w:val="nil" w:sz="6" w:space="0" w:color="auto"/>
            </w:tcBorders>
          </w:tcPr>
          <w:p>
            <w:pPr>
              <w:pStyle w:val="TableParagraph"/>
              <w:spacing w:line="240" w:lineRule="auto" w:before="89"/>
              <w:ind w:right="104"/>
              <w:jc w:val="right"/>
              <w:rPr>
                <w:rFonts w:ascii="Arial" w:hAnsi="Arial" w:cs="Arial" w:eastAsia="Arial" w:hint="default"/>
                <w:sz w:val="18"/>
                <w:szCs w:val="18"/>
              </w:rPr>
            </w:pPr>
            <w:r>
              <w:rPr>
                <w:rFonts w:ascii="Arial"/>
                <w:w w:val="99"/>
                <w:sz w:val="18"/>
              </w:rPr>
              <w:t>4</w:t>
            </w:r>
            <w:r>
              <w:rPr>
                <w:rFonts w:ascii="Arial"/>
                <w:sz w:val="18"/>
              </w:rPr>
            </w:r>
          </w:p>
        </w:tc>
      </w:tr>
    </w:tbl>
    <w:p>
      <w:pPr>
        <w:spacing w:line="240" w:lineRule="auto" w:before="4"/>
        <w:rPr>
          <w:rFonts w:ascii="Microsoft JhengHei" w:hAnsi="Microsoft JhengHei" w:cs="Microsoft JhengHei" w:eastAsia="Microsoft JhengHei" w:hint="default"/>
          <w:b/>
          <w:bCs/>
          <w:sz w:val="23"/>
          <w:szCs w:val="23"/>
        </w:rPr>
      </w:pPr>
    </w:p>
    <w:p>
      <w:pPr>
        <w:spacing w:line="348" w:lineRule="exact" w:before="0"/>
        <w:ind w:left="214" w:right="1513" w:firstLine="0"/>
        <w:jc w:val="left"/>
        <w:rPr>
          <w:rFonts w:ascii="Microsoft JhengHei" w:hAnsi="Microsoft JhengHei" w:cs="Microsoft JhengHei" w:eastAsia="Microsoft JhengHei" w:hint="default"/>
          <w:sz w:val="24"/>
          <w:szCs w:val="24"/>
        </w:rPr>
      </w:pPr>
      <w:bookmarkStart w:name="9.5.2 独立董事对公司有关事项提出异议的情况" w:id="240"/>
      <w:bookmarkEnd w:id="240"/>
      <w:r>
        <w:rPr/>
      </w:r>
      <w:r>
        <w:rPr>
          <w:rFonts w:ascii="Trebuchet MS" w:hAnsi="Trebuchet MS" w:cs="Trebuchet MS" w:eastAsia="Trebuchet MS" w:hint="default"/>
          <w:b/>
          <w:bCs/>
          <w:sz w:val="24"/>
          <w:szCs w:val="24"/>
        </w:rPr>
        <w:t>9.5.2</w:t>
      </w:r>
      <w:r>
        <w:rPr>
          <w:rFonts w:ascii="Trebuchet MS" w:hAnsi="Trebuchet MS" w:cs="Trebuchet MS" w:eastAsia="Trebuchet MS" w:hint="default"/>
          <w:b/>
          <w:bCs/>
          <w:spacing w:val="-18"/>
          <w:sz w:val="24"/>
          <w:szCs w:val="24"/>
        </w:rPr>
        <w:t> </w:t>
      </w:r>
      <w:r>
        <w:rPr>
          <w:rFonts w:ascii="Microsoft JhengHei" w:hAnsi="Microsoft JhengHei" w:cs="Microsoft JhengHei" w:eastAsia="Microsoft JhengHei" w:hint="default"/>
          <w:b/>
          <w:bCs/>
          <w:sz w:val="24"/>
          <w:szCs w:val="24"/>
        </w:rPr>
        <w:t>独立董事对公司有关事项提出异议的情况</w:t>
      </w:r>
      <w:r>
        <w:rPr>
          <w:rFonts w:ascii="Microsoft JhengHei" w:hAnsi="Microsoft JhengHei" w:cs="Microsoft JhengHei" w:eastAsia="Microsoft JhengHei" w:hint="default"/>
          <w:sz w:val="24"/>
          <w:szCs w:val="24"/>
        </w:rPr>
      </w:r>
    </w:p>
    <w:p>
      <w:pPr>
        <w:spacing w:line="240" w:lineRule="auto" w:before="8"/>
        <w:rPr>
          <w:rFonts w:ascii="Microsoft JhengHei" w:hAnsi="Microsoft JhengHei" w:cs="Microsoft JhengHei" w:eastAsia="Microsoft JhengHei" w:hint="default"/>
          <w:b/>
          <w:bCs/>
          <w:sz w:val="30"/>
          <w:szCs w:val="30"/>
        </w:rPr>
      </w:pPr>
    </w:p>
    <w:p>
      <w:pPr>
        <w:pStyle w:val="BodyText"/>
        <w:spacing w:line="240" w:lineRule="auto"/>
        <w:ind w:left="214" w:right="1513"/>
        <w:jc w:val="left"/>
      </w:pPr>
      <w:r>
        <w:rPr/>
        <w:t>报告期内独立董事未对公司有关事项提出异议。</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2"/>
        <w:spacing w:line="240" w:lineRule="auto"/>
        <w:ind w:left="214" w:right="1513"/>
        <w:jc w:val="left"/>
        <w:rPr>
          <w:b w:val="0"/>
          <w:bCs w:val="0"/>
        </w:rPr>
      </w:pPr>
      <w:bookmarkStart w:name="9.5.3 独立董事履行职责的其他说明" w:id="241"/>
      <w:bookmarkEnd w:id="241"/>
      <w:r>
        <w:rPr>
          <w:b w:val="0"/>
          <w:bCs w:val="0"/>
        </w:rPr>
      </w:r>
      <w:r>
        <w:rPr>
          <w:rFonts w:ascii="Trebuchet MS" w:hAnsi="Trebuchet MS" w:cs="Trebuchet MS" w:eastAsia="Trebuchet MS" w:hint="default"/>
        </w:rPr>
        <w:t>9.5.3</w:t>
      </w:r>
      <w:r>
        <w:rPr>
          <w:rFonts w:ascii="Trebuchet MS" w:hAnsi="Trebuchet MS" w:cs="Trebuchet MS" w:eastAsia="Trebuchet MS" w:hint="default"/>
          <w:spacing w:val="-18"/>
        </w:rPr>
        <w:t> </w:t>
      </w:r>
      <w:r>
        <w:rPr/>
        <w:t>独立董事履行职责的其他说明</w:t>
      </w:r>
      <w:r>
        <w:rPr>
          <w:b w:val="0"/>
          <w:bCs w:val="0"/>
        </w:rPr>
      </w:r>
    </w:p>
    <w:p>
      <w:pPr>
        <w:spacing w:line="240" w:lineRule="auto" w:before="8"/>
        <w:rPr>
          <w:rFonts w:ascii="Microsoft JhengHei" w:hAnsi="Microsoft JhengHei" w:cs="Microsoft JhengHei" w:eastAsia="Microsoft JhengHei" w:hint="default"/>
          <w:b/>
          <w:bCs/>
          <w:sz w:val="30"/>
          <w:szCs w:val="30"/>
        </w:rPr>
      </w:pPr>
    </w:p>
    <w:p>
      <w:pPr>
        <w:pStyle w:val="BodyText"/>
        <w:spacing w:line="408" w:lineRule="auto"/>
        <w:ind w:left="213" w:right="1131" w:firstLine="420"/>
        <w:jc w:val="both"/>
      </w:pPr>
      <w:r>
        <w:rPr>
          <w:spacing w:val="-1"/>
        </w:rPr>
        <w:t>在报告期内，公司独立董事严格依据《独立董事工作制度》勤勉尽责，忠实履行独立董事职责。各位</w:t>
      </w:r>
      <w:r>
        <w:rPr/>
        <w:t> </w:t>
      </w:r>
      <w:r>
        <w:rPr>
          <w:spacing w:val="-1"/>
        </w:rPr>
        <w:t>独立董事通过认真审阅公司董事会及专项委员会的各项议案，及时了解和沟通，发表独立意见，行使其职</w:t>
      </w:r>
      <w:r>
        <w:rPr>
          <w:spacing w:val="-83"/>
        </w:rPr>
        <w:t> </w:t>
      </w:r>
      <w:r>
        <w:rPr>
          <w:spacing w:val="-83"/>
        </w:rPr>
      </w:r>
      <w:r>
        <w:rPr>
          <w:spacing w:val="-1"/>
        </w:rPr>
        <w:t>权；通过事前意见和董事会发表独立意见等方式，对公司关联交易、利润分配、聘请审计机构、聘任高级</w:t>
      </w:r>
      <w:r>
        <w:rPr>
          <w:spacing w:val="-83"/>
        </w:rPr>
        <w:t> </w:t>
      </w:r>
      <w:r>
        <w:rPr>
          <w:spacing w:val="-83"/>
        </w:rPr>
      </w:r>
      <w:r>
        <w:rPr>
          <w:spacing w:val="-1"/>
        </w:rPr>
        <w:t>管理人员等其他需要独立董事发表意见的事项发表专业意见；独立董事关注公司运作的规范性，现场了解</w:t>
      </w:r>
      <w:r>
        <w:rPr>
          <w:spacing w:val="-81"/>
        </w:rPr>
        <w:t> </w:t>
      </w:r>
      <w:r>
        <w:rPr>
          <w:spacing w:val="-81"/>
        </w:rPr>
      </w:r>
      <w:r>
        <w:rPr/>
        <w:t>公司的经营情况，积极履行做为独立董事义务与职责。</w:t>
      </w:r>
    </w:p>
    <w:p>
      <w:pPr>
        <w:pStyle w:val="BodyText"/>
        <w:spacing w:line="408" w:lineRule="auto" w:before="46"/>
        <w:ind w:left="214" w:right="419" w:firstLine="631"/>
        <w:jc w:val="left"/>
      </w:pPr>
      <w:r>
        <w:rPr>
          <w:spacing w:val="-1"/>
        </w:rPr>
        <w:t>独立董事的专业、独立意见，对公司财务、经营活动和投资决策进行了有效监督，提高了公司决策</w:t>
      </w:r>
      <w:r>
        <w:rPr/>
        <w:t> 的科学性，有助于完善公司内部控制机制，提高公司管理水平，维护公司和全体股东的合法权益。</w:t>
      </w:r>
    </w:p>
    <w:p>
      <w:pPr>
        <w:spacing w:after="0" w:line="408" w:lineRule="auto"/>
        <w:jc w:val="left"/>
        <w:sectPr>
          <w:pgSz w:w="11910" w:h="16840"/>
          <w:pgMar w:header="877" w:footer="979" w:top="1100" w:bottom="1160" w:left="920" w:right="0"/>
        </w:sectPr>
      </w:pPr>
    </w:p>
    <w:p>
      <w:pPr>
        <w:spacing w:line="240" w:lineRule="auto" w:before="0"/>
        <w:rPr>
          <w:rFonts w:ascii="宋体" w:hAnsi="宋体" w:cs="宋体" w:eastAsia="宋体" w:hint="default"/>
          <w:sz w:val="20"/>
          <w:szCs w:val="20"/>
        </w:rPr>
      </w:pPr>
    </w:p>
    <w:p>
      <w:pPr>
        <w:pStyle w:val="Heading1"/>
        <w:spacing w:line="240" w:lineRule="auto" w:before="25"/>
        <w:ind w:right="0"/>
        <w:jc w:val="both"/>
        <w:rPr>
          <w:b w:val="0"/>
          <w:bCs w:val="0"/>
        </w:rPr>
      </w:pPr>
      <w:bookmarkStart w:name="9.6 董事会下设专门委员会在报告期内履行职责情况" w:id="242"/>
      <w:bookmarkEnd w:id="242"/>
      <w:r>
        <w:rPr>
          <w:b w:val="0"/>
          <w:bCs w:val="0"/>
        </w:rPr>
      </w:r>
      <w:bookmarkStart w:name="_bookmark68" w:id="243"/>
      <w:bookmarkEnd w:id="243"/>
      <w:r>
        <w:rPr>
          <w:b w:val="0"/>
          <w:bCs w:val="0"/>
        </w:rPr>
      </w:r>
      <w:r>
        <w:rPr>
          <w:rFonts w:ascii="Trebuchet MS" w:hAnsi="Trebuchet MS" w:cs="Trebuchet MS" w:eastAsia="Trebuchet MS" w:hint="default"/>
        </w:rPr>
        <w:t>9.6</w:t>
      </w:r>
      <w:r>
        <w:rPr>
          <w:rFonts w:ascii="Trebuchet MS" w:hAnsi="Trebuchet MS" w:cs="Trebuchet MS" w:eastAsia="Trebuchet MS" w:hint="default"/>
          <w:spacing w:val="14"/>
        </w:rPr>
        <w:t> </w:t>
      </w:r>
      <w:r>
        <w:rPr/>
        <w:t>董事会下设专门委员会在报告期内履行职责情况</w:t>
      </w:r>
      <w:r>
        <w:rPr>
          <w:b w:val="0"/>
          <w:bCs w:val="0"/>
        </w:rPr>
      </w:r>
    </w:p>
    <w:p>
      <w:pPr>
        <w:pStyle w:val="BodyText"/>
        <w:spacing w:line="398" w:lineRule="auto" w:before="193"/>
        <w:ind w:right="1130" w:firstLine="420"/>
        <w:jc w:val="both"/>
      </w:pPr>
      <w:r>
        <w:rPr>
          <w:spacing w:val="-1"/>
        </w:rPr>
        <w:t>公司董事会下设战略委员会、审计委员会、提名委员会、薪酬与考核委员会。报告期内，公司董事会</w:t>
      </w:r>
      <w:r>
        <w:rPr/>
        <w:t> </w:t>
      </w:r>
      <w:r>
        <w:rPr>
          <w:spacing w:val="-2"/>
        </w:rPr>
        <w:t>各专门委员会充分发挥专业性作用，科学决策，审慎监督，切实履行工作职责，为公司</w:t>
      </w:r>
      <w:r>
        <w:rPr>
          <w:rFonts w:ascii="Arial" w:hAnsi="Arial" w:cs="Arial" w:eastAsia="Arial" w:hint="default"/>
          <w:spacing w:val="-2"/>
        </w:rPr>
        <w:t>2015</w:t>
      </w:r>
      <w:r>
        <w:rPr>
          <w:spacing w:val="-2"/>
        </w:rPr>
        <w:t>年度的组织建</w:t>
      </w:r>
      <w:r>
        <w:rPr>
          <w:spacing w:val="-78"/>
        </w:rPr>
        <w:t> </w:t>
      </w:r>
      <w:r>
        <w:rPr/>
        <w:t>设和团队管理做了大量的工作，有效提升了公司管理水平。</w:t>
      </w:r>
    </w:p>
    <w:p>
      <w:pPr>
        <w:pStyle w:val="BodyText"/>
        <w:spacing w:line="400" w:lineRule="auto" w:before="54"/>
        <w:ind w:right="1129" w:firstLine="420"/>
        <w:jc w:val="both"/>
      </w:pPr>
      <w:r>
        <w:rPr>
          <w:spacing w:val="-1"/>
        </w:rPr>
        <w:t>公司董事会战略委员会按照《独立董事工作细则》、《战略委员会工作细则》等相关制度的规定，深</w:t>
      </w:r>
      <w:r>
        <w:rPr/>
        <w:t> </w:t>
      </w:r>
      <w:r>
        <w:rPr>
          <w:spacing w:val="-1"/>
        </w:rPr>
        <w:t>入了解公司的经营情况及发展状况，对子公司的战略规划进行审核，积极研究符合公司发展方向的战略布</w:t>
      </w:r>
      <w:r>
        <w:rPr>
          <w:spacing w:val="-81"/>
        </w:rPr>
        <w:t> </w:t>
      </w:r>
      <w:r>
        <w:rPr>
          <w:spacing w:val="-81"/>
        </w:rPr>
      </w:r>
      <w:r>
        <w:rPr>
          <w:spacing w:val="-2"/>
        </w:rPr>
        <w:t>局，为公司的健康、快速发展出谋划策。报告期内，共召开战略委员会</w:t>
      </w:r>
      <w:r>
        <w:rPr>
          <w:rFonts w:ascii="Arial" w:hAnsi="Arial" w:cs="Arial" w:eastAsia="Arial" w:hint="default"/>
          <w:spacing w:val="-2"/>
        </w:rPr>
        <w:t>12</w:t>
      </w:r>
      <w:r>
        <w:rPr>
          <w:spacing w:val="-2"/>
        </w:rPr>
        <w:t>次，审议议案</w:t>
      </w:r>
      <w:r>
        <w:rPr>
          <w:rFonts w:ascii="Arial" w:hAnsi="Arial" w:cs="Arial" w:eastAsia="Arial" w:hint="default"/>
          <w:spacing w:val="-2"/>
        </w:rPr>
        <w:t>18</w:t>
      </w:r>
      <w:r>
        <w:rPr>
          <w:spacing w:val="-2"/>
        </w:rPr>
        <w:t>项，不存在异议</w:t>
      </w:r>
      <w:r>
        <w:rPr>
          <w:spacing w:val="-79"/>
        </w:rPr>
        <w:t> </w:t>
      </w:r>
      <w:r>
        <w:rPr>
          <w:spacing w:val="-79"/>
        </w:rPr>
      </w:r>
      <w:r>
        <w:rPr/>
        <w:t>事项；</w:t>
      </w:r>
    </w:p>
    <w:p>
      <w:pPr>
        <w:pStyle w:val="BodyText"/>
        <w:spacing w:line="398" w:lineRule="auto" w:before="52"/>
        <w:ind w:right="0" w:firstLine="420"/>
        <w:jc w:val="left"/>
      </w:pPr>
      <w:r>
        <w:rPr>
          <w:spacing w:val="-6"/>
        </w:rPr>
        <w:t>公司董事会审计委员会严格按照《独立董事工作细则》和《审计委员会工作细则》等相关制度的规定，</w:t>
      </w:r>
      <w:r>
        <w:rPr/>
        <w:t> </w:t>
      </w:r>
      <w:r>
        <w:rPr>
          <w:spacing w:val="-1"/>
          <w:w w:val="95"/>
        </w:rPr>
        <w:t>审议了公司</w:t>
      </w:r>
      <w:r>
        <w:rPr>
          <w:rFonts w:ascii="Arial" w:hAnsi="Arial" w:cs="Arial" w:eastAsia="Arial" w:hint="default"/>
          <w:spacing w:val="-1"/>
          <w:w w:val="95"/>
        </w:rPr>
        <w:t>2015</w:t>
      </w:r>
      <w:r>
        <w:rPr>
          <w:spacing w:val="-1"/>
          <w:w w:val="95"/>
        </w:rPr>
        <w:t>年各项对外担保的事项，公司</w:t>
      </w:r>
      <w:r>
        <w:rPr>
          <w:rFonts w:ascii="Arial" w:hAnsi="Arial" w:cs="Arial" w:eastAsia="Arial" w:hint="default"/>
          <w:spacing w:val="-1"/>
          <w:w w:val="95"/>
        </w:rPr>
        <w:t>2014</w:t>
      </w:r>
      <w:r>
        <w:rPr>
          <w:spacing w:val="-1"/>
          <w:w w:val="95"/>
        </w:rPr>
        <w:t>年年报信息事项以及</w:t>
      </w:r>
      <w:r>
        <w:rPr>
          <w:rFonts w:ascii="Arial" w:hAnsi="Arial" w:cs="Arial" w:eastAsia="Arial" w:hint="default"/>
          <w:spacing w:val="-1"/>
          <w:w w:val="95"/>
        </w:rPr>
        <w:t>2015</w:t>
      </w:r>
      <w:r>
        <w:rPr>
          <w:spacing w:val="-1"/>
          <w:w w:val="95"/>
        </w:rPr>
        <w:t>年季度报和半年度报等事项。</w:t>
      </w:r>
      <w:r>
        <w:rPr>
          <w:spacing w:val="84"/>
          <w:w w:val="95"/>
        </w:rPr>
        <w:t> </w:t>
      </w:r>
      <w:r>
        <w:rPr/>
        <w:t>报告期内，共召开审计委员会</w:t>
      </w:r>
      <w:r>
        <w:rPr>
          <w:rFonts w:ascii="Arial" w:hAnsi="Arial" w:cs="Arial" w:eastAsia="Arial" w:hint="default"/>
        </w:rPr>
        <w:t>4</w:t>
      </w:r>
      <w:r>
        <w:rPr/>
        <w:t>次，审议议案</w:t>
      </w:r>
      <w:r>
        <w:rPr>
          <w:rFonts w:ascii="Arial" w:hAnsi="Arial" w:cs="Arial" w:eastAsia="Arial" w:hint="default"/>
        </w:rPr>
        <w:t>28</w:t>
      </w:r>
      <w:r>
        <w:rPr/>
        <w:t>项，不存在异议事项；</w:t>
      </w:r>
    </w:p>
    <w:p>
      <w:pPr>
        <w:pStyle w:val="BodyText"/>
        <w:spacing w:line="408" w:lineRule="auto" w:before="23"/>
        <w:ind w:right="0" w:firstLine="420"/>
        <w:jc w:val="left"/>
      </w:pPr>
      <w:r>
        <w:rPr/>
        <w:t>公司董事会提名委员会严格按照《独立董事工作细则》和《提名委员会实施细则》等相关制度的规定 开展工作，提名周友盟女士为公司总裁，喻子达先生为公司非独立董事，米泽东先生为公司财务负责人，</w:t>
      </w:r>
      <w:r>
        <w:rPr>
          <w:spacing w:val="-32"/>
        </w:rPr>
        <w:t> </w:t>
      </w:r>
      <w:r>
        <w:rPr>
          <w:spacing w:val="-32"/>
        </w:rPr>
      </w:r>
      <w:r>
        <w:rPr/>
        <w:t>提名刘红花女士、米泽东先生、余斌先生、杨治先生为公司副总裁。为公司提供了业务素质与职业道德高</w:t>
      </w:r>
    </w:p>
    <w:p>
      <w:pPr>
        <w:pStyle w:val="BodyText"/>
        <w:spacing w:line="388" w:lineRule="auto" w:before="46"/>
        <w:ind w:left="573" w:right="0" w:hanging="420"/>
        <w:jc w:val="left"/>
      </w:pPr>
      <w:r>
        <w:rPr/>
        <w:t>且任职资格合法合规的管理层人选。报告期内，共召开提名委员会</w:t>
      </w:r>
      <w:r>
        <w:rPr>
          <w:rFonts w:ascii="Arial" w:hAnsi="Arial" w:cs="Arial" w:eastAsia="Arial" w:hint="default"/>
        </w:rPr>
        <w:t>3</w:t>
      </w:r>
      <w:r>
        <w:rPr/>
        <w:t>次，审议议案</w:t>
      </w:r>
      <w:r>
        <w:rPr>
          <w:rFonts w:ascii="Arial" w:hAnsi="Arial" w:cs="Arial" w:eastAsia="Arial" w:hint="default"/>
        </w:rPr>
        <w:t>4</w:t>
      </w:r>
      <w:r>
        <w:rPr/>
        <w:t>项，不存在异议事项；</w:t>
      </w:r>
      <w:r>
        <w:rPr>
          <w:spacing w:val="-57"/>
        </w:rPr>
        <w:t> </w:t>
      </w:r>
      <w:r>
        <w:rPr>
          <w:spacing w:val="-57"/>
        </w:rPr>
      </w:r>
      <w:r>
        <w:rPr/>
        <w:t>公司董事会薪酬与考核委员会严格按照《独立董事工作细则》和《薪酬与考核委员会严实施细则》等</w:t>
      </w:r>
    </w:p>
    <w:p>
      <w:pPr>
        <w:pStyle w:val="BodyText"/>
        <w:spacing w:line="393" w:lineRule="auto" w:before="63"/>
        <w:ind w:right="1130"/>
        <w:jc w:val="both"/>
      </w:pPr>
      <w:r>
        <w:rPr>
          <w:spacing w:val="-1"/>
        </w:rPr>
        <w:t>相关制度的规定，审议并确定了公司财务负责人和副总裁的薪酬，审议并确认首期股票期权与限制性股票</w:t>
      </w:r>
      <w:r>
        <w:rPr>
          <w:spacing w:val="-81"/>
        </w:rPr>
        <w:t> </w:t>
      </w:r>
      <w:r>
        <w:rPr>
          <w:spacing w:val="-81"/>
        </w:rPr>
      </w:r>
      <w:r>
        <w:rPr/>
        <w:t>激励计划第三个行权</w:t>
      </w:r>
      <w:r>
        <w:rPr>
          <w:rFonts w:ascii="Arial" w:hAnsi="Arial" w:cs="Arial" w:eastAsia="Arial" w:hint="default"/>
        </w:rPr>
        <w:t>/</w:t>
      </w:r>
      <w:r>
        <w:rPr/>
        <w:t>解锁期失效及相关事项，审议并确认了第二期股票期权激励计划第一个行权期结束</w:t>
      </w:r>
      <w:r>
        <w:rPr>
          <w:spacing w:val="20"/>
        </w:rPr>
        <w:t> </w:t>
      </w:r>
      <w:r>
        <w:rPr>
          <w:spacing w:val="20"/>
        </w:rPr>
      </w:r>
      <w:r>
        <w:rPr/>
        <w:t>拟注销失效股票期权暨确认第二个行权期失效及相关事项，报告期内，共召开薪酬与考核委员会</w:t>
      </w:r>
      <w:r>
        <w:rPr>
          <w:rFonts w:ascii="Arial" w:hAnsi="Arial" w:cs="Arial" w:eastAsia="Arial" w:hint="default"/>
        </w:rPr>
        <w:t>3</w:t>
      </w:r>
      <w:r>
        <w:rPr/>
        <w:t>次，审</w:t>
      </w:r>
      <w:r>
        <w:rPr>
          <w:spacing w:val="-37"/>
        </w:rPr>
        <w:t> </w:t>
      </w:r>
      <w:r>
        <w:rPr>
          <w:spacing w:val="-37"/>
        </w:rPr>
      </w:r>
      <w:r>
        <w:rPr/>
        <w:t>议议案</w:t>
      </w:r>
      <w:r>
        <w:rPr>
          <w:rFonts w:ascii="Arial" w:hAnsi="Arial" w:cs="Arial" w:eastAsia="Arial" w:hint="default"/>
        </w:rPr>
        <w:t>4</w:t>
      </w:r>
      <w:r>
        <w:rPr/>
        <w:t>项，不存在异议事项。</w:t>
      </w:r>
    </w:p>
    <w:p>
      <w:pPr>
        <w:pStyle w:val="Heading1"/>
        <w:spacing w:line="468" w:lineRule="exact"/>
        <w:ind w:right="0"/>
        <w:jc w:val="both"/>
        <w:rPr>
          <w:b w:val="0"/>
          <w:bCs w:val="0"/>
        </w:rPr>
      </w:pPr>
      <w:bookmarkStart w:name="9.7 监事会工作情况" w:id="244"/>
      <w:bookmarkEnd w:id="244"/>
      <w:r>
        <w:rPr>
          <w:b w:val="0"/>
          <w:bCs w:val="0"/>
        </w:rPr>
      </w:r>
      <w:bookmarkStart w:name="_bookmark69" w:id="245"/>
      <w:bookmarkEnd w:id="245"/>
      <w:r>
        <w:rPr>
          <w:b w:val="0"/>
          <w:bCs w:val="0"/>
        </w:rPr>
      </w:r>
      <w:r>
        <w:rPr>
          <w:rFonts w:ascii="Trebuchet MS" w:hAnsi="Trebuchet MS" w:cs="Trebuchet MS" w:eastAsia="Trebuchet MS" w:hint="default"/>
        </w:rPr>
        <w:t>9.7</w:t>
      </w:r>
      <w:r>
        <w:rPr>
          <w:rFonts w:ascii="Trebuchet MS" w:hAnsi="Trebuchet MS" w:cs="Trebuchet MS" w:eastAsia="Trebuchet MS" w:hint="default"/>
          <w:spacing w:val="14"/>
        </w:rPr>
        <w:t> </w:t>
      </w:r>
      <w:r>
        <w:rPr/>
        <w:t>监事会工作情况</w:t>
      </w:r>
      <w:r>
        <w:rPr>
          <w:b w:val="0"/>
          <w:bCs w:val="0"/>
        </w:rPr>
      </w:r>
    </w:p>
    <w:p>
      <w:pPr>
        <w:pStyle w:val="BodyText"/>
        <w:spacing w:line="240" w:lineRule="auto" w:before="193"/>
        <w:ind w:left="574" w:right="0"/>
        <w:jc w:val="left"/>
      </w:pPr>
      <w:r>
        <w:rPr/>
        <w:t>监事会对报告期内的监督事项无异议。</w:t>
      </w:r>
    </w:p>
    <w:p>
      <w:pPr>
        <w:pStyle w:val="Heading1"/>
        <w:spacing w:line="240" w:lineRule="auto" w:before="111"/>
        <w:ind w:left="154" w:right="0"/>
        <w:jc w:val="both"/>
        <w:rPr>
          <w:b w:val="0"/>
          <w:bCs w:val="0"/>
        </w:rPr>
      </w:pPr>
      <w:bookmarkStart w:name="9.8 高级管理人员的考评及激励情况" w:id="246"/>
      <w:bookmarkEnd w:id="246"/>
      <w:r>
        <w:rPr>
          <w:b w:val="0"/>
          <w:bCs w:val="0"/>
        </w:rPr>
      </w:r>
      <w:bookmarkStart w:name="_bookmark70" w:id="247"/>
      <w:bookmarkEnd w:id="247"/>
      <w:r>
        <w:rPr>
          <w:b w:val="0"/>
          <w:bCs w:val="0"/>
        </w:rPr>
      </w:r>
      <w:r>
        <w:rPr>
          <w:rFonts w:ascii="Trebuchet MS" w:hAnsi="Trebuchet MS" w:cs="Trebuchet MS" w:eastAsia="Trebuchet MS" w:hint="default"/>
        </w:rPr>
        <w:t>9.8</w:t>
      </w:r>
      <w:r>
        <w:rPr>
          <w:rFonts w:ascii="Trebuchet MS" w:hAnsi="Trebuchet MS" w:cs="Trebuchet MS" w:eastAsia="Trebuchet MS" w:hint="default"/>
          <w:spacing w:val="14"/>
        </w:rPr>
        <w:t> </w:t>
      </w:r>
      <w:r>
        <w:rPr/>
        <w:t>高级管理人员的考评及激励情况</w:t>
      </w:r>
      <w:r>
        <w:rPr>
          <w:b w:val="0"/>
          <w:bCs w:val="0"/>
        </w:rPr>
      </w:r>
    </w:p>
    <w:p>
      <w:pPr>
        <w:pStyle w:val="BodyText"/>
        <w:spacing w:line="408" w:lineRule="auto" w:before="205"/>
        <w:ind w:left="154" w:right="1130" w:firstLine="420"/>
        <w:jc w:val="both"/>
      </w:pPr>
      <w:r>
        <w:rPr>
          <w:spacing w:val="-1"/>
        </w:rPr>
        <w:t>公司建立了较为健全的考评和激励机制，形成了比较科学的奖罚制度。公司在每年年初和高级管理人</w:t>
      </w:r>
      <w:r>
        <w:rPr/>
        <w:t> </w:t>
      </w:r>
      <w:r>
        <w:rPr>
          <w:spacing w:val="-1"/>
        </w:rPr>
        <w:t>员都签订年度绩效责任书，以此明确综合绩效指标（包括量化的财务指标和定性的管理指标）和考核结果</w:t>
      </w:r>
      <w:r>
        <w:rPr>
          <w:spacing w:val="-83"/>
        </w:rPr>
        <w:t> </w:t>
      </w:r>
      <w:r>
        <w:rPr>
          <w:spacing w:val="-83"/>
        </w:rPr>
      </w:r>
      <w:r>
        <w:rPr>
          <w:spacing w:val="-1"/>
        </w:rPr>
        <w:t>应用（即明确考核结果如何与职位、工资、奖金挂钩）。公司对高级管理人员实行“半年度回顾、年度考</w:t>
      </w:r>
      <w:r>
        <w:rPr>
          <w:spacing w:val="-85"/>
        </w:rPr>
        <w:t> </w:t>
      </w:r>
      <w:r>
        <w:rPr>
          <w:spacing w:val="-85"/>
        </w:rPr>
      </w:r>
      <w:r>
        <w:rPr/>
        <w:t>核”，并严格按照有关制度兑现考核结果的应用，包括对报酬的应用和对职位的应用。</w:t>
      </w:r>
    </w:p>
    <w:p>
      <w:pPr>
        <w:spacing w:after="0" w:line="408" w:lineRule="auto"/>
        <w:jc w:val="both"/>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pStyle w:val="Heading1"/>
        <w:spacing w:line="240" w:lineRule="auto" w:before="25"/>
        <w:ind w:right="0"/>
        <w:jc w:val="left"/>
        <w:rPr>
          <w:b w:val="0"/>
          <w:bCs w:val="0"/>
        </w:rPr>
      </w:pPr>
      <w:bookmarkStart w:name="9.9 内部控制评价报告" w:id="248"/>
      <w:bookmarkEnd w:id="248"/>
      <w:r>
        <w:rPr>
          <w:b w:val="0"/>
          <w:bCs w:val="0"/>
        </w:rPr>
      </w:r>
      <w:bookmarkStart w:name="_bookmark71" w:id="249"/>
      <w:bookmarkEnd w:id="249"/>
      <w:r>
        <w:rPr>
          <w:b w:val="0"/>
          <w:bCs w:val="0"/>
        </w:rPr>
      </w:r>
      <w:r>
        <w:rPr>
          <w:rFonts w:ascii="Trebuchet MS" w:hAnsi="Trebuchet MS" w:cs="Trebuchet MS" w:eastAsia="Trebuchet MS" w:hint="default"/>
        </w:rPr>
        <w:t>9.9</w:t>
      </w:r>
      <w:r>
        <w:rPr>
          <w:rFonts w:ascii="Trebuchet MS" w:hAnsi="Trebuchet MS" w:cs="Trebuchet MS" w:eastAsia="Trebuchet MS" w:hint="default"/>
          <w:spacing w:val="14"/>
        </w:rPr>
        <w:t> </w:t>
      </w:r>
      <w:r>
        <w:rPr/>
        <w:t>内部控制评价报告</w:t>
      </w:r>
      <w:r>
        <w:rPr>
          <w:b w:val="0"/>
          <w:bCs w:val="0"/>
        </w:rPr>
      </w:r>
    </w:p>
    <w:p>
      <w:pPr>
        <w:spacing w:line="240" w:lineRule="auto" w:before="17"/>
        <w:rPr>
          <w:rFonts w:ascii="Microsoft JhengHei" w:hAnsi="Microsoft JhengHei" w:cs="Microsoft JhengHei" w:eastAsia="Microsoft JhengHei" w:hint="default"/>
          <w:b/>
          <w:bCs/>
          <w:sz w:val="26"/>
          <w:szCs w:val="26"/>
        </w:rPr>
      </w:pPr>
    </w:p>
    <w:p>
      <w:pPr>
        <w:pStyle w:val="Heading2"/>
        <w:spacing w:line="240" w:lineRule="auto"/>
        <w:ind w:right="0"/>
        <w:jc w:val="left"/>
        <w:rPr>
          <w:b w:val="0"/>
          <w:bCs w:val="0"/>
        </w:rPr>
      </w:pPr>
      <w:bookmarkStart w:name="9.9.1 报告期内发现的内部控制重大缺陷的具体情况" w:id="250"/>
      <w:bookmarkEnd w:id="250"/>
      <w:r>
        <w:rPr>
          <w:b w:val="0"/>
          <w:bCs w:val="0"/>
        </w:rPr>
      </w:r>
      <w:r>
        <w:rPr>
          <w:rFonts w:ascii="Trebuchet MS" w:hAnsi="Trebuchet MS" w:cs="Trebuchet MS" w:eastAsia="Trebuchet MS" w:hint="default"/>
        </w:rPr>
        <w:t>9.9.1</w:t>
      </w:r>
      <w:r>
        <w:rPr>
          <w:rFonts w:ascii="Trebuchet MS" w:hAnsi="Trebuchet MS" w:cs="Trebuchet MS" w:eastAsia="Trebuchet MS" w:hint="default"/>
          <w:spacing w:val="-18"/>
        </w:rPr>
        <w:t> </w:t>
      </w:r>
      <w:r>
        <w:rPr/>
        <w:t>报告期内发现的内部控制重大缺陷的具体情况</w:t>
      </w:r>
      <w:r>
        <w:rPr>
          <w:b w:val="0"/>
          <w:bCs w:val="0"/>
        </w:rPr>
      </w:r>
    </w:p>
    <w:p>
      <w:pPr>
        <w:spacing w:line="240" w:lineRule="auto" w:before="9"/>
        <w:rPr>
          <w:rFonts w:ascii="Microsoft JhengHei" w:hAnsi="Microsoft JhengHei" w:cs="Microsoft JhengHei" w:eastAsia="Microsoft JhengHei"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是</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Heading2"/>
        <w:spacing w:line="240" w:lineRule="auto"/>
        <w:ind w:right="0"/>
        <w:jc w:val="left"/>
        <w:rPr>
          <w:b w:val="0"/>
          <w:bCs w:val="0"/>
        </w:rPr>
      </w:pPr>
      <w:bookmarkStart w:name="9.9.2 内控自我评价报告" w:id="251"/>
      <w:bookmarkEnd w:id="251"/>
      <w:r>
        <w:rPr>
          <w:b w:val="0"/>
          <w:bCs w:val="0"/>
        </w:rPr>
      </w:r>
      <w:r>
        <w:rPr>
          <w:rFonts w:ascii="Trebuchet MS" w:hAnsi="Trebuchet MS" w:cs="Trebuchet MS" w:eastAsia="Trebuchet MS" w:hint="default"/>
        </w:rPr>
        <w:t>9.9.2</w:t>
      </w:r>
      <w:r>
        <w:rPr>
          <w:rFonts w:ascii="Trebuchet MS" w:hAnsi="Trebuchet MS" w:cs="Trebuchet MS" w:eastAsia="Trebuchet MS" w:hint="default"/>
          <w:spacing w:val="-18"/>
        </w:rPr>
        <w:t> </w:t>
      </w:r>
      <w:r>
        <w:rPr/>
        <w:t>内控自我评价报告</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3"/>
        <w:rPr>
          <w:rFonts w:ascii="Microsoft JhengHei" w:hAnsi="Microsoft JhengHei" w:cs="Microsoft JhengHei" w:eastAsia="Microsoft JhengHei" w:hint="default"/>
          <w:b/>
          <w:bCs/>
          <w:sz w:val="11"/>
          <w:szCs w:val="11"/>
        </w:rPr>
      </w:pPr>
    </w:p>
    <w:p>
      <w:pPr>
        <w:spacing w:before="29"/>
        <w:ind w:left="0" w:right="1171" w:firstLine="0"/>
        <w:jc w:val="right"/>
        <w:rPr>
          <w:rFonts w:ascii="宋体" w:hAnsi="宋体" w:cs="宋体" w:eastAsia="宋体" w:hint="default"/>
          <w:sz w:val="18"/>
          <w:szCs w:val="18"/>
        </w:rPr>
      </w:pPr>
      <w:r>
        <w:rPr/>
        <w:pict>
          <v:shape style="position:absolute;margin-left:55.529999pt;margin-top:-247.738281pt;width:477.75pt;height:511.1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3"/>
                    <w:gridCol w:w="3331"/>
                    <w:gridCol w:w="3037"/>
                  </w:tblGrid>
                  <w:tr>
                    <w:trPr>
                      <w:trHeight w:val="402" w:hRule="exact"/>
                    </w:trPr>
                    <w:tc>
                      <w:tcPr>
                        <w:tcW w:w="317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68" w:type="dxa"/>
                        <w:gridSpan w:val="2"/>
                        <w:tcBorders>
                          <w:top w:val="single" w:sz="4" w:space="0" w:color="5B9BD4"/>
                          <w:left w:val="single" w:sz="11" w:space="0" w:color="DEEAF6"/>
                          <w:bottom w:val="single" w:sz="4" w:space="0" w:color="5B9BD4"/>
                          <w:right w:val="nil" w:sz="6" w:space="0" w:color="auto"/>
                        </w:tcBorders>
                      </w:tcPr>
                      <w:p>
                        <w:pPr>
                          <w:pStyle w:val="TableParagraph"/>
                          <w:spacing w:line="240" w:lineRule="auto" w:before="46"/>
                          <w:ind w:left="20"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04</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19</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161" w:hRule="exact"/>
                    </w:trPr>
                    <w:tc>
                      <w:tcPr>
                        <w:tcW w:w="3173" w:type="dxa"/>
                        <w:tcBorders>
                          <w:top w:val="single" w:sz="4" w:space="0" w:color="5B9BD4"/>
                          <w:left w:val="nil" w:sz="6" w:space="0" w:color="auto"/>
                          <w:bottom w:val="nil" w:sz="6" w:space="0" w:color="auto"/>
                          <w:right w:val="nil" w:sz="6" w:space="0" w:color="auto"/>
                        </w:tcBorders>
                        <w:shd w:val="clear" w:color="auto" w:fill="DEEAF6"/>
                      </w:tcPr>
                      <w:p>
                        <w:pPr/>
                      </w:p>
                    </w:tc>
                    <w:tc>
                      <w:tcPr>
                        <w:tcW w:w="6368" w:type="dxa"/>
                        <w:gridSpan w:val="2"/>
                        <w:vMerge w:val="restart"/>
                        <w:tcBorders>
                          <w:top w:val="single" w:sz="4" w:space="0" w:color="5B9BD4"/>
                          <w:left w:val="nil" w:sz="6" w:space="0" w:color="auto"/>
                          <w:right w:val="nil" w:sz="6" w:space="0" w:color="auto"/>
                        </w:tcBorders>
                      </w:tcPr>
                      <w:p>
                        <w:pPr>
                          <w:pStyle w:val="TableParagraph"/>
                          <w:spacing w:line="302" w:lineRule="auto" w:before="46"/>
                          <w:ind w:left="34" w:right="12"/>
                          <w:jc w:val="left"/>
                          <w:rPr>
                            <w:rFonts w:ascii="宋体" w:hAnsi="宋体" w:cs="宋体" w:eastAsia="宋体" w:hint="default"/>
                            <w:sz w:val="18"/>
                            <w:szCs w:val="18"/>
                          </w:rPr>
                        </w:pPr>
                        <w:r>
                          <w:rPr>
                            <w:rFonts w:ascii="宋体" w:hAnsi="宋体" w:cs="宋体" w:eastAsia="宋体" w:hint="default"/>
                            <w:spacing w:val="-2"/>
                            <w:w w:val="105"/>
                            <w:sz w:val="18"/>
                            <w:szCs w:val="18"/>
                          </w:rPr>
                          <w:t>详见刊登于巨潮资讯网（</w:t>
                        </w:r>
                        <w:hyperlink r:id="rId29">
                          <w:r>
                            <w:rPr>
                              <w:rFonts w:ascii="Arial" w:hAnsi="Arial" w:cs="Arial" w:eastAsia="Arial" w:hint="default"/>
                              <w:spacing w:val="-2"/>
                              <w:w w:val="105"/>
                              <w:sz w:val="18"/>
                              <w:szCs w:val="18"/>
                            </w:rPr>
                            <w:t>http://www.cninfo.com.cn</w:t>
                          </w:r>
                        </w:hyperlink>
                        <w:r>
                          <w:rPr>
                            <w:rFonts w:ascii="宋体" w:hAnsi="宋体" w:cs="宋体" w:eastAsia="宋体" w:hint="default"/>
                            <w:spacing w:val="-2"/>
                            <w:w w:val="105"/>
                            <w:sz w:val="18"/>
                            <w:szCs w:val="18"/>
                          </w:rPr>
                          <w:t>）的《</w:t>
                        </w:r>
                        <w:r>
                          <w:rPr>
                            <w:rFonts w:ascii="Arial" w:hAnsi="Arial" w:cs="Arial" w:eastAsia="Arial" w:hint="default"/>
                            <w:spacing w:val="-2"/>
                            <w:w w:val="105"/>
                            <w:sz w:val="18"/>
                            <w:szCs w:val="18"/>
                          </w:rPr>
                          <w:t>2015</w:t>
                        </w:r>
                        <w:r>
                          <w:rPr>
                            <w:rFonts w:ascii="Arial" w:hAnsi="Arial" w:cs="Arial" w:eastAsia="Arial" w:hint="default"/>
                            <w:spacing w:val="29"/>
                            <w:w w:val="105"/>
                            <w:sz w:val="18"/>
                            <w:szCs w:val="18"/>
                          </w:rPr>
                          <w:t> </w:t>
                        </w:r>
                        <w:r>
                          <w:rPr>
                            <w:rFonts w:ascii="宋体" w:hAnsi="宋体" w:cs="宋体" w:eastAsia="宋体" w:hint="default"/>
                            <w:w w:val="105"/>
                            <w:sz w:val="18"/>
                            <w:szCs w:val="18"/>
                          </w:rPr>
                          <w:t>年度内部控制</w:t>
                        </w:r>
                        <w:r>
                          <w:rPr>
                            <w:rFonts w:ascii="宋体" w:hAnsi="宋体" w:cs="宋体" w:eastAsia="宋体" w:hint="default"/>
                            <w:spacing w:val="-85"/>
                            <w:w w:val="105"/>
                            <w:sz w:val="18"/>
                            <w:szCs w:val="18"/>
                          </w:rPr>
                          <w:t> </w:t>
                        </w:r>
                        <w:r>
                          <w:rPr>
                            <w:rFonts w:ascii="宋体" w:hAnsi="宋体" w:cs="宋体" w:eastAsia="宋体" w:hint="default"/>
                            <w:spacing w:val="-85"/>
                            <w:w w:val="105"/>
                            <w:sz w:val="18"/>
                            <w:szCs w:val="18"/>
                          </w:rPr>
                        </w:r>
                        <w:r>
                          <w:rPr>
                            <w:rFonts w:ascii="宋体" w:hAnsi="宋体" w:cs="宋体" w:eastAsia="宋体" w:hint="default"/>
                            <w:w w:val="105"/>
                            <w:sz w:val="18"/>
                            <w:szCs w:val="18"/>
                          </w:rPr>
                          <w:t>自我评价报告》</w:t>
                        </w:r>
                      </w:p>
                    </w:tc>
                  </w:tr>
                  <w:tr>
                    <w:trPr>
                      <w:trHeight w:val="392" w:hRule="exact"/>
                    </w:trPr>
                    <w:tc>
                      <w:tcPr>
                        <w:tcW w:w="3173"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68" w:type="dxa"/>
                        <w:gridSpan w:val="2"/>
                        <w:vMerge/>
                        <w:tcBorders>
                          <w:left w:val="nil" w:sz="6" w:space="0" w:color="auto"/>
                          <w:right w:val="nil" w:sz="6" w:space="0" w:color="auto"/>
                        </w:tcBorders>
                      </w:tcPr>
                      <w:p>
                        <w:pPr/>
                      </w:p>
                    </w:tc>
                  </w:tr>
                  <w:tr>
                    <w:trPr>
                      <w:trHeight w:val="161" w:hRule="exact"/>
                    </w:trPr>
                    <w:tc>
                      <w:tcPr>
                        <w:tcW w:w="3173" w:type="dxa"/>
                        <w:tcBorders>
                          <w:top w:val="nil" w:sz="6" w:space="0" w:color="auto"/>
                          <w:left w:val="nil" w:sz="6" w:space="0" w:color="auto"/>
                          <w:bottom w:val="single" w:sz="4" w:space="0" w:color="5B9BD4"/>
                          <w:right w:val="nil" w:sz="6" w:space="0" w:color="auto"/>
                        </w:tcBorders>
                        <w:shd w:val="clear" w:color="auto" w:fill="DEEAF6"/>
                      </w:tcPr>
                      <w:p>
                        <w:pPr/>
                      </w:p>
                    </w:tc>
                    <w:tc>
                      <w:tcPr>
                        <w:tcW w:w="6368" w:type="dxa"/>
                        <w:gridSpan w:val="2"/>
                        <w:vMerge/>
                        <w:tcBorders>
                          <w:left w:val="nil" w:sz="6" w:space="0" w:color="auto"/>
                          <w:bottom w:val="single" w:sz="4" w:space="0" w:color="5B9BD4"/>
                          <w:right w:val="nil" w:sz="6" w:space="0" w:color="auto"/>
                        </w:tcBorders>
                      </w:tcPr>
                      <w:p>
                        <w:pPr/>
                      </w:p>
                    </w:tc>
                  </w:tr>
                  <w:tr>
                    <w:trPr>
                      <w:trHeight w:val="714" w:hRule="exact"/>
                    </w:trPr>
                    <w:tc>
                      <w:tcPr>
                        <w:tcW w:w="317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46"/>
                          <w:ind w:left="13" w:right="97"/>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68" w:type="dxa"/>
                        <w:gridSpan w:val="2"/>
                        <w:tcBorders>
                          <w:top w:val="single" w:sz="4" w:space="0" w:color="5B9BD4"/>
                          <w:left w:val="single" w:sz="11" w:space="0" w:color="DEEAF6"/>
                          <w:bottom w:val="single" w:sz="4" w:space="0" w:color="5B9BD4"/>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3"/>
                          <w:jc w:val="right"/>
                          <w:rPr>
                            <w:rFonts w:ascii="Arial" w:hAnsi="Arial" w:cs="Arial" w:eastAsia="Arial" w:hint="default"/>
                            <w:sz w:val="18"/>
                            <w:szCs w:val="18"/>
                          </w:rPr>
                        </w:pPr>
                        <w:r>
                          <w:rPr>
                            <w:rFonts w:ascii="Arial"/>
                            <w:spacing w:val="-2"/>
                            <w:w w:val="95"/>
                            <w:sz w:val="18"/>
                          </w:rPr>
                          <w:t>100%</w:t>
                        </w:r>
                        <w:r>
                          <w:rPr>
                            <w:rFonts w:ascii="Arial"/>
                            <w:sz w:val="18"/>
                          </w:rPr>
                        </w:r>
                      </w:p>
                    </w:tc>
                  </w:tr>
                  <w:tr>
                    <w:trPr>
                      <w:trHeight w:val="714" w:hRule="exact"/>
                    </w:trPr>
                    <w:tc>
                      <w:tcPr>
                        <w:tcW w:w="317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46"/>
                          <w:ind w:left="13" w:right="97"/>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68" w:type="dxa"/>
                        <w:gridSpan w:val="2"/>
                        <w:tcBorders>
                          <w:top w:val="single" w:sz="4" w:space="0" w:color="5B9BD4"/>
                          <w:left w:val="single" w:sz="11" w:space="0" w:color="DEEAF6"/>
                          <w:bottom w:val="single" w:sz="4" w:space="0" w:color="5B9BD4"/>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3"/>
                          <w:jc w:val="right"/>
                          <w:rPr>
                            <w:rFonts w:ascii="Arial" w:hAnsi="Arial" w:cs="Arial" w:eastAsia="Arial" w:hint="default"/>
                            <w:sz w:val="18"/>
                            <w:szCs w:val="18"/>
                          </w:rPr>
                        </w:pPr>
                        <w:r>
                          <w:rPr>
                            <w:rFonts w:ascii="Arial"/>
                            <w:spacing w:val="-2"/>
                            <w:w w:val="95"/>
                            <w:sz w:val="18"/>
                          </w:rPr>
                          <w:t>100%</w:t>
                        </w:r>
                        <w:r>
                          <w:rPr>
                            <w:rFonts w:ascii="Arial"/>
                            <w:sz w:val="18"/>
                          </w:rPr>
                        </w:r>
                      </w:p>
                    </w:tc>
                  </w:tr>
                  <w:tr>
                    <w:trPr>
                      <w:trHeight w:val="397" w:hRule="exact"/>
                    </w:trPr>
                    <w:tc>
                      <w:tcPr>
                        <w:tcW w:w="9541" w:type="dxa"/>
                        <w:gridSpan w:val="3"/>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7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333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366" w:hRule="exact"/>
                    </w:trPr>
                    <w:tc>
                      <w:tcPr>
                        <w:tcW w:w="3173" w:type="dxa"/>
                        <w:tcBorders>
                          <w:top w:val="single" w:sz="4" w:space="0" w:color="5B9BD4"/>
                          <w:left w:val="nil" w:sz="6" w:space="0" w:color="auto"/>
                          <w:bottom w:val="nil" w:sz="6" w:space="0" w:color="auto"/>
                          <w:right w:val="nil" w:sz="6" w:space="0" w:color="auto"/>
                        </w:tcBorders>
                        <w:shd w:val="clear" w:color="auto" w:fill="DEEAF6"/>
                      </w:tcPr>
                      <w:p>
                        <w:pPr/>
                      </w:p>
                    </w:tc>
                    <w:tc>
                      <w:tcPr>
                        <w:tcW w:w="3331" w:type="dxa"/>
                        <w:vMerge w:val="restart"/>
                        <w:tcBorders>
                          <w:top w:val="single" w:sz="4" w:space="0" w:color="5B9BD4"/>
                          <w:left w:val="nil" w:sz="6" w:space="0" w:color="auto"/>
                          <w:right w:val="nil" w:sz="6" w:space="0" w:color="auto"/>
                        </w:tcBorders>
                      </w:tcPr>
                      <w:p>
                        <w:pPr>
                          <w:pStyle w:val="TableParagraph"/>
                          <w:spacing w:line="321" w:lineRule="auto" w:before="47"/>
                          <w:ind w:left="34" w:right="27"/>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）财务报告重大缺陷的迹象包 </w:t>
                        </w:r>
                        <w:r>
                          <w:rPr>
                            <w:rFonts w:ascii="宋体" w:hAnsi="宋体" w:cs="宋体" w:eastAsia="宋体" w:hint="default"/>
                            <w:spacing w:val="-4"/>
                            <w:sz w:val="18"/>
                            <w:szCs w:val="18"/>
                          </w:rPr>
                          <w:t>括：</w:t>
                        </w:r>
                        <w:r>
                          <w:rPr>
                            <w:rFonts w:ascii="Arial" w:hAnsi="Arial" w:cs="Arial" w:eastAsia="Arial" w:hint="default"/>
                            <w:spacing w:val="-4"/>
                            <w:sz w:val="18"/>
                            <w:szCs w:val="18"/>
                          </w:rPr>
                          <w:t>i.</w:t>
                        </w:r>
                        <w:r>
                          <w:rPr>
                            <w:rFonts w:ascii="宋体" w:hAnsi="宋体" w:cs="宋体" w:eastAsia="宋体" w:hint="default"/>
                            <w:spacing w:val="-4"/>
                            <w:sz w:val="18"/>
                            <w:szCs w:val="18"/>
                          </w:rPr>
                          <w:t>公司董事、监事或高管人员的舞弊行</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为；</w:t>
                        </w:r>
                        <w:r>
                          <w:rPr>
                            <w:rFonts w:ascii="Arial" w:hAnsi="Arial" w:cs="Arial" w:eastAsia="Arial" w:hint="default"/>
                            <w:sz w:val="18"/>
                            <w:szCs w:val="18"/>
                          </w:rPr>
                          <w:t>ii.</w:t>
                        </w:r>
                        <w:r>
                          <w:rPr>
                            <w:rFonts w:ascii="宋体" w:hAnsi="宋体" w:cs="宋体" w:eastAsia="宋体" w:hint="default"/>
                            <w:sz w:val="18"/>
                            <w:szCs w:val="18"/>
                          </w:rPr>
                          <w:t>发现当期财务报表的重大错报，而</w:t>
                        </w:r>
                      </w:p>
                      <w:p>
                        <w:pPr>
                          <w:pStyle w:val="TableParagraph"/>
                          <w:spacing w:line="304" w:lineRule="auto"/>
                          <w:ind w:left="34" w:right="3"/>
                          <w:jc w:val="left"/>
                          <w:rPr>
                            <w:rFonts w:ascii="宋体" w:hAnsi="宋体" w:cs="宋体" w:eastAsia="宋体" w:hint="default"/>
                            <w:sz w:val="18"/>
                            <w:szCs w:val="18"/>
                          </w:rPr>
                        </w:pPr>
                        <w:r>
                          <w:rPr>
                            <w:rFonts w:ascii="宋体" w:hAnsi="宋体" w:cs="宋体" w:eastAsia="宋体" w:hint="default"/>
                            <w:sz w:val="18"/>
                            <w:szCs w:val="18"/>
                          </w:rPr>
                          <w:t>管理层未能在内控运行过程中发现；</w:t>
                        </w:r>
                        <w:r>
                          <w:rPr>
                            <w:rFonts w:ascii="Arial" w:hAnsi="Arial" w:cs="Arial" w:eastAsia="Arial" w:hint="default"/>
                            <w:sz w:val="18"/>
                            <w:szCs w:val="18"/>
                          </w:rPr>
                          <w:t>iii.</w:t>
                        </w:r>
                        <w:r>
                          <w:rPr>
                            <w:rFonts w:ascii="宋体" w:hAnsi="宋体" w:cs="宋体" w:eastAsia="宋体" w:hint="default"/>
                            <w:sz w:val="18"/>
                            <w:szCs w:val="18"/>
                          </w:rPr>
                          <w:t>内 部控制评价的结果</w:t>
                        </w:r>
                        <w:r>
                          <w:rPr>
                            <w:rFonts w:ascii="Arial" w:hAnsi="Arial" w:cs="Arial" w:eastAsia="Arial" w:hint="default"/>
                            <w:sz w:val="18"/>
                            <w:szCs w:val="18"/>
                          </w:rPr>
                          <w:t>,</w:t>
                        </w:r>
                        <w:r>
                          <w:rPr>
                            <w:rFonts w:ascii="宋体" w:hAnsi="宋体" w:cs="宋体" w:eastAsia="宋体" w:hint="default"/>
                            <w:sz w:val="18"/>
                            <w:szCs w:val="18"/>
                          </w:rPr>
                          <w:t>重大缺陷未得到整改； </w:t>
                        </w:r>
                        <w:r>
                          <w:rPr>
                            <w:rFonts w:ascii="Arial" w:hAnsi="Arial" w:cs="Arial" w:eastAsia="Arial" w:hint="default"/>
                            <w:sz w:val="18"/>
                            <w:szCs w:val="18"/>
                          </w:rPr>
                          <w:t>iv.</w:t>
                        </w:r>
                        <w:r>
                          <w:rPr>
                            <w:rFonts w:ascii="宋体" w:hAnsi="宋体" w:cs="宋体" w:eastAsia="宋体" w:hint="default"/>
                            <w:sz w:val="18"/>
                            <w:szCs w:val="18"/>
                          </w:rPr>
                          <w:t>审计委员会和内部审计机构对内部控制</w:t>
                        </w:r>
                        <w:r>
                          <w:rPr>
                            <w:rFonts w:ascii="宋体" w:hAnsi="宋体" w:cs="宋体" w:eastAsia="宋体" w:hint="default"/>
                            <w:spacing w:val="-85"/>
                            <w:sz w:val="18"/>
                            <w:szCs w:val="18"/>
                          </w:rPr>
                          <w:t> </w:t>
                        </w:r>
                        <w:r>
                          <w:rPr>
                            <w:rFonts w:ascii="宋体" w:hAnsi="宋体" w:cs="宋体" w:eastAsia="宋体" w:hint="default"/>
                            <w:spacing w:val="-5"/>
                            <w:w w:val="99"/>
                            <w:sz w:val="18"/>
                            <w:szCs w:val="18"/>
                          </w:rPr>
                          <w:t>的监督无效。（</w:t>
                        </w:r>
                        <w:r>
                          <w:rPr>
                            <w:rFonts w:ascii="Arial" w:hAnsi="Arial" w:cs="Arial" w:eastAsia="Arial" w:hint="default"/>
                            <w:spacing w:val="-5"/>
                            <w:w w:val="99"/>
                            <w:sz w:val="18"/>
                            <w:szCs w:val="18"/>
                          </w:rPr>
                          <w:t>2</w:t>
                        </w:r>
                        <w:r>
                          <w:rPr>
                            <w:rFonts w:ascii="宋体" w:hAnsi="宋体" w:cs="宋体" w:eastAsia="宋体" w:hint="default"/>
                            <w:spacing w:val="-5"/>
                            <w:w w:val="99"/>
                            <w:sz w:val="18"/>
                            <w:szCs w:val="18"/>
                          </w:rPr>
                          <w:t>）财务报告重要缺陷的迹</w:t>
                        </w:r>
                        <w:r>
                          <w:rPr>
                            <w:rFonts w:ascii="宋体" w:hAnsi="宋体" w:cs="宋体" w:eastAsia="宋体" w:hint="default"/>
                            <w:spacing w:val="-86"/>
                            <w:w w:val="99"/>
                            <w:sz w:val="18"/>
                            <w:szCs w:val="18"/>
                          </w:rPr>
                          <w:t> </w:t>
                        </w:r>
                        <w:r>
                          <w:rPr>
                            <w:rFonts w:ascii="宋体" w:hAnsi="宋体" w:cs="宋体" w:eastAsia="宋体" w:hint="default"/>
                            <w:spacing w:val="-4"/>
                            <w:sz w:val="18"/>
                            <w:szCs w:val="18"/>
                          </w:rPr>
                          <w:t>象包括：</w:t>
                        </w:r>
                        <w:r>
                          <w:rPr>
                            <w:rFonts w:ascii="Arial" w:hAnsi="Arial" w:cs="Arial" w:eastAsia="Arial" w:hint="default"/>
                            <w:spacing w:val="-4"/>
                            <w:sz w:val="18"/>
                            <w:szCs w:val="18"/>
                          </w:rPr>
                          <w:t>i.</w:t>
                        </w:r>
                        <w:r>
                          <w:rPr>
                            <w:rFonts w:ascii="宋体" w:hAnsi="宋体" w:cs="宋体" w:eastAsia="宋体" w:hint="default"/>
                            <w:spacing w:val="-4"/>
                            <w:sz w:val="18"/>
                            <w:szCs w:val="18"/>
                          </w:rPr>
                          <w:t>未依照公认会计准则选择和应用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会计政策；</w:t>
                        </w:r>
                        <w:r>
                          <w:rPr>
                            <w:rFonts w:ascii="Arial" w:hAnsi="Arial" w:cs="Arial" w:eastAsia="Arial" w:hint="default"/>
                            <w:sz w:val="18"/>
                            <w:szCs w:val="18"/>
                          </w:rPr>
                          <w:t>ii.</w:t>
                        </w:r>
                        <w:r>
                          <w:rPr>
                            <w:rFonts w:ascii="宋体" w:hAnsi="宋体" w:cs="宋体" w:eastAsia="宋体" w:hint="default"/>
                            <w:sz w:val="18"/>
                            <w:szCs w:val="18"/>
                          </w:rPr>
                          <w:t>未建立反舞弊程序和控制措 施；</w:t>
                        </w:r>
                        <w:r>
                          <w:rPr>
                            <w:rFonts w:ascii="Arial" w:hAnsi="Arial" w:cs="Arial" w:eastAsia="Arial" w:hint="default"/>
                            <w:sz w:val="18"/>
                            <w:szCs w:val="18"/>
                          </w:rPr>
                          <w:t>iii.</w:t>
                        </w:r>
                        <w:r>
                          <w:rPr>
                            <w:rFonts w:ascii="宋体" w:hAnsi="宋体" w:cs="宋体" w:eastAsia="宋体" w:hint="default"/>
                            <w:sz w:val="18"/>
                            <w:szCs w:val="18"/>
                          </w:rPr>
                          <w:t>对于非常规或特殊交易的账务处理 没有建立相应的控制机制或没有实施且没 有相应的补偿性控制；</w:t>
                        </w:r>
                        <w:r>
                          <w:rPr>
                            <w:rFonts w:ascii="Arial" w:hAnsi="Arial" w:cs="Arial" w:eastAsia="Arial" w:hint="default"/>
                            <w:sz w:val="18"/>
                            <w:szCs w:val="18"/>
                          </w:rPr>
                          <w:t>iv.</w:t>
                        </w:r>
                        <w:r>
                          <w:rPr>
                            <w:rFonts w:ascii="宋体" w:hAnsi="宋体" w:cs="宋体" w:eastAsia="宋体" w:hint="default"/>
                            <w:sz w:val="18"/>
                            <w:szCs w:val="18"/>
                          </w:rPr>
                          <w:t>对于期末财务报</w:t>
                        </w:r>
                        <w:r>
                          <w:rPr>
                            <w:rFonts w:ascii="宋体" w:hAnsi="宋体" w:cs="宋体" w:eastAsia="宋体" w:hint="default"/>
                            <w:spacing w:val="-85"/>
                            <w:sz w:val="18"/>
                            <w:szCs w:val="18"/>
                          </w:rPr>
                          <w:t> </w:t>
                        </w:r>
                        <w:r>
                          <w:rPr>
                            <w:rFonts w:ascii="宋体" w:hAnsi="宋体" w:cs="宋体" w:eastAsia="宋体" w:hint="default"/>
                            <w:sz w:val="18"/>
                            <w:szCs w:val="18"/>
                          </w:rPr>
                          <w:t>告过程的控制存在一项或多项缺陷且不能 合理保证编制的财务报表达到真实、准确 </w:t>
                        </w:r>
                        <w:r>
                          <w:rPr>
                            <w:rFonts w:ascii="宋体" w:hAnsi="宋体" w:cs="宋体" w:eastAsia="宋体" w:hint="default"/>
                            <w:spacing w:val="-5"/>
                            <w:w w:val="99"/>
                            <w:sz w:val="18"/>
                            <w:szCs w:val="18"/>
                          </w:rPr>
                          <w:t>的目标。（</w:t>
                        </w:r>
                        <w:r>
                          <w:rPr>
                            <w:rFonts w:ascii="Arial" w:hAnsi="Arial" w:cs="Arial" w:eastAsia="Arial" w:hint="default"/>
                            <w:spacing w:val="-5"/>
                            <w:w w:val="99"/>
                            <w:sz w:val="18"/>
                            <w:szCs w:val="18"/>
                          </w:rPr>
                          <w:t>3</w:t>
                        </w:r>
                        <w:r>
                          <w:rPr>
                            <w:rFonts w:ascii="宋体" w:hAnsi="宋体" w:cs="宋体" w:eastAsia="宋体" w:hint="default"/>
                            <w:spacing w:val="-5"/>
                            <w:w w:val="99"/>
                            <w:sz w:val="18"/>
                            <w:szCs w:val="18"/>
                          </w:rPr>
                          <w:t>）一般缺陷是指除上述重大缺</w:t>
                        </w:r>
                        <w:r>
                          <w:rPr>
                            <w:rFonts w:ascii="宋体" w:hAnsi="宋体" w:cs="宋体" w:eastAsia="宋体" w:hint="default"/>
                            <w:spacing w:val="-86"/>
                            <w:w w:val="99"/>
                            <w:sz w:val="18"/>
                            <w:szCs w:val="18"/>
                          </w:rPr>
                          <w:t> </w:t>
                        </w:r>
                        <w:r>
                          <w:rPr>
                            <w:rFonts w:ascii="宋体" w:hAnsi="宋体" w:cs="宋体" w:eastAsia="宋体" w:hint="default"/>
                            <w:sz w:val="18"/>
                            <w:szCs w:val="18"/>
                          </w:rPr>
                          <w:t>陷、重要缺陷之外的其他控制缺陷。</w:t>
                        </w:r>
                      </w:p>
                    </w:tc>
                    <w:tc>
                      <w:tcPr>
                        <w:tcW w:w="3037" w:type="dxa"/>
                        <w:vMerge w:val="restart"/>
                        <w:tcBorders>
                          <w:top w:val="single" w:sz="4" w:space="0" w:color="5B9BD4"/>
                          <w:left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307" w:lineRule="auto"/>
                          <w:ind w:left="28" w:right="11"/>
                          <w:jc w:val="left"/>
                          <w:rPr>
                            <w:rFonts w:ascii="宋体" w:hAnsi="宋体" w:cs="宋体" w:eastAsia="宋体" w:hint="default"/>
                            <w:sz w:val="18"/>
                            <w:szCs w:val="18"/>
                          </w:rPr>
                        </w:pPr>
                        <w:r>
                          <w:rPr>
                            <w:rFonts w:ascii="宋体" w:hAnsi="宋体" w:cs="宋体" w:eastAsia="宋体" w:hint="default"/>
                            <w:sz w:val="18"/>
                            <w:szCs w:val="18"/>
                          </w:rPr>
                          <w:t>出现以下情形的</w:t>
                        </w:r>
                        <w:r>
                          <w:rPr>
                            <w:rFonts w:ascii="Arial" w:hAnsi="Arial" w:cs="Arial" w:eastAsia="Arial" w:hint="default"/>
                            <w:sz w:val="18"/>
                            <w:szCs w:val="18"/>
                          </w:rPr>
                          <w:t>,</w:t>
                        </w:r>
                        <w:r>
                          <w:rPr>
                            <w:rFonts w:ascii="宋体" w:hAnsi="宋体" w:cs="宋体" w:eastAsia="宋体" w:hint="default"/>
                            <w:sz w:val="18"/>
                            <w:szCs w:val="18"/>
                          </w:rPr>
                          <w:t>可认定为重大缺陷</w:t>
                        </w:r>
                        <w:r>
                          <w:rPr>
                            <w:rFonts w:ascii="Arial" w:hAnsi="Arial" w:cs="Arial" w:eastAsia="Arial" w:hint="default"/>
                            <w:sz w:val="18"/>
                            <w:szCs w:val="18"/>
                          </w:rPr>
                          <w:t>,</w:t>
                        </w:r>
                        <w:r>
                          <w:rPr>
                            <w:rFonts w:ascii="宋体" w:hAnsi="宋体" w:cs="宋体" w:eastAsia="宋体" w:hint="default"/>
                            <w:sz w:val="18"/>
                            <w:szCs w:val="18"/>
                          </w:rPr>
                          <w:t>其 他情形按影响程度分别确定为重要缺 </w:t>
                        </w:r>
                        <w:r>
                          <w:rPr>
                            <w:rFonts w:ascii="宋体" w:hAnsi="宋体" w:cs="宋体" w:eastAsia="宋体" w:hint="default"/>
                            <w:spacing w:val="-15"/>
                            <w:w w:val="99"/>
                            <w:sz w:val="18"/>
                            <w:szCs w:val="18"/>
                          </w:rPr>
                          <w:t>陷或一般缺陷：（</w:t>
                        </w:r>
                        <w:r>
                          <w:rPr>
                            <w:rFonts w:ascii="Arial" w:hAnsi="Arial" w:cs="Arial" w:eastAsia="Arial" w:hint="default"/>
                            <w:spacing w:val="-15"/>
                            <w:w w:val="99"/>
                            <w:sz w:val="18"/>
                            <w:szCs w:val="18"/>
                          </w:rPr>
                          <w:t>1</w:t>
                        </w:r>
                        <w:r>
                          <w:rPr>
                            <w:rFonts w:ascii="宋体" w:hAnsi="宋体" w:cs="宋体" w:eastAsia="宋体" w:hint="default"/>
                            <w:spacing w:val="-15"/>
                            <w:w w:val="99"/>
                            <w:sz w:val="18"/>
                            <w:szCs w:val="18"/>
                          </w:rPr>
                          <w:t>）缺乏民主决策程序</w:t>
                        </w:r>
                        <w:r>
                          <w:rPr>
                            <w:rFonts w:ascii="宋体" w:hAnsi="宋体" w:cs="宋体" w:eastAsia="宋体" w:hint="default"/>
                            <w:spacing w:val="-76"/>
                            <w:w w:val="99"/>
                            <w:sz w:val="18"/>
                            <w:szCs w:val="18"/>
                          </w:rPr>
                          <w:t> </w:t>
                        </w:r>
                        <w:r>
                          <w:rPr>
                            <w:rFonts w:ascii="宋体" w:hAnsi="宋体" w:cs="宋体" w:eastAsia="宋体" w:hint="default"/>
                            <w:spacing w:val="-76"/>
                            <w:w w:val="99"/>
                            <w:sz w:val="18"/>
                            <w:szCs w:val="18"/>
                          </w:rPr>
                        </w:r>
                        <w:r>
                          <w:rPr>
                            <w:rFonts w:ascii="宋体" w:hAnsi="宋体" w:cs="宋体" w:eastAsia="宋体" w:hint="default"/>
                            <w:spacing w:val="-4"/>
                            <w:sz w:val="18"/>
                            <w:szCs w:val="18"/>
                          </w:rPr>
                          <w:t>决策程序不科学，出现重大失误，给公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w w:val="99"/>
                            <w:sz w:val="18"/>
                            <w:szCs w:val="18"/>
                          </w:rPr>
                          <w:t>司造成重大财产损失；（</w:t>
                        </w:r>
                        <w:r>
                          <w:rPr>
                            <w:rFonts w:ascii="Arial" w:hAnsi="Arial" w:cs="Arial" w:eastAsia="Arial" w:hint="default"/>
                            <w:spacing w:val="-10"/>
                            <w:w w:val="99"/>
                            <w:sz w:val="18"/>
                            <w:szCs w:val="18"/>
                          </w:rPr>
                          <w:t>2</w:t>
                        </w:r>
                        <w:r>
                          <w:rPr>
                            <w:rFonts w:ascii="宋体" w:hAnsi="宋体" w:cs="宋体" w:eastAsia="宋体" w:hint="default"/>
                            <w:spacing w:val="-10"/>
                            <w:w w:val="99"/>
                            <w:sz w:val="18"/>
                            <w:szCs w:val="18"/>
                          </w:rPr>
                          <w:t>）严重违反国</w:t>
                        </w:r>
                        <w:r>
                          <w:rPr>
                            <w:rFonts w:ascii="宋体" w:hAnsi="宋体" w:cs="宋体" w:eastAsia="宋体" w:hint="default"/>
                            <w:spacing w:val="-77"/>
                            <w:w w:val="99"/>
                            <w:sz w:val="18"/>
                            <w:szCs w:val="18"/>
                          </w:rPr>
                          <w:t> </w:t>
                        </w:r>
                        <w:r>
                          <w:rPr>
                            <w:rFonts w:ascii="宋体" w:hAnsi="宋体" w:cs="宋体" w:eastAsia="宋体" w:hint="default"/>
                            <w:spacing w:val="-77"/>
                            <w:w w:val="99"/>
                            <w:sz w:val="18"/>
                            <w:szCs w:val="18"/>
                          </w:rPr>
                        </w:r>
                        <w:r>
                          <w:rPr>
                            <w:rFonts w:ascii="宋体" w:hAnsi="宋体" w:cs="宋体" w:eastAsia="宋体" w:hint="default"/>
                            <w:spacing w:val="-10"/>
                            <w:w w:val="99"/>
                            <w:sz w:val="18"/>
                            <w:szCs w:val="18"/>
                          </w:rPr>
                          <w:t>家法律法规；（</w:t>
                        </w:r>
                        <w:r>
                          <w:rPr>
                            <w:rFonts w:ascii="Arial" w:hAnsi="Arial" w:cs="Arial" w:eastAsia="Arial" w:hint="default"/>
                            <w:spacing w:val="-10"/>
                            <w:w w:val="99"/>
                            <w:sz w:val="18"/>
                            <w:szCs w:val="18"/>
                          </w:rPr>
                          <w:t>3</w:t>
                        </w:r>
                        <w:r>
                          <w:rPr>
                            <w:rFonts w:ascii="宋体" w:hAnsi="宋体" w:cs="宋体" w:eastAsia="宋体" w:hint="default"/>
                            <w:spacing w:val="-10"/>
                            <w:w w:val="99"/>
                            <w:sz w:val="18"/>
                            <w:szCs w:val="18"/>
                          </w:rPr>
                          <w:t>）缺乏重要的业务管理</w:t>
                        </w:r>
                        <w:r>
                          <w:rPr>
                            <w:rFonts w:ascii="宋体" w:hAnsi="宋体" w:cs="宋体" w:eastAsia="宋体" w:hint="default"/>
                            <w:spacing w:val="-77"/>
                            <w:w w:val="99"/>
                            <w:sz w:val="18"/>
                            <w:szCs w:val="18"/>
                          </w:rPr>
                          <w:t> </w:t>
                        </w:r>
                        <w:r>
                          <w:rPr>
                            <w:rFonts w:ascii="宋体" w:hAnsi="宋体" w:cs="宋体" w:eastAsia="宋体" w:hint="default"/>
                            <w:spacing w:val="-77"/>
                            <w:w w:val="99"/>
                            <w:sz w:val="18"/>
                            <w:szCs w:val="18"/>
                          </w:rPr>
                        </w:r>
                        <w:r>
                          <w:rPr>
                            <w:rFonts w:ascii="宋体" w:hAnsi="宋体" w:cs="宋体" w:eastAsia="宋体" w:hint="default"/>
                            <w:spacing w:val="-10"/>
                            <w:w w:val="99"/>
                            <w:sz w:val="18"/>
                            <w:szCs w:val="18"/>
                          </w:rPr>
                          <w:t>制度或制度运行系统性失效；（</w:t>
                        </w:r>
                        <w:r>
                          <w:rPr>
                            <w:rFonts w:ascii="Arial" w:hAnsi="Arial" w:cs="Arial" w:eastAsia="Arial" w:hint="default"/>
                            <w:spacing w:val="-10"/>
                            <w:w w:val="99"/>
                            <w:sz w:val="18"/>
                            <w:szCs w:val="18"/>
                          </w:rPr>
                          <w:t>4</w:t>
                        </w:r>
                        <w:r>
                          <w:rPr>
                            <w:rFonts w:ascii="宋体" w:hAnsi="宋体" w:cs="宋体" w:eastAsia="宋体" w:hint="default"/>
                            <w:spacing w:val="-10"/>
                            <w:w w:val="99"/>
                            <w:sz w:val="18"/>
                            <w:szCs w:val="18"/>
                          </w:rPr>
                          <w:t>）公司</w:t>
                        </w:r>
                        <w:r>
                          <w:rPr>
                            <w:rFonts w:ascii="宋体" w:hAnsi="宋体" w:cs="宋体" w:eastAsia="宋体" w:hint="default"/>
                            <w:spacing w:val="-77"/>
                            <w:w w:val="99"/>
                            <w:sz w:val="18"/>
                            <w:szCs w:val="18"/>
                          </w:rPr>
                          <w:t> </w:t>
                        </w:r>
                        <w:r>
                          <w:rPr>
                            <w:rFonts w:ascii="宋体" w:hAnsi="宋体" w:cs="宋体" w:eastAsia="宋体" w:hint="default"/>
                            <w:spacing w:val="-77"/>
                            <w:w w:val="99"/>
                            <w:sz w:val="18"/>
                            <w:szCs w:val="18"/>
                          </w:rPr>
                        </w:r>
                        <w:r>
                          <w:rPr>
                            <w:rFonts w:ascii="宋体" w:hAnsi="宋体" w:cs="宋体" w:eastAsia="宋体" w:hint="default"/>
                            <w:sz w:val="18"/>
                            <w:szCs w:val="18"/>
                          </w:rPr>
                          <w:t>的重大或重要内控缺陷不能得到及时 </w:t>
                        </w:r>
                        <w:r>
                          <w:rPr>
                            <w:rFonts w:ascii="宋体" w:hAnsi="宋体" w:cs="宋体" w:eastAsia="宋体" w:hint="default"/>
                            <w:spacing w:val="-10"/>
                            <w:w w:val="99"/>
                            <w:sz w:val="18"/>
                            <w:szCs w:val="18"/>
                          </w:rPr>
                          <w:t>整改；（</w:t>
                        </w:r>
                        <w:r>
                          <w:rPr>
                            <w:rFonts w:ascii="Arial" w:hAnsi="Arial" w:cs="Arial" w:eastAsia="Arial" w:hint="default"/>
                            <w:spacing w:val="-10"/>
                            <w:w w:val="99"/>
                            <w:sz w:val="18"/>
                            <w:szCs w:val="18"/>
                          </w:rPr>
                          <w:t>5</w:t>
                        </w:r>
                        <w:r>
                          <w:rPr>
                            <w:rFonts w:ascii="宋体" w:hAnsi="宋体" w:cs="宋体" w:eastAsia="宋体" w:hint="default"/>
                            <w:spacing w:val="-10"/>
                            <w:w w:val="99"/>
                            <w:sz w:val="18"/>
                            <w:szCs w:val="18"/>
                          </w:rPr>
                          <w:t>）公司持续或大量出现重要内</w:t>
                        </w:r>
                        <w:r>
                          <w:rPr>
                            <w:rFonts w:ascii="宋体" w:hAnsi="宋体" w:cs="宋体" w:eastAsia="宋体" w:hint="default"/>
                            <w:spacing w:val="-77"/>
                            <w:w w:val="99"/>
                            <w:sz w:val="18"/>
                            <w:szCs w:val="18"/>
                          </w:rPr>
                          <w:t> </w:t>
                        </w:r>
                        <w:r>
                          <w:rPr>
                            <w:rFonts w:ascii="宋体" w:hAnsi="宋体" w:cs="宋体" w:eastAsia="宋体" w:hint="default"/>
                            <w:spacing w:val="-77"/>
                            <w:w w:val="99"/>
                            <w:sz w:val="18"/>
                            <w:szCs w:val="18"/>
                          </w:rPr>
                        </w:r>
                        <w:r>
                          <w:rPr>
                            <w:rFonts w:ascii="宋体" w:hAnsi="宋体" w:cs="宋体" w:eastAsia="宋体" w:hint="default"/>
                            <w:sz w:val="18"/>
                            <w:szCs w:val="18"/>
                          </w:rPr>
                          <w:t>控缺陷。</w:t>
                        </w:r>
                      </w:p>
                    </w:tc>
                  </w:tr>
                  <w:tr>
                    <w:trPr>
                      <w:trHeight w:val="392" w:hRule="exact"/>
                    </w:trPr>
                    <w:tc>
                      <w:tcPr>
                        <w:tcW w:w="3173"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1" w:type="dxa"/>
                        <w:vMerge/>
                        <w:tcBorders>
                          <w:left w:val="nil" w:sz="6" w:space="0" w:color="auto"/>
                          <w:right w:val="nil" w:sz="6" w:space="0" w:color="auto"/>
                        </w:tcBorders>
                      </w:tcPr>
                      <w:p>
                        <w:pPr/>
                      </w:p>
                    </w:tc>
                    <w:tc>
                      <w:tcPr>
                        <w:tcW w:w="3037" w:type="dxa"/>
                        <w:vMerge/>
                        <w:tcBorders>
                          <w:left w:val="nil" w:sz="6" w:space="0" w:color="auto"/>
                          <w:right w:val="nil" w:sz="6" w:space="0" w:color="auto"/>
                        </w:tcBorders>
                      </w:tcPr>
                      <w:p>
                        <w:pPr/>
                      </w:p>
                    </w:tc>
                  </w:tr>
                  <w:tr>
                    <w:trPr>
                      <w:trHeight w:val="2364" w:hRule="exact"/>
                    </w:trPr>
                    <w:tc>
                      <w:tcPr>
                        <w:tcW w:w="3173" w:type="dxa"/>
                        <w:tcBorders>
                          <w:top w:val="nil" w:sz="6" w:space="0" w:color="auto"/>
                          <w:left w:val="nil" w:sz="6" w:space="0" w:color="auto"/>
                          <w:bottom w:val="single" w:sz="4" w:space="0" w:color="5B9BD4"/>
                          <w:right w:val="nil" w:sz="6" w:space="0" w:color="auto"/>
                        </w:tcBorders>
                        <w:shd w:val="clear" w:color="auto" w:fill="DEEAF6"/>
                      </w:tcPr>
                      <w:p>
                        <w:pPr/>
                      </w:p>
                    </w:tc>
                    <w:tc>
                      <w:tcPr>
                        <w:tcW w:w="3331" w:type="dxa"/>
                        <w:vMerge/>
                        <w:tcBorders>
                          <w:left w:val="nil" w:sz="6" w:space="0" w:color="auto"/>
                          <w:bottom w:val="single" w:sz="4" w:space="0" w:color="5B9BD4"/>
                          <w:right w:val="nil" w:sz="6" w:space="0" w:color="auto"/>
                        </w:tcBorders>
                      </w:tcPr>
                      <w:p>
                        <w:pPr/>
                      </w:p>
                    </w:tc>
                    <w:tc>
                      <w:tcPr>
                        <w:tcW w:w="3037" w:type="dxa"/>
                        <w:vMerge/>
                        <w:tcBorders>
                          <w:left w:val="nil" w:sz="6" w:space="0" w:color="auto"/>
                          <w:bottom w:val="single" w:sz="4" w:space="0" w:color="5B9BD4"/>
                          <w:right w:val="nil" w:sz="6" w:space="0" w:color="auto"/>
                        </w:tcBorders>
                      </w:tcPr>
                      <w:p>
                        <w:pPr/>
                      </w:p>
                    </w:tc>
                  </w:tr>
                  <w:tr>
                    <w:trPr>
                      <w:trHeight w:val="474" w:hRule="exact"/>
                    </w:trPr>
                    <w:tc>
                      <w:tcPr>
                        <w:tcW w:w="3173" w:type="dxa"/>
                        <w:tcBorders>
                          <w:top w:val="single" w:sz="4" w:space="0" w:color="5B9BD4"/>
                          <w:left w:val="nil" w:sz="6" w:space="0" w:color="auto"/>
                          <w:bottom w:val="nil" w:sz="6" w:space="0" w:color="auto"/>
                          <w:right w:val="nil" w:sz="6" w:space="0" w:color="auto"/>
                        </w:tcBorders>
                        <w:shd w:val="clear" w:color="auto" w:fill="DEEAF6"/>
                      </w:tcPr>
                      <w:p>
                        <w:pPr/>
                      </w:p>
                    </w:tc>
                    <w:tc>
                      <w:tcPr>
                        <w:tcW w:w="3331" w:type="dxa"/>
                        <w:vMerge w:val="restart"/>
                        <w:tcBorders>
                          <w:top w:val="single" w:sz="4" w:space="0" w:color="5B9BD4"/>
                          <w:left w:val="nil" w:sz="6" w:space="0" w:color="auto"/>
                          <w:right w:val="nil" w:sz="6" w:space="0" w:color="auto"/>
                        </w:tcBorders>
                      </w:tcPr>
                      <w:p>
                        <w:pPr>
                          <w:pStyle w:val="TableParagraph"/>
                          <w:spacing w:line="307" w:lineRule="auto" w:before="47"/>
                          <w:ind w:left="34" w:right="46"/>
                          <w:jc w:val="left"/>
                          <w:rPr>
                            <w:rFonts w:ascii="宋体" w:hAnsi="宋体" w:cs="宋体" w:eastAsia="宋体" w:hint="default"/>
                            <w:sz w:val="18"/>
                            <w:szCs w:val="18"/>
                          </w:rPr>
                        </w:pPr>
                        <w:r>
                          <w:rPr>
                            <w:rFonts w:ascii="宋体" w:hAnsi="宋体" w:cs="宋体" w:eastAsia="宋体" w:hint="default"/>
                            <w:sz w:val="18"/>
                            <w:szCs w:val="18"/>
                          </w:rPr>
                          <w:t>重大缺陷：财务报表的错报金额≥利润总 额的 </w:t>
                        </w:r>
                        <w:r>
                          <w:rPr>
                            <w:rFonts w:ascii="Arial" w:hAnsi="Arial" w:cs="Arial" w:eastAsia="Arial" w:hint="default"/>
                            <w:sz w:val="18"/>
                            <w:szCs w:val="18"/>
                          </w:rPr>
                          <w:t>3%</w:t>
                        </w:r>
                        <w:r>
                          <w:rPr>
                            <w:rFonts w:ascii="宋体" w:hAnsi="宋体" w:cs="宋体" w:eastAsia="宋体" w:hint="default"/>
                            <w:sz w:val="18"/>
                            <w:szCs w:val="18"/>
                          </w:rPr>
                          <w:t>；重要缺陷：利润总额的</w:t>
                        </w:r>
                        <w:r>
                          <w:rPr>
                            <w:rFonts w:ascii="宋体" w:hAnsi="宋体" w:cs="宋体" w:eastAsia="宋体" w:hint="default"/>
                            <w:spacing w:val="-35"/>
                            <w:sz w:val="18"/>
                            <w:szCs w:val="18"/>
                          </w:rPr>
                          <w:t> </w:t>
                        </w:r>
                        <w:r>
                          <w:rPr>
                            <w:rFonts w:ascii="Arial" w:hAnsi="Arial" w:cs="Arial" w:eastAsia="Arial" w:hint="default"/>
                            <w:sz w:val="18"/>
                            <w:szCs w:val="18"/>
                          </w:rPr>
                          <w:t>1%</w:t>
                        </w:r>
                        <w:r>
                          <w:rPr>
                            <w:rFonts w:ascii="宋体" w:hAnsi="宋体" w:cs="宋体" w:eastAsia="宋体" w:hint="default"/>
                            <w:sz w:val="18"/>
                            <w:szCs w:val="18"/>
                          </w:rPr>
                          <w:t>≤ 错报</w:t>
                        </w:r>
                        <w:r>
                          <w:rPr>
                            <w:rFonts w:ascii="Arial" w:hAnsi="Arial" w:cs="Arial" w:eastAsia="Arial"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15"/>
                            <w:sz w:val="18"/>
                            <w:szCs w:val="18"/>
                          </w:rPr>
                          <w:t> </w:t>
                        </w:r>
                        <w:r>
                          <w:rPr>
                            <w:rFonts w:ascii="Arial" w:hAnsi="Arial" w:cs="Arial" w:eastAsia="Arial" w:hint="default"/>
                            <w:sz w:val="18"/>
                            <w:szCs w:val="18"/>
                          </w:rPr>
                          <w:t>3%</w:t>
                        </w:r>
                        <w:r>
                          <w:rPr>
                            <w:rFonts w:ascii="宋体" w:hAnsi="宋体" w:cs="宋体" w:eastAsia="宋体" w:hint="default"/>
                            <w:sz w:val="18"/>
                            <w:szCs w:val="18"/>
                          </w:rPr>
                          <w:t>；一般缺陷：错报</w:t>
                        </w:r>
                        <w:r>
                          <w:rPr>
                            <w:rFonts w:ascii="Arial" w:hAnsi="Arial" w:cs="Arial" w:eastAsia="Arial" w:hint="default"/>
                            <w:sz w:val="18"/>
                            <w:szCs w:val="18"/>
                          </w:rPr>
                          <w:t>&lt;</w:t>
                        </w:r>
                        <w:r>
                          <w:rPr>
                            <w:rFonts w:ascii="Arial" w:hAnsi="Arial" w:cs="Arial" w:eastAsia="Arial" w:hint="default"/>
                            <w:w w:val="103"/>
                            <w:sz w:val="18"/>
                            <w:szCs w:val="18"/>
                          </w:rPr>
                          <w:t> </w:t>
                        </w:r>
                        <w:r>
                          <w:rPr>
                            <w:rFonts w:ascii="宋体" w:hAnsi="宋体" w:cs="宋体" w:eastAsia="宋体" w:hint="default"/>
                            <w:sz w:val="18"/>
                            <w:szCs w:val="18"/>
                          </w:rPr>
                          <w:t>利润总额的</w:t>
                        </w:r>
                        <w:r>
                          <w:rPr>
                            <w:rFonts w:ascii="宋体" w:hAnsi="宋体" w:cs="宋体" w:eastAsia="宋体" w:hint="default"/>
                            <w:spacing w:val="-22"/>
                            <w:sz w:val="18"/>
                            <w:szCs w:val="18"/>
                          </w:rPr>
                          <w:t> </w:t>
                        </w:r>
                        <w:r>
                          <w:rPr>
                            <w:rFonts w:ascii="Arial" w:hAnsi="Arial" w:cs="Arial" w:eastAsia="Arial" w:hint="default"/>
                            <w:sz w:val="18"/>
                            <w:szCs w:val="18"/>
                          </w:rPr>
                          <w:t>1%</w:t>
                        </w:r>
                        <w:r>
                          <w:rPr>
                            <w:rFonts w:ascii="宋体" w:hAnsi="宋体" w:cs="宋体" w:eastAsia="宋体" w:hint="default"/>
                            <w:sz w:val="18"/>
                            <w:szCs w:val="18"/>
                          </w:rPr>
                          <w:t>。</w:t>
                        </w:r>
                      </w:p>
                    </w:tc>
                    <w:tc>
                      <w:tcPr>
                        <w:tcW w:w="3037" w:type="dxa"/>
                        <w:vMerge w:val="restart"/>
                        <w:tcBorders>
                          <w:top w:val="single" w:sz="4" w:space="0" w:color="5B9BD4"/>
                          <w:left w:val="nil" w:sz="6" w:space="0" w:color="auto"/>
                          <w:right w:val="nil" w:sz="6" w:space="0" w:color="auto"/>
                        </w:tcBorders>
                      </w:tcPr>
                      <w:p>
                        <w:pPr>
                          <w:pStyle w:val="TableParagraph"/>
                          <w:spacing w:line="307" w:lineRule="auto" w:before="47"/>
                          <w:ind w:left="28" w:right="11"/>
                          <w:jc w:val="left"/>
                          <w:rPr>
                            <w:rFonts w:ascii="宋体" w:hAnsi="宋体" w:cs="宋体" w:eastAsia="宋体" w:hint="default"/>
                            <w:sz w:val="18"/>
                            <w:szCs w:val="18"/>
                          </w:rPr>
                        </w:pPr>
                        <w:r>
                          <w:rPr>
                            <w:rFonts w:ascii="宋体" w:hAnsi="宋体" w:cs="宋体" w:eastAsia="宋体" w:hint="default"/>
                            <w:spacing w:val="-4"/>
                            <w:sz w:val="18"/>
                            <w:szCs w:val="18"/>
                          </w:rPr>
                          <w:t>重大缺陷：直接损失金额≥利润总额的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Arial" w:hAnsi="Arial" w:cs="Arial" w:eastAsia="Arial" w:hint="default"/>
                            <w:sz w:val="18"/>
                            <w:szCs w:val="18"/>
                          </w:rPr>
                          <w:t>3%</w:t>
                        </w:r>
                        <w:r>
                          <w:rPr>
                            <w:rFonts w:ascii="宋体" w:hAnsi="宋体" w:cs="宋体" w:eastAsia="宋体" w:hint="default"/>
                            <w:sz w:val="18"/>
                            <w:szCs w:val="18"/>
                          </w:rPr>
                          <w:t>；重要缺陷：利润总额的</w:t>
                        </w:r>
                        <w:r>
                          <w:rPr>
                            <w:rFonts w:ascii="宋体" w:hAnsi="宋体" w:cs="宋体" w:eastAsia="宋体" w:hint="default"/>
                            <w:spacing w:val="-23"/>
                            <w:sz w:val="18"/>
                            <w:szCs w:val="18"/>
                          </w:rPr>
                          <w:t> </w:t>
                        </w:r>
                        <w:r>
                          <w:rPr>
                            <w:rFonts w:ascii="Arial" w:hAnsi="Arial" w:cs="Arial" w:eastAsia="Arial" w:hint="default"/>
                            <w:sz w:val="18"/>
                            <w:szCs w:val="18"/>
                          </w:rPr>
                          <w:t>1%</w:t>
                        </w:r>
                        <w:r>
                          <w:rPr>
                            <w:rFonts w:ascii="宋体" w:hAnsi="宋体" w:cs="宋体" w:eastAsia="宋体" w:hint="default"/>
                            <w:sz w:val="18"/>
                            <w:szCs w:val="18"/>
                          </w:rPr>
                          <w:t>≤直 接损失金额</w:t>
                        </w:r>
                        <w:r>
                          <w:rPr>
                            <w:rFonts w:ascii="Arial" w:hAnsi="Arial" w:cs="Arial" w:eastAsia="Arial"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15"/>
                            <w:sz w:val="18"/>
                            <w:szCs w:val="18"/>
                          </w:rPr>
                          <w:t> </w:t>
                        </w:r>
                        <w:r>
                          <w:rPr>
                            <w:rFonts w:ascii="Arial" w:hAnsi="Arial" w:cs="Arial" w:eastAsia="Arial" w:hint="default"/>
                            <w:sz w:val="18"/>
                            <w:szCs w:val="18"/>
                          </w:rPr>
                          <w:t>3%</w:t>
                        </w:r>
                        <w:r>
                          <w:rPr>
                            <w:rFonts w:ascii="宋体" w:hAnsi="宋体" w:cs="宋体" w:eastAsia="宋体" w:hint="default"/>
                            <w:sz w:val="18"/>
                            <w:szCs w:val="18"/>
                          </w:rPr>
                          <w:t>；一般缺 陷：直接损失金额</w:t>
                        </w:r>
                        <w:r>
                          <w:rPr>
                            <w:rFonts w:ascii="Arial" w:hAnsi="Arial" w:cs="Arial" w:eastAsia="Arial"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65"/>
                            <w:sz w:val="18"/>
                            <w:szCs w:val="18"/>
                          </w:rPr>
                          <w:t> </w:t>
                        </w:r>
                        <w:r>
                          <w:rPr>
                            <w:rFonts w:ascii="Arial" w:hAnsi="Arial" w:cs="Arial" w:eastAsia="Arial" w:hint="default"/>
                            <w:sz w:val="18"/>
                            <w:szCs w:val="18"/>
                          </w:rPr>
                          <w:t>1%</w:t>
                        </w:r>
                        <w:r>
                          <w:rPr>
                            <w:rFonts w:ascii="宋体" w:hAnsi="宋体" w:cs="宋体" w:eastAsia="宋体" w:hint="default"/>
                            <w:sz w:val="18"/>
                            <w:szCs w:val="18"/>
                          </w:rPr>
                          <w:t>。</w:t>
                        </w:r>
                      </w:p>
                    </w:tc>
                  </w:tr>
                  <w:tr>
                    <w:trPr>
                      <w:trHeight w:val="392" w:hRule="exact"/>
                    </w:trPr>
                    <w:tc>
                      <w:tcPr>
                        <w:tcW w:w="3173"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1" w:type="dxa"/>
                        <w:vMerge/>
                        <w:tcBorders>
                          <w:left w:val="nil" w:sz="6" w:space="0" w:color="auto"/>
                          <w:right w:val="nil" w:sz="6" w:space="0" w:color="auto"/>
                        </w:tcBorders>
                      </w:tcPr>
                      <w:p>
                        <w:pPr/>
                      </w:p>
                    </w:tc>
                    <w:tc>
                      <w:tcPr>
                        <w:tcW w:w="3037" w:type="dxa"/>
                        <w:vMerge/>
                        <w:tcBorders>
                          <w:left w:val="nil" w:sz="6" w:space="0" w:color="auto"/>
                          <w:right w:val="nil" w:sz="6" w:space="0" w:color="auto"/>
                        </w:tcBorders>
                      </w:tcPr>
                      <w:p>
                        <w:pPr/>
                      </w:p>
                    </w:tc>
                  </w:tr>
                  <w:tr>
                    <w:trPr>
                      <w:trHeight w:val="473" w:hRule="exact"/>
                    </w:trPr>
                    <w:tc>
                      <w:tcPr>
                        <w:tcW w:w="3173" w:type="dxa"/>
                        <w:tcBorders>
                          <w:top w:val="nil" w:sz="6" w:space="0" w:color="auto"/>
                          <w:left w:val="nil" w:sz="6" w:space="0" w:color="auto"/>
                          <w:bottom w:val="single" w:sz="4" w:space="0" w:color="5B9BD4"/>
                          <w:right w:val="nil" w:sz="6" w:space="0" w:color="auto"/>
                        </w:tcBorders>
                        <w:shd w:val="clear" w:color="auto" w:fill="DEEAF6"/>
                      </w:tcPr>
                      <w:p>
                        <w:pPr/>
                      </w:p>
                    </w:tc>
                    <w:tc>
                      <w:tcPr>
                        <w:tcW w:w="3331" w:type="dxa"/>
                        <w:vMerge/>
                        <w:tcBorders>
                          <w:left w:val="nil" w:sz="6" w:space="0" w:color="auto"/>
                          <w:bottom w:val="single" w:sz="4" w:space="0" w:color="5B9BD4"/>
                          <w:right w:val="nil" w:sz="6" w:space="0" w:color="auto"/>
                        </w:tcBorders>
                      </w:tcPr>
                      <w:p>
                        <w:pPr/>
                      </w:p>
                    </w:tc>
                    <w:tc>
                      <w:tcPr>
                        <w:tcW w:w="3037" w:type="dxa"/>
                        <w:vMerge/>
                        <w:tcBorders>
                          <w:left w:val="nil" w:sz="6" w:space="0" w:color="auto"/>
                          <w:bottom w:val="single" w:sz="4" w:space="0" w:color="5B9BD4"/>
                          <w:right w:val="nil" w:sz="6" w:space="0" w:color="auto"/>
                        </w:tcBorders>
                      </w:tcPr>
                      <w:p>
                        <w:pPr/>
                      </w:p>
                    </w:tc>
                  </w:tr>
                  <w:tr>
                    <w:trPr>
                      <w:trHeight w:val="403" w:hRule="exact"/>
                    </w:trPr>
                    <w:tc>
                      <w:tcPr>
                        <w:tcW w:w="317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68" w:type="dxa"/>
                        <w:gridSpan w:val="2"/>
                        <w:tcBorders>
                          <w:top w:val="single" w:sz="4" w:space="0" w:color="5B9BD4"/>
                          <w:left w:val="single" w:sz="11" w:space="0" w:color="DEEAF6"/>
                          <w:bottom w:val="single" w:sz="4" w:space="0" w:color="5B9BD4"/>
                          <w:right w:val="nil" w:sz="6" w:space="0" w:color="auto"/>
                        </w:tcBorders>
                      </w:tcPr>
                      <w:p>
                        <w:pPr>
                          <w:pStyle w:val="TableParagraph"/>
                          <w:spacing w:line="240" w:lineRule="auto" w:before="89"/>
                          <w:ind w:right="12"/>
                          <w:jc w:val="right"/>
                          <w:rPr>
                            <w:rFonts w:ascii="Arial" w:hAnsi="Arial" w:cs="Arial" w:eastAsia="Arial" w:hint="default"/>
                            <w:sz w:val="18"/>
                            <w:szCs w:val="18"/>
                          </w:rPr>
                        </w:pPr>
                        <w:r>
                          <w:rPr>
                            <w:rFonts w:ascii="Arial"/>
                            <w:w w:val="99"/>
                            <w:sz w:val="18"/>
                          </w:rPr>
                          <w:t>0</w:t>
                        </w:r>
                        <w:r>
                          <w:rPr>
                            <w:rFonts w:ascii="Arial"/>
                            <w:sz w:val="18"/>
                          </w:rPr>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30" w:type="dxa"/>
        <w:tblLayout w:type="fixed"/>
        <w:tblCellMar>
          <w:top w:w="0" w:type="dxa"/>
          <w:left w:w="0" w:type="dxa"/>
          <w:bottom w:w="0" w:type="dxa"/>
          <w:right w:w="0" w:type="dxa"/>
        </w:tblCellMar>
        <w:tblLook w:val="01E0"/>
      </w:tblPr>
      <w:tblGrid>
        <w:gridCol w:w="3180"/>
        <w:gridCol w:w="6375"/>
      </w:tblGrid>
      <w:tr>
        <w:trPr>
          <w:trHeight w:val="402" w:hRule="exact"/>
        </w:trPr>
        <w:tc>
          <w:tcPr>
            <w:tcW w:w="318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26"/>
              <w:jc w:val="right"/>
              <w:rPr>
                <w:rFonts w:ascii="Arial" w:hAnsi="Arial" w:cs="Arial" w:eastAsia="Arial" w:hint="default"/>
                <w:sz w:val="18"/>
                <w:szCs w:val="18"/>
              </w:rPr>
            </w:pPr>
            <w:r>
              <w:rPr>
                <w:rFonts w:ascii="Arial"/>
                <w:w w:val="99"/>
                <w:sz w:val="18"/>
              </w:rPr>
              <w:t>0</w:t>
            </w:r>
            <w:r>
              <w:rPr>
                <w:rFonts w:ascii="Arial"/>
                <w:sz w:val="18"/>
              </w:rPr>
            </w:r>
          </w:p>
        </w:tc>
      </w:tr>
      <w:tr>
        <w:trPr>
          <w:trHeight w:val="402" w:hRule="exact"/>
        </w:trPr>
        <w:tc>
          <w:tcPr>
            <w:tcW w:w="318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26"/>
              <w:jc w:val="right"/>
              <w:rPr>
                <w:rFonts w:ascii="Arial" w:hAnsi="Arial" w:cs="Arial" w:eastAsia="Arial" w:hint="default"/>
                <w:sz w:val="18"/>
                <w:szCs w:val="18"/>
              </w:rPr>
            </w:pPr>
            <w:r>
              <w:rPr>
                <w:rFonts w:ascii="Arial"/>
                <w:w w:val="99"/>
                <w:sz w:val="18"/>
              </w:rPr>
              <w:t>0</w:t>
            </w:r>
            <w:r>
              <w:rPr>
                <w:rFonts w:ascii="Arial"/>
                <w:sz w:val="18"/>
              </w:rPr>
            </w:r>
          </w:p>
        </w:tc>
      </w:tr>
      <w:tr>
        <w:trPr>
          <w:trHeight w:val="402" w:hRule="exact"/>
        </w:trPr>
        <w:tc>
          <w:tcPr>
            <w:tcW w:w="318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tcBorders>
              <w:top w:val="single" w:sz="4" w:space="0" w:color="5B9BD4"/>
              <w:left w:val="nil" w:sz="6" w:space="0" w:color="auto"/>
              <w:bottom w:val="single" w:sz="4" w:space="0" w:color="5B9BD4"/>
              <w:right w:val="nil" w:sz="6" w:space="0" w:color="auto"/>
            </w:tcBorders>
          </w:tcPr>
          <w:p>
            <w:pPr>
              <w:pStyle w:val="TableParagraph"/>
              <w:spacing w:line="240" w:lineRule="auto" w:before="88"/>
              <w:ind w:right="26"/>
              <w:jc w:val="right"/>
              <w:rPr>
                <w:rFonts w:ascii="Arial" w:hAnsi="Arial" w:cs="Arial" w:eastAsia="Arial" w:hint="default"/>
                <w:sz w:val="18"/>
                <w:szCs w:val="18"/>
              </w:rPr>
            </w:pPr>
            <w:r>
              <w:rPr>
                <w:rFonts w:ascii="Arial"/>
                <w:w w:val="99"/>
                <w:sz w:val="18"/>
              </w:rPr>
              <w:t>0</w:t>
            </w:r>
            <w:r>
              <w:rPr>
                <w:rFonts w:ascii="Arial"/>
                <w:sz w:val="18"/>
              </w:rPr>
            </w:r>
          </w:p>
        </w:tc>
      </w:tr>
    </w:tbl>
    <w:p>
      <w:pPr>
        <w:spacing w:line="240" w:lineRule="auto" w:before="11"/>
        <w:rPr>
          <w:rFonts w:ascii="宋体" w:hAnsi="宋体" w:cs="宋体" w:eastAsia="宋体" w:hint="default"/>
          <w:sz w:val="6"/>
          <w:szCs w:val="6"/>
        </w:rPr>
      </w:pPr>
    </w:p>
    <w:p>
      <w:pPr>
        <w:pStyle w:val="Heading1"/>
        <w:spacing w:line="409" w:lineRule="exact"/>
        <w:ind w:left="154" w:right="0"/>
        <w:jc w:val="left"/>
        <w:rPr>
          <w:b w:val="0"/>
          <w:bCs w:val="0"/>
        </w:rPr>
      </w:pPr>
      <w:bookmarkStart w:name="9.10 内部控制审计报告或鉴证报告" w:id="252"/>
      <w:bookmarkEnd w:id="252"/>
      <w:r>
        <w:rPr>
          <w:b w:val="0"/>
          <w:bCs w:val="0"/>
        </w:rPr>
      </w:r>
      <w:bookmarkStart w:name="_bookmark72" w:id="253"/>
      <w:bookmarkEnd w:id="253"/>
      <w:r>
        <w:rPr>
          <w:b w:val="0"/>
          <w:bCs w:val="0"/>
        </w:rPr>
      </w:r>
      <w:r>
        <w:rPr>
          <w:rFonts w:ascii="Trebuchet MS" w:hAnsi="Trebuchet MS" w:cs="Trebuchet MS" w:eastAsia="Trebuchet MS" w:hint="default"/>
        </w:rPr>
        <w:t>9.10</w:t>
      </w:r>
      <w:r>
        <w:rPr>
          <w:rFonts w:ascii="Trebuchet MS" w:hAnsi="Trebuchet MS" w:cs="Trebuchet MS" w:eastAsia="Trebuchet MS" w:hint="default"/>
          <w:spacing w:val="4"/>
        </w:rPr>
        <w:t> </w:t>
      </w:r>
      <w:r>
        <w:rPr/>
        <w:t>内部控制审计报告或鉴证报告</w:t>
      </w:r>
      <w:r>
        <w:rPr>
          <w:b w:val="0"/>
          <w:bCs w:val="0"/>
        </w:rPr>
      </w:r>
    </w:p>
    <w:p>
      <w:pPr>
        <w:spacing w:before="182"/>
        <w:ind w:left="153" w:right="0"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1"/>
        <w:rPr>
          <w:rFonts w:ascii="宋体" w:hAnsi="宋体" w:cs="宋体" w:eastAsia="宋体" w:hint="default"/>
          <w:sz w:val="8"/>
          <w:szCs w:val="8"/>
        </w:rPr>
      </w:pPr>
    </w:p>
    <w:p>
      <w:pPr>
        <w:spacing w:line="418"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0.95pt;mso-position-horizontal-relative:char;mso-position-vertical-relative:line" coordorigin="0,0" coordsize="9579,419">
            <v:group style="position:absolute;left:19;top:14;width:2;height:392" coordorigin="19,14" coordsize="2,392">
              <v:shape style="position:absolute;left:19;top:14;width:2;height:392" coordorigin="19,14" coordsize="0,392" path="m19,14l19,405e" filled="false" stroked="true" strokeweight="1.38pt" strokecolor="#deeaf6">
                <v:path arrowok="t"/>
              </v:shape>
            </v:group>
            <v:group style="position:absolute;left:9560;top:14;width:2;height:392" coordorigin="9560,14" coordsize="2,392">
              <v:shape style="position:absolute;left:9560;top:14;width:2;height:392" coordorigin="9560,14" coordsize="0,392" path="m9560,14l9560,405e" filled="false" stroked="true" strokeweight="1.38pt" strokecolor="#deeaf6">
                <v:path arrowok="t"/>
              </v:shape>
            </v:group>
            <v:group style="position:absolute;left:32;top:14;width:9514;height:392" coordorigin="32,14" coordsize="9514,392">
              <v:shape style="position:absolute;left:32;top:14;width:9514;height:392" coordorigin="32,14" coordsize="9514,392" path="m32,405l9546,405,9546,14,32,14,32,405xe" filled="true" fillcolor="#deeaf6" stroked="false">
                <v:path arrowok="t"/>
                <v:fill type="solid"/>
              </v:shape>
            </v:group>
            <v:group style="position:absolute;left:5;top:8;width:9569;height:2" coordorigin="5,8" coordsize="9569,2">
              <v:shape style="position:absolute;left:5;top:8;width:9569;height:2" coordorigin="5,8" coordsize="9569,0" path="m5,8l9574,8e" filled="false" stroked="true" strokeweight=".48pt" strokecolor="#5b9bd4">
                <v:path arrowok="t"/>
              </v:shape>
            </v:group>
            <v:group style="position:absolute;left:5;top:410;width:9569;height:2" coordorigin="5,410" coordsize="9569,2">
              <v:shape style="position:absolute;left:5;top:410;width:9569;height:2" coordorigin="5,410" coordsize="9569,0" path="m5,410l9574,410e" filled="false" stroked="true" strokeweight=".48pt" strokecolor="#5b9bd4">
                <v:path arrowok="t"/>
              </v:shape>
              <v:shape style="position:absolute;left:5;top:8;width:9569;height:402" type="#_x0000_t202" filled="false" stroked="false">
                <v:textbox inset="0,0,0,0">
                  <w:txbxContent>
                    <w:p>
                      <w:pPr>
                        <w:spacing w:before="52"/>
                        <w:ind w:left="-1" w:right="1" w:firstLine="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xbxContent>
                </v:textbox>
                <w10:wrap type="none"/>
              </v:shape>
            </v:group>
          </v:group>
        </w:pict>
      </w:r>
      <w:r>
        <w:rPr>
          <w:rFonts w:ascii="宋体" w:hAnsi="宋体" w:cs="宋体" w:eastAsia="宋体" w:hint="default"/>
          <w:position w:val="-7"/>
          <w:sz w:val="20"/>
          <w:szCs w:val="20"/>
        </w:rPr>
      </w:r>
    </w:p>
    <w:p>
      <w:pPr>
        <w:spacing w:line="309" w:lineRule="auto" w:before="44"/>
        <w:ind w:left="181" w:right="1169" w:firstLine="0"/>
        <w:jc w:val="left"/>
        <w:rPr>
          <w:rFonts w:ascii="宋体" w:hAnsi="宋体" w:cs="宋体" w:eastAsia="宋体" w:hint="default"/>
          <w:sz w:val="18"/>
          <w:szCs w:val="18"/>
        </w:rPr>
      </w:pPr>
      <w:r>
        <w:rPr>
          <w:rFonts w:ascii="宋体" w:hAnsi="宋体" w:cs="宋体" w:eastAsia="宋体" w:hint="default"/>
          <w:spacing w:val="-1"/>
          <w:w w:val="99"/>
          <w:sz w:val="18"/>
          <w:szCs w:val="18"/>
        </w:rPr>
        <w:t>瑞华会计师事务所（特殊普通合伙）阅读了由本公司编写的《</w:t>
      </w:r>
      <w:r>
        <w:rPr>
          <w:rFonts w:ascii="Arial" w:hAnsi="Arial" w:cs="Arial" w:eastAsia="Arial" w:hint="default"/>
          <w:spacing w:val="-1"/>
          <w:w w:val="99"/>
          <w:sz w:val="18"/>
          <w:szCs w:val="18"/>
        </w:rPr>
        <w:t>2015</w:t>
      </w:r>
      <w:r>
        <w:rPr>
          <w:rFonts w:ascii="Arial" w:hAnsi="Arial" w:cs="Arial" w:eastAsia="Arial" w:hint="default"/>
          <w:w w:val="99"/>
          <w:sz w:val="18"/>
          <w:szCs w:val="18"/>
        </w:rPr>
        <w:t> </w:t>
      </w:r>
      <w:r>
        <w:rPr>
          <w:rFonts w:ascii="宋体" w:hAnsi="宋体" w:cs="宋体" w:eastAsia="宋体" w:hint="default"/>
          <w:spacing w:val="-5"/>
          <w:sz w:val="18"/>
          <w:szCs w:val="18"/>
        </w:rPr>
        <w:t>年度内部控制自我评价报告》，并出具了《内部控制专</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4"/>
          <w:w w:val="101"/>
          <w:sz w:val="18"/>
          <w:szCs w:val="18"/>
        </w:rPr>
        <w:t>项报告》（瑞华核字</w:t>
      </w:r>
      <w:r>
        <w:rPr>
          <w:rFonts w:ascii="Arial" w:hAnsi="Arial" w:cs="Arial" w:eastAsia="Arial" w:hint="default"/>
          <w:spacing w:val="-4"/>
          <w:w w:val="101"/>
          <w:sz w:val="18"/>
          <w:szCs w:val="18"/>
        </w:rPr>
        <w:t>[2016]44010007 </w:t>
      </w:r>
      <w:r>
        <w:rPr>
          <w:rFonts w:ascii="宋体" w:hAnsi="宋体" w:cs="宋体" w:eastAsia="宋体" w:hint="default"/>
          <w:spacing w:val="-5"/>
          <w:sz w:val="18"/>
          <w:szCs w:val="18"/>
        </w:rPr>
        <w:t>号），称：我们阅读了由爱施德公司编写并后附的《关于内部控制有关事项的说明》。</w:t>
      </w:r>
      <w:r>
        <w:rPr>
          <w:rFonts w:ascii="宋体" w:hAnsi="宋体" w:cs="宋体" w:eastAsia="宋体" w:hint="default"/>
          <w:sz w:val="18"/>
          <w:szCs w:val="18"/>
        </w:rPr>
        <w:t> 基于作为我们为了对上述财务报表整体发表审计意见之目的而实施的审计程序的一部分而对该说明中所述的与爱施德公 司上述财务报表编制相关的内部控制的研究和评价，我们未发现爱施德公司编写的《关于内部控制有关事项的说明》中所 述的与财务报表编制相关的内部控制的相关情况与我们对爱施德公司就上述财务报表的审计发现存在重大的不一致。</w:t>
      </w:r>
    </w:p>
    <w:p>
      <w:pPr>
        <w:spacing w:line="240" w:lineRule="auto" w:before="5"/>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5B9BD4"/>
              <w:left w:val="nil" w:sz="6" w:space="0" w:color="auto"/>
              <w:bottom w:val="single" w:sz="4" w:space="0" w:color="5B9BD4"/>
              <w:right w:val="single" w:sz="4" w:space="0" w:color="5B9BD4"/>
            </w:tcBorders>
            <w:shd w:val="clear" w:color="auto" w:fill="DEEAF6"/>
          </w:tcPr>
          <w:p>
            <w:pPr>
              <w:pStyle w:val="TableParagraph"/>
              <w:spacing w:line="240" w:lineRule="auto" w:before="47"/>
              <w:ind w:left="27"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5B9BD4"/>
              <w:left w:val="single" w:sz="4" w:space="0" w:color="5B9BD4"/>
              <w:bottom w:val="single" w:sz="4" w:space="0" w:color="5B9BD4"/>
              <w:right w:val="nil" w:sz="6" w:space="0" w:color="auto"/>
            </w:tcBorders>
          </w:tcPr>
          <w:p>
            <w:pPr>
              <w:pStyle w:val="TableParagraph"/>
              <w:spacing w:line="240" w:lineRule="auto" w:before="47"/>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5B9BD4"/>
              <w:left w:val="nil" w:sz="6" w:space="0" w:color="auto"/>
              <w:bottom w:val="single" w:sz="4" w:space="0" w:color="5B9BD4"/>
              <w:right w:val="single" w:sz="4" w:space="0" w:color="5B9BD4"/>
            </w:tcBorders>
            <w:shd w:val="clear" w:color="auto" w:fill="DEEAF6"/>
          </w:tcPr>
          <w:p>
            <w:pPr>
              <w:pStyle w:val="TableParagraph"/>
              <w:spacing w:line="240" w:lineRule="auto" w:before="47"/>
              <w:ind w:left="27"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5B9BD4"/>
              <w:left w:val="single" w:sz="4" w:space="0" w:color="5B9BD4"/>
              <w:bottom w:val="single" w:sz="4" w:space="0" w:color="5B9BD4"/>
              <w:right w:val="nil" w:sz="6" w:space="0" w:color="auto"/>
            </w:tcBorders>
          </w:tcPr>
          <w:p>
            <w:pPr>
              <w:pStyle w:val="TableParagraph"/>
              <w:spacing w:line="240" w:lineRule="auto" w:before="47"/>
              <w:ind w:left="23"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04</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19</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5B9BD4"/>
              <w:left w:val="nil" w:sz="6" w:space="0" w:color="auto"/>
              <w:bottom w:val="single" w:sz="4" w:space="0" w:color="5B9BD4"/>
              <w:right w:val="single" w:sz="4" w:space="0" w:color="5B9BD4"/>
            </w:tcBorders>
            <w:shd w:val="clear" w:color="auto" w:fill="DEEAF6"/>
          </w:tcPr>
          <w:p>
            <w:pPr>
              <w:pStyle w:val="TableParagraph"/>
              <w:spacing w:line="240" w:lineRule="auto" w:before="47"/>
              <w:ind w:left="27"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5B9BD4"/>
              <w:left w:val="single" w:sz="4" w:space="0" w:color="5B9BD4"/>
              <w:bottom w:val="single" w:sz="4" w:space="0" w:color="5B9BD4"/>
              <w:right w:val="nil" w:sz="6" w:space="0" w:color="auto"/>
            </w:tcBorders>
          </w:tcPr>
          <w:p>
            <w:pPr>
              <w:pStyle w:val="TableParagraph"/>
              <w:spacing w:line="240" w:lineRule="auto" w:before="47"/>
              <w:ind w:left="23" w:right="0"/>
              <w:jc w:val="left"/>
              <w:rPr>
                <w:rFonts w:ascii="宋体" w:hAnsi="宋体" w:cs="宋体" w:eastAsia="宋体" w:hint="default"/>
                <w:sz w:val="18"/>
                <w:szCs w:val="18"/>
              </w:rPr>
            </w:pPr>
            <w:r>
              <w:rPr>
                <w:rFonts w:ascii="宋体" w:hAnsi="宋体" w:cs="宋体" w:eastAsia="宋体" w:hint="default"/>
                <w:w w:val="105"/>
                <w:sz w:val="18"/>
                <w:szCs w:val="18"/>
              </w:rPr>
              <w:t>详见刊登于巨潮资讯网（</w:t>
            </w:r>
            <w:hyperlink r:id="rId29">
              <w:r>
                <w:rPr>
                  <w:rFonts w:ascii="Arial" w:hAnsi="Arial" w:cs="Arial" w:eastAsia="Arial" w:hint="default"/>
                  <w:w w:val="105"/>
                  <w:sz w:val="18"/>
                  <w:szCs w:val="18"/>
                </w:rPr>
                <w:t>http://www.cninfo.com.cn</w:t>
              </w:r>
            </w:hyperlink>
            <w:r>
              <w:rPr>
                <w:rFonts w:ascii="宋体" w:hAnsi="宋体" w:cs="宋体" w:eastAsia="宋体" w:hint="default"/>
                <w:w w:val="105"/>
                <w:sz w:val="18"/>
                <w:szCs w:val="18"/>
              </w:rPr>
              <w:t>）的《内部控制专项报告》</w:t>
            </w:r>
          </w:p>
        </w:tc>
      </w:tr>
      <w:tr>
        <w:trPr>
          <w:trHeight w:val="402" w:hRule="exact"/>
        </w:trPr>
        <w:tc>
          <w:tcPr>
            <w:tcW w:w="2662" w:type="dxa"/>
            <w:tcBorders>
              <w:top w:val="single" w:sz="4" w:space="0" w:color="5B9BD4"/>
              <w:left w:val="nil" w:sz="6" w:space="0" w:color="auto"/>
              <w:bottom w:val="single" w:sz="4" w:space="0" w:color="5B9BD4"/>
              <w:right w:val="single" w:sz="4" w:space="0" w:color="5B9BD4"/>
            </w:tcBorders>
            <w:shd w:val="clear" w:color="auto" w:fill="DEEAF6"/>
          </w:tcPr>
          <w:p>
            <w:pPr>
              <w:pStyle w:val="TableParagraph"/>
              <w:spacing w:line="240" w:lineRule="auto" w:before="47"/>
              <w:ind w:left="27"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5B9BD4"/>
              <w:left w:val="single" w:sz="4" w:space="0" w:color="5B9BD4"/>
              <w:bottom w:val="single" w:sz="4" w:space="0" w:color="5B9BD4"/>
              <w:right w:val="nil" w:sz="6" w:space="0" w:color="auto"/>
            </w:tcBorders>
          </w:tcPr>
          <w:p>
            <w:pPr>
              <w:pStyle w:val="TableParagraph"/>
              <w:spacing w:line="240" w:lineRule="auto" w:before="47"/>
              <w:ind w:left="23" w:right="0"/>
              <w:jc w:val="left"/>
              <w:rPr>
                <w:rFonts w:ascii="宋体" w:hAnsi="宋体" w:cs="宋体" w:eastAsia="宋体" w:hint="default"/>
                <w:sz w:val="18"/>
                <w:szCs w:val="18"/>
              </w:rPr>
            </w:pPr>
            <w:r>
              <w:rPr>
                <w:rFonts w:ascii="宋体" w:hAnsi="宋体" w:cs="宋体" w:eastAsia="宋体" w:hint="default"/>
                <w:sz w:val="18"/>
                <w:szCs w:val="18"/>
              </w:rPr>
              <w:t>标准无保留</w:t>
            </w:r>
          </w:p>
        </w:tc>
      </w:tr>
      <w:tr>
        <w:trPr>
          <w:trHeight w:val="403" w:hRule="exact"/>
        </w:trPr>
        <w:tc>
          <w:tcPr>
            <w:tcW w:w="2662" w:type="dxa"/>
            <w:tcBorders>
              <w:top w:val="single" w:sz="4" w:space="0" w:color="5B9BD4"/>
              <w:left w:val="nil" w:sz="6" w:space="0" w:color="auto"/>
              <w:bottom w:val="single" w:sz="4" w:space="0" w:color="5B9BD4"/>
              <w:right w:val="single" w:sz="4" w:space="0" w:color="5B9BD4"/>
            </w:tcBorders>
            <w:shd w:val="clear" w:color="auto" w:fill="DEEAF6"/>
          </w:tcPr>
          <w:p>
            <w:pPr>
              <w:pStyle w:val="TableParagraph"/>
              <w:spacing w:line="240" w:lineRule="auto" w:before="47"/>
              <w:ind w:left="27"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5B9BD4"/>
              <w:left w:val="single" w:sz="4" w:space="0" w:color="5B9BD4"/>
              <w:bottom w:val="single" w:sz="4" w:space="0" w:color="5B9BD4"/>
              <w:right w:val="nil" w:sz="6" w:space="0" w:color="auto"/>
            </w:tcBorders>
          </w:tcPr>
          <w:p>
            <w:pPr>
              <w:pStyle w:val="TableParagraph"/>
              <w:spacing w:line="240" w:lineRule="auto" w:before="47"/>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6"/>
        <w:ind w:left="154"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60" w:lineRule="auto" w:before="116"/>
        <w:ind w:left="154" w:right="4632"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r>
        <w:rPr>
          <w:rFonts w:ascii="宋体" w:hAnsi="宋体" w:cs="宋体" w:eastAsia="宋体" w:hint="default"/>
          <w:sz w:val="18"/>
          <w:szCs w:val="18"/>
        </w:rPr>
        <w:t> 会计师事务所出具的内部控制鉴证报告与董事会的自我评价报告意见是否一致</w:t>
      </w:r>
    </w:p>
    <w:p>
      <w:pPr>
        <w:spacing w:before="26"/>
        <w:ind w:left="153"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1"/>
        <w:spacing w:line="409" w:lineRule="exact"/>
        <w:ind w:left="194" w:right="1112"/>
        <w:jc w:val="center"/>
        <w:rPr>
          <w:b w:val="0"/>
          <w:bCs w:val="0"/>
        </w:rPr>
      </w:pPr>
      <w:bookmarkStart w:name="第十节 财务报告" w:id="254"/>
      <w:bookmarkEnd w:id="254"/>
      <w:r>
        <w:rPr>
          <w:b w:val="0"/>
          <w:bCs w:val="0"/>
        </w:rPr>
      </w:r>
      <w:bookmarkStart w:name="_bookmark73" w:id="255"/>
      <w:bookmarkEnd w:id="255"/>
      <w:r>
        <w:rPr>
          <w:b w:val="0"/>
          <w:bCs w:val="0"/>
        </w:rPr>
      </w:r>
      <w:r>
        <w:rPr>
          <w:color w:val="2D74B5"/>
        </w:rPr>
        <w:t>第十节  财务报告</w:t>
      </w:r>
      <w:r>
        <w:rPr>
          <w:b w:val="0"/>
          <w:bCs w:val="0"/>
        </w:rPr>
      </w:r>
    </w:p>
    <w:p>
      <w:pPr>
        <w:spacing w:line="240" w:lineRule="auto" w:before="15"/>
        <w:rPr>
          <w:rFonts w:ascii="Microsoft JhengHei" w:hAnsi="Microsoft JhengHei" w:cs="Microsoft JhengHei" w:eastAsia="Microsoft JhengHei" w:hint="default"/>
          <w:b/>
          <w:bCs/>
          <w:sz w:val="26"/>
          <w:szCs w:val="26"/>
        </w:rPr>
      </w:pPr>
    </w:p>
    <w:p>
      <w:pPr>
        <w:pStyle w:val="Heading2"/>
        <w:spacing w:line="240" w:lineRule="auto" w:before="26"/>
        <w:ind w:left="213" w:right="1513"/>
        <w:jc w:val="left"/>
        <w:rPr>
          <w:rFonts w:ascii="宋体" w:hAnsi="宋体" w:cs="宋体" w:eastAsia="宋体" w:hint="default"/>
          <w:b w:val="0"/>
          <w:bCs w:val="0"/>
        </w:rPr>
      </w:pPr>
      <w:bookmarkStart w:name="一、审计报告" w:id="256"/>
      <w:bookmarkEnd w:id="256"/>
      <w:r>
        <w:rPr>
          <w:b w:val="0"/>
          <w:bCs w:val="0"/>
        </w:rPr>
      </w:r>
      <w:bookmarkStart w:name="_bookmark74" w:id="257"/>
      <w:bookmarkEnd w:id="257"/>
      <w:r>
        <w:rPr>
          <w:b w:val="0"/>
          <w:bCs w:val="0"/>
        </w:rPr>
      </w:r>
      <w:r>
        <w:rPr>
          <w:rFonts w:ascii="宋体" w:hAnsi="宋体" w:cs="宋体" w:eastAsia="宋体" w:hint="default"/>
        </w:rPr>
        <w:t>一、审计报告</w:t>
      </w:r>
      <w:r>
        <w:rPr>
          <w:rFonts w:ascii="宋体" w:hAnsi="宋体" w:cs="宋体" w:eastAsia="宋体" w:hint="default"/>
          <w:b w:val="0"/>
          <w:bCs w:val="0"/>
        </w:rPr>
      </w:r>
    </w:p>
    <w:p>
      <w:pPr>
        <w:spacing w:line="240" w:lineRule="auto" w:before="9"/>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4784"/>
        <w:gridCol w:w="4785"/>
      </w:tblGrid>
      <w:tr>
        <w:trPr>
          <w:trHeight w:val="323" w:hRule="exact"/>
        </w:trPr>
        <w:tc>
          <w:tcPr>
            <w:tcW w:w="47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left="108"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107"/>
              <w:jc w:val="righ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322" w:hRule="exact"/>
        </w:trPr>
        <w:tc>
          <w:tcPr>
            <w:tcW w:w="47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107"/>
              <w:jc w:val="righ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04</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322" w:hRule="exact"/>
        </w:trPr>
        <w:tc>
          <w:tcPr>
            <w:tcW w:w="47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106"/>
              <w:jc w:val="righ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322" w:hRule="exact"/>
        </w:trPr>
        <w:tc>
          <w:tcPr>
            <w:tcW w:w="47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5B9BD4"/>
              <w:left w:val="nil" w:sz="6" w:space="0" w:color="auto"/>
              <w:bottom w:val="single" w:sz="4" w:space="0" w:color="5B9BD4"/>
              <w:right w:val="nil" w:sz="6" w:space="0" w:color="auto"/>
            </w:tcBorders>
          </w:tcPr>
          <w:p>
            <w:pPr>
              <w:pStyle w:val="TableParagraph"/>
              <w:spacing w:line="240" w:lineRule="auto" w:before="6"/>
              <w:ind w:right="107"/>
              <w:jc w:val="right"/>
              <w:rPr>
                <w:rFonts w:ascii="宋体" w:hAnsi="宋体" w:cs="宋体" w:eastAsia="宋体" w:hint="default"/>
                <w:sz w:val="18"/>
                <w:szCs w:val="18"/>
              </w:rPr>
            </w:pPr>
            <w:r>
              <w:rPr>
                <w:rFonts w:ascii="宋体" w:hAnsi="宋体" w:cs="宋体" w:eastAsia="宋体" w:hint="default"/>
                <w:sz w:val="18"/>
                <w:szCs w:val="18"/>
              </w:rPr>
              <w:t>瑞华审字</w:t>
            </w:r>
            <w:r>
              <w:rPr>
                <w:rFonts w:ascii="Arial" w:hAnsi="Arial" w:cs="Arial" w:eastAsia="Arial" w:hint="default"/>
                <w:sz w:val="18"/>
                <w:szCs w:val="18"/>
              </w:rPr>
              <w:t>[2016]44010020</w:t>
            </w:r>
            <w:r>
              <w:rPr>
                <w:rFonts w:ascii="Arial" w:hAnsi="Arial" w:cs="Arial" w:eastAsia="Arial" w:hint="default"/>
                <w:spacing w:val="14"/>
                <w:sz w:val="18"/>
                <w:szCs w:val="18"/>
              </w:rPr>
              <w:t> </w:t>
            </w:r>
            <w:r>
              <w:rPr>
                <w:rFonts w:ascii="宋体" w:hAnsi="宋体" w:cs="宋体" w:eastAsia="宋体" w:hint="default"/>
                <w:sz w:val="18"/>
                <w:szCs w:val="18"/>
              </w:rPr>
              <w:t>号</w:t>
            </w:r>
          </w:p>
        </w:tc>
      </w:tr>
      <w:tr>
        <w:trPr>
          <w:trHeight w:val="322" w:hRule="exact"/>
        </w:trPr>
        <w:tc>
          <w:tcPr>
            <w:tcW w:w="47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107"/>
              <w:jc w:val="right"/>
              <w:rPr>
                <w:rFonts w:ascii="宋体" w:hAnsi="宋体" w:cs="宋体" w:eastAsia="宋体" w:hint="default"/>
                <w:sz w:val="18"/>
                <w:szCs w:val="18"/>
              </w:rPr>
            </w:pPr>
            <w:r>
              <w:rPr>
                <w:rFonts w:ascii="宋体" w:hAnsi="宋体" w:cs="宋体" w:eastAsia="宋体" w:hint="default"/>
                <w:sz w:val="18"/>
                <w:szCs w:val="18"/>
              </w:rPr>
              <w:t>廖晓鸿、何晓娟</w:t>
            </w:r>
          </w:p>
        </w:tc>
      </w:tr>
    </w:tbl>
    <w:p>
      <w:pPr>
        <w:spacing w:line="240" w:lineRule="auto" w:before="0"/>
        <w:rPr>
          <w:rFonts w:ascii="宋体" w:hAnsi="宋体" w:cs="宋体" w:eastAsia="宋体" w:hint="default"/>
          <w:b/>
          <w:bCs/>
          <w:sz w:val="15"/>
          <w:szCs w:val="15"/>
        </w:rPr>
      </w:pPr>
    </w:p>
    <w:p>
      <w:pPr>
        <w:pStyle w:val="BodyText"/>
        <w:spacing w:line="240" w:lineRule="auto" w:before="18"/>
        <w:ind w:left="194" w:right="690"/>
        <w:jc w:val="center"/>
      </w:pPr>
      <w:r>
        <w:rPr/>
        <w:t>审计报告正文</w:t>
      </w:r>
    </w:p>
    <w:p>
      <w:pPr>
        <w:spacing w:line="240" w:lineRule="auto" w:before="4"/>
        <w:rPr>
          <w:rFonts w:ascii="宋体" w:hAnsi="宋体" w:cs="宋体" w:eastAsia="宋体" w:hint="default"/>
          <w:sz w:val="25"/>
          <w:szCs w:val="25"/>
        </w:rPr>
      </w:pPr>
    </w:p>
    <w:p>
      <w:pPr>
        <w:pStyle w:val="Heading5"/>
        <w:spacing w:line="317" w:lineRule="exact" w:before="0"/>
        <w:ind w:left="633" w:right="1513"/>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深圳市爱施德股份有限公司全体股东：</w:t>
      </w:r>
      <w:r>
        <w:rPr>
          <w:rFonts w:ascii="Microsoft JhengHei" w:hAnsi="Microsoft JhengHei" w:cs="Microsoft JhengHei" w:eastAsia="Microsoft JhengHei" w:hint="default"/>
          <w:b w:val="0"/>
          <w:bCs w:val="0"/>
        </w:rPr>
      </w:r>
    </w:p>
    <w:p>
      <w:pPr>
        <w:spacing w:line="240" w:lineRule="auto" w:before="12"/>
        <w:rPr>
          <w:rFonts w:ascii="Microsoft JhengHei" w:hAnsi="Microsoft JhengHei" w:cs="Microsoft JhengHei" w:eastAsia="Microsoft JhengHei" w:hint="default"/>
          <w:b/>
          <w:bCs/>
          <w:sz w:val="18"/>
          <w:szCs w:val="18"/>
        </w:rPr>
      </w:pPr>
    </w:p>
    <w:p>
      <w:pPr>
        <w:pStyle w:val="BodyText"/>
        <w:spacing w:line="388" w:lineRule="auto"/>
        <w:ind w:left="213" w:right="1130" w:firstLine="420"/>
        <w:jc w:val="both"/>
      </w:pPr>
      <w:r>
        <w:rPr>
          <w:spacing w:val="2"/>
        </w:rPr>
        <w:t>我们审计了后附的深圳市爱施德股份有限公司（以下简称“爱施德公司”）的财务报表，包括</w:t>
      </w:r>
      <w:r>
        <w:rPr>
          <w:rFonts w:ascii="Arial" w:hAnsi="Arial" w:cs="Arial" w:eastAsia="Arial" w:hint="default"/>
          <w:spacing w:val="2"/>
        </w:rPr>
        <w:t>2015</w:t>
      </w:r>
      <w:r>
        <w:rPr>
          <w:rFonts w:ascii="Arial" w:hAnsi="Arial" w:cs="Arial" w:eastAsia="Arial" w:hint="default"/>
          <w:spacing w:val="1"/>
          <w:w w:val="99"/>
        </w:rPr>
        <w:t> </w:t>
      </w:r>
      <w:r>
        <w:rPr/>
        <w:t>年</w:t>
      </w:r>
      <w:r>
        <w:rPr>
          <w:rFonts w:ascii="Arial" w:hAnsi="Arial" w:cs="Arial" w:eastAsia="Arial" w:hint="default"/>
        </w:rPr>
        <w:t>12</w:t>
      </w:r>
      <w:r>
        <w:rPr/>
        <w:t>月</w:t>
      </w:r>
      <w:r>
        <w:rPr>
          <w:rFonts w:ascii="Arial" w:hAnsi="Arial" w:cs="Arial" w:eastAsia="Arial" w:hint="default"/>
        </w:rPr>
        <w:t>31</w:t>
      </w:r>
      <w:r>
        <w:rPr/>
        <w:t>日合并及公司的资产负债表，</w:t>
      </w:r>
      <w:r>
        <w:rPr>
          <w:rFonts w:ascii="Arial" w:hAnsi="Arial" w:cs="Arial" w:eastAsia="Arial" w:hint="default"/>
        </w:rPr>
        <w:t>2015</w:t>
      </w:r>
      <w:r>
        <w:rPr/>
        <w:t>年度合并及公司的利润表、合并及公司的现金流量表和合并</w:t>
      </w:r>
      <w:r>
        <w:rPr>
          <w:spacing w:val="-26"/>
        </w:rPr>
        <w:t> </w:t>
      </w:r>
      <w:r>
        <w:rPr>
          <w:spacing w:val="-26"/>
        </w:rPr>
      </w:r>
      <w:r>
        <w:rPr/>
        <w:t>及公司的股东权益变动表以及财务报表附注。</w:t>
      </w:r>
    </w:p>
    <w:p>
      <w:pPr>
        <w:spacing w:line="453" w:lineRule="auto" w:before="152"/>
        <w:ind w:left="634" w:right="419"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一、管理层对财务报表的责任</w:t>
      </w:r>
      <w:r>
        <w:rPr>
          <w:rFonts w:ascii="Microsoft JhengHei" w:hAnsi="Microsoft JhengHei" w:cs="Microsoft JhengHei" w:eastAsia="Microsoft JhengHei" w:hint="default"/>
          <w:b/>
          <w:bCs/>
          <w:spacing w:val="-50"/>
          <w:sz w:val="21"/>
          <w:szCs w:val="21"/>
        </w:rPr>
        <w:t> </w:t>
      </w:r>
      <w:r>
        <w:rPr>
          <w:rFonts w:ascii="Microsoft JhengHei" w:hAnsi="Microsoft JhengHei" w:cs="Microsoft JhengHei" w:eastAsia="Microsoft JhengHei" w:hint="default"/>
          <w:b/>
          <w:bCs/>
          <w:spacing w:val="-50"/>
          <w:sz w:val="21"/>
          <w:szCs w:val="21"/>
        </w:rPr>
      </w:r>
      <w:r>
        <w:rPr>
          <w:rFonts w:ascii="宋体" w:hAnsi="宋体" w:cs="宋体" w:eastAsia="宋体" w:hint="default"/>
          <w:sz w:val="21"/>
          <w:szCs w:val="21"/>
        </w:rPr>
        <w:t>编制和公允列报财务报表是爱施德公司管理层的责任。这种责任包括：（</w:t>
      </w:r>
      <w:r>
        <w:rPr>
          <w:rFonts w:ascii="Arial" w:hAnsi="Arial" w:cs="Arial" w:eastAsia="Arial" w:hint="default"/>
          <w:sz w:val="21"/>
          <w:szCs w:val="21"/>
        </w:rPr>
        <w:t>1</w:t>
      </w:r>
      <w:r>
        <w:rPr>
          <w:rFonts w:ascii="宋体" w:hAnsi="宋体" w:cs="宋体" w:eastAsia="宋体" w:hint="default"/>
          <w:sz w:val="21"/>
          <w:szCs w:val="21"/>
        </w:rPr>
        <w:t>）按照企业会计准则的规</w:t>
      </w:r>
    </w:p>
    <w:p>
      <w:pPr>
        <w:pStyle w:val="BodyText"/>
        <w:spacing w:line="259" w:lineRule="exact"/>
        <w:ind w:left="213" w:right="419"/>
        <w:jc w:val="left"/>
      </w:pPr>
      <w:r>
        <w:rPr/>
        <w:t>定编制财务报表，并使其实现公允反映；（</w:t>
      </w:r>
      <w:r>
        <w:rPr>
          <w:rFonts w:ascii="Arial" w:hAnsi="Arial" w:cs="Arial" w:eastAsia="Arial" w:hint="default"/>
        </w:rPr>
        <w:t>2</w:t>
      </w:r>
      <w:r>
        <w:rPr/>
        <w:t>）设计、执行和维护必要的内部控制，以使财务报表不存在</w:t>
      </w:r>
    </w:p>
    <w:p>
      <w:pPr>
        <w:spacing w:line="487" w:lineRule="auto" w:before="178"/>
        <w:ind w:left="633" w:right="7603" w:hanging="420"/>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由于舞弊或错误导致的重大错报。 </w:t>
      </w:r>
      <w:r>
        <w:rPr>
          <w:rFonts w:ascii="Microsoft JhengHei" w:hAnsi="Microsoft JhengHei" w:cs="Microsoft JhengHei" w:eastAsia="Microsoft JhengHei" w:hint="default"/>
          <w:b/>
          <w:bCs/>
          <w:sz w:val="21"/>
          <w:szCs w:val="21"/>
        </w:rPr>
        <w:t>二、注册会计师的责任</w:t>
      </w:r>
      <w:r>
        <w:rPr>
          <w:rFonts w:ascii="Microsoft JhengHei" w:hAnsi="Microsoft JhengHei" w:cs="Microsoft JhengHei" w:eastAsia="Microsoft JhengHei" w:hint="default"/>
          <w:sz w:val="21"/>
          <w:szCs w:val="21"/>
        </w:rPr>
      </w:r>
    </w:p>
    <w:p>
      <w:pPr>
        <w:pStyle w:val="BodyText"/>
        <w:spacing w:line="408" w:lineRule="auto" w:before="37"/>
        <w:ind w:left="213" w:right="1131" w:firstLine="420"/>
        <w:jc w:val="both"/>
      </w:pPr>
      <w:r>
        <w:rPr>
          <w:spacing w:val="-1"/>
        </w:rPr>
        <w:t>我们的责任是在执行审计工作的基础上对财务报表发表审计意见。我们按照中国注册会计师审计准则</w:t>
      </w:r>
      <w:r>
        <w:rPr/>
        <w:t> </w:t>
      </w:r>
      <w:r>
        <w:rPr>
          <w:spacing w:val="-1"/>
        </w:rPr>
        <w:t>的规定执行了审计工作。中国注册会计师审计准则要求我们遵守中国注册会计师职业道德守则，计划和执</w:t>
      </w:r>
      <w:r>
        <w:rPr>
          <w:spacing w:val="-81"/>
        </w:rPr>
        <w:t> </w:t>
      </w:r>
      <w:r>
        <w:rPr>
          <w:spacing w:val="-81"/>
        </w:rPr>
      </w:r>
      <w:r>
        <w:rPr/>
        <w:t>行审计工作以对财务报表是否不存在重大错报获取合理保证。</w:t>
      </w:r>
    </w:p>
    <w:p>
      <w:pPr>
        <w:spacing w:line="240" w:lineRule="auto" w:before="6"/>
        <w:rPr>
          <w:rFonts w:ascii="宋体" w:hAnsi="宋体" w:cs="宋体" w:eastAsia="宋体" w:hint="default"/>
          <w:sz w:val="15"/>
          <w:szCs w:val="15"/>
        </w:rPr>
      </w:pPr>
    </w:p>
    <w:p>
      <w:pPr>
        <w:pStyle w:val="BodyText"/>
        <w:spacing w:line="408" w:lineRule="auto"/>
        <w:ind w:left="213" w:right="1131" w:firstLine="420"/>
        <w:jc w:val="both"/>
      </w:pPr>
      <w:r>
        <w:rPr>
          <w:spacing w:val="-1"/>
        </w:rPr>
        <w:t>审计工作涉及实施审计程序，以获取有关财务报表金额和披露的审计证据。选择的审计程序取决于注</w:t>
      </w:r>
      <w:r>
        <w:rPr/>
        <w:t> </w:t>
      </w:r>
      <w:r>
        <w:rPr>
          <w:spacing w:val="-1"/>
        </w:rPr>
        <w:t>册会计师的判断，包括对由于舞弊或错误导致的财务报表重大错报风险的评估。在进行风险评估时，注册</w:t>
      </w:r>
      <w:r>
        <w:rPr>
          <w:spacing w:val="-83"/>
        </w:rPr>
        <w:t> </w:t>
      </w:r>
      <w:r>
        <w:rPr>
          <w:spacing w:val="-83"/>
        </w:rPr>
      </w:r>
      <w:r>
        <w:rPr>
          <w:spacing w:val="-1"/>
        </w:rPr>
        <w:t>会计师考虑与财务报表编制和公允列报相关的内部控制，以设计恰当的审计程序，但目的并非对内部控制</w:t>
      </w:r>
      <w:r>
        <w:rPr>
          <w:spacing w:val="-81"/>
        </w:rPr>
        <w:t> </w:t>
      </w:r>
      <w:r>
        <w:rPr>
          <w:spacing w:val="-81"/>
        </w:rPr>
      </w:r>
      <w:r>
        <w:rPr>
          <w:spacing w:val="-1"/>
        </w:rPr>
        <w:t>的有效性发表意见。审计工作还包括评价管理层选用会计政策的恰当性和作出会计估计的合理性，以及评</w:t>
      </w:r>
      <w:r>
        <w:rPr>
          <w:spacing w:val="-81"/>
        </w:rPr>
        <w:t> </w:t>
      </w:r>
      <w:r>
        <w:rPr>
          <w:spacing w:val="-81"/>
        </w:rPr>
      </w:r>
      <w:r>
        <w:rPr/>
        <w:t>价财务报表的总体列报。</w:t>
      </w:r>
    </w:p>
    <w:p>
      <w:pPr>
        <w:spacing w:line="240" w:lineRule="auto" w:before="6"/>
        <w:rPr>
          <w:rFonts w:ascii="宋体" w:hAnsi="宋体" w:cs="宋体" w:eastAsia="宋体" w:hint="default"/>
          <w:sz w:val="15"/>
          <w:szCs w:val="15"/>
        </w:rPr>
      </w:pPr>
    </w:p>
    <w:p>
      <w:pPr>
        <w:pStyle w:val="BodyText"/>
        <w:spacing w:line="240" w:lineRule="auto"/>
        <w:ind w:left="634" w:right="1513"/>
        <w:jc w:val="left"/>
      </w:pPr>
      <w:r>
        <w:rPr/>
        <w:t>我们相信，我们获取的审计证据是充分、适当的，为发表审计意见提供了基础。</w:t>
      </w:r>
    </w:p>
    <w:p>
      <w:pPr>
        <w:spacing w:after="0" w:line="240" w:lineRule="auto"/>
        <w:jc w:val="left"/>
        <w:sectPr>
          <w:pgSz w:w="11910" w:h="16840"/>
          <w:pgMar w:header="877" w:footer="979" w:top="1100" w:bottom="1160" w:left="920" w:right="0"/>
        </w:sectPr>
      </w:pPr>
    </w:p>
    <w:p>
      <w:pPr>
        <w:spacing w:line="240" w:lineRule="auto" w:before="7"/>
        <w:rPr>
          <w:rFonts w:ascii="宋体" w:hAnsi="宋体" w:cs="宋体" w:eastAsia="宋体" w:hint="default"/>
          <w:sz w:val="27"/>
          <w:szCs w:val="27"/>
        </w:rPr>
      </w:pPr>
    </w:p>
    <w:p>
      <w:pPr>
        <w:pStyle w:val="Heading5"/>
        <w:spacing w:line="317" w:lineRule="exact" w:before="0"/>
        <w:ind w:left="733" w:right="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三、审计意见</w:t>
      </w:r>
      <w:r>
        <w:rPr>
          <w:rFonts w:ascii="Microsoft JhengHei" w:hAnsi="Microsoft JhengHei" w:cs="Microsoft JhengHei" w:eastAsia="Microsoft JhengHei" w:hint="default"/>
          <w:b w:val="0"/>
          <w:bCs w:val="0"/>
        </w:rPr>
      </w:r>
    </w:p>
    <w:p>
      <w:pPr>
        <w:spacing w:line="240" w:lineRule="auto" w:before="12"/>
        <w:rPr>
          <w:rFonts w:ascii="Microsoft JhengHei" w:hAnsi="Microsoft JhengHei" w:cs="Microsoft JhengHei" w:eastAsia="Microsoft JhengHei" w:hint="default"/>
          <w:b/>
          <w:bCs/>
          <w:sz w:val="18"/>
          <w:szCs w:val="18"/>
        </w:rPr>
      </w:pPr>
    </w:p>
    <w:p>
      <w:pPr>
        <w:pStyle w:val="BodyText"/>
        <w:spacing w:line="408" w:lineRule="auto"/>
        <w:ind w:left="313" w:right="0" w:firstLine="420"/>
        <w:jc w:val="left"/>
      </w:pPr>
      <w:r>
        <w:rPr>
          <w:spacing w:val="-1"/>
        </w:rPr>
        <w:t>我们认为，上述财务报表在所有重大方面按照企业会计准则的规定编制，公允反映了深圳市爱施德股</w:t>
      </w:r>
      <w:r>
        <w:rPr/>
        <w:t> 份有限公司</w:t>
      </w:r>
      <w:r>
        <w:rPr>
          <w:rFonts w:ascii="Arial" w:hAnsi="Arial" w:cs="Arial" w:eastAsia="Arial" w:hint="default"/>
        </w:rPr>
        <w:t>2015</w:t>
      </w:r>
      <w:r>
        <w:rPr/>
        <w:t>年</w:t>
      </w:r>
      <w:r>
        <w:rPr>
          <w:rFonts w:ascii="Arial" w:hAnsi="Arial" w:cs="Arial" w:eastAsia="Arial" w:hint="default"/>
        </w:rPr>
        <w:t>12</w:t>
      </w:r>
      <w:r>
        <w:rPr/>
        <w:t>月</w:t>
      </w:r>
      <w:r>
        <w:rPr>
          <w:rFonts w:ascii="Arial" w:hAnsi="Arial" w:cs="Arial" w:eastAsia="Arial" w:hint="default"/>
        </w:rPr>
        <w:t>31</w:t>
      </w:r>
      <w:r>
        <w:rPr/>
        <w:t>日合并及公司的财务状况以及</w:t>
      </w:r>
      <w:r>
        <w:rPr>
          <w:rFonts w:ascii="Arial" w:hAnsi="Arial" w:cs="Arial" w:eastAsia="Arial" w:hint="default"/>
        </w:rPr>
        <w:t>2015</w:t>
      </w:r>
      <w:r>
        <w:rPr/>
        <w:t>年度合并及公司的经营成果和现金流量。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tbl>
      <w:tblPr>
        <w:tblW w:w="0" w:type="auto"/>
        <w:jc w:val="left"/>
        <w:tblInd w:w="113" w:type="dxa"/>
        <w:tblLayout w:type="fixed"/>
        <w:tblCellMar>
          <w:top w:w="0" w:type="dxa"/>
          <w:left w:w="0" w:type="dxa"/>
          <w:bottom w:w="0" w:type="dxa"/>
          <w:right w:w="0" w:type="dxa"/>
        </w:tblCellMar>
        <w:tblLook w:val="01E0"/>
      </w:tblPr>
      <w:tblGrid>
        <w:gridCol w:w="4253"/>
        <w:gridCol w:w="3622"/>
      </w:tblGrid>
      <w:tr>
        <w:trPr>
          <w:trHeight w:val="301" w:hRule="exact"/>
        </w:trPr>
        <w:tc>
          <w:tcPr>
            <w:tcW w:w="4253" w:type="dxa"/>
            <w:tcBorders>
              <w:top w:val="nil" w:sz="6" w:space="0" w:color="auto"/>
              <w:left w:val="nil" w:sz="6" w:space="0" w:color="auto"/>
              <w:bottom w:val="nil" w:sz="6" w:space="0" w:color="auto"/>
              <w:right w:val="nil" w:sz="6" w:space="0" w:color="auto"/>
            </w:tcBorders>
          </w:tcPr>
          <w:p>
            <w:pPr>
              <w:pStyle w:val="TableParagraph"/>
              <w:spacing w:line="193" w:lineRule="exact"/>
              <w:ind w:left="200" w:right="0"/>
              <w:jc w:val="left"/>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c>
          <w:tcPr>
            <w:tcW w:w="3622" w:type="dxa"/>
            <w:tcBorders>
              <w:top w:val="nil" w:sz="6" w:space="0" w:color="auto"/>
              <w:left w:val="nil" w:sz="6" w:space="0" w:color="auto"/>
              <w:bottom w:val="nil" w:sz="6" w:space="0" w:color="auto"/>
              <w:right w:val="nil" w:sz="6" w:space="0" w:color="auto"/>
            </w:tcBorders>
          </w:tcPr>
          <w:p>
            <w:pPr>
              <w:pStyle w:val="TableParagraph"/>
              <w:spacing w:line="193" w:lineRule="exact"/>
              <w:ind w:left="692" w:right="0"/>
              <w:jc w:val="left"/>
              <w:rPr>
                <w:rFonts w:ascii="宋体" w:hAnsi="宋体" w:cs="宋体" w:eastAsia="宋体" w:hint="default"/>
                <w:sz w:val="21"/>
                <w:szCs w:val="21"/>
              </w:rPr>
            </w:pPr>
            <w:r>
              <w:rPr>
                <w:rFonts w:ascii="宋体" w:hAnsi="宋体" w:cs="宋体" w:eastAsia="宋体" w:hint="default"/>
                <w:sz w:val="21"/>
                <w:szCs w:val="21"/>
              </w:rPr>
              <w:t>中国注册会计师：廖晓鸿</w:t>
            </w:r>
          </w:p>
        </w:tc>
      </w:tr>
      <w:tr>
        <w:trPr>
          <w:trHeight w:val="392" w:hRule="exact"/>
        </w:trPr>
        <w:tc>
          <w:tcPr>
            <w:tcW w:w="4253" w:type="dxa"/>
            <w:tcBorders>
              <w:top w:val="nil" w:sz="6" w:space="0" w:color="auto"/>
              <w:left w:val="nil" w:sz="6" w:space="0" w:color="auto"/>
              <w:bottom w:val="nil" w:sz="6" w:space="0" w:color="auto"/>
              <w:right w:val="nil" w:sz="6" w:space="0" w:color="auto"/>
            </w:tcBorders>
          </w:tcPr>
          <w:p>
            <w:pPr>
              <w:pStyle w:val="TableParagraph"/>
              <w:spacing w:line="240" w:lineRule="auto" w:before="8"/>
              <w:ind w:left="1833" w:right="0"/>
              <w:jc w:val="left"/>
              <w:rPr>
                <w:rFonts w:ascii="宋体" w:hAnsi="宋体" w:cs="宋体" w:eastAsia="宋体" w:hint="default"/>
                <w:sz w:val="21"/>
                <w:szCs w:val="21"/>
              </w:rPr>
            </w:pPr>
            <w:r>
              <w:rPr>
                <w:rFonts w:ascii="宋体" w:hAnsi="宋体" w:cs="宋体" w:eastAsia="宋体" w:hint="default"/>
                <w:sz w:val="21"/>
                <w:szCs w:val="21"/>
              </w:rPr>
              <w:t>中国·北京</w:t>
            </w:r>
          </w:p>
        </w:tc>
        <w:tc>
          <w:tcPr>
            <w:tcW w:w="3622" w:type="dxa"/>
            <w:tcBorders>
              <w:top w:val="nil" w:sz="6" w:space="0" w:color="auto"/>
              <w:left w:val="nil" w:sz="6" w:space="0" w:color="auto"/>
              <w:bottom w:val="nil" w:sz="6" w:space="0" w:color="auto"/>
              <w:right w:val="nil" w:sz="6" w:space="0" w:color="auto"/>
            </w:tcBorders>
          </w:tcPr>
          <w:p>
            <w:pPr>
              <w:pStyle w:val="TableParagraph"/>
              <w:spacing w:line="240" w:lineRule="auto" w:before="8"/>
              <w:ind w:left="797" w:right="0"/>
              <w:jc w:val="left"/>
              <w:rPr>
                <w:rFonts w:ascii="宋体" w:hAnsi="宋体" w:cs="宋体" w:eastAsia="宋体" w:hint="default"/>
                <w:sz w:val="21"/>
                <w:szCs w:val="21"/>
              </w:rPr>
            </w:pPr>
            <w:r>
              <w:rPr>
                <w:rFonts w:ascii="宋体" w:hAnsi="宋体" w:cs="宋体" w:eastAsia="宋体" w:hint="default"/>
                <w:sz w:val="21"/>
                <w:szCs w:val="21"/>
              </w:rPr>
              <w:t>中国注册会计师：何晓娟</w:t>
            </w:r>
          </w:p>
        </w:tc>
      </w:tr>
      <w:tr>
        <w:trPr>
          <w:trHeight w:val="301" w:hRule="exact"/>
        </w:trPr>
        <w:tc>
          <w:tcPr>
            <w:tcW w:w="4253" w:type="dxa"/>
            <w:tcBorders>
              <w:top w:val="nil" w:sz="6" w:space="0" w:color="auto"/>
              <w:left w:val="nil" w:sz="6" w:space="0" w:color="auto"/>
              <w:bottom w:val="nil" w:sz="6" w:space="0" w:color="auto"/>
              <w:right w:val="nil" w:sz="6" w:space="0" w:color="auto"/>
            </w:tcBorders>
          </w:tcPr>
          <w:p>
            <w:pPr/>
          </w:p>
        </w:tc>
        <w:tc>
          <w:tcPr>
            <w:tcW w:w="3622" w:type="dxa"/>
            <w:tcBorders>
              <w:top w:val="nil" w:sz="6" w:space="0" w:color="auto"/>
              <w:left w:val="nil" w:sz="6" w:space="0" w:color="auto"/>
              <w:bottom w:val="nil" w:sz="6" w:space="0" w:color="auto"/>
              <w:right w:val="nil" w:sz="6" w:space="0" w:color="auto"/>
            </w:tcBorders>
          </w:tcPr>
          <w:p>
            <w:pPr>
              <w:pStyle w:val="TableParagraph"/>
              <w:spacing w:line="240" w:lineRule="auto" w:before="9"/>
              <w:ind w:left="1321" w:right="0"/>
              <w:jc w:val="left"/>
              <w:rPr>
                <w:rFonts w:ascii="宋体" w:hAnsi="宋体" w:cs="宋体" w:eastAsia="宋体" w:hint="default"/>
                <w:sz w:val="21"/>
                <w:szCs w:val="21"/>
              </w:rPr>
            </w:pPr>
            <w:r>
              <w:rPr>
                <w:rFonts w:ascii="宋体" w:hAnsi="宋体" w:cs="宋体" w:eastAsia="宋体" w:hint="default"/>
                <w:sz w:val="21"/>
                <w:szCs w:val="21"/>
              </w:rPr>
              <w:t>二〇一六年四月十五日</w:t>
            </w:r>
          </w:p>
        </w:tc>
      </w:tr>
    </w:tbl>
    <w:p>
      <w:pPr>
        <w:spacing w:after="0" w:line="240" w:lineRule="auto"/>
        <w:jc w:val="left"/>
        <w:rPr>
          <w:rFonts w:ascii="宋体" w:hAnsi="宋体" w:cs="宋体" w:eastAsia="宋体" w:hint="default"/>
          <w:sz w:val="21"/>
          <w:szCs w:val="21"/>
        </w:rPr>
        <w:sectPr>
          <w:pgSz w:w="11910" w:h="16840"/>
          <w:pgMar w:header="877" w:footer="979" w:top="1100" w:bottom="1160" w:left="820" w:right="0"/>
        </w:sectPr>
      </w:pPr>
    </w:p>
    <w:p>
      <w:pPr>
        <w:spacing w:line="240" w:lineRule="auto" w:before="9"/>
        <w:rPr>
          <w:rFonts w:ascii="宋体" w:hAnsi="宋体" w:cs="宋体" w:eastAsia="宋体" w:hint="default"/>
          <w:sz w:val="19"/>
          <w:szCs w:val="19"/>
        </w:rPr>
      </w:pPr>
    </w:p>
    <w:p>
      <w:pPr>
        <w:pStyle w:val="Heading2"/>
        <w:spacing w:line="240" w:lineRule="auto" w:before="26"/>
        <w:ind w:left="213" w:right="1513"/>
        <w:jc w:val="left"/>
        <w:rPr>
          <w:rFonts w:ascii="宋体" w:hAnsi="宋体" w:cs="宋体" w:eastAsia="宋体" w:hint="default"/>
          <w:b w:val="0"/>
          <w:bCs w:val="0"/>
        </w:rPr>
      </w:pPr>
      <w:bookmarkStart w:name="二、财务报表" w:id="258"/>
      <w:bookmarkEnd w:id="258"/>
      <w:r>
        <w:rPr>
          <w:b w:val="0"/>
          <w:bCs w:val="0"/>
        </w:rPr>
      </w:r>
      <w:bookmarkStart w:name="_bookmark75" w:id="259"/>
      <w:bookmarkEnd w:id="259"/>
      <w:r>
        <w:rPr>
          <w:b w:val="0"/>
          <w:bCs w:val="0"/>
        </w:rPr>
      </w:r>
      <w:r>
        <w:rPr>
          <w:rFonts w:ascii="宋体" w:hAnsi="宋体" w:cs="宋体" w:eastAsia="宋体" w:hint="default"/>
        </w:rPr>
        <w:t>二、财务报表</w:t>
      </w:r>
      <w:r>
        <w:rPr>
          <w:rFonts w:ascii="宋体" w:hAnsi="宋体" w:cs="宋体" w:eastAsia="宋体" w:hint="default"/>
          <w:b w:val="0"/>
          <w:bCs w:val="0"/>
        </w:rPr>
      </w:r>
    </w:p>
    <w:p>
      <w:pPr>
        <w:spacing w:line="240" w:lineRule="auto" w:before="2"/>
        <w:rPr>
          <w:rFonts w:ascii="宋体" w:hAnsi="宋体" w:cs="宋体" w:eastAsia="宋体" w:hint="default"/>
          <w:b/>
          <w:bCs/>
          <w:sz w:val="30"/>
          <w:szCs w:val="30"/>
        </w:rPr>
      </w:pPr>
    </w:p>
    <w:p>
      <w:pPr>
        <w:spacing w:line="477" w:lineRule="auto" w:before="0"/>
        <w:ind w:left="633" w:right="5479" w:firstLine="0"/>
        <w:jc w:val="left"/>
        <w:rPr>
          <w:rFonts w:ascii="宋体" w:hAnsi="宋体" w:cs="宋体" w:eastAsia="宋体" w:hint="default"/>
          <w:sz w:val="21"/>
          <w:szCs w:val="21"/>
        </w:rPr>
      </w:pPr>
      <w:r>
        <w:rPr>
          <w:rFonts w:ascii="宋体" w:hAnsi="宋体" w:cs="宋体" w:eastAsia="宋体" w:hint="default"/>
          <w:sz w:val="21"/>
          <w:szCs w:val="21"/>
        </w:rPr>
        <w:t>财务附注中报表的单位为：人民币元 </w:t>
      </w:r>
      <w:bookmarkStart w:name="1、合并资产负债表" w:id="260"/>
      <w:bookmarkEnd w:id="260"/>
      <w:r>
        <w:rPr>
          <w:rFonts w:ascii="宋体" w:hAnsi="宋体" w:cs="宋体" w:eastAsia="宋体" w:hint="default"/>
          <w:sz w:val="21"/>
          <w:szCs w:val="21"/>
        </w:rPr>
      </w:r>
      <w:r>
        <w:rPr>
          <w:rFonts w:ascii="Trebuchet MS" w:hAnsi="Trebuchet MS" w:cs="Trebuchet MS" w:eastAsia="Trebuchet MS"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pStyle w:val="BodyText"/>
        <w:spacing w:line="240" w:lineRule="auto" w:before="156"/>
        <w:ind w:left="633" w:right="1513"/>
        <w:jc w:val="left"/>
      </w:pPr>
      <w:r>
        <w:rPr/>
        <w:t>编制单位：深圳市爱施德股份有限公司</w:t>
      </w:r>
    </w:p>
    <w:p>
      <w:pPr>
        <w:spacing w:line="240" w:lineRule="auto" w:before="4"/>
        <w:rPr>
          <w:rFonts w:ascii="宋体" w:hAnsi="宋体" w:cs="宋体" w:eastAsia="宋体" w:hint="default"/>
          <w:sz w:val="25"/>
          <w:szCs w:val="25"/>
        </w:rPr>
      </w:pPr>
    </w:p>
    <w:p>
      <w:pPr>
        <w:pStyle w:val="BodyText"/>
        <w:spacing w:line="240" w:lineRule="auto" w:before="18"/>
        <w:ind w:left="194" w:right="690"/>
        <w:jc w:val="center"/>
      </w:pPr>
      <w:r>
        <w:rPr>
          <w:rFonts w:ascii="Arial" w:hAnsi="Arial" w:cs="Arial" w:eastAsia="Arial" w:hint="default"/>
        </w:rPr>
        <w:t>2015</w:t>
      </w:r>
      <w:r>
        <w:rPr>
          <w:rFonts w:ascii="Arial" w:hAnsi="Arial" w:cs="Arial" w:eastAsia="Arial" w:hint="default"/>
          <w:spacing w:val="-7"/>
        </w:rPr>
        <w:t> </w:t>
      </w:r>
      <w:r>
        <w:rPr/>
        <w:t>年</w:t>
      </w:r>
      <w:r>
        <w:rPr>
          <w:spacing w:val="-54"/>
        </w:rPr>
        <w:t> </w:t>
      </w:r>
      <w:r>
        <w:rPr>
          <w:rFonts w:ascii="Arial" w:hAnsi="Arial" w:cs="Arial" w:eastAsia="Arial" w:hint="default"/>
        </w:rPr>
        <w:t>12</w:t>
      </w:r>
      <w:r>
        <w:rPr>
          <w:rFonts w:ascii="Arial" w:hAnsi="Arial" w:cs="Arial" w:eastAsia="Arial" w:hint="default"/>
          <w:spacing w:val="-8"/>
        </w:rPr>
        <w:t> </w:t>
      </w:r>
      <w:r>
        <w:rPr/>
        <w:t>月</w:t>
      </w:r>
      <w:r>
        <w:rPr>
          <w:spacing w:val="-54"/>
        </w:rPr>
        <w:t> </w:t>
      </w:r>
      <w:r>
        <w:rPr>
          <w:rFonts w:ascii="Arial" w:hAnsi="Arial" w:cs="Arial" w:eastAsia="Arial" w:hint="default"/>
        </w:rPr>
        <w:t>31</w:t>
      </w:r>
      <w:r>
        <w:rPr>
          <w:rFonts w:ascii="Arial" w:hAnsi="Arial" w:cs="Arial" w:eastAsia="Arial" w:hint="default"/>
          <w:spacing w:val="-7"/>
        </w:rPr>
        <w:t> </w:t>
      </w:r>
      <w:r>
        <w:rPr/>
        <w:t>日</w:t>
      </w:r>
    </w:p>
    <w:p>
      <w:pPr>
        <w:spacing w:line="240" w:lineRule="auto" w:before="2"/>
        <w:rPr>
          <w:rFonts w:ascii="宋体" w:hAnsi="宋体" w:cs="宋体" w:eastAsia="宋体" w:hint="default"/>
          <w:sz w:val="24"/>
          <w:szCs w:val="24"/>
        </w:rPr>
      </w:pPr>
    </w:p>
    <w:p>
      <w:pPr>
        <w:pStyle w:val="BodyText"/>
        <w:spacing w:line="240" w:lineRule="auto" w:before="18"/>
        <w:ind w:left="0" w:right="1130"/>
        <w:jc w:val="right"/>
      </w:pPr>
      <w:r>
        <w:rPr/>
        <w:t>单位：元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2968"/>
        <w:gridCol w:w="3299"/>
        <w:gridCol w:w="3302"/>
      </w:tblGrid>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9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3,029,822,607.51</w:t>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2,186,649,202.94</w:t>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4"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5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30,565,784.60</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7,480,141.92</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231,556,788.67</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741,070,598.98</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800,474,693.08</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1,307,710,501.85</w:t>
            </w:r>
          </w:p>
        </w:tc>
      </w:tr>
      <w:tr>
        <w:trPr>
          <w:trHeight w:val="323"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1,889,573,794.62</w:t>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1,653,589,918.75</w:t>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82,798,670.50</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73,733,176.76</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2,970,564,392.10</w:t>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2,268,108,419.28</w:t>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203,573,413.92</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167,030,287.52</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9,238,930,145.00</w:t>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8,405,372,248.00</w:t>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681,105,010.00</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69,071,904.09</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77,000,000.00</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30,233,198.16</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38,615,311.05</w:t>
            </w:r>
            <w:r>
              <w:rPr>
                <w:rFonts w:ascii="Arial"/>
                <w:sz w:val="18"/>
              </w:rPr>
            </w:r>
          </w:p>
        </w:tc>
      </w:tr>
      <w:tr>
        <w:trPr>
          <w:trHeight w:val="323"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bl>
    <w:p>
      <w:pPr>
        <w:spacing w:after="0"/>
        <w:sectPr>
          <w:pgSz w:w="11910" w:h="16840"/>
          <w:pgMar w:header="877" w:footer="979" w:top="1100" w:bottom="116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2968"/>
        <w:gridCol w:w="3299"/>
        <w:gridCol w:w="3302"/>
      </w:tblGrid>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3"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8"/>
              <w:ind w:right="105"/>
              <w:jc w:val="right"/>
              <w:rPr>
                <w:rFonts w:ascii="Arial" w:hAnsi="Arial" w:cs="Arial" w:eastAsia="Arial" w:hint="default"/>
                <w:sz w:val="18"/>
                <w:szCs w:val="18"/>
              </w:rPr>
            </w:pPr>
            <w:r>
              <w:rPr>
                <w:rFonts w:ascii="Arial"/>
                <w:w w:val="95"/>
                <w:sz w:val="18"/>
              </w:rPr>
              <w:t>44,683,338.70</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8"/>
              <w:ind w:right="105"/>
              <w:jc w:val="right"/>
              <w:rPr>
                <w:rFonts w:ascii="Arial" w:hAnsi="Arial" w:cs="Arial" w:eastAsia="Arial" w:hint="default"/>
                <w:sz w:val="18"/>
                <w:szCs w:val="18"/>
              </w:rPr>
            </w:pPr>
            <w:r>
              <w:rPr>
                <w:rFonts w:ascii="Arial"/>
                <w:w w:val="95"/>
                <w:sz w:val="18"/>
              </w:rPr>
              <w:t>37,717,519.40</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34,744,590.55</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32,390,916.51</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161,554,112.24</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161,554,112.24</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17,914,553.59</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30,615,986.55</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158,465,976.24</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142,954,662.44</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18,000,000.00</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1,215,772,683.57</w:t>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520,848,508.19</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10,454,702,828.57</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8,926,220,756.19</w:t>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3,001,055,291.52</w:t>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2,237,188,000.00</w:t>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4"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5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3,150,000.00</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864,688,774.30</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1,646,806,847.73</w:t>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971,792,186.80</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457,561,960.54</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392,378,175.85</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77,121,214.22</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66,049,625.46</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69,265,642.17</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26,114,288.73</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8,687,232.27</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3,093,894.45</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3,000,000.00</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109,436,304.56</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35,778,117.61</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5,376,084,493.01</w:t>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4,597,083,063.20</w:t>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595,407,936.00</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648"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bl>
    <w:p>
      <w:pPr>
        <w:spacing w:after="0"/>
        <w:sectPr>
          <w:pgSz w:w="11910" w:h="16840"/>
          <w:pgMar w:header="877" w:footer="979" w:top="1100" w:bottom="116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2968"/>
        <w:gridCol w:w="3299"/>
        <w:gridCol w:w="3302"/>
      </w:tblGrid>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10,929.00</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3,772,757.00</w:t>
            </w:r>
            <w:r>
              <w:rPr>
                <w:rFonts w:ascii="Arial"/>
                <w:sz w:val="18"/>
              </w:rPr>
            </w:r>
          </w:p>
        </w:tc>
      </w:tr>
      <w:tr>
        <w:trPr>
          <w:trHeight w:val="323"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8"/>
              <w:ind w:right="106"/>
              <w:jc w:val="right"/>
              <w:rPr>
                <w:rFonts w:ascii="Arial" w:hAnsi="Arial" w:cs="Arial" w:eastAsia="Arial" w:hint="default"/>
                <w:sz w:val="18"/>
                <w:szCs w:val="18"/>
              </w:rPr>
            </w:pPr>
            <w:r>
              <w:rPr>
                <w:rFonts w:ascii="Arial"/>
                <w:w w:val="95"/>
                <w:sz w:val="18"/>
              </w:rPr>
              <w:t>360,000.00</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5,279,296.07</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45,043.75</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601,058,161.07</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3,817,800.75</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5,977,142,654.08</w:t>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4,600,900,863.95</w:t>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991,384,839.00</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994,766,266.00</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648"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1,476,835,794.70</w:t>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1,498,595,446.61</w:t>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54,643,498.12</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-69,577.58</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225,845,347.40</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221,607,097.36</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1,719,865,593.06</w:t>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1,583,472,544.55</w:t>
            </w:r>
          </w:p>
        </w:tc>
      </w:tr>
      <w:tr>
        <w:trPr>
          <w:trHeight w:val="323"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4,468,575,072.28</w:t>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4,298,371,776.94</w:t>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8,985,102.21</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26,948,115.30</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4,477,560,174.49</w:t>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4,325,319,892.24</w:t>
            </w:r>
          </w:p>
        </w:tc>
      </w:tr>
      <w:tr>
        <w:trPr>
          <w:trHeight w:val="323"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10,454,702,828.57</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8,926,220,756.19</w:t>
            </w:r>
          </w:p>
        </w:tc>
      </w:tr>
    </w:tbl>
    <w:p>
      <w:pPr>
        <w:spacing w:line="240" w:lineRule="auto" w:before="1"/>
        <w:rPr>
          <w:rFonts w:ascii="Times New Roman" w:hAnsi="Times New Roman" w:cs="Times New Roman" w:eastAsia="Times New Roman" w:hint="default"/>
          <w:sz w:val="17"/>
          <w:szCs w:val="17"/>
        </w:rPr>
      </w:pPr>
    </w:p>
    <w:p>
      <w:pPr>
        <w:tabs>
          <w:tab w:pos="3784" w:val="left" w:leader="none"/>
          <w:tab w:pos="7459" w:val="left" w:leader="none"/>
        </w:tabs>
        <w:spacing w:line="477" w:lineRule="auto" w:before="18"/>
        <w:ind w:left="636" w:right="1216" w:hanging="3"/>
        <w:jc w:val="left"/>
        <w:rPr>
          <w:rFonts w:ascii="宋体" w:hAnsi="宋体" w:cs="宋体" w:eastAsia="宋体" w:hint="default"/>
          <w:sz w:val="21"/>
          <w:szCs w:val="21"/>
        </w:rPr>
      </w:pPr>
      <w:r>
        <w:rPr>
          <w:rFonts w:ascii="宋体" w:hAnsi="宋体" w:cs="宋体" w:eastAsia="宋体" w:hint="default"/>
          <w:sz w:val="21"/>
          <w:szCs w:val="21"/>
        </w:rPr>
        <w:t>法定代表人：黄文辉</w:t>
        <w:tab/>
      </w:r>
      <w:r>
        <w:rPr>
          <w:rFonts w:ascii="宋体" w:hAnsi="宋体" w:cs="宋体" w:eastAsia="宋体" w:hint="default"/>
          <w:spacing w:val="-1"/>
          <w:sz w:val="21"/>
          <w:szCs w:val="21"/>
        </w:rPr>
        <w:t>主管会计工作负责人：米泽东</w:t>
        <w:tab/>
        <w:t>会计机构负责人：姜秀梅</w:t>
      </w:r>
      <w:r>
        <w:rPr>
          <w:rFonts w:ascii="宋体" w:hAnsi="宋体" w:cs="宋体" w:eastAsia="宋体" w:hint="default"/>
          <w:spacing w:val="-96"/>
          <w:sz w:val="21"/>
          <w:szCs w:val="21"/>
        </w:rPr>
        <w:t> </w:t>
      </w:r>
      <w:r>
        <w:rPr>
          <w:rFonts w:ascii="宋体" w:hAnsi="宋体" w:cs="宋体" w:eastAsia="宋体" w:hint="default"/>
          <w:spacing w:val="-96"/>
          <w:sz w:val="21"/>
          <w:szCs w:val="21"/>
        </w:rPr>
      </w:r>
      <w:bookmarkStart w:name="2、母公司资产负债表" w:id="261"/>
      <w:bookmarkEnd w:id="261"/>
      <w:r>
        <w:rPr>
          <w:rFonts w:ascii="宋体" w:hAnsi="宋体" w:cs="宋体" w:eastAsia="宋体" w:hint="default"/>
          <w:spacing w:val="-96"/>
          <w:sz w:val="21"/>
          <w:szCs w:val="21"/>
        </w:rPr>
      </w:r>
      <w:r>
        <w:rPr>
          <w:rFonts w:ascii="Trebuchet MS" w:hAnsi="Trebuchet MS" w:cs="Trebuchet MS" w:eastAsia="Trebuchet MS"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pStyle w:val="BodyText"/>
        <w:spacing w:line="240" w:lineRule="auto" w:before="156"/>
        <w:ind w:left="0" w:right="1130"/>
        <w:jc w:val="right"/>
      </w:pPr>
      <w:r>
        <w:rPr/>
        <w:t>单位：元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2968"/>
        <w:gridCol w:w="3299"/>
        <w:gridCol w:w="3302"/>
      </w:tblGrid>
      <w:tr>
        <w:trPr>
          <w:trHeight w:val="317"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9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7"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2,659,182,573.22</w:t>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1,612,272,435.77</w:t>
            </w:r>
          </w:p>
        </w:tc>
      </w:tr>
      <w:tr>
        <w:trPr>
          <w:trHeight w:val="634"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5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30,565,784.60</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7,480,141.92</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227,541,136.00</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626,628,745.97</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936,295,718.27</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1,115,892,556.43</w:t>
            </w:r>
          </w:p>
        </w:tc>
      </w:tr>
      <w:tr>
        <w:trPr>
          <w:trHeight w:val="323"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1,508,772,207.24</w:t>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945,209,511.23</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57,000,000.00</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323,040,258.75</w:t>
            </w:r>
            <w:r>
              <w:rPr>
                <w:rFonts w:ascii="Arial"/>
                <w:sz w:val="18"/>
              </w:rPr>
            </w:r>
          </w:p>
        </w:tc>
      </w:tr>
      <w:tr>
        <w:trPr>
          <w:trHeight w:val="323"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1,069,397,475.14</w:t>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343,221,879.29</w:t>
            </w:r>
            <w:r>
              <w:rPr>
                <w:rFonts w:ascii="Arial"/>
                <w:sz w:val="18"/>
              </w:rPr>
            </w:r>
          </w:p>
        </w:tc>
      </w:tr>
    </w:tbl>
    <w:p>
      <w:pPr>
        <w:spacing w:after="0" w:line="240" w:lineRule="auto"/>
        <w:jc w:val="right"/>
        <w:rPr>
          <w:rFonts w:ascii="Arial" w:hAnsi="Arial" w:cs="Arial" w:eastAsia="Arial" w:hint="default"/>
          <w:sz w:val="18"/>
          <w:szCs w:val="18"/>
        </w:rPr>
        <w:sectPr>
          <w:pgSz w:w="11910" w:h="16840"/>
          <w:pgMar w:header="877" w:footer="979" w:top="1100" w:bottom="116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2968"/>
        <w:gridCol w:w="3299"/>
        <w:gridCol w:w="3302"/>
      </w:tblGrid>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1,635,674,725.15</w:t>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1,785,911,883.97</w:t>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519"/>
              <w:jc w:val="righ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571,251.92</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3"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8"/>
              <w:ind w:right="106"/>
              <w:jc w:val="right"/>
              <w:rPr>
                <w:rFonts w:ascii="Arial" w:hAnsi="Arial" w:cs="Arial" w:eastAsia="Arial" w:hint="default"/>
                <w:sz w:val="18"/>
                <w:szCs w:val="18"/>
              </w:rPr>
            </w:pPr>
            <w:r>
              <w:rPr>
                <w:rFonts w:ascii="Arial"/>
                <w:spacing w:val="-1"/>
                <w:sz w:val="18"/>
              </w:rPr>
              <w:t>8,125,000,871.54</w:t>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8"/>
              <w:ind w:right="106"/>
              <w:jc w:val="right"/>
              <w:rPr>
                <w:rFonts w:ascii="Arial" w:hAnsi="Arial" w:cs="Arial" w:eastAsia="Arial" w:hint="default"/>
                <w:sz w:val="18"/>
                <w:szCs w:val="18"/>
              </w:rPr>
            </w:pPr>
            <w:r>
              <w:rPr>
                <w:rFonts w:ascii="Arial"/>
                <w:spacing w:val="-1"/>
                <w:sz w:val="18"/>
              </w:rPr>
              <w:t>6,759,657,413.33</w:t>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891,942,316.73</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611,908,217.07</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17,300,737.75</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15,217,016.52</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34,407,950.52</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35,035,734.93</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1,253,629.02</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2,340,480.00</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3,225,770.34</w:t>
            </w:r>
            <w:r>
              <w:rPr>
                <w:rFonts w:ascii="Arial"/>
                <w:sz w:val="18"/>
              </w:rPr>
            </w:r>
          </w:p>
        </w:tc>
      </w:tr>
      <w:tr>
        <w:trPr>
          <w:trHeight w:val="323"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110,673,036.30</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84,824,239.04</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8,000,000.00</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1,064,664,521.30</w:t>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751,464,606.92</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9,189,665,392.84</w:t>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7,511,122,020.25</w:t>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2,190,000,000.00</w:t>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1,429,000,000.00</w:t>
            </w:r>
          </w:p>
        </w:tc>
      </w:tr>
      <w:tr>
        <w:trPr>
          <w:trHeight w:val="634"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5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3,150,000.00</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796,663,118.30</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1,461,305,325.69</w:t>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754,826,226.99</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666,471,965.92</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312,535,046.43</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59,796,804.41</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41,110,689.45</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46,982,754.87</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98,150,851.88</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8,126,881.25</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2,508,841.11</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117,454,738.62</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60,755,275.17</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519"/>
              <w:jc w:val="righ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4,553,288,470.76</w:t>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3,495,550,049.33</w:t>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bl>
    <w:p>
      <w:pPr>
        <w:spacing w:after="0"/>
        <w:sectPr>
          <w:pgSz w:w="11910" w:h="16840"/>
          <w:pgMar w:header="877" w:footer="979" w:top="1100" w:bottom="116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2968"/>
        <w:gridCol w:w="3299"/>
        <w:gridCol w:w="3302"/>
      </w:tblGrid>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595,407,936.00</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648"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3"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3,572,757.00</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5,279,296.07</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600,687,232.07</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3,572,757.00</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5,153,975,702.83</w:t>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3,499,122,806.33</w:t>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991,384,839.00</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994,766,266.00</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648"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1,564,527,675.89</w:t>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1,579,838,273.23</w:t>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3"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225,845,347.40</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221,607,097.36</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1,253,931,827.72</w:t>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1,215,787,577.33</w:t>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4,035,689,690.01</w:t>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4,011,999,213.92</w:t>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9,189,665,392.84</w:t>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7,511,122,020.25</w:t>
            </w:r>
          </w:p>
        </w:tc>
      </w:tr>
    </w:tbl>
    <w:p>
      <w:pPr>
        <w:spacing w:line="240" w:lineRule="auto" w:before="10"/>
        <w:rPr>
          <w:rFonts w:ascii="Times New Roman" w:hAnsi="Times New Roman" w:cs="Times New Roman" w:eastAsia="Times New Roman" w:hint="default"/>
          <w:sz w:val="8"/>
          <w:szCs w:val="8"/>
        </w:rPr>
      </w:pPr>
    </w:p>
    <w:p>
      <w:pPr>
        <w:pStyle w:val="Heading5"/>
        <w:spacing w:line="240" w:lineRule="auto"/>
        <w:ind w:right="1513"/>
        <w:jc w:val="left"/>
        <w:rPr>
          <w:b w:val="0"/>
          <w:bCs w:val="0"/>
        </w:rPr>
      </w:pPr>
      <w:bookmarkStart w:name="3、合并利润表" w:id="262"/>
      <w:bookmarkEnd w:id="262"/>
      <w:r>
        <w:rPr>
          <w:b w:val="0"/>
          <w:bCs w:val="0"/>
        </w:rPr>
      </w:r>
      <w:r>
        <w:rPr>
          <w:rFonts w:ascii="Trebuchet MS" w:hAnsi="Trebuchet MS" w:cs="Trebuchet MS" w:eastAsia="Trebuchet MS" w:hint="default"/>
        </w:rPr>
        <w:t>3</w:t>
      </w:r>
      <w:r>
        <w:rPr/>
        <w:t>、合并利润表</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30"/>
        <w:jc w:val="right"/>
      </w:pPr>
      <w:r>
        <w:rPr/>
        <w:t>单位：元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081"/>
        <w:gridCol w:w="3210"/>
        <w:gridCol w:w="3278"/>
      </w:tblGrid>
      <w:tr>
        <w:trPr>
          <w:trHeight w:val="322"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49,569,028,331.67</w:t>
            </w:r>
            <w:r>
              <w:rPr>
                <w:rFonts w:ascii="Arial"/>
                <w:sz w:val="18"/>
              </w:rPr>
            </w: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48,320,567,496.53</w:t>
            </w:r>
            <w:r>
              <w:rPr>
                <w:rFonts w:ascii="Arial"/>
                <w:sz w:val="18"/>
              </w:rPr>
            </w:r>
          </w:p>
        </w:tc>
      </w:tr>
      <w:tr>
        <w:trPr>
          <w:trHeight w:val="322"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49,569,028,331.67</w:t>
            </w:r>
            <w:r>
              <w:rPr>
                <w:rFonts w:ascii="Arial"/>
                <w:sz w:val="18"/>
              </w:rPr>
            </w: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48,320,567,496.53</w:t>
            </w:r>
            <w:r>
              <w:rPr>
                <w:rFonts w:ascii="Arial"/>
                <w:sz w:val="18"/>
              </w:rPr>
            </w:r>
          </w:p>
        </w:tc>
      </w:tr>
      <w:tr>
        <w:trPr>
          <w:trHeight w:val="322"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08"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5B9BD4"/>
              <w:left w:val="nil" w:sz="6" w:space="0" w:color="auto"/>
              <w:bottom w:val="single" w:sz="4" w:space="0" w:color="5B9BD4"/>
              <w:right w:val="nil" w:sz="6" w:space="0" w:color="auto"/>
            </w:tcBorders>
          </w:tcPr>
          <w:p>
            <w:pP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08"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5B9BD4"/>
              <w:left w:val="nil" w:sz="6" w:space="0" w:color="auto"/>
              <w:bottom w:val="single" w:sz="4" w:space="0" w:color="5B9BD4"/>
              <w:right w:val="nil" w:sz="6" w:space="0" w:color="auto"/>
            </w:tcBorders>
          </w:tcPr>
          <w:p>
            <w:pP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08"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5B9BD4"/>
              <w:left w:val="nil" w:sz="6" w:space="0" w:color="auto"/>
              <w:bottom w:val="single" w:sz="4" w:space="0" w:color="5B9BD4"/>
              <w:right w:val="nil" w:sz="6" w:space="0" w:color="auto"/>
            </w:tcBorders>
          </w:tcPr>
          <w:p>
            <w:pP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49,470,795,517.18</w:t>
            </w:r>
            <w:r>
              <w:rPr>
                <w:rFonts w:ascii="Arial"/>
                <w:sz w:val="18"/>
              </w:rPr>
            </w: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48,381,408,431.42</w:t>
            </w:r>
            <w:r>
              <w:rPr>
                <w:rFonts w:ascii="Arial"/>
                <w:sz w:val="18"/>
              </w:rPr>
            </w:r>
          </w:p>
        </w:tc>
      </w:tr>
      <w:tr>
        <w:trPr>
          <w:trHeight w:val="322"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48,281,212,871.36</w:t>
            </w:r>
            <w:r>
              <w:rPr>
                <w:rFonts w:ascii="Arial"/>
                <w:sz w:val="18"/>
              </w:rPr>
            </w: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46,654,661,280.09</w:t>
            </w:r>
            <w:r>
              <w:rPr>
                <w:rFonts w:ascii="Arial"/>
                <w:sz w:val="18"/>
              </w:rPr>
            </w:r>
          </w:p>
        </w:tc>
      </w:tr>
      <w:tr>
        <w:trPr>
          <w:trHeight w:val="322"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08"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5B9BD4"/>
              <w:left w:val="nil" w:sz="6" w:space="0" w:color="auto"/>
              <w:bottom w:val="single" w:sz="4" w:space="0" w:color="5B9BD4"/>
              <w:right w:val="nil" w:sz="6" w:space="0" w:color="auto"/>
            </w:tcBorders>
          </w:tcPr>
          <w:p>
            <w:pP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3"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08"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tcBorders>
              <w:top w:val="single" w:sz="4" w:space="0" w:color="5B9BD4"/>
              <w:left w:val="nil" w:sz="6" w:space="0" w:color="auto"/>
              <w:bottom w:val="single" w:sz="4" w:space="0" w:color="5B9BD4"/>
              <w:right w:val="nil" w:sz="6" w:space="0" w:color="auto"/>
            </w:tcBorders>
          </w:tcPr>
          <w:p>
            <w:pP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08"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tcBorders>
              <w:top w:val="single" w:sz="4" w:space="0" w:color="5B9BD4"/>
              <w:left w:val="nil" w:sz="6" w:space="0" w:color="auto"/>
              <w:bottom w:val="single" w:sz="4" w:space="0" w:color="5B9BD4"/>
              <w:right w:val="nil" w:sz="6" w:space="0" w:color="auto"/>
            </w:tcBorders>
          </w:tcPr>
          <w:p>
            <w:pP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08"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tcBorders>
              <w:top w:val="single" w:sz="4" w:space="0" w:color="5B9BD4"/>
              <w:left w:val="nil" w:sz="6" w:space="0" w:color="auto"/>
              <w:bottom w:val="single" w:sz="4" w:space="0" w:color="5B9BD4"/>
              <w:right w:val="nil" w:sz="6" w:space="0" w:color="auto"/>
            </w:tcBorders>
          </w:tcPr>
          <w:p>
            <w:pP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3"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08"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tc>
        <w:tc>
          <w:tcPr>
            <w:tcW w:w="3210" w:type="dxa"/>
            <w:tcBorders>
              <w:top w:val="single" w:sz="4" w:space="0" w:color="5B9BD4"/>
              <w:left w:val="nil" w:sz="6" w:space="0" w:color="auto"/>
              <w:bottom w:val="single" w:sz="4" w:space="0" w:color="5B9BD4"/>
              <w:right w:val="nil" w:sz="6" w:space="0" w:color="auto"/>
            </w:tcBorders>
          </w:tcPr>
          <w:p>
            <w:pP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
        </w:tc>
      </w:tr>
    </w:tbl>
    <w:p>
      <w:pPr>
        <w:spacing w:after="0"/>
        <w:sectPr>
          <w:pgSz w:w="11910" w:h="16840"/>
          <w:pgMar w:header="877" w:footer="979" w:top="1100" w:bottom="116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3081"/>
        <w:gridCol w:w="3210"/>
        <w:gridCol w:w="3278"/>
      </w:tblGrid>
      <w:tr>
        <w:trPr>
          <w:trHeight w:val="322"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10" w:type="dxa"/>
            <w:tcBorders>
              <w:top w:val="single" w:sz="4" w:space="0" w:color="5B9BD4"/>
              <w:left w:val="nil" w:sz="6" w:space="0" w:color="auto"/>
              <w:bottom w:val="single" w:sz="4" w:space="0" w:color="5B9BD4"/>
              <w:right w:val="nil" w:sz="6" w:space="0" w:color="auto"/>
            </w:tcBorders>
          </w:tcPr>
          <w:p>
            <w:pP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08"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tcBorders>
              <w:top w:val="single" w:sz="4" w:space="0" w:color="5B9BD4"/>
              <w:left w:val="nil" w:sz="6" w:space="0" w:color="auto"/>
              <w:bottom w:val="single" w:sz="4" w:space="0" w:color="5B9BD4"/>
              <w:right w:val="nil" w:sz="6" w:space="0" w:color="auto"/>
            </w:tcBorders>
          </w:tcPr>
          <w:p>
            <w:pP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08"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tcBorders>
              <w:top w:val="single" w:sz="4" w:space="0" w:color="5B9BD4"/>
              <w:left w:val="nil" w:sz="6" w:space="0" w:color="auto"/>
              <w:bottom w:val="single" w:sz="4" w:space="0" w:color="5B9BD4"/>
              <w:right w:val="nil" w:sz="6" w:space="0" w:color="auto"/>
            </w:tcBorders>
          </w:tcPr>
          <w:p>
            <w:pP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08"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13,603,282.22</w:t>
            </w:r>
            <w:r>
              <w:rPr>
                <w:rFonts w:ascii="Arial"/>
                <w:sz w:val="18"/>
              </w:rPr>
            </w: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36,517,821.60</w:t>
            </w:r>
            <w:r>
              <w:rPr>
                <w:rFonts w:ascii="Arial"/>
                <w:sz w:val="18"/>
              </w:rPr>
            </w:r>
          </w:p>
        </w:tc>
      </w:tr>
      <w:tr>
        <w:trPr>
          <w:trHeight w:val="323"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0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tcBorders>
              <w:top w:val="single" w:sz="4" w:space="0" w:color="5B9BD4"/>
              <w:left w:val="nil" w:sz="6" w:space="0" w:color="auto"/>
              <w:bottom w:val="single" w:sz="4" w:space="0" w:color="5B9BD4"/>
              <w:right w:val="nil" w:sz="6" w:space="0" w:color="auto"/>
            </w:tcBorders>
          </w:tcPr>
          <w:p>
            <w:pPr>
              <w:pStyle w:val="TableParagraph"/>
              <w:spacing w:line="240" w:lineRule="auto" w:before="48"/>
              <w:ind w:right="105"/>
              <w:jc w:val="right"/>
              <w:rPr>
                <w:rFonts w:ascii="Arial" w:hAnsi="Arial" w:cs="Arial" w:eastAsia="Arial" w:hint="default"/>
                <w:sz w:val="18"/>
                <w:szCs w:val="18"/>
              </w:rPr>
            </w:pPr>
            <w:r>
              <w:rPr>
                <w:rFonts w:ascii="Arial"/>
                <w:w w:val="95"/>
                <w:sz w:val="18"/>
              </w:rPr>
              <w:t>674,245,533.27</w:t>
            </w:r>
            <w:r>
              <w:rPr>
                <w:rFonts w:ascii="Arial"/>
                <w:sz w:val="18"/>
              </w:rPr>
            </w: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8"/>
              <w:ind w:right="105"/>
              <w:jc w:val="right"/>
              <w:rPr>
                <w:rFonts w:ascii="Arial" w:hAnsi="Arial" w:cs="Arial" w:eastAsia="Arial" w:hint="default"/>
                <w:sz w:val="18"/>
                <w:szCs w:val="18"/>
              </w:rPr>
            </w:pPr>
            <w:r>
              <w:rPr>
                <w:rFonts w:ascii="Arial"/>
                <w:w w:val="95"/>
                <w:sz w:val="18"/>
              </w:rPr>
              <w:t>916,581,781.35</w:t>
            </w:r>
            <w:r>
              <w:rPr>
                <w:rFonts w:ascii="Arial"/>
                <w:sz w:val="18"/>
              </w:rPr>
            </w:r>
          </w:p>
        </w:tc>
      </w:tr>
      <w:tr>
        <w:trPr>
          <w:trHeight w:val="322"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0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254,927,703.30</w:t>
            </w:r>
            <w:r>
              <w:rPr>
                <w:rFonts w:ascii="Arial"/>
                <w:sz w:val="18"/>
              </w:rPr>
            </w: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323,192,075.62</w:t>
            </w:r>
            <w:r>
              <w:rPr>
                <w:rFonts w:ascii="Arial"/>
                <w:sz w:val="18"/>
              </w:rPr>
            </w:r>
          </w:p>
        </w:tc>
      </w:tr>
      <w:tr>
        <w:trPr>
          <w:trHeight w:val="322"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0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151,667,158.51</w:t>
            </w:r>
            <w:r>
              <w:rPr>
                <w:rFonts w:ascii="Arial"/>
                <w:sz w:val="18"/>
              </w:rPr>
            </w: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329,466,903.99</w:t>
            </w:r>
            <w:r>
              <w:rPr>
                <w:rFonts w:ascii="Arial"/>
                <w:sz w:val="18"/>
              </w:rPr>
            </w:r>
          </w:p>
        </w:tc>
      </w:tr>
      <w:tr>
        <w:trPr>
          <w:trHeight w:val="322"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08"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95,138,968.52</w:t>
            </w:r>
            <w:r>
              <w:rPr>
                <w:rFonts w:ascii="Arial"/>
                <w:sz w:val="18"/>
              </w:rPr>
            </w: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120,988,568.77</w:t>
            </w:r>
            <w:r>
              <w:rPr>
                <w:rFonts w:ascii="Arial"/>
                <w:sz w:val="18"/>
              </w:rPr>
            </w:r>
          </w:p>
        </w:tc>
      </w:tr>
      <w:tr>
        <w:trPr>
          <w:trHeight w:val="634"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07" w:firstLine="360"/>
              <w:jc w:val="left"/>
              <w:rPr>
                <w:rFonts w:ascii="宋体" w:hAnsi="宋体" w:cs="宋体" w:eastAsia="宋体" w:hint="default"/>
                <w:sz w:val="18"/>
                <w:szCs w:val="18"/>
              </w:rPr>
            </w:pPr>
            <w:r>
              <w:rPr>
                <w:rFonts w:ascii="宋体" w:hAnsi="宋体" w:cs="宋体" w:eastAsia="宋体" w:hint="default"/>
                <w:spacing w:val="-2"/>
                <w:sz w:val="18"/>
                <w:szCs w:val="18"/>
              </w:rPr>
              <w:t>加：公允价值变动收益（损失以</w:t>
            </w:r>
            <w:r>
              <w:rPr>
                <w:rFonts w:ascii="宋体" w:hAnsi="宋体" w:cs="宋体" w:eastAsia="宋体" w:hint="default"/>
                <w:sz w:val="18"/>
                <w:szCs w:val="18"/>
              </w:rPr>
              <w:t> “－”号填列）</w:t>
            </w:r>
          </w:p>
        </w:tc>
        <w:tc>
          <w:tcPr>
            <w:tcW w:w="3210"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w w:val="95"/>
                <w:sz w:val="18"/>
              </w:rPr>
              <w:t>23,085,642.68</w:t>
            </w:r>
            <w:r>
              <w:rPr>
                <w:rFonts w:ascii="Arial"/>
                <w:sz w:val="18"/>
              </w:rPr>
            </w: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Arial" w:hAnsi="Arial" w:cs="Arial" w:eastAsia="Arial" w:hint="default"/>
                <w:sz w:val="18"/>
                <w:szCs w:val="18"/>
              </w:rPr>
            </w:pPr>
            <w:r>
              <w:rPr>
                <w:rFonts w:ascii="Arial"/>
                <w:w w:val="95"/>
                <w:sz w:val="18"/>
              </w:rPr>
              <w:t>2,876,136.44</w:t>
            </w:r>
            <w:r>
              <w:rPr>
                <w:rFonts w:ascii="Arial"/>
                <w:sz w:val="18"/>
              </w:rPr>
            </w:r>
          </w:p>
        </w:tc>
      </w:tr>
      <w:tr>
        <w:trPr>
          <w:trHeight w:val="634"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828"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210"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w w:val="95"/>
                <w:sz w:val="18"/>
              </w:rPr>
              <w:t>11,807,605.12</w:t>
            </w:r>
            <w:r>
              <w:rPr>
                <w:rFonts w:ascii="Arial"/>
                <w:sz w:val="18"/>
              </w:rPr>
            </w: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Arial" w:hAnsi="Arial" w:cs="Arial" w:eastAsia="Arial" w:hint="default"/>
                <w:sz w:val="18"/>
                <w:szCs w:val="18"/>
              </w:rPr>
            </w:pPr>
            <w:r>
              <w:rPr>
                <w:rFonts w:ascii="Arial"/>
                <w:w w:val="95"/>
                <w:sz w:val="18"/>
              </w:rPr>
              <w:t>3,608,736.15</w:t>
            </w:r>
            <w:r>
              <w:rPr>
                <w:rFonts w:ascii="Arial"/>
                <w:sz w:val="18"/>
              </w:rPr>
            </w:r>
          </w:p>
        </w:tc>
      </w:tr>
      <w:tr>
        <w:trPr>
          <w:trHeight w:val="634"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106" w:firstLine="720"/>
              <w:jc w:val="left"/>
              <w:rPr>
                <w:rFonts w:ascii="宋体" w:hAnsi="宋体" w:cs="宋体" w:eastAsia="宋体" w:hint="default"/>
                <w:sz w:val="18"/>
                <w:szCs w:val="18"/>
              </w:rPr>
            </w:pPr>
            <w:r>
              <w:rPr>
                <w:rFonts w:ascii="宋体" w:hAnsi="宋体" w:cs="宋体" w:eastAsia="宋体" w:hint="default"/>
                <w:spacing w:val="-2"/>
                <w:sz w:val="18"/>
                <w:szCs w:val="18"/>
              </w:rPr>
              <w:t>其中：对联营企业和合营企</w:t>
            </w:r>
            <w:r>
              <w:rPr>
                <w:rFonts w:ascii="宋体" w:hAnsi="宋体" w:cs="宋体" w:eastAsia="宋体" w:hint="default"/>
                <w:sz w:val="18"/>
                <w:szCs w:val="18"/>
              </w:rPr>
              <w:t> 业的投资收益</w:t>
            </w:r>
          </w:p>
        </w:tc>
        <w:tc>
          <w:tcPr>
            <w:tcW w:w="3210" w:type="dxa"/>
            <w:tcBorders>
              <w:top w:val="single" w:sz="4" w:space="0" w:color="5B9BD4"/>
              <w:left w:val="nil" w:sz="6" w:space="0" w:color="auto"/>
              <w:bottom w:val="single" w:sz="4" w:space="0" w:color="5B9BD4"/>
              <w:right w:val="nil" w:sz="6" w:space="0" w:color="auto"/>
            </w:tcBorders>
          </w:tcPr>
          <w:p>
            <w:pP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4"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828" w:right="0"/>
              <w:jc w:val="left"/>
              <w:rPr>
                <w:rFonts w:ascii="宋体" w:hAnsi="宋体" w:cs="宋体" w:eastAsia="宋体" w:hint="default"/>
                <w:sz w:val="18"/>
                <w:szCs w:val="18"/>
              </w:rPr>
            </w:pPr>
            <w:r>
              <w:rPr>
                <w:rFonts w:ascii="宋体" w:hAnsi="宋体" w:cs="宋体" w:eastAsia="宋体" w:hint="default"/>
                <w:sz w:val="18"/>
                <w:szCs w:val="18"/>
              </w:rPr>
              <w:t>汇兑收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Arial" w:hAnsi="Arial" w:cs="Arial" w:eastAsia="Arial" w:hint="default"/>
                <w:w w:val="99"/>
                <w:sz w:val="18"/>
                <w:szCs w:val="18"/>
              </w:rPr>
              <w:t>-</w:t>
            </w:r>
            <w:r>
              <w:rPr>
                <w:rFonts w:ascii="宋体" w:hAnsi="宋体" w:cs="宋体" w:eastAsia="宋体" w:hint="default"/>
                <w:sz w:val="18"/>
                <w:szCs w:val="18"/>
              </w:rPr>
              <w:t>”号填</w:t>
            </w:r>
          </w:p>
          <w:p>
            <w:pPr>
              <w:pStyle w:val="TableParagraph"/>
              <w:spacing w:line="240" w:lineRule="auto" w:before="63"/>
              <w:ind w:left="108"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5B9BD4"/>
              <w:left w:val="nil" w:sz="6" w:space="0" w:color="auto"/>
              <w:bottom w:val="single" w:sz="4" w:space="0" w:color="5B9BD4"/>
              <w:right w:val="nil" w:sz="6" w:space="0" w:color="auto"/>
            </w:tcBorders>
          </w:tcPr>
          <w:p>
            <w:pP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7"/>
              <w:jc w:val="right"/>
              <w:rPr>
                <w:rFonts w:ascii="宋体" w:hAnsi="宋体" w:cs="宋体" w:eastAsia="宋体" w:hint="default"/>
                <w:sz w:val="18"/>
                <w:szCs w:val="18"/>
              </w:rPr>
            </w:pPr>
            <w:r>
              <w:rPr>
                <w:rFonts w:ascii="宋体" w:hAnsi="宋体" w:cs="宋体" w:eastAsia="宋体" w:hint="default"/>
                <w:spacing w:val="-7"/>
                <w:sz w:val="18"/>
                <w:szCs w:val="18"/>
              </w:rPr>
              <w:t>三、营业利润（亏损以“－”号填列）</w:t>
            </w:r>
          </w:p>
        </w:tc>
        <w:tc>
          <w:tcPr>
            <w:tcW w:w="321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133,126,062.29</w:t>
            </w:r>
            <w:r>
              <w:rPr>
                <w:rFonts w:ascii="Arial"/>
                <w:sz w:val="18"/>
              </w:rPr>
            </w: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-54,356,062.30</w:t>
            </w:r>
            <w:r>
              <w:rPr>
                <w:rFonts w:ascii="Arial"/>
                <w:sz w:val="18"/>
              </w:rPr>
            </w:r>
          </w:p>
        </w:tc>
      </w:tr>
      <w:tr>
        <w:trPr>
          <w:trHeight w:val="322"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35,570,813.50</w:t>
            </w:r>
            <w:r>
              <w:rPr>
                <w:rFonts w:ascii="Arial"/>
                <w:sz w:val="18"/>
              </w:rPr>
            </w: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90,859,418.60</w:t>
            </w:r>
            <w:r>
              <w:rPr>
                <w:rFonts w:ascii="Arial"/>
                <w:sz w:val="18"/>
              </w:rPr>
            </w:r>
          </w:p>
        </w:tc>
      </w:tr>
      <w:tr>
        <w:trPr>
          <w:trHeight w:val="322"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06"/>
              <w:jc w:val="right"/>
              <w:rPr>
                <w:rFonts w:ascii="宋体" w:hAnsi="宋体" w:cs="宋体" w:eastAsia="宋体" w:hint="default"/>
                <w:sz w:val="18"/>
                <w:szCs w:val="18"/>
              </w:rPr>
            </w:pPr>
            <w:r>
              <w:rPr>
                <w:rFonts w:ascii="宋体" w:hAnsi="宋体" w:cs="宋体" w:eastAsia="宋体" w:hint="default"/>
                <w:spacing w:val="-2"/>
                <w:sz w:val="18"/>
                <w:szCs w:val="18"/>
              </w:rPr>
              <w:t>其中：非流动资产处置利得</w:t>
            </w:r>
          </w:p>
        </w:tc>
        <w:tc>
          <w:tcPr>
            <w:tcW w:w="321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925,417.44</w:t>
            </w:r>
            <w:r>
              <w:rPr>
                <w:rFonts w:ascii="Arial"/>
                <w:sz w:val="18"/>
              </w:rPr>
            </w: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158,323.88</w:t>
            </w:r>
            <w:r>
              <w:rPr>
                <w:rFonts w:ascii="Arial"/>
                <w:sz w:val="18"/>
              </w:rPr>
            </w:r>
          </w:p>
        </w:tc>
      </w:tr>
      <w:tr>
        <w:trPr>
          <w:trHeight w:val="322"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3,174,041.97</w:t>
            </w:r>
            <w:r>
              <w:rPr>
                <w:rFonts w:ascii="Arial"/>
                <w:sz w:val="18"/>
              </w:rPr>
            </w: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5,291,147.66</w:t>
            </w:r>
            <w:r>
              <w:rPr>
                <w:rFonts w:ascii="Arial"/>
                <w:sz w:val="18"/>
              </w:rPr>
            </w:r>
          </w:p>
        </w:tc>
      </w:tr>
      <w:tr>
        <w:trPr>
          <w:trHeight w:val="322"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106"/>
              <w:jc w:val="right"/>
              <w:rPr>
                <w:rFonts w:ascii="宋体" w:hAnsi="宋体" w:cs="宋体" w:eastAsia="宋体" w:hint="default"/>
                <w:sz w:val="18"/>
                <w:szCs w:val="18"/>
              </w:rPr>
            </w:pPr>
            <w:r>
              <w:rPr>
                <w:rFonts w:ascii="宋体" w:hAnsi="宋体" w:cs="宋体" w:eastAsia="宋体" w:hint="default"/>
                <w:spacing w:val="-2"/>
                <w:sz w:val="18"/>
                <w:szCs w:val="18"/>
              </w:rPr>
              <w:t>其中：非流动资产处置损失</w:t>
            </w:r>
          </w:p>
        </w:tc>
        <w:tc>
          <w:tcPr>
            <w:tcW w:w="321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1,029,242.82</w:t>
            </w:r>
            <w:r>
              <w:rPr>
                <w:rFonts w:ascii="Arial"/>
                <w:sz w:val="18"/>
              </w:rPr>
            </w: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1,043,559.52</w:t>
            </w:r>
            <w:r>
              <w:rPr>
                <w:rFonts w:ascii="Arial"/>
                <w:sz w:val="18"/>
              </w:rPr>
            </w:r>
          </w:p>
        </w:tc>
      </w:tr>
      <w:tr>
        <w:trPr>
          <w:trHeight w:val="634"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5"/>
              <w:ind w:left="108" w:right="107"/>
              <w:jc w:val="left"/>
              <w:rPr>
                <w:rFonts w:ascii="宋体" w:hAnsi="宋体" w:cs="宋体" w:eastAsia="宋体" w:hint="default"/>
                <w:sz w:val="18"/>
                <w:szCs w:val="18"/>
              </w:rPr>
            </w:pPr>
            <w:r>
              <w:rPr>
                <w:rFonts w:ascii="宋体" w:hAnsi="宋体" w:cs="宋体" w:eastAsia="宋体" w:hint="default"/>
                <w:spacing w:val="-2"/>
                <w:sz w:val="18"/>
                <w:szCs w:val="18"/>
              </w:rPr>
              <w:t>四、利润总额（亏损总额以“－”号</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填列）</w:t>
            </w:r>
          </w:p>
        </w:tc>
        <w:tc>
          <w:tcPr>
            <w:tcW w:w="3210"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w w:val="95"/>
                <w:sz w:val="18"/>
              </w:rPr>
              <w:t>165,522,833.82</w:t>
            </w:r>
            <w:r>
              <w:rPr>
                <w:rFonts w:ascii="Arial"/>
                <w:sz w:val="18"/>
              </w:rPr>
            </w: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w w:val="95"/>
                <w:sz w:val="18"/>
              </w:rPr>
              <w:t>31,212,208.64</w:t>
            </w:r>
            <w:r>
              <w:rPr>
                <w:rFonts w:ascii="Arial"/>
                <w:sz w:val="18"/>
              </w:rPr>
            </w:r>
          </w:p>
        </w:tc>
      </w:tr>
      <w:tr>
        <w:trPr>
          <w:trHeight w:val="322"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27,161,568.25</w:t>
            </w:r>
            <w:r>
              <w:rPr>
                <w:rFonts w:ascii="Arial"/>
                <w:sz w:val="18"/>
              </w:rPr>
            </w: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-15,990,229.53</w:t>
            </w:r>
            <w:r>
              <w:rPr>
                <w:rFonts w:ascii="Arial"/>
                <w:sz w:val="18"/>
              </w:rPr>
            </w:r>
          </w:p>
        </w:tc>
      </w:tr>
      <w:tr>
        <w:trPr>
          <w:trHeight w:val="322"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17"/>
              <w:jc w:val="right"/>
              <w:rPr>
                <w:rFonts w:ascii="宋体" w:hAnsi="宋体" w:cs="宋体" w:eastAsia="宋体" w:hint="default"/>
                <w:sz w:val="18"/>
                <w:szCs w:val="18"/>
              </w:rPr>
            </w:pPr>
            <w:r>
              <w:rPr>
                <w:rFonts w:ascii="宋体" w:hAnsi="宋体" w:cs="宋体" w:eastAsia="宋体" w:hint="default"/>
                <w:spacing w:val="-7"/>
                <w:sz w:val="18"/>
                <w:szCs w:val="18"/>
              </w:rPr>
              <w:t>五、净利润（净亏损以“－”号填列）</w:t>
            </w:r>
          </w:p>
        </w:tc>
        <w:tc>
          <w:tcPr>
            <w:tcW w:w="321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138,361,265.57</w:t>
            </w:r>
            <w:r>
              <w:rPr>
                <w:rFonts w:ascii="Arial"/>
                <w:sz w:val="18"/>
              </w:rPr>
            </w: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47,202,438.17</w:t>
            </w:r>
            <w:r>
              <w:rPr>
                <w:rFonts w:ascii="Arial"/>
                <w:sz w:val="18"/>
              </w:rPr>
            </w:r>
          </w:p>
        </w:tc>
      </w:tr>
      <w:tr>
        <w:trPr>
          <w:trHeight w:val="322"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140,631,298.55</w:t>
            </w:r>
            <w:r>
              <w:rPr>
                <w:rFonts w:ascii="Arial"/>
                <w:sz w:val="18"/>
              </w:rPr>
            </w: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29,143,960.41</w:t>
            </w:r>
            <w:r>
              <w:rPr>
                <w:rFonts w:ascii="Arial"/>
                <w:sz w:val="18"/>
              </w:rPr>
            </w:r>
          </w:p>
        </w:tc>
      </w:tr>
      <w:tr>
        <w:trPr>
          <w:trHeight w:val="322"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-2,270,032.98</w:t>
            </w:r>
            <w:r>
              <w:rPr>
                <w:rFonts w:ascii="Arial"/>
                <w:sz w:val="18"/>
              </w:rPr>
            </w: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18,058,477.76</w:t>
            </w:r>
            <w:r>
              <w:rPr>
                <w:rFonts w:ascii="Arial"/>
                <w:sz w:val="18"/>
              </w:rPr>
            </w:r>
          </w:p>
        </w:tc>
      </w:tr>
      <w:tr>
        <w:trPr>
          <w:trHeight w:val="322"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54,710,581.88</w:t>
            </w:r>
            <w:r>
              <w:rPr>
                <w:rFonts w:ascii="Arial"/>
                <w:sz w:val="18"/>
              </w:rPr>
            </w: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-69,765.73</w:t>
            </w:r>
            <w:r>
              <w:rPr>
                <w:rFonts w:ascii="Arial"/>
                <w:sz w:val="18"/>
              </w:rPr>
            </w:r>
          </w:p>
        </w:tc>
      </w:tr>
      <w:tr>
        <w:trPr>
          <w:trHeight w:val="634"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270"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 益的税后净额</w:t>
            </w:r>
          </w:p>
        </w:tc>
        <w:tc>
          <w:tcPr>
            <w:tcW w:w="3210"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w w:val="95"/>
                <w:sz w:val="18"/>
              </w:rPr>
              <w:t>54,713,075.70</w:t>
            </w:r>
            <w:r>
              <w:rPr>
                <w:rFonts w:ascii="Arial"/>
                <w:sz w:val="18"/>
              </w:rPr>
            </w: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6"/>
              <w:jc w:val="right"/>
              <w:rPr>
                <w:rFonts w:ascii="Arial" w:hAnsi="Arial" w:cs="Arial" w:eastAsia="Arial" w:hint="default"/>
                <w:sz w:val="18"/>
                <w:szCs w:val="18"/>
              </w:rPr>
            </w:pPr>
            <w:r>
              <w:rPr>
                <w:rFonts w:ascii="Arial"/>
                <w:w w:val="95"/>
                <w:sz w:val="18"/>
              </w:rPr>
              <w:t>-69,577.58</w:t>
            </w:r>
            <w:r>
              <w:rPr>
                <w:rFonts w:ascii="Arial"/>
                <w:sz w:val="18"/>
              </w:rPr>
            </w:r>
          </w:p>
        </w:tc>
      </w:tr>
      <w:tr>
        <w:trPr>
          <w:trHeight w:val="634"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06" w:firstLine="351"/>
              <w:jc w:val="left"/>
              <w:rPr>
                <w:rFonts w:ascii="宋体" w:hAnsi="宋体" w:cs="宋体" w:eastAsia="宋体" w:hint="default"/>
                <w:sz w:val="18"/>
                <w:szCs w:val="18"/>
              </w:rPr>
            </w:pPr>
            <w:r>
              <w:rPr>
                <w:rFonts w:ascii="宋体" w:hAnsi="宋体" w:cs="宋体" w:eastAsia="宋体" w:hint="default"/>
                <w:spacing w:val="-1"/>
                <w:sz w:val="18"/>
                <w:szCs w:val="18"/>
              </w:rPr>
              <w:t>（一）以后不能重分类进损益的</w:t>
            </w:r>
            <w:r>
              <w:rPr>
                <w:rFonts w:ascii="宋体" w:hAnsi="宋体" w:cs="宋体" w:eastAsia="宋体" w:hint="default"/>
                <w:sz w:val="18"/>
                <w:szCs w:val="18"/>
              </w:rPr>
              <w:t> 其他综合收益</w:t>
            </w:r>
          </w:p>
        </w:tc>
        <w:tc>
          <w:tcPr>
            <w:tcW w:w="3210" w:type="dxa"/>
            <w:tcBorders>
              <w:top w:val="single" w:sz="4" w:space="0" w:color="5B9BD4"/>
              <w:left w:val="nil" w:sz="6" w:space="0" w:color="auto"/>
              <w:bottom w:val="single" w:sz="4" w:space="0" w:color="5B9BD4"/>
              <w:right w:val="nil" w:sz="6" w:space="0" w:color="auto"/>
            </w:tcBorders>
          </w:tcPr>
          <w:p>
            <w:pP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4"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2" w:lineRule="auto" w:before="6"/>
              <w:ind w:left="108" w:right="120" w:firstLine="90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重新计量设定受益计划 净负债或净资产的变动</w:t>
            </w:r>
          </w:p>
        </w:tc>
        <w:tc>
          <w:tcPr>
            <w:tcW w:w="3210" w:type="dxa"/>
            <w:tcBorders>
              <w:top w:val="single" w:sz="4" w:space="0" w:color="5B9BD4"/>
              <w:left w:val="nil" w:sz="6" w:space="0" w:color="auto"/>
              <w:bottom w:val="single" w:sz="4" w:space="0" w:color="5B9BD4"/>
              <w:right w:val="nil" w:sz="6" w:space="0" w:color="auto"/>
            </w:tcBorders>
          </w:tcPr>
          <w:p>
            <w:pP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946"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9" w:lineRule="auto" w:before="5"/>
              <w:ind w:left="108" w:right="120" w:firstLine="90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权益法下在被投资单位 不能重分类进损益的其他综合收益 中享有的份额</w:t>
            </w:r>
          </w:p>
        </w:tc>
        <w:tc>
          <w:tcPr>
            <w:tcW w:w="3210" w:type="dxa"/>
            <w:tcBorders>
              <w:top w:val="single" w:sz="4" w:space="0" w:color="5B9BD4"/>
              <w:left w:val="nil" w:sz="6" w:space="0" w:color="auto"/>
              <w:bottom w:val="single" w:sz="4" w:space="0" w:color="5B9BD4"/>
              <w:right w:val="nil" w:sz="6" w:space="0" w:color="auto"/>
            </w:tcBorders>
          </w:tcPr>
          <w:p>
            <w:pP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4"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06" w:firstLine="351"/>
              <w:jc w:val="left"/>
              <w:rPr>
                <w:rFonts w:ascii="宋体" w:hAnsi="宋体" w:cs="宋体" w:eastAsia="宋体" w:hint="default"/>
                <w:sz w:val="18"/>
                <w:szCs w:val="18"/>
              </w:rPr>
            </w:pPr>
            <w:r>
              <w:rPr>
                <w:rFonts w:ascii="宋体" w:hAnsi="宋体" w:cs="宋体" w:eastAsia="宋体" w:hint="default"/>
                <w:spacing w:val="-1"/>
                <w:sz w:val="18"/>
                <w:szCs w:val="18"/>
              </w:rPr>
              <w:t>（二）以后将重分类进损益的其</w:t>
            </w:r>
            <w:r>
              <w:rPr>
                <w:rFonts w:ascii="宋体" w:hAnsi="宋体" w:cs="宋体" w:eastAsia="宋体" w:hint="default"/>
                <w:sz w:val="18"/>
                <w:szCs w:val="18"/>
              </w:rPr>
              <w:t> 他综合收益</w:t>
            </w:r>
          </w:p>
        </w:tc>
        <w:tc>
          <w:tcPr>
            <w:tcW w:w="3210"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w w:val="95"/>
                <w:sz w:val="18"/>
              </w:rPr>
              <w:t>54,713,075.70</w:t>
            </w:r>
            <w:r>
              <w:rPr>
                <w:rFonts w:ascii="Arial"/>
                <w:sz w:val="18"/>
              </w:rPr>
            </w: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6"/>
              <w:jc w:val="right"/>
              <w:rPr>
                <w:rFonts w:ascii="Arial" w:hAnsi="Arial" w:cs="Arial" w:eastAsia="Arial" w:hint="default"/>
                <w:sz w:val="18"/>
                <w:szCs w:val="18"/>
              </w:rPr>
            </w:pPr>
            <w:r>
              <w:rPr>
                <w:rFonts w:ascii="Arial"/>
                <w:w w:val="95"/>
                <w:sz w:val="18"/>
              </w:rPr>
              <w:t>-69,577.58</w:t>
            </w:r>
            <w:r>
              <w:rPr>
                <w:rFonts w:ascii="Arial"/>
                <w:sz w:val="18"/>
              </w:rPr>
            </w:r>
          </w:p>
        </w:tc>
      </w:tr>
      <w:tr>
        <w:trPr>
          <w:trHeight w:val="947"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9" w:lineRule="auto" w:before="6"/>
              <w:ind w:left="108" w:right="120" w:firstLine="90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权益法下在被投资单位 以后将重分类进损益的其他综合收 益中享有的份额</w:t>
            </w:r>
          </w:p>
        </w:tc>
        <w:tc>
          <w:tcPr>
            <w:tcW w:w="3210" w:type="dxa"/>
            <w:tcBorders>
              <w:top w:val="single" w:sz="4" w:space="0" w:color="5B9BD4"/>
              <w:left w:val="nil" w:sz="6" w:space="0" w:color="auto"/>
              <w:bottom w:val="single" w:sz="4" w:space="0" w:color="5B9BD4"/>
              <w:right w:val="nil" w:sz="6" w:space="0" w:color="auto"/>
            </w:tcBorders>
          </w:tcPr>
          <w:p>
            <w:pP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20"/>
              <w:jc w:val="right"/>
              <w:rPr>
                <w:rFonts w:ascii="宋体" w:hAnsi="宋体" w:cs="宋体" w:eastAsia="宋体" w:hint="default"/>
                <w:sz w:val="18"/>
                <w:szCs w:val="18"/>
              </w:rPr>
            </w:pPr>
            <w:r>
              <w:rPr>
                <w:rFonts w:ascii="Arial" w:hAnsi="Arial" w:cs="Arial" w:eastAsia="Arial" w:hint="default"/>
                <w:spacing w:val="-1"/>
                <w:sz w:val="18"/>
                <w:szCs w:val="18"/>
              </w:rPr>
              <w:t>2.</w:t>
            </w:r>
            <w:r>
              <w:rPr>
                <w:rFonts w:ascii="宋体" w:hAnsi="宋体" w:cs="宋体" w:eastAsia="宋体" w:hint="default"/>
                <w:spacing w:val="-1"/>
                <w:sz w:val="18"/>
                <w:szCs w:val="18"/>
              </w:rPr>
              <w:t>可供出售金融资产公允</w:t>
            </w:r>
          </w:p>
        </w:tc>
        <w:tc>
          <w:tcPr>
            <w:tcW w:w="321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53,647,192.03</w:t>
            </w:r>
            <w:r>
              <w:rPr>
                <w:rFonts w:ascii="Arial"/>
                <w:sz w:val="18"/>
              </w:rPr>
            </w: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
        </w:tc>
      </w:tr>
    </w:tbl>
    <w:p>
      <w:pPr>
        <w:spacing w:after="0"/>
        <w:sectPr>
          <w:pgSz w:w="11910" w:h="16840"/>
          <w:pgMar w:header="877" w:footer="979" w:top="1100" w:bottom="116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3081"/>
        <w:gridCol w:w="3210"/>
        <w:gridCol w:w="3278"/>
      </w:tblGrid>
      <w:tr>
        <w:trPr>
          <w:trHeight w:val="322"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价值变动损益</w:t>
            </w:r>
          </w:p>
        </w:tc>
        <w:tc>
          <w:tcPr>
            <w:tcW w:w="3210" w:type="dxa"/>
            <w:tcBorders>
              <w:top w:val="single" w:sz="4" w:space="0" w:color="5B9BD4"/>
              <w:left w:val="nil" w:sz="6" w:space="0" w:color="auto"/>
              <w:bottom w:val="single" w:sz="4" w:space="0" w:color="5B9BD4"/>
              <w:right w:val="nil" w:sz="6" w:space="0" w:color="auto"/>
            </w:tcBorders>
          </w:tcPr>
          <w:p>
            <w:pP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4"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2" w:lineRule="auto" w:before="6"/>
              <w:ind w:left="108" w:right="120" w:firstLine="90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持有至到期投资重分类 为可供出售金融资产损益</w:t>
            </w:r>
          </w:p>
        </w:tc>
        <w:tc>
          <w:tcPr>
            <w:tcW w:w="3210" w:type="dxa"/>
            <w:tcBorders>
              <w:top w:val="single" w:sz="4" w:space="0" w:color="5B9BD4"/>
              <w:left w:val="nil" w:sz="6" w:space="0" w:color="auto"/>
              <w:bottom w:val="single" w:sz="4" w:space="0" w:color="5B9BD4"/>
              <w:right w:val="nil" w:sz="6" w:space="0" w:color="auto"/>
            </w:tcBorders>
          </w:tcPr>
          <w:p>
            <w:pP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4"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08"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08"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210" w:type="dxa"/>
            <w:tcBorders>
              <w:top w:val="single" w:sz="4" w:space="0" w:color="5B9BD4"/>
              <w:left w:val="nil" w:sz="6" w:space="0" w:color="auto"/>
              <w:bottom w:val="single" w:sz="4" w:space="0" w:color="5B9BD4"/>
              <w:right w:val="nil" w:sz="6" w:space="0" w:color="auto"/>
            </w:tcBorders>
          </w:tcPr>
          <w:p>
            <w:pP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08"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外币财务报表折算差额</w:t>
            </w:r>
          </w:p>
        </w:tc>
        <w:tc>
          <w:tcPr>
            <w:tcW w:w="321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1,065,883.67</w:t>
            </w:r>
            <w:r>
              <w:rPr>
                <w:rFonts w:ascii="Arial"/>
                <w:sz w:val="18"/>
              </w:rPr>
            </w: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-69,577.58</w:t>
            </w:r>
            <w:r>
              <w:rPr>
                <w:rFonts w:ascii="Arial"/>
                <w:sz w:val="18"/>
              </w:rPr>
            </w:r>
          </w:p>
        </w:tc>
      </w:tr>
      <w:tr>
        <w:trPr>
          <w:trHeight w:val="322"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08" w:right="0"/>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其他</w:t>
            </w:r>
          </w:p>
        </w:tc>
        <w:tc>
          <w:tcPr>
            <w:tcW w:w="3210" w:type="dxa"/>
            <w:tcBorders>
              <w:top w:val="single" w:sz="4" w:space="0" w:color="5B9BD4"/>
              <w:left w:val="nil" w:sz="6" w:space="0" w:color="auto"/>
              <w:bottom w:val="single" w:sz="4" w:space="0" w:color="5B9BD4"/>
              <w:right w:val="nil" w:sz="6" w:space="0" w:color="auto"/>
            </w:tcBorders>
          </w:tcPr>
          <w:p>
            <w:pP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4"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270"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 的税后净额</w:t>
            </w:r>
          </w:p>
        </w:tc>
        <w:tc>
          <w:tcPr>
            <w:tcW w:w="3210"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Arial" w:hAnsi="Arial" w:cs="Arial" w:eastAsia="Arial" w:hint="default"/>
                <w:sz w:val="18"/>
                <w:szCs w:val="18"/>
              </w:rPr>
            </w:pPr>
            <w:r>
              <w:rPr>
                <w:rFonts w:ascii="Arial"/>
                <w:w w:val="95"/>
                <w:sz w:val="18"/>
              </w:rPr>
              <w:t>-2,493.82</w:t>
            </w:r>
            <w:r>
              <w:rPr>
                <w:rFonts w:ascii="Arial"/>
                <w:sz w:val="18"/>
              </w:rPr>
            </w: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w w:val="95"/>
                <w:sz w:val="18"/>
              </w:rPr>
              <w:t>-188.15</w:t>
            </w:r>
            <w:r>
              <w:rPr>
                <w:rFonts w:ascii="Arial"/>
                <w:sz w:val="18"/>
              </w:rPr>
            </w:r>
          </w:p>
        </w:tc>
      </w:tr>
      <w:tr>
        <w:trPr>
          <w:trHeight w:val="322"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193,071,847.45</w:t>
            </w:r>
            <w:r>
              <w:rPr>
                <w:rFonts w:ascii="Arial"/>
                <w:sz w:val="18"/>
              </w:rPr>
            </w: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47,132,672.44</w:t>
            </w:r>
            <w:r>
              <w:rPr>
                <w:rFonts w:ascii="Arial"/>
                <w:sz w:val="18"/>
              </w:rPr>
            </w:r>
          </w:p>
        </w:tc>
      </w:tr>
      <w:tr>
        <w:trPr>
          <w:trHeight w:val="634"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270"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 益总额</w:t>
            </w:r>
          </w:p>
        </w:tc>
        <w:tc>
          <w:tcPr>
            <w:tcW w:w="3210"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w w:val="95"/>
                <w:sz w:val="18"/>
              </w:rPr>
              <w:t>195,344,374.25</w:t>
            </w:r>
            <w:r>
              <w:rPr>
                <w:rFonts w:ascii="Arial"/>
                <w:sz w:val="18"/>
              </w:rPr>
            </w: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w w:val="95"/>
                <w:sz w:val="18"/>
              </w:rPr>
              <w:t>29,074,382.83</w:t>
            </w:r>
            <w:r>
              <w:rPr>
                <w:rFonts w:ascii="Arial"/>
                <w:sz w:val="18"/>
              </w:rPr>
            </w:r>
          </w:p>
        </w:tc>
      </w:tr>
      <w:tr>
        <w:trPr>
          <w:trHeight w:val="634"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w:t>
            </w:r>
          </w:p>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10"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Arial" w:hAnsi="Arial" w:cs="Arial" w:eastAsia="Arial" w:hint="default"/>
                <w:sz w:val="18"/>
                <w:szCs w:val="18"/>
              </w:rPr>
            </w:pPr>
            <w:r>
              <w:rPr>
                <w:rFonts w:ascii="Arial"/>
                <w:w w:val="95"/>
                <w:sz w:val="18"/>
              </w:rPr>
              <w:t>-2,272,526.80</w:t>
            </w:r>
            <w:r>
              <w:rPr>
                <w:rFonts w:ascii="Arial"/>
                <w:sz w:val="18"/>
              </w:rPr>
            </w: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w w:val="95"/>
                <w:sz w:val="18"/>
              </w:rPr>
              <w:t>18,058,289.61</w:t>
            </w:r>
            <w:r>
              <w:rPr>
                <w:rFonts w:ascii="Arial"/>
                <w:sz w:val="18"/>
              </w:rPr>
            </w:r>
          </w:p>
        </w:tc>
      </w:tr>
      <w:tr>
        <w:trPr>
          <w:trHeight w:val="322"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5B9BD4"/>
              <w:left w:val="nil" w:sz="6" w:space="0" w:color="auto"/>
              <w:bottom w:val="single" w:sz="4" w:space="0" w:color="5B9BD4"/>
              <w:right w:val="nil" w:sz="6" w:space="0" w:color="auto"/>
            </w:tcBorders>
          </w:tcPr>
          <w:p>
            <w:pP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0.141</w:t>
            </w:r>
            <w:r>
              <w:rPr>
                <w:rFonts w:ascii="Arial"/>
                <w:sz w:val="18"/>
              </w:rPr>
            </w: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0.029</w:t>
            </w:r>
            <w:r>
              <w:rPr>
                <w:rFonts w:ascii="Arial"/>
                <w:sz w:val="18"/>
              </w:rPr>
            </w:r>
          </w:p>
        </w:tc>
      </w:tr>
      <w:tr>
        <w:trPr>
          <w:trHeight w:val="322" w:hRule="exact"/>
        </w:trPr>
        <w:tc>
          <w:tcPr>
            <w:tcW w:w="308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0.141</w:t>
            </w:r>
            <w:r>
              <w:rPr>
                <w:rFonts w:ascii="Arial"/>
                <w:sz w:val="18"/>
              </w:rPr>
            </w:r>
          </w:p>
        </w:tc>
        <w:tc>
          <w:tcPr>
            <w:tcW w:w="32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0.029</w:t>
            </w:r>
            <w:r>
              <w:rPr>
                <w:rFonts w:ascii="Arial"/>
                <w:sz w:val="18"/>
              </w:rPr>
            </w:r>
          </w:p>
        </w:tc>
      </w:tr>
    </w:tbl>
    <w:p>
      <w:pPr>
        <w:spacing w:line="240" w:lineRule="auto" w:before="1"/>
        <w:rPr>
          <w:rFonts w:ascii="Times New Roman" w:hAnsi="Times New Roman" w:cs="Times New Roman" w:eastAsia="Times New Roman" w:hint="default"/>
          <w:sz w:val="17"/>
          <w:szCs w:val="17"/>
        </w:rPr>
      </w:pPr>
    </w:p>
    <w:p>
      <w:pPr>
        <w:pStyle w:val="BodyText"/>
        <w:spacing w:line="388" w:lineRule="auto" w:before="18"/>
        <w:ind w:left="213" w:right="1115" w:firstLine="420"/>
        <w:jc w:val="left"/>
      </w:pPr>
      <w:r>
        <w:rPr/>
        <w:t>本期发生同一控制下企业合并的，被合并方在合并前实现的净利润为：</w:t>
      </w:r>
      <w:r>
        <w:rPr>
          <w:rFonts w:ascii="Arial" w:hAnsi="Arial" w:cs="Arial" w:eastAsia="Arial" w:hint="default"/>
        </w:rPr>
        <w:t>0</w:t>
      </w:r>
      <w:r>
        <w:rPr>
          <w:rFonts w:ascii="Arial" w:hAnsi="Arial" w:cs="Arial" w:eastAsia="Arial" w:hint="default"/>
          <w:spacing w:val="13"/>
        </w:rPr>
        <w:t> </w:t>
      </w:r>
      <w:r>
        <w:rPr/>
        <w:t>元，上期被合并方实现的净 利润为：</w:t>
      </w:r>
      <w:r>
        <w:rPr>
          <w:rFonts w:ascii="Arial" w:hAnsi="Arial" w:cs="Arial" w:eastAsia="Arial" w:hint="default"/>
        </w:rPr>
        <w:t>1,324,574.39</w:t>
      </w:r>
      <w:r>
        <w:rPr>
          <w:rFonts w:ascii="Arial" w:hAnsi="Arial" w:cs="Arial" w:eastAsia="Arial" w:hint="default"/>
          <w:spacing w:val="-12"/>
        </w:rPr>
        <w:t> </w:t>
      </w:r>
      <w:r>
        <w:rPr/>
        <w:t>元。</w:t>
      </w:r>
    </w:p>
    <w:p>
      <w:pPr>
        <w:spacing w:line="240" w:lineRule="auto" w:before="6"/>
        <w:rPr>
          <w:rFonts w:ascii="宋体" w:hAnsi="宋体" w:cs="宋体" w:eastAsia="宋体" w:hint="default"/>
          <w:sz w:val="14"/>
          <w:szCs w:val="14"/>
        </w:rPr>
      </w:pPr>
    </w:p>
    <w:p>
      <w:pPr>
        <w:pStyle w:val="BodyText"/>
        <w:tabs>
          <w:tab w:pos="3573" w:val="left" w:leader="none"/>
          <w:tab w:pos="7459" w:val="left" w:leader="none"/>
        </w:tabs>
        <w:spacing w:line="477" w:lineRule="auto"/>
        <w:ind w:left="636" w:right="1216" w:hanging="423"/>
        <w:jc w:val="left"/>
        <w:rPr>
          <w:rFonts w:ascii="宋体" w:hAnsi="宋体" w:cs="宋体" w:eastAsia="宋体" w:hint="default"/>
        </w:rPr>
      </w:pPr>
      <w:r>
        <w:rPr/>
        <w:t>法定代表人：黄文辉</w:t>
        <w:tab/>
        <w:t>主管会计工作负责人：米泽东</w:t>
        <w:tab/>
        <w:t>会计机构负责人：姜秀梅 </w:t>
      </w:r>
      <w:bookmarkStart w:name="4、母公司利润表" w:id="263"/>
      <w:bookmarkEnd w:id="263"/>
      <w:r>
        <w:rPr/>
      </w:r>
      <w:r>
        <w:rPr>
          <w:rFonts w:ascii="Trebuchet MS" w:hAnsi="Trebuchet MS" w:cs="Trebuchet MS" w:eastAsia="Trebuchet MS" w:hint="default"/>
          <w:b/>
          <w:bCs/>
        </w:rPr>
        <w:t>4</w:t>
      </w:r>
      <w:r>
        <w:rPr>
          <w:rFonts w:ascii="宋体" w:hAnsi="宋体" w:cs="宋体" w:eastAsia="宋体" w:hint="default"/>
          <w:b/>
          <w:bCs/>
        </w:rPr>
        <w:t>、母公司利润表</w:t>
      </w:r>
      <w:r>
        <w:rPr>
          <w:rFonts w:ascii="宋体" w:hAnsi="宋体" w:cs="宋体" w:eastAsia="宋体" w:hint="default"/>
        </w:rPr>
      </w:r>
    </w:p>
    <w:p>
      <w:pPr>
        <w:pStyle w:val="BodyText"/>
        <w:spacing w:line="240" w:lineRule="auto" w:before="156"/>
        <w:ind w:left="0" w:right="1130"/>
        <w:jc w:val="right"/>
      </w:pPr>
      <w:r>
        <w:rPr/>
        <w:t>单位：元</w:t>
      </w:r>
    </w:p>
    <w:p>
      <w:pPr>
        <w:spacing w:line="240" w:lineRule="auto" w:before="5"/>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2968"/>
        <w:gridCol w:w="3299"/>
        <w:gridCol w:w="3302"/>
      </w:tblGrid>
      <w:tr>
        <w:trPr>
          <w:trHeight w:val="317" w:hRule="exact"/>
        </w:trPr>
        <w:tc>
          <w:tcPr>
            <w:tcW w:w="9569" w:type="dxa"/>
            <w:gridSpan w:val="3"/>
            <w:tcBorders>
              <w:top w:val="single" w:sz="4" w:space="0" w:color="5B9BD4"/>
              <w:left w:val="nil" w:sz="6" w:space="0" w:color="auto"/>
              <w:bottom w:val="single" w:sz="4" w:space="0" w:color="5B9BD4"/>
              <w:right w:val="nil" w:sz="6" w:space="0" w:color="auto"/>
            </w:tcBorders>
            <w:shd w:val="clear" w:color="auto" w:fill="DEEAF6"/>
          </w:tcPr>
          <w:p>
            <w:pPr>
              <w:pStyle w:val="TableParagraph"/>
              <w:tabs>
                <w:tab w:pos="4167" w:val="left" w:leader="none"/>
                <w:tab w:pos="7467" w:val="left" w:leader="none"/>
              </w:tabs>
              <w:spacing w:line="240" w:lineRule="auto" w:before="6"/>
              <w:ind w:left="1303" w:right="0"/>
              <w:jc w:val="left"/>
              <w:rPr>
                <w:rFonts w:ascii="宋体" w:hAnsi="宋体" w:cs="宋体" w:eastAsia="宋体" w:hint="default"/>
                <w:sz w:val="18"/>
                <w:szCs w:val="18"/>
              </w:rPr>
            </w:pPr>
            <w:r>
              <w:rPr>
                <w:rFonts w:ascii="宋体" w:hAnsi="宋体" w:cs="宋体" w:eastAsia="宋体" w:hint="default"/>
                <w:sz w:val="18"/>
                <w:szCs w:val="18"/>
              </w:rPr>
              <w:t>项目</w:t>
              <w:tab/>
              <w:t>本期发生额</w:t>
              <w:tab/>
              <w:t>上期发生额</w:t>
            </w:r>
          </w:p>
        </w:tc>
      </w:tr>
      <w:tr>
        <w:trPr>
          <w:trHeight w:val="326"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right="106"/>
              <w:jc w:val="right"/>
              <w:rPr>
                <w:rFonts w:ascii="Arial" w:hAnsi="Arial" w:cs="Arial" w:eastAsia="Arial" w:hint="default"/>
                <w:sz w:val="18"/>
                <w:szCs w:val="18"/>
              </w:rPr>
            </w:pPr>
            <w:r>
              <w:rPr>
                <w:rFonts w:ascii="Arial"/>
                <w:w w:val="95"/>
                <w:sz w:val="18"/>
              </w:rPr>
              <w:t>37,837,739,977.58</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2"/>
              <w:ind w:right="106"/>
              <w:jc w:val="right"/>
              <w:rPr>
                <w:rFonts w:ascii="Arial" w:hAnsi="Arial" w:cs="Arial" w:eastAsia="Arial" w:hint="default"/>
                <w:sz w:val="18"/>
                <w:szCs w:val="18"/>
              </w:rPr>
            </w:pPr>
            <w:r>
              <w:rPr>
                <w:rFonts w:ascii="Arial"/>
                <w:w w:val="95"/>
                <w:sz w:val="18"/>
              </w:rPr>
              <w:t>40,510,652,768.53</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37,212,503,556.03</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39,613,552,122.00</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828"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5,736,341.13</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15,762,677.27</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82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404,688,122.83</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532,197,930.63</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82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132,425,589.45</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182,229,854.60</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82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117,703,906.03</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192,165,513.78</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828"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146,614,296.43</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118,545,114.46</w:t>
            </w:r>
            <w:r>
              <w:rPr>
                <w:rFonts w:ascii="Arial"/>
                <w:sz w:val="18"/>
              </w:rPr>
            </w:r>
          </w:p>
        </w:tc>
      </w:tr>
      <w:tr>
        <w:trPr>
          <w:trHeight w:val="634"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59"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 以“－”号填列）</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23,085,642.68</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2,876,136.44</w:t>
            </w:r>
            <w:r>
              <w:rPr>
                <w:rFonts w:ascii="Arial"/>
                <w:sz w:val="18"/>
              </w:rPr>
            </w:r>
          </w:p>
        </w:tc>
      </w:tr>
      <w:tr>
        <w:trPr>
          <w:trHeight w:val="634"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828" w:right="0"/>
              <w:jc w:val="left"/>
              <w:rPr>
                <w:rFonts w:ascii="宋体" w:hAnsi="宋体" w:cs="宋体" w:eastAsia="宋体" w:hint="default"/>
                <w:sz w:val="18"/>
                <w:szCs w:val="18"/>
              </w:rPr>
            </w:pPr>
            <w:r>
              <w:rPr>
                <w:rFonts w:ascii="宋体" w:hAnsi="宋体" w:cs="宋体" w:eastAsia="宋体" w:hint="default"/>
                <w:sz w:val="18"/>
                <w:szCs w:val="18"/>
              </w:rPr>
              <w:t>投资收益（损失以“－”</w:t>
            </w:r>
          </w:p>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161,608,219.18</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465,489,217.65</w:t>
            </w:r>
            <w:r>
              <w:rPr>
                <w:rFonts w:ascii="Arial"/>
                <w:sz w:val="18"/>
              </w:rPr>
            </w:r>
          </w:p>
        </w:tc>
      </w:tr>
      <w:tr>
        <w:trPr>
          <w:trHeight w:val="634"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5"/>
              <w:ind w:left="108" w:right="157"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4"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57"/>
              <w:jc w:val="left"/>
              <w:rPr>
                <w:rFonts w:ascii="宋体" w:hAnsi="宋体" w:cs="宋体" w:eastAsia="宋体" w:hint="default"/>
                <w:sz w:val="18"/>
                <w:szCs w:val="18"/>
              </w:rPr>
            </w:pPr>
            <w:r>
              <w:rPr>
                <w:rFonts w:ascii="宋体" w:hAnsi="宋体" w:cs="宋体" w:eastAsia="宋体" w:hint="default"/>
                <w:sz w:val="18"/>
                <w:szCs w:val="18"/>
              </w:rPr>
              <w:t>二、营业利润（亏损以“－”号填 列）</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-2,982,572.80</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324,564,909.88</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24,967,929.54</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1,857,568.76</w:t>
            </w:r>
            <w:r>
              <w:rPr>
                <w:rFonts w:ascii="Arial"/>
                <w:sz w:val="18"/>
              </w:rPr>
            </w:r>
          </w:p>
        </w:tc>
      </w:tr>
    </w:tbl>
    <w:p>
      <w:pPr>
        <w:spacing w:after="0" w:line="240" w:lineRule="auto"/>
        <w:jc w:val="right"/>
        <w:rPr>
          <w:rFonts w:ascii="Arial" w:hAnsi="Arial" w:cs="Arial" w:eastAsia="Arial" w:hint="default"/>
          <w:sz w:val="18"/>
          <w:szCs w:val="18"/>
        </w:rPr>
        <w:sectPr>
          <w:pgSz w:w="11910" w:h="16840"/>
          <w:pgMar w:header="877" w:footer="979" w:top="1100" w:bottom="1160" w:left="920" w:right="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2968"/>
        <w:gridCol w:w="3299"/>
        <w:gridCol w:w="3302"/>
      </w:tblGrid>
      <w:tr>
        <w:trPr>
          <w:trHeight w:val="634"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828" w:right="0"/>
              <w:jc w:val="left"/>
              <w:rPr>
                <w:rFonts w:ascii="宋体" w:hAnsi="宋体" w:cs="宋体" w:eastAsia="宋体" w:hint="default"/>
                <w:sz w:val="18"/>
                <w:szCs w:val="18"/>
              </w:rPr>
            </w:pPr>
            <w:r>
              <w:rPr>
                <w:rFonts w:ascii="宋体" w:hAnsi="宋体" w:cs="宋体" w:eastAsia="宋体" w:hint="default"/>
                <w:sz w:val="18"/>
                <w:szCs w:val="18"/>
              </w:rPr>
              <w:t>其中：非流动资产处置利</w:t>
            </w:r>
          </w:p>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得</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18"/>
                <w:szCs w:val="18"/>
              </w:rPr>
            </w:pPr>
            <w:r>
              <w:rPr>
                <w:rFonts w:ascii="Arial"/>
                <w:w w:val="95"/>
                <w:sz w:val="18"/>
              </w:rPr>
              <w:t>4,769.95</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146,603.64</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327,410.78</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3,496,651.97</w:t>
            </w:r>
            <w:r>
              <w:rPr>
                <w:rFonts w:ascii="Arial"/>
                <w:sz w:val="18"/>
              </w:rPr>
            </w:r>
          </w:p>
        </w:tc>
      </w:tr>
      <w:tr>
        <w:trPr>
          <w:trHeight w:val="634"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828"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4"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57"/>
              <w:jc w:val="left"/>
              <w:rPr>
                <w:rFonts w:ascii="宋体" w:hAnsi="宋体" w:cs="宋体" w:eastAsia="宋体" w:hint="default"/>
                <w:sz w:val="18"/>
                <w:szCs w:val="18"/>
              </w:rPr>
            </w:pPr>
            <w:r>
              <w:rPr>
                <w:rFonts w:ascii="宋体" w:hAnsi="宋体" w:cs="宋体" w:eastAsia="宋体" w:hint="default"/>
                <w:sz w:val="18"/>
                <w:szCs w:val="18"/>
              </w:rPr>
              <w:t>三、利润总额（亏损总额以“－” 号填列）</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21,657,945.96</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322,925,826.67</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-20,724,554.47</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-34,858,917.16</w:t>
            </w:r>
            <w:r>
              <w:rPr>
                <w:rFonts w:ascii="Arial"/>
                <w:sz w:val="18"/>
              </w:rPr>
            </w:r>
          </w:p>
        </w:tc>
      </w:tr>
      <w:tr>
        <w:trPr>
          <w:trHeight w:val="634"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57"/>
              <w:jc w:val="left"/>
              <w:rPr>
                <w:rFonts w:ascii="宋体" w:hAnsi="宋体" w:cs="宋体" w:eastAsia="宋体" w:hint="default"/>
                <w:sz w:val="18"/>
                <w:szCs w:val="18"/>
              </w:rPr>
            </w:pPr>
            <w:r>
              <w:rPr>
                <w:rFonts w:ascii="宋体" w:hAnsi="宋体" w:cs="宋体" w:eastAsia="宋体" w:hint="default"/>
                <w:sz w:val="18"/>
                <w:szCs w:val="18"/>
              </w:rPr>
              <w:t>四、净利润（净亏损以“－”号填 列）</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42,382,500.43</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357,784,743.83</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4"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159"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 的其他综合收益</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4"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2" w:lineRule="auto" w:before="5"/>
              <w:ind w:left="108" w:right="187" w:firstLine="90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重新计量设定受益计 划净负债或净资产的变动</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946"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9" w:lineRule="auto" w:before="5"/>
              <w:ind w:left="108" w:right="159" w:firstLine="900"/>
              <w:jc w:val="both"/>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权益法下在被投资单 位不能重分类进损益的其他综合收 益中享有的份额</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4"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159"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 其他综合收益</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946"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9" w:lineRule="auto" w:before="5"/>
              <w:ind w:left="108" w:right="159" w:firstLine="900"/>
              <w:jc w:val="both"/>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权益法下在被投资单 位以后将重分类进损益的其他综合 收益中享有的份额</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4"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2" w:lineRule="auto" w:before="5"/>
              <w:ind w:left="108" w:right="187" w:firstLine="90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可供出售金融资产公 允价值变动损益</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4"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2" w:lineRule="auto" w:before="6"/>
              <w:ind w:left="108" w:right="187" w:firstLine="90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持有至到期投资重分 类为可供出售金融资产损益</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4"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08"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现金流量套期损益的</w:t>
            </w:r>
          </w:p>
          <w:p>
            <w:pPr>
              <w:pStyle w:val="TableParagraph"/>
              <w:spacing w:line="240" w:lineRule="auto" w:before="63"/>
              <w:ind w:left="108"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4"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08"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外币财务报表折算差</w:t>
            </w:r>
          </w:p>
          <w:p>
            <w:pPr>
              <w:pStyle w:val="TableParagraph"/>
              <w:spacing w:line="240" w:lineRule="auto" w:before="63"/>
              <w:ind w:left="108"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439"/>
              <w:jc w:val="center"/>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其他</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29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42,382,500.43</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357,784,743.83</w:t>
            </w:r>
            <w:r>
              <w:rPr>
                <w:rFonts w:ascii="Arial"/>
                <w:sz w:val="18"/>
              </w:rPr>
            </w: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99"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5、合并现金流量表" w:id="264"/>
      <w:bookmarkEnd w:id="264"/>
      <w:r>
        <w:rPr>
          <w:b w:val="0"/>
          <w:bCs w:val="0"/>
        </w:rPr>
      </w:r>
      <w:r>
        <w:rPr>
          <w:rFonts w:ascii="Trebuchet MS" w:hAnsi="Trebuchet MS" w:cs="Trebuchet MS" w:eastAsia="Trebuchet MS" w:hint="default"/>
        </w:rPr>
        <w:t>5</w:t>
      </w:r>
      <w:r>
        <w:rPr/>
        <w:t>、合并现金流量表</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30"/>
        <w:jc w:val="right"/>
      </w:pPr>
      <w:r>
        <w:rPr/>
        <w:t>单位：元</w:t>
      </w:r>
    </w:p>
    <w:p>
      <w:pPr>
        <w:spacing w:line="240" w:lineRule="auto" w:before="5"/>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2967"/>
        <w:gridCol w:w="3300"/>
        <w:gridCol w:w="3302"/>
      </w:tblGrid>
      <w:tr>
        <w:trPr>
          <w:trHeight w:val="317" w:hRule="exact"/>
        </w:trPr>
        <w:tc>
          <w:tcPr>
            <w:tcW w:w="9569" w:type="dxa"/>
            <w:gridSpan w:val="3"/>
            <w:tcBorders>
              <w:top w:val="single" w:sz="4" w:space="0" w:color="5B9BD4"/>
              <w:left w:val="nil" w:sz="6" w:space="0" w:color="auto"/>
              <w:bottom w:val="single" w:sz="4" w:space="0" w:color="5B9BD4"/>
              <w:right w:val="nil" w:sz="6" w:space="0" w:color="auto"/>
            </w:tcBorders>
            <w:shd w:val="clear" w:color="auto" w:fill="DEEAF6"/>
          </w:tcPr>
          <w:p>
            <w:pPr>
              <w:pStyle w:val="TableParagraph"/>
              <w:tabs>
                <w:tab w:pos="4167" w:val="left" w:leader="none"/>
                <w:tab w:pos="7467" w:val="left" w:leader="none"/>
              </w:tabs>
              <w:spacing w:line="240" w:lineRule="auto" w:before="6"/>
              <w:ind w:left="1303" w:right="0"/>
              <w:jc w:val="left"/>
              <w:rPr>
                <w:rFonts w:ascii="宋体" w:hAnsi="宋体" w:cs="宋体" w:eastAsia="宋体" w:hint="default"/>
                <w:sz w:val="18"/>
                <w:szCs w:val="18"/>
              </w:rPr>
            </w:pPr>
            <w:r>
              <w:rPr>
                <w:rFonts w:ascii="宋体" w:hAnsi="宋体" w:cs="宋体" w:eastAsia="宋体" w:hint="default"/>
                <w:sz w:val="18"/>
                <w:szCs w:val="18"/>
              </w:rPr>
              <w:t>项目</w:t>
              <w:tab/>
              <w:t>本期发生额</w:t>
              <w:tab/>
              <w:t>上期发生额</w:t>
            </w:r>
          </w:p>
        </w:tc>
      </w:tr>
      <w:tr>
        <w:trPr>
          <w:trHeight w:val="326"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3"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tc>
        <w:tc>
          <w:tcPr>
            <w:tcW w:w="330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697" w:right="0"/>
              <w:jc w:val="left"/>
              <w:rPr>
                <w:rFonts w:ascii="Arial" w:hAnsi="Arial" w:cs="Arial" w:eastAsia="Arial" w:hint="default"/>
                <w:sz w:val="18"/>
                <w:szCs w:val="18"/>
              </w:rPr>
            </w:pPr>
            <w:r>
              <w:rPr>
                <w:rFonts w:ascii="Arial"/>
                <w:sz w:val="18"/>
              </w:rPr>
              <w:t>59,173,617,631.25</w:t>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697" w:right="0"/>
              <w:jc w:val="left"/>
              <w:rPr>
                <w:rFonts w:ascii="Arial" w:hAnsi="Arial" w:cs="Arial" w:eastAsia="Arial" w:hint="default"/>
                <w:sz w:val="18"/>
                <w:szCs w:val="18"/>
              </w:rPr>
            </w:pPr>
            <w:r>
              <w:rPr>
                <w:rFonts w:ascii="Arial"/>
                <w:sz w:val="18"/>
              </w:rPr>
              <w:t>55,806,427,046.45</w:t>
            </w:r>
          </w:p>
        </w:tc>
      </w:tr>
    </w:tbl>
    <w:p>
      <w:pPr>
        <w:spacing w:after="0" w:line="240" w:lineRule="auto"/>
        <w:jc w:val="left"/>
        <w:rPr>
          <w:rFonts w:ascii="Arial" w:hAnsi="Arial" w:cs="Arial" w:eastAsia="Arial" w:hint="default"/>
          <w:sz w:val="18"/>
          <w:szCs w:val="18"/>
        </w:rPr>
        <w:sectPr>
          <w:pgSz w:w="11910" w:h="16840"/>
          <w:pgMar w:header="877" w:footer="979" w:top="1100" w:bottom="116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2967"/>
        <w:gridCol w:w="3300"/>
        <w:gridCol w:w="3302"/>
      </w:tblGrid>
      <w:tr>
        <w:trPr>
          <w:trHeight w:val="322"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4"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156" w:firstLine="360"/>
              <w:jc w:val="left"/>
              <w:rPr>
                <w:rFonts w:ascii="宋体" w:hAnsi="宋体" w:cs="宋体" w:eastAsia="宋体" w:hint="default"/>
                <w:sz w:val="18"/>
                <w:szCs w:val="18"/>
              </w:rPr>
            </w:pPr>
            <w:r>
              <w:rPr>
                <w:rFonts w:ascii="宋体" w:hAnsi="宋体" w:cs="宋体" w:eastAsia="宋体" w:hint="default"/>
                <w:sz w:val="18"/>
                <w:szCs w:val="18"/>
              </w:rPr>
              <w:t>客户存款和同业存放款项净增 加额</w:t>
            </w:r>
          </w:p>
        </w:tc>
        <w:tc>
          <w:tcPr>
            <w:tcW w:w="3300"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5"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156" w:firstLine="360"/>
              <w:jc w:val="left"/>
              <w:rPr>
                <w:rFonts w:ascii="宋体" w:hAnsi="宋体" w:cs="宋体" w:eastAsia="宋体" w:hint="default"/>
                <w:sz w:val="18"/>
                <w:szCs w:val="18"/>
              </w:rPr>
            </w:pPr>
            <w:r>
              <w:rPr>
                <w:rFonts w:ascii="宋体" w:hAnsi="宋体" w:cs="宋体" w:eastAsia="宋体" w:hint="default"/>
                <w:sz w:val="18"/>
                <w:szCs w:val="18"/>
              </w:rPr>
              <w:t>向其他金融机构拆入资金净增 加额</w:t>
            </w:r>
          </w:p>
        </w:tc>
        <w:tc>
          <w:tcPr>
            <w:tcW w:w="3300"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4"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w:t>
            </w:r>
          </w:p>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0"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4"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156"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 计入当期损益的金融资产净增加额</w:t>
            </w:r>
          </w:p>
        </w:tc>
        <w:tc>
          <w:tcPr>
            <w:tcW w:w="3300"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4"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w:t>
            </w:r>
          </w:p>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212,789.89</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4"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Arial" w:hAnsi="Arial" w:cs="Arial" w:eastAsia="Arial" w:hint="default"/>
                <w:sz w:val="18"/>
                <w:szCs w:val="18"/>
              </w:rPr>
            </w:pPr>
            <w:r>
              <w:rPr>
                <w:rFonts w:ascii="Arial"/>
                <w:spacing w:val="-1"/>
                <w:sz w:val="18"/>
              </w:rPr>
              <w:t>1,045,949,749.33</w:t>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w w:val="95"/>
                <w:sz w:val="18"/>
              </w:rPr>
              <w:t>724,121,996.88</w:t>
            </w:r>
            <w:r>
              <w:rPr>
                <w:rFonts w:ascii="Arial"/>
                <w:sz w:val="18"/>
              </w:rPr>
            </w:r>
          </w:p>
        </w:tc>
      </w:tr>
      <w:tr>
        <w:trPr>
          <w:trHeight w:val="322"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60,219,780,170.47</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56,530,549,043.33</w:t>
            </w:r>
            <w:r>
              <w:rPr>
                <w:rFonts w:ascii="Arial"/>
                <w:sz w:val="18"/>
              </w:rPr>
            </w:r>
          </w:p>
        </w:tc>
      </w:tr>
      <w:tr>
        <w:trPr>
          <w:trHeight w:val="634"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Arial" w:hAnsi="Arial" w:cs="Arial" w:eastAsia="Arial" w:hint="default"/>
                <w:sz w:val="18"/>
                <w:szCs w:val="18"/>
              </w:rPr>
            </w:pPr>
            <w:r>
              <w:rPr>
                <w:rFonts w:ascii="Arial"/>
                <w:w w:val="95"/>
                <w:sz w:val="18"/>
              </w:rPr>
              <w:t>57,928,047,579.72</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6"/>
              <w:jc w:val="right"/>
              <w:rPr>
                <w:rFonts w:ascii="Arial" w:hAnsi="Arial" w:cs="Arial" w:eastAsia="Arial" w:hint="default"/>
                <w:sz w:val="18"/>
                <w:szCs w:val="18"/>
              </w:rPr>
            </w:pPr>
            <w:r>
              <w:rPr>
                <w:rFonts w:ascii="Arial"/>
                <w:w w:val="95"/>
                <w:sz w:val="18"/>
              </w:rPr>
              <w:t>54,071,661,320.45</w:t>
            </w:r>
            <w:r>
              <w:rPr>
                <w:rFonts w:ascii="Arial"/>
                <w:sz w:val="18"/>
              </w:rPr>
            </w:r>
          </w:p>
        </w:tc>
      </w:tr>
      <w:tr>
        <w:trPr>
          <w:trHeight w:val="322"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4"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156" w:firstLine="360"/>
              <w:jc w:val="left"/>
              <w:rPr>
                <w:rFonts w:ascii="宋体" w:hAnsi="宋体" w:cs="宋体" w:eastAsia="宋体" w:hint="default"/>
                <w:sz w:val="18"/>
                <w:szCs w:val="18"/>
              </w:rPr>
            </w:pPr>
            <w:r>
              <w:rPr>
                <w:rFonts w:ascii="宋体" w:hAnsi="宋体" w:cs="宋体" w:eastAsia="宋体" w:hint="default"/>
                <w:sz w:val="18"/>
                <w:szCs w:val="18"/>
              </w:rPr>
              <w:t>存放中央银行和同业款项净增 加额</w:t>
            </w:r>
          </w:p>
        </w:tc>
        <w:tc>
          <w:tcPr>
            <w:tcW w:w="3300"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4"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w:t>
            </w:r>
          </w:p>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4"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w:t>
            </w:r>
          </w:p>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4"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56"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0"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Arial" w:hAnsi="Arial" w:cs="Arial" w:eastAsia="Arial" w:hint="default"/>
                <w:sz w:val="18"/>
                <w:szCs w:val="18"/>
              </w:rPr>
            </w:pPr>
            <w:r>
              <w:rPr>
                <w:rFonts w:ascii="Arial"/>
                <w:w w:val="95"/>
                <w:sz w:val="18"/>
              </w:rPr>
              <w:t>423,182,581.29</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w w:val="95"/>
                <w:sz w:val="18"/>
              </w:rPr>
              <w:t>683,464,854.00</w:t>
            </w:r>
            <w:r>
              <w:rPr>
                <w:rFonts w:ascii="Arial"/>
                <w:sz w:val="18"/>
              </w:rPr>
            </w:r>
          </w:p>
        </w:tc>
      </w:tr>
      <w:tr>
        <w:trPr>
          <w:trHeight w:val="322"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264,480,806.55</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336,270,169.50</w:t>
            </w:r>
            <w:r>
              <w:rPr>
                <w:rFonts w:ascii="Arial"/>
                <w:sz w:val="18"/>
              </w:rPr>
            </w:r>
          </w:p>
        </w:tc>
      </w:tr>
      <w:tr>
        <w:trPr>
          <w:trHeight w:val="634"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Arial" w:hAnsi="Arial" w:cs="Arial" w:eastAsia="Arial" w:hint="default"/>
                <w:sz w:val="18"/>
                <w:szCs w:val="18"/>
              </w:rPr>
            </w:pPr>
            <w:r>
              <w:rPr>
                <w:rFonts w:ascii="Arial"/>
                <w:spacing w:val="-1"/>
                <w:sz w:val="18"/>
              </w:rPr>
              <w:t>1,311,524,508.30</w:t>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6"/>
              <w:jc w:val="right"/>
              <w:rPr>
                <w:rFonts w:ascii="Arial" w:hAnsi="Arial" w:cs="Arial" w:eastAsia="Arial" w:hint="default"/>
                <w:sz w:val="18"/>
                <w:szCs w:val="18"/>
              </w:rPr>
            </w:pPr>
            <w:r>
              <w:rPr>
                <w:rFonts w:ascii="Arial"/>
                <w:spacing w:val="-1"/>
                <w:sz w:val="18"/>
              </w:rPr>
              <w:t>1,430,055,930.04</w:t>
            </w:r>
          </w:p>
        </w:tc>
      </w:tr>
      <w:tr>
        <w:trPr>
          <w:trHeight w:val="322"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59,927,235,475.86</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56,521,452,273.99</w:t>
            </w:r>
            <w:r>
              <w:rPr>
                <w:rFonts w:ascii="Arial"/>
                <w:sz w:val="18"/>
              </w:rPr>
            </w:r>
          </w:p>
        </w:tc>
      </w:tr>
      <w:tr>
        <w:trPr>
          <w:trHeight w:val="322"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292,544,694.61</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9,096,769.34</w:t>
            </w:r>
            <w:r>
              <w:rPr>
                <w:rFonts w:ascii="Arial"/>
                <w:sz w:val="18"/>
              </w:rPr>
            </w:r>
          </w:p>
        </w:tc>
      </w:tr>
      <w:tr>
        <w:trPr>
          <w:trHeight w:val="322"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spacing w:val="-1"/>
                <w:sz w:val="18"/>
              </w:rPr>
              <w:t>9,368,790,000.00</w:t>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4,867,400,000.00</w:t>
            </w:r>
          </w:p>
        </w:tc>
      </w:tr>
      <w:tr>
        <w:trPr>
          <w:trHeight w:val="323"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12,944,860.17</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3,608,736.15</w:t>
            </w:r>
            <w:r>
              <w:rPr>
                <w:rFonts w:ascii="Arial"/>
                <w:sz w:val="18"/>
              </w:rPr>
            </w:r>
          </w:p>
        </w:tc>
      </w:tr>
      <w:tr>
        <w:trPr>
          <w:trHeight w:val="634"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156"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0"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Arial" w:hAnsi="Arial" w:cs="Arial" w:eastAsia="Arial" w:hint="default"/>
                <w:sz w:val="18"/>
                <w:szCs w:val="18"/>
              </w:rPr>
            </w:pPr>
            <w:r>
              <w:rPr>
                <w:rFonts w:ascii="Arial"/>
                <w:w w:val="95"/>
                <w:sz w:val="18"/>
              </w:rPr>
              <w:t>296,243.06</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6"/>
              <w:jc w:val="right"/>
              <w:rPr>
                <w:rFonts w:ascii="Arial" w:hAnsi="Arial" w:cs="Arial" w:eastAsia="Arial" w:hint="default"/>
                <w:sz w:val="18"/>
                <w:szCs w:val="18"/>
              </w:rPr>
            </w:pPr>
            <w:r>
              <w:rPr>
                <w:rFonts w:ascii="Arial"/>
                <w:w w:val="95"/>
                <w:sz w:val="18"/>
              </w:rPr>
              <w:t>140,620.57</w:t>
            </w:r>
            <w:r>
              <w:rPr>
                <w:rFonts w:ascii="Arial"/>
                <w:sz w:val="18"/>
              </w:rPr>
            </w:r>
          </w:p>
        </w:tc>
      </w:tr>
      <w:tr>
        <w:trPr>
          <w:trHeight w:val="322"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w:t>
            </w:r>
          </w:p>
        </w:tc>
        <w:tc>
          <w:tcPr>
            <w:tcW w:w="3300"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bl>
    <w:p>
      <w:pPr>
        <w:spacing w:after="0"/>
        <w:sectPr>
          <w:pgSz w:w="11910" w:h="16840"/>
          <w:pgMar w:header="877" w:footer="979" w:top="1100" w:bottom="116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2967"/>
        <w:gridCol w:w="3300"/>
        <w:gridCol w:w="3302"/>
      </w:tblGrid>
      <w:tr>
        <w:trPr>
          <w:trHeight w:val="322"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到的现金净额</w:t>
            </w:r>
          </w:p>
        </w:tc>
        <w:tc>
          <w:tcPr>
            <w:tcW w:w="3300"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4"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spacing w:val="-1"/>
                <w:sz w:val="18"/>
              </w:rPr>
              <w:t>9,382,031,103.23</w:t>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4,871,149,356.72</w:t>
            </w:r>
          </w:p>
        </w:tc>
      </w:tr>
      <w:tr>
        <w:trPr>
          <w:trHeight w:val="635"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156"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0"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Arial" w:hAnsi="Arial" w:cs="Arial" w:eastAsia="Arial" w:hint="default"/>
                <w:sz w:val="18"/>
                <w:szCs w:val="18"/>
              </w:rPr>
            </w:pPr>
            <w:r>
              <w:rPr>
                <w:rFonts w:ascii="Arial"/>
                <w:w w:val="95"/>
                <w:sz w:val="18"/>
              </w:rPr>
              <w:t>39,113,449.40</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w w:val="95"/>
                <w:sz w:val="18"/>
              </w:rPr>
              <w:t>42,913,935.40</w:t>
            </w:r>
            <w:r>
              <w:rPr>
                <w:rFonts w:ascii="Arial"/>
                <w:sz w:val="18"/>
              </w:rPr>
            </w:r>
          </w:p>
        </w:tc>
      </w:tr>
      <w:tr>
        <w:trPr>
          <w:trHeight w:val="322"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10,004,244,106.55</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4,857,900,000.00</w:t>
            </w:r>
          </w:p>
        </w:tc>
      </w:tr>
      <w:tr>
        <w:trPr>
          <w:trHeight w:val="322"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4"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56"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0"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w w:val="95"/>
                <w:sz w:val="18"/>
              </w:rPr>
              <w:t>175,027,318.12</w:t>
            </w:r>
            <w:r>
              <w:rPr>
                <w:rFonts w:ascii="Arial"/>
                <w:sz w:val="18"/>
              </w:rPr>
            </w:r>
          </w:p>
        </w:tc>
      </w:tr>
      <w:tr>
        <w:trPr>
          <w:trHeight w:val="634"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w w:val="95"/>
                <w:sz w:val="18"/>
              </w:rPr>
              <w:t>24,707,357.71</w:t>
            </w:r>
            <w:r>
              <w:rPr>
                <w:rFonts w:ascii="Arial"/>
                <w:sz w:val="18"/>
              </w:rPr>
            </w:r>
          </w:p>
        </w:tc>
      </w:tr>
      <w:tr>
        <w:trPr>
          <w:trHeight w:val="322"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10,043,357,555.95</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5,100,548,611.23</w:t>
            </w:r>
          </w:p>
        </w:tc>
      </w:tr>
      <w:tr>
        <w:trPr>
          <w:trHeight w:val="322"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spacing w:val="-1"/>
                <w:sz w:val="18"/>
              </w:rPr>
              <w:t>-661,326,452.72</w:t>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spacing w:val="-1"/>
                <w:sz w:val="18"/>
              </w:rPr>
              <w:t>-229,399,254.51</w:t>
            </w:r>
          </w:p>
        </w:tc>
      </w:tr>
      <w:tr>
        <w:trPr>
          <w:trHeight w:val="322"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47,061,000.00</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16,611,907.00</w:t>
            </w:r>
            <w:r>
              <w:rPr>
                <w:rFonts w:ascii="Arial"/>
                <w:sz w:val="18"/>
              </w:rPr>
            </w:r>
          </w:p>
        </w:tc>
      </w:tr>
      <w:tr>
        <w:trPr>
          <w:trHeight w:val="634"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56"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 资收到的现金</w:t>
            </w:r>
          </w:p>
        </w:tc>
        <w:tc>
          <w:tcPr>
            <w:tcW w:w="3300"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Arial" w:hAnsi="Arial" w:cs="Arial" w:eastAsia="Arial" w:hint="default"/>
                <w:sz w:val="18"/>
                <w:szCs w:val="18"/>
              </w:rPr>
            </w:pPr>
            <w:r>
              <w:rPr>
                <w:rFonts w:ascii="Arial"/>
                <w:w w:val="95"/>
                <w:sz w:val="18"/>
              </w:rPr>
              <w:t>1,470,000.00</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13,076,728,442.71</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8,019,742,699.11</w:t>
            </w:r>
          </w:p>
        </w:tc>
      </w:tr>
      <w:tr>
        <w:trPr>
          <w:trHeight w:val="322"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594,950,000.00</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5"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Arial" w:hAnsi="Arial" w:cs="Arial" w:eastAsia="Arial" w:hint="default"/>
                <w:sz w:val="18"/>
                <w:szCs w:val="18"/>
              </w:rPr>
            </w:pPr>
            <w:r>
              <w:rPr>
                <w:rFonts w:ascii="Arial"/>
                <w:w w:val="95"/>
                <w:sz w:val="18"/>
              </w:rPr>
              <w:t>971,060,647.81</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w w:val="95"/>
                <w:sz w:val="18"/>
              </w:rPr>
              <w:t>975,896,455.88</w:t>
            </w:r>
            <w:r>
              <w:rPr>
                <w:rFonts w:ascii="Arial"/>
                <w:sz w:val="18"/>
              </w:rPr>
            </w:r>
          </w:p>
        </w:tc>
      </w:tr>
      <w:tr>
        <w:trPr>
          <w:trHeight w:val="322"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14,689,800,090.52</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9,012,251,061.99</w:t>
            </w:r>
          </w:p>
        </w:tc>
      </w:tr>
      <w:tr>
        <w:trPr>
          <w:trHeight w:val="322"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12,325,896,828.61</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8,335,712,199.11</w:t>
            </w:r>
          </w:p>
        </w:tc>
      </w:tr>
      <w:tr>
        <w:trPr>
          <w:trHeight w:val="634"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56"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0"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Arial" w:hAnsi="Arial" w:cs="Arial" w:eastAsia="Arial" w:hint="default"/>
                <w:sz w:val="18"/>
                <w:szCs w:val="18"/>
              </w:rPr>
            </w:pPr>
            <w:r>
              <w:rPr>
                <w:rFonts w:ascii="Arial"/>
                <w:w w:val="95"/>
                <w:sz w:val="18"/>
              </w:rPr>
              <w:t>158,471,564.08</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w w:val="95"/>
                <w:sz w:val="18"/>
              </w:rPr>
              <w:t>621,131,903.12</w:t>
            </w:r>
            <w:r>
              <w:rPr>
                <w:rFonts w:ascii="Arial"/>
                <w:sz w:val="18"/>
              </w:rPr>
            </w:r>
          </w:p>
        </w:tc>
      </w:tr>
      <w:tr>
        <w:trPr>
          <w:trHeight w:val="634"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156"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 的股利、利润</w:t>
            </w:r>
          </w:p>
        </w:tc>
        <w:tc>
          <w:tcPr>
            <w:tcW w:w="3300" w:type="dxa"/>
            <w:tcBorders>
              <w:top w:val="single" w:sz="4" w:space="0" w:color="5B9BD4"/>
              <w:left w:val="nil" w:sz="6" w:space="0" w:color="auto"/>
              <w:bottom w:val="single" w:sz="4" w:space="0" w:color="5B9BD4"/>
              <w:right w:val="nil" w:sz="6" w:space="0" w:color="auto"/>
            </w:tcBorders>
          </w:tcPr>
          <w:p>
            <w:pP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w w:val="95"/>
                <w:sz w:val="18"/>
              </w:rPr>
              <w:t>206,229,702.77</w:t>
            </w:r>
            <w:r>
              <w:rPr>
                <w:rFonts w:ascii="Arial"/>
                <w:sz w:val="18"/>
              </w:rPr>
            </w:r>
          </w:p>
        </w:tc>
      </w:tr>
      <w:tr>
        <w:trPr>
          <w:trHeight w:val="634"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Arial" w:hAnsi="Arial" w:cs="Arial" w:eastAsia="Arial" w:hint="default"/>
                <w:sz w:val="18"/>
                <w:szCs w:val="18"/>
              </w:rPr>
            </w:pPr>
            <w:r>
              <w:rPr>
                <w:rFonts w:ascii="Arial"/>
                <w:spacing w:val="-1"/>
                <w:sz w:val="18"/>
              </w:rPr>
              <w:t>1,569,903,837.15</w:t>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6"/>
              <w:jc w:val="right"/>
              <w:rPr>
                <w:rFonts w:ascii="Arial" w:hAnsi="Arial" w:cs="Arial" w:eastAsia="Arial" w:hint="default"/>
                <w:sz w:val="18"/>
                <w:szCs w:val="18"/>
              </w:rPr>
            </w:pPr>
            <w:r>
              <w:rPr>
                <w:rFonts w:ascii="Arial"/>
                <w:spacing w:val="-1"/>
                <w:sz w:val="18"/>
              </w:rPr>
              <w:t>1,238,510,647.81</w:t>
            </w:r>
          </w:p>
        </w:tc>
      </w:tr>
      <w:tr>
        <w:trPr>
          <w:trHeight w:val="322"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14,054,272,229.84</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10,195,354,750.04</w:t>
            </w:r>
            <w:r>
              <w:rPr>
                <w:rFonts w:ascii="Arial"/>
                <w:sz w:val="18"/>
              </w:rPr>
            </w:r>
          </w:p>
        </w:tc>
      </w:tr>
      <w:tr>
        <w:trPr>
          <w:trHeight w:val="322"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635,527,860.68</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-1,183,103,688.05</w:t>
            </w:r>
          </w:p>
        </w:tc>
      </w:tr>
      <w:tr>
        <w:trPr>
          <w:trHeight w:val="634"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56"/>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0"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Arial" w:hAnsi="Arial" w:cs="Arial" w:eastAsia="Arial" w:hint="default"/>
                <w:sz w:val="18"/>
                <w:szCs w:val="18"/>
              </w:rPr>
            </w:pPr>
            <w:r>
              <w:rPr>
                <w:rFonts w:ascii="Arial"/>
                <w:w w:val="95"/>
                <w:sz w:val="18"/>
              </w:rPr>
              <w:t>2,689,112.66</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6"/>
              <w:jc w:val="right"/>
              <w:rPr>
                <w:rFonts w:ascii="Arial" w:hAnsi="Arial" w:cs="Arial" w:eastAsia="Arial" w:hint="default"/>
                <w:sz w:val="18"/>
                <w:szCs w:val="18"/>
              </w:rPr>
            </w:pPr>
            <w:r>
              <w:rPr>
                <w:rFonts w:ascii="Arial"/>
                <w:w w:val="95"/>
                <w:sz w:val="18"/>
              </w:rPr>
              <w:t>-273,521.91</w:t>
            </w:r>
            <w:r>
              <w:rPr>
                <w:rFonts w:ascii="Arial"/>
                <w:sz w:val="18"/>
              </w:rPr>
            </w:r>
          </w:p>
        </w:tc>
      </w:tr>
      <w:tr>
        <w:trPr>
          <w:trHeight w:val="322"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269,435,215.23</w:t>
            </w:r>
            <w:r>
              <w:rPr>
                <w:rFonts w:ascii="Arial"/>
                <w:sz w:val="18"/>
              </w:rPr>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-1,403,679,695.13</w:t>
            </w:r>
          </w:p>
        </w:tc>
      </w:tr>
      <w:tr>
        <w:trPr>
          <w:trHeight w:val="634"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Arial" w:hAnsi="Arial" w:cs="Arial" w:eastAsia="Arial" w:hint="default"/>
                <w:sz w:val="18"/>
                <w:szCs w:val="18"/>
              </w:rPr>
            </w:pPr>
            <w:r>
              <w:rPr>
                <w:rFonts w:ascii="Arial"/>
                <w:spacing w:val="-1"/>
                <w:sz w:val="18"/>
              </w:rPr>
              <w:t>1,247,498,555.13</w:t>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6"/>
              <w:jc w:val="right"/>
              <w:rPr>
                <w:rFonts w:ascii="Arial" w:hAnsi="Arial" w:cs="Arial" w:eastAsia="Arial" w:hint="default"/>
                <w:sz w:val="18"/>
                <w:szCs w:val="18"/>
              </w:rPr>
            </w:pPr>
            <w:r>
              <w:rPr>
                <w:rFonts w:ascii="Arial"/>
                <w:spacing w:val="-1"/>
                <w:sz w:val="18"/>
              </w:rPr>
              <w:t>2,651,178,250.26</w:t>
            </w:r>
          </w:p>
        </w:tc>
      </w:tr>
      <w:tr>
        <w:trPr>
          <w:trHeight w:val="322" w:hRule="exact"/>
        </w:trPr>
        <w:tc>
          <w:tcPr>
            <w:tcW w:w="29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spacing w:val="-1"/>
                <w:sz w:val="18"/>
              </w:rPr>
              <w:t>1,516,933,770.36</w:t>
            </w:r>
          </w:p>
        </w:tc>
        <w:tc>
          <w:tcPr>
            <w:tcW w:w="33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1,247,498,555.13</w:t>
            </w:r>
          </w:p>
        </w:tc>
      </w:tr>
    </w:tbl>
    <w:p>
      <w:pPr>
        <w:spacing w:line="240" w:lineRule="auto" w:before="10"/>
        <w:rPr>
          <w:rFonts w:ascii="Times New Roman" w:hAnsi="Times New Roman" w:cs="Times New Roman" w:eastAsia="Times New Roman" w:hint="default"/>
          <w:sz w:val="8"/>
          <w:szCs w:val="8"/>
        </w:rPr>
      </w:pPr>
    </w:p>
    <w:p>
      <w:pPr>
        <w:pStyle w:val="Heading5"/>
        <w:spacing w:line="240" w:lineRule="auto"/>
        <w:ind w:right="1513"/>
        <w:jc w:val="left"/>
        <w:rPr>
          <w:b w:val="0"/>
          <w:bCs w:val="0"/>
        </w:rPr>
      </w:pPr>
      <w:bookmarkStart w:name="6、母公司现金流量表" w:id="265"/>
      <w:bookmarkEnd w:id="265"/>
      <w:r>
        <w:rPr>
          <w:b w:val="0"/>
          <w:bCs w:val="0"/>
        </w:rPr>
      </w:r>
      <w:r>
        <w:rPr>
          <w:rFonts w:ascii="Trebuchet MS" w:hAnsi="Trebuchet MS" w:cs="Trebuchet MS" w:eastAsia="Trebuchet MS" w:hint="default"/>
        </w:rPr>
        <w:t>6</w:t>
      </w:r>
      <w:r>
        <w:rPr/>
        <w:t>、母公司现金流量表</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30"/>
        <w:jc w:val="right"/>
      </w:pPr>
      <w:r>
        <w:rPr/>
        <w:t>单位：元</w:t>
      </w:r>
    </w:p>
    <w:p>
      <w:pPr>
        <w:spacing w:line="240" w:lineRule="auto" w:before="5"/>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019"/>
        <w:gridCol w:w="3342"/>
        <w:gridCol w:w="3207"/>
      </w:tblGrid>
      <w:tr>
        <w:trPr>
          <w:trHeight w:val="322" w:hRule="exact"/>
        </w:trPr>
        <w:tc>
          <w:tcPr>
            <w:tcW w:w="30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9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17"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0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79" w:top="1100" w:bottom="116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3119"/>
        <w:gridCol w:w="3261"/>
        <w:gridCol w:w="3189"/>
      </w:tblGrid>
      <w:tr>
        <w:trPr>
          <w:trHeight w:val="322" w:hRule="exact"/>
        </w:trPr>
        <w:tc>
          <w:tcPr>
            <w:tcW w:w="31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261" w:type="dxa"/>
            <w:tcBorders>
              <w:top w:val="single" w:sz="4" w:space="0" w:color="5B9BD4"/>
              <w:left w:val="nil" w:sz="6" w:space="0" w:color="auto"/>
              <w:bottom w:val="single" w:sz="4" w:space="0" w:color="5B9BD4"/>
              <w:right w:val="nil" w:sz="6" w:space="0" w:color="auto"/>
            </w:tcBorders>
          </w:tcPr>
          <w:p>
            <w:pP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1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129"/>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26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45,155,649,964.88</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46,979,737,503.50</w:t>
            </w:r>
            <w:r>
              <w:rPr>
                <w:rFonts w:ascii="Arial"/>
                <w:sz w:val="18"/>
              </w:rPr>
            </w:r>
          </w:p>
        </w:tc>
      </w:tr>
      <w:tr>
        <w:trPr>
          <w:trHeight w:val="322" w:hRule="exact"/>
        </w:trPr>
        <w:tc>
          <w:tcPr>
            <w:tcW w:w="31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26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155,053.25</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1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29"/>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26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45,017,998.09</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1,471,783,185.41</w:t>
            </w:r>
          </w:p>
        </w:tc>
      </w:tr>
      <w:tr>
        <w:trPr>
          <w:trHeight w:val="323" w:hRule="exact"/>
        </w:trPr>
        <w:tc>
          <w:tcPr>
            <w:tcW w:w="31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261" w:type="dxa"/>
            <w:tcBorders>
              <w:top w:val="single" w:sz="4" w:space="0" w:color="5B9BD4"/>
              <w:left w:val="nil" w:sz="6" w:space="0" w:color="auto"/>
              <w:bottom w:val="single" w:sz="4" w:space="0" w:color="5B9BD4"/>
              <w:right w:val="nil" w:sz="6" w:space="0" w:color="auto"/>
            </w:tcBorders>
          </w:tcPr>
          <w:p>
            <w:pPr>
              <w:pStyle w:val="TableParagraph"/>
              <w:spacing w:line="240" w:lineRule="auto" w:before="48"/>
              <w:ind w:right="106"/>
              <w:jc w:val="right"/>
              <w:rPr>
                <w:rFonts w:ascii="Arial" w:hAnsi="Arial" w:cs="Arial" w:eastAsia="Arial" w:hint="default"/>
                <w:sz w:val="18"/>
                <w:szCs w:val="18"/>
              </w:rPr>
            </w:pPr>
            <w:r>
              <w:rPr>
                <w:rFonts w:ascii="Arial"/>
                <w:w w:val="95"/>
                <w:sz w:val="18"/>
              </w:rPr>
              <w:t>45,200,823,016.22</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8"/>
              <w:ind w:right="106"/>
              <w:jc w:val="right"/>
              <w:rPr>
                <w:rFonts w:ascii="Arial" w:hAnsi="Arial" w:cs="Arial" w:eastAsia="Arial" w:hint="default"/>
                <w:sz w:val="18"/>
                <w:szCs w:val="18"/>
              </w:rPr>
            </w:pPr>
            <w:r>
              <w:rPr>
                <w:rFonts w:ascii="Arial"/>
                <w:w w:val="95"/>
                <w:sz w:val="18"/>
              </w:rPr>
              <w:t>48,451,520,688.91</w:t>
            </w:r>
            <w:r>
              <w:rPr>
                <w:rFonts w:ascii="Arial"/>
                <w:sz w:val="18"/>
              </w:rPr>
            </w:r>
          </w:p>
        </w:tc>
      </w:tr>
      <w:tr>
        <w:trPr>
          <w:trHeight w:val="322" w:hRule="exact"/>
        </w:trPr>
        <w:tc>
          <w:tcPr>
            <w:tcW w:w="31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29"/>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26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44,408,595,897.22</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46,244,632,379.79</w:t>
            </w:r>
            <w:r>
              <w:rPr>
                <w:rFonts w:ascii="Arial"/>
                <w:sz w:val="18"/>
              </w:rPr>
            </w:r>
          </w:p>
        </w:tc>
      </w:tr>
      <w:tr>
        <w:trPr>
          <w:trHeight w:val="634" w:hRule="exact"/>
        </w:trPr>
        <w:tc>
          <w:tcPr>
            <w:tcW w:w="31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70"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261"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w w:val="95"/>
                <w:sz w:val="18"/>
              </w:rPr>
              <w:t>280,533,500.14</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w w:val="95"/>
                <w:sz w:val="18"/>
              </w:rPr>
              <w:t>472,552,200.67</w:t>
            </w:r>
            <w:r>
              <w:rPr>
                <w:rFonts w:ascii="Arial"/>
                <w:sz w:val="18"/>
              </w:rPr>
            </w:r>
          </w:p>
        </w:tc>
      </w:tr>
      <w:tr>
        <w:trPr>
          <w:trHeight w:val="322" w:hRule="exact"/>
        </w:trPr>
        <w:tc>
          <w:tcPr>
            <w:tcW w:w="31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26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139,849,609.60</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106,801,593.81</w:t>
            </w:r>
            <w:r>
              <w:rPr>
                <w:rFonts w:ascii="Arial"/>
                <w:sz w:val="18"/>
              </w:rPr>
            </w:r>
          </w:p>
        </w:tc>
      </w:tr>
      <w:tr>
        <w:trPr>
          <w:trHeight w:val="322" w:hRule="exact"/>
        </w:trPr>
        <w:tc>
          <w:tcPr>
            <w:tcW w:w="31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29"/>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26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251,517,044.27</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1,962,918,927.38</w:t>
            </w:r>
          </w:p>
        </w:tc>
      </w:tr>
      <w:tr>
        <w:trPr>
          <w:trHeight w:val="322" w:hRule="exact"/>
        </w:trPr>
        <w:tc>
          <w:tcPr>
            <w:tcW w:w="31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26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45,080,496,051.23</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48,786,905,101.65</w:t>
            </w:r>
            <w:r>
              <w:rPr>
                <w:rFonts w:ascii="Arial"/>
                <w:sz w:val="18"/>
              </w:rPr>
            </w:r>
          </w:p>
        </w:tc>
      </w:tr>
      <w:tr>
        <w:trPr>
          <w:trHeight w:val="322" w:hRule="exact"/>
        </w:trPr>
        <w:tc>
          <w:tcPr>
            <w:tcW w:w="31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26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120,326,964.99</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spacing w:val="-1"/>
                <w:sz w:val="18"/>
              </w:rPr>
              <w:t>-335,384,412.74</w:t>
            </w:r>
          </w:p>
        </w:tc>
      </w:tr>
      <w:tr>
        <w:trPr>
          <w:trHeight w:val="322" w:hRule="exact"/>
        </w:trPr>
        <w:tc>
          <w:tcPr>
            <w:tcW w:w="31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261" w:type="dxa"/>
            <w:tcBorders>
              <w:top w:val="single" w:sz="4" w:space="0" w:color="5B9BD4"/>
              <w:left w:val="nil" w:sz="6" w:space="0" w:color="auto"/>
              <w:bottom w:val="single" w:sz="4" w:space="0" w:color="5B9BD4"/>
              <w:right w:val="nil" w:sz="6" w:space="0" w:color="auto"/>
            </w:tcBorders>
          </w:tcPr>
          <w:p>
            <w:pP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1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26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8,940,000,000.00</w:t>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4,410,000,000.00</w:t>
            </w:r>
          </w:p>
        </w:tc>
      </w:tr>
      <w:tr>
        <w:trPr>
          <w:trHeight w:val="322" w:hRule="exact"/>
        </w:trPr>
        <w:tc>
          <w:tcPr>
            <w:tcW w:w="31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26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427,648,477.93</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142,448,958.90</w:t>
            </w:r>
            <w:r>
              <w:rPr>
                <w:rFonts w:ascii="Arial"/>
                <w:sz w:val="18"/>
              </w:rPr>
            </w:r>
          </w:p>
        </w:tc>
      </w:tr>
      <w:tr>
        <w:trPr>
          <w:trHeight w:val="634" w:hRule="exact"/>
        </w:trPr>
        <w:tc>
          <w:tcPr>
            <w:tcW w:w="31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08" w:firstLine="362"/>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261"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6"/>
              <w:jc w:val="right"/>
              <w:rPr>
                <w:rFonts w:ascii="Arial" w:hAnsi="Arial" w:cs="Arial" w:eastAsia="Arial" w:hint="default"/>
                <w:sz w:val="18"/>
                <w:szCs w:val="18"/>
              </w:rPr>
            </w:pPr>
            <w:r>
              <w:rPr>
                <w:rFonts w:ascii="Arial"/>
                <w:w w:val="95"/>
                <w:sz w:val="18"/>
              </w:rPr>
              <w:t>12,340.00</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7"/>
              <w:jc w:val="right"/>
              <w:rPr>
                <w:rFonts w:ascii="Arial" w:hAnsi="Arial" w:cs="Arial" w:eastAsia="Arial" w:hint="default"/>
                <w:sz w:val="18"/>
                <w:szCs w:val="18"/>
              </w:rPr>
            </w:pPr>
            <w:r>
              <w:rPr>
                <w:rFonts w:ascii="Arial"/>
                <w:w w:val="95"/>
                <w:sz w:val="18"/>
              </w:rPr>
              <w:t>7,720.00</w:t>
            </w:r>
            <w:r>
              <w:rPr>
                <w:rFonts w:ascii="Arial"/>
                <w:sz w:val="18"/>
              </w:rPr>
            </w:r>
          </w:p>
        </w:tc>
      </w:tr>
      <w:tr>
        <w:trPr>
          <w:trHeight w:val="634" w:hRule="exact"/>
        </w:trPr>
        <w:tc>
          <w:tcPr>
            <w:tcW w:w="31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08" w:firstLine="362"/>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261" w:type="dxa"/>
            <w:tcBorders>
              <w:top w:val="single" w:sz="4" w:space="0" w:color="5B9BD4"/>
              <w:left w:val="nil" w:sz="6" w:space="0" w:color="auto"/>
              <w:bottom w:val="single" w:sz="4" w:space="0" w:color="5B9BD4"/>
              <w:right w:val="nil" w:sz="6" w:space="0" w:color="auto"/>
            </w:tcBorders>
          </w:tcPr>
          <w:p>
            <w:pP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1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129"/>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261" w:type="dxa"/>
            <w:tcBorders>
              <w:top w:val="single" w:sz="4" w:space="0" w:color="5B9BD4"/>
              <w:left w:val="nil" w:sz="6" w:space="0" w:color="auto"/>
              <w:bottom w:val="single" w:sz="4" w:space="0" w:color="5B9BD4"/>
              <w:right w:val="nil" w:sz="6" w:space="0" w:color="auto"/>
            </w:tcBorders>
          </w:tcPr>
          <w:p>
            <w:pP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1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26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9,367,660,817.93</w:t>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4,552,456,678.90</w:t>
            </w:r>
          </w:p>
        </w:tc>
      </w:tr>
      <w:tr>
        <w:trPr>
          <w:trHeight w:val="635" w:hRule="exact"/>
        </w:trPr>
        <w:tc>
          <w:tcPr>
            <w:tcW w:w="31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5"/>
              <w:ind w:left="108" w:right="108" w:firstLine="362"/>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261"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w w:val="95"/>
                <w:sz w:val="18"/>
              </w:rPr>
              <w:t>11,699,145.13</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w w:val="95"/>
                <w:sz w:val="18"/>
              </w:rPr>
              <w:t>12,652,585.83</w:t>
            </w:r>
            <w:r>
              <w:rPr>
                <w:rFonts w:ascii="Arial"/>
                <w:sz w:val="18"/>
              </w:rPr>
            </w:r>
          </w:p>
        </w:tc>
      </w:tr>
      <w:tr>
        <w:trPr>
          <w:trHeight w:val="322" w:hRule="exact"/>
        </w:trPr>
        <w:tc>
          <w:tcPr>
            <w:tcW w:w="31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26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9,674,510,000.00</w:t>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4,410,000,000.00</w:t>
            </w:r>
          </w:p>
        </w:tc>
      </w:tr>
      <w:tr>
        <w:trPr>
          <w:trHeight w:val="634" w:hRule="exact"/>
        </w:trPr>
        <w:tc>
          <w:tcPr>
            <w:tcW w:w="31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08" w:firstLine="362"/>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261" w:type="dxa"/>
            <w:tcBorders>
              <w:top w:val="single" w:sz="4" w:space="0" w:color="5B9BD4"/>
              <w:left w:val="nil" w:sz="6" w:space="0" w:color="auto"/>
              <w:bottom w:val="single" w:sz="4" w:space="0" w:color="5B9BD4"/>
              <w:right w:val="nil" w:sz="6" w:space="0" w:color="auto"/>
            </w:tcBorders>
          </w:tcPr>
          <w:p>
            <w:pP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w w:val="95"/>
                <w:sz w:val="18"/>
              </w:rPr>
              <w:t>389,291,200.34</w:t>
            </w:r>
            <w:r>
              <w:rPr>
                <w:rFonts w:ascii="Arial"/>
                <w:sz w:val="18"/>
              </w:rPr>
            </w:r>
          </w:p>
        </w:tc>
      </w:tr>
      <w:tr>
        <w:trPr>
          <w:trHeight w:val="322" w:hRule="exact"/>
        </w:trPr>
        <w:tc>
          <w:tcPr>
            <w:tcW w:w="31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29"/>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261" w:type="dxa"/>
            <w:tcBorders>
              <w:top w:val="single" w:sz="4" w:space="0" w:color="5B9BD4"/>
              <w:left w:val="nil" w:sz="6" w:space="0" w:color="auto"/>
              <w:bottom w:val="single" w:sz="4" w:space="0" w:color="5B9BD4"/>
              <w:right w:val="nil" w:sz="6" w:space="0" w:color="auto"/>
            </w:tcBorders>
          </w:tcPr>
          <w:p>
            <w:pP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24,707,357.71</w:t>
            </w:r>
            <w:r>
              <w:rPr>
                <w:rFonts w:ascii="Arial"/>
                <w:sz w:val="18"/>
              </w:rPr>
            </w:r>
          </w:p>
        </w:tc>
      </w:tr>
      <w:tr>
        <w:trPr>
          <w:trHeight w:val="322" w:hRule="exact"/>
        </w:trPr>
        <w:tc>
          <w:tcPr>
            <w:tcW w:w="31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26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9,686,209,145.13</w:t>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4,836,651,143.88</w:t>
            </w:r>
          </w:p>
        </w:tc>
      </w:tr>
      <w:tr>
        <w:trPr>
          <w:trHeight w:val="322" w:hRule="exact"/>
        </w:trPr>
        <w:tc>
          <w:tcPr>
            <w:tcW w:w="31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26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spacing w:val="-1"/>
                <w:sz w:val="18"/>
              </w:rPr>
              <w:t>-318,548,327.20</w:t>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spacing w:val="-1"/>
                <w:sz w:val="18"/>
              </w:rPr>
              <w:t>-284,194,464.98</w:t>
            </w:r>
          </w:p>
        </w:tc>
      </w:tr>
      <w:tr>
        <w:trPr>
          <w:trHeight w:val="322" w:hRule="exact"/>
        </w:trPr>
        <w:tc>
          <w:tcPr>
            <w:tcW w:w="31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261" w:type="dxa"/>
            <w:tcBorders>
              <w:top w:val="single" w:sz="4" w:space="0" w:color="5B9BD4"/>
              <w:left w:val="nil" w:sz="6" w:space="0" w:color="auto"/>
              <w:bottom w:val="single" w:sz="4" w:space="0" w:color="5B9BD4"/>
              <w:right w:val="nil" w:sz="6" w:space="0" w:color="auto"/>
            </w:tcBorders>
          </w:tcPr>
          <w:p>
            <w:pP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1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26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45,591,000.00</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16,611,907.00</w:t>
            </w:r>
            <w:r>
              <w:rPr>
                <w:rFonts w:ascii="Arial"/>
                <w:sz w:val="18"/>
              </w:rPr>
            </w:r>
          </w:p>
        </w:tc>
      </w:tr>
      <w:tr>
        <w:trPr>
          <w:trHeight w:val="322" w:hRule="exact"/>
        </w:trPr>
        <w:tc>
          <w:tcPr>
            <w:tcW w:w="31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26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10,952,969,789.22</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5,641,130,762.11</w:t>
            </w:r>
          </w:p>
        </w:tc>
      </w:tr>
      <w:tr>
        <w:trPr>
          <w:trHeight w:val="322" w:hRule="exact"/>
        </w:trPr>
        <w:tc>
          <w:tcPr>
            <w:tcW w:w="31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26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594,950,000.00</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1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129"/>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26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911,992,928.41</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860,896,455.88</w:t>
            </w:r>
            <w:r>
              <w:rPr>
                <w:rFonts w:ascii="Arial"/>
                <w:sz w:val="18"/>
              </w:rPr>
            </w:r>
          </w:p>
        </w:tc>
      </w:tr>
      <w:tr>
        <w:trPr>
          <w:trHeight w:val="322" w:hRule="exact"/>
        </w:trPr>
        <w:tc>
          <w:tcPr>
            <w:tcW w:w="31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26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12,505,503,717.63</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6,518,639,124.99</w:t>
            </w:r>
          </w:p>
        </w:tc>
      </w:tr>
      <w:tr>
        <w:trPr>
          <w:trHeight w:val="322" w:hRule="exact"/>
        </w:trPr>
        <w:tc>
          <w:tcPr>
            <w:tcW w:w="31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26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10,191,969,789.22</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6,170,340,762.11</w:t>
            </w:r>
          </w:p>
        </w:tc>
      </w:tr>
      <w:tr>
        <w:trPr>
          <w:trHeight w:val="634" w:hRule="exact"/>
        </w:trPr>
        <w:tc>
          <w:tcPr>
            <w:tcW w:w="31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108" w:firstLine="362"/>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261"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w w:val="95"/>
                <w:sz w:val="18"/>
              </w:rPr>
              <w:t>99,845,148.27</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w w:val="95"/>
                <w:sz w:val="18"/>
              </w:rPr>
              <w:t>344,049,101.53</w:t>
            </w:r>
            <w:r>
              <w:rPr>
                <w:rFonts w:ascii="Arial"/>
                <w:sz w:val="18"/>
              </w:rPr>
            </w:r>
          </w:p>
        </w:tc>
      </w:tr>
      <w:tr>
        <w:trPr>
          <w:trHeight w:val="322" w:hRule="exact"/>
        </w:trPr>
        <w:tc>
          <w:tcPr>
            <w:tcW w:w="31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29"/>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26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1,569,508,835.75</w:t>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953,902,280.48</w:t>
            </w:r>
            <w:r>
              <w:rPr>
                <w:rFonts w:ascii="Arial"/>
                <w:sz w:val="18"/>
              </w:rPr>
            </w:r>
          </w:p>
        </w:tc>
      </w:tr>
      <w:tr>
        <w:trPr>
          <w:trHeight w:val="323" w:hRule="exact"/>
        </w:trPr>
        <w:tc>
          <w:tcPr>
            <w:tcW w:w="31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26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11,861,323,773.24</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7,468,292,144.12</w:t>
            </w:r>
          </w:p>
        </w:tc>
      </w:tr>
      <w:tr>
        <w:trPr>
          <w:trHeight w:val="322" w:hRule="exact"/>
        </w:trPr>
        <w:tc>
          <w:tcPr>
            <w:tcW w:w="31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26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644,179,944.39</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spacing w:val="-1"/>
                <w:sz w:val="18"/>
              </w:rPr>
              <w:t>-949,653,019.13</w:t>
            </w:r>
          </w:p>
        </w:tc>
      </w:tr>
      <w:tr>
        <w:trPr>
          <w:trHeight w:val="634" w:hRule="exact"/>
        </w:trPr>
        <w:tc>
          <w:tcPr>
            <w:tcW w:w="31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08"/>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影响</w:t>
            </w:r>
          </w:p>
        </w:tc>
        <w:tc>
          <w:tcPr>
            <w:tcW w:w="3261" w:type="dxa"/>
            <w:tcBorders>
              <w:top w:val="single" w:sz="4" w:space="0" w:color="5B9BD4"/>
              <w:left w:val="nil" w:sz="6" w:space="0" w:color="auto"/>
              <w:bottom w:val="single" w:sz="4" w:space="0" w:color="5B9BD4"/>
              <w:right w:val="nil" w:sz="6" w:space="0" w:color="auto"/>
            </w:tcBorders>
          </w:tcPr>
          <w:p>
            <w:pP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
        </w:tc>
      </w:tr>
    </w:tbl>
    <w:p>
      <w:pPr>
        <w:spacing w:after="0"/>
        <w:sectPr>
          <w:pgSz w:w="11910" w:h="16840"/>
          <w:pgMar w:header="877" w:footer="979" w:top="1100" w:bottom="116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3119"/>
        <w:gridCol w:w="3261"/>
        <w:gridCol w:w="3189"/>
      </w:tblGrid>
      <w:tr>
        <w:trPr>
          <w:trHeight w:val="322" w:hRule="exact"/>
        </w:trPr>
        <w:tc>
          <w:tcPr>
            <w:tcW w:w="31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26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445,958,582.18</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-1,569,231,896.85</w:t>
            </w:r>
          </w:p>
        </w:tc>
      </w:tr>
      <w:tr>
        <w:trPr>
          <w:trHeight w:val="322" w:hRule="exact"/>
        </w:trPr>
        <w:tc>
          <w:tcPr>
            <w:tcW w:w="31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26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700,730,155.29</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2,269,962,052.14</w:t>
            </w:r>
          </w:p>
        </w:tc>
      </w:tr>
      <w:tr>
        <w:trPr>
          <w:trHeight w:val="322" w:hRule="exact"/>
        </w:trPr>
        <w:tc>
          <w:tcPr>
            <w:tcW w:w="31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26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1,146,688,737.47</w:t>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700,730,155.29</w:t>
            </w:r>
            <w:r>
              <w:rPr>
                <w:rFonts w:ascii="Arial"/>
                <w:sz w:val="18"/>
              </w:rPr>
            </w:r>
          </w:p>
        </w:tc>
      </w:tr>
    </w:tbl>
    <w:p>
      <w:pPr>
        <w:spacing w:line="240" w:lineRule="auto" w:before="10"/>
        <w:rPr>
          <w:rFonts w:ascii="Times New Roman" w:hAnsi="Times New Roman" w:cs="Times New Roman" w:eastAsia="Times New Roman" w:hint="default"/>
          <w:sz w:val="8"/>
          <w:szCs w:val="8"/>
        </w:rPr>
      </w:pPr>
    </w:p>
    <w:p>
      <w:pPr>
        <w:pStyle w:val="Heading5"/>
        <w:spacing w:line="240" w:lineRule="auto"/>
        <w:ind w:right="1513"/>
        <w:jc w:val="left"/>
        <w:rPr>
          <w:b w:val="0"/>
          <w:bCs w:val="0"/>
        </w:rPr>
      </w:pPr>
      <w:bookmarkStart w:name="7、合并所有者权益变动表" w:id="266"/>
      <w:bookmarkEnd w:id="266"/>
      <w:r>
        <w:rPr>
          <w:b w:val="0"/>
          <w:bCs w:val="0"/>
        </w:rPr>
      </w:r>
      <w:r>
        <w:rPr>
          <w:rFonts w:ascii="Trebuchet MS" w:hAnsi="Trebuchet MS" w:cs="Trebuchet MS" w:eastAsia="Trebuchet MS" w:hint="default"/>
        </w:rPr>
        <w:t>7</w:t>
      </w:r>
      <w:r>
        <w:rPr/>
        <w:t>、合并所有者权益变动表</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left="633" w:right="1513"/>
        <w:jc w:val="left"/>
      </w:pPr>
      <w:r>
        <w:rPr>
          <w:rFonts w:ascii="Arial" w:hAnsi="Arial" w:cs="Arial" w:eastAsia="Arial" w:hint="default"/>
        </w:rPr>
        <w:t>1</w:t>
      </w:r>
      <w:r>
        <w:rPr/>
        <w:t>、本期金额</w:t>
      </w:r>
    </w:p>
    <w:p>
      <w:pPr>
        <w:spacing w:line="240" w:lineRule="auto" w:before="2"/>
        <w:rPr>
          <w:rFonts w:ascii="宋体" w:hAnsi="宋体" w:cs="宋体" w:eastAsia="宋体" w:hint="default"/>
          <w:sz w:val="24"/>
          <w:szCs w:val="24"/>
        </w:rPr>
      </w:pPr>
    </w:p>
    <w:p>
      <w:pPr>
        <w:pStyle w:val="BodyText"/>
        <w:spacing w:line="240" w:lineRule="auto" w:before="18"/>
        <w:ind w:left="0" w:right="1130"/>
        <w:jc w:val="right"/>
      </w:pPr>
      <w:r>
        <w:rPr/>
        <w:t>单位：元</w:t>
      </w:r>
    </w:p>
    <w:p>
      <w:pPr>
        <w:spacing w:line="240" w:lineRule="auto" w:before="5"/>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419"/>
        <w:gridCol w:w="582"/>
        <w:gridCol w:w="530"/>
        <w:gridCol w:w="532"/>
        <w:gridCol w:w="530"/>
        <w:gridCol w:w="664"/>
        <w:gridCol w:w="666"/>
        <w:gridCol w:w="665"/>
        <w:gridCol w:w="665"/>
        <w:gridCol w:w="664"/>
        <w:gridCol w:w="665"/>
        <w:gridCol w:w="666"/>
        <w:gridCol w:w="665"/>
        <w:gridCol w:w="659"/>
      </w:tblGrid>
      <w:tr>
        <w:trPr>
          <w:trHeight w:val="322" w:hRule="exact"/>
        </w:trPr>
        <w:tc>
          <w:tcPr>
            <w:tcW w:w="1419"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52" w:type="dxa"/>
            <w:gridSpan w:val="13"/>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2" w:hRule="exact"/>
        </w:trPr>
        <w:tc>
          <w:tcPr>
            <w:tcW w:w="1419" w:type="dxa"/>
            <w:vMerge/>
            <w:tcBorders>
              <w:left w:val="nil" w:sz="6" w:space="0" w:color="auto"/>
              <w:right w:val="nil" w:sz="6" w:space="0" w:color="auto"/>
            </w:tcBorders>
            <w:shd w:val="clear" w:color="auto" w:fill="DEEAF6"/>
          </w:tcPr>
          <w:p>
            <w:pPr/>
          </w:p>
        </w:tc>
        <w:tc>
          <w:tcPr>
            <w:tcW w:w="7494" w:type="dxa"/>
            <w:gridSpan w:val="12"/>
            <w:tcBorders>
              <w:top w:val="single" w:sz="4" w:space="0" w:color="5B9BD4"/>
              <w:left w:val="nil" w:sz="6" w:space="0" w:color="auto"/>
              <w:bottom w:val="nil" w:sz="6" w:space="0" w:color="auto"/>
              <w:right w:val="nil" w:sz="6" w:space="0" w:color="auto"/>
            </w:tcBorders>
            <w:shd w:val="clear" w:color="auto" w:fill="DEEAF6"/>
          </w:tcPr>
          <w:p>
            <w:pPr>
              <w:pStyle w:val="TableParagraph"/>
              <w:spacing w:line="240" w:lineRule="auto" w:before="5"/>
              <w:ind w:left="242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9"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48" w:right="149"/>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322" w:hRule="exact"/>
        </w:trPr>
        <w:tc>
          <w:tcPr>
            <w:tcW w:w="1419" w:type="dxa"/>
            <w:vMerge/>
            <w:tcBorders>
              <w:left w:val="nil" w:sz="6" w:space="0" w:color="auto"/>
              <w:right w:val="nil" w:sz="6" w:space="0" w:color="auto"/>
            </w:tcBorders>
            <w:shd w:val="clear" w:color="auto" w:fill="DEEAF6"/>
          </w:tcPr>
          <w:p>
            <w:pPr/>
          </w:p>
        </w:tc>
        <w:tc>
          <w:tcPr>
            <w:tcW w:w="582"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256" w:type="dxa"/>
            <w:gridSpan w:val="4"/>
            <w:tcBorders>
              <w:top w:val="single" w:sz="4" w:space="0" w:color="5B9BD4"/>
              <w:left w:val="nil" w:sz="6" w:space="0" w:color="auto"/>
              <w:bottom w:val="nil" w:sz="6" w:space="0" w:color="auto"/>
              <w:right w:val="nil" w:sz="6" w:space="0" w:color="auto"/>
            </w:tcBorders>
            <w:shd w:val="clear" w:color="auto" w:fill="DEEAF6"/>
          </w:tcPr>
          <w:p>
            <w:pPr>
              <w:pStyle w:val="TableParagraph"/>
              <w:spacing w:line="240" w:lineRule="auto" w:before="5"/>
              <w:ind w:left="25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6"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152" w:right="151"/>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152" w:right="150"/>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tcBorders>
              <w:top w:val="single" w:sz="4" w:space="0" w:color="5B9BD4"/>
              <w:left w:val="nil" w:sz="6" w:space="0" w:color="auto"/>
              <w:bottom w:val="nil" w:sz="6" w:space="0" w:color="auto"/>
              <w:right w:val="nil" w:sz="6" w:space="0" w:color="auto"/>
            </w:tcBorders>
            <w:shd w:val="clear" w:color="auto" w:fill="DEEAF6"/>
          </w:tcPr>
          <w:p>
            <w:pPr/>
          </w:p>
        </w:tc>
        <w:tc>
          <w:tcPr>
            <w:tcW w:w="664" w:type="dxa"/>
            <w:tcBorders>
              <w:top w:val="single" w:sz="4" w:space="0" w:color="5B9BD4"/>
              <w:left w:val="nil" w:sz="6" w:space="0" w:color="auto"/>
              <w:bottom w:val="nil" w:sz="6" w:space="0" w:color="auto"/>
              <w:right w:val="nil" w:sz="6" w:space="0" w:color="auto"/>
            </w:tcBorders>
            <w:shd w:val="clear" w:color="auto" w:fill="DEEAF6"/>
          </w:tcPr>
          <w:p>
            <w:pPr/>
          </w:p>
        </w:tc>
        <w:tc>
          <w:tcPr>
            <w:tcW w:w="665"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152" w:right="150"/>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66"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65"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10"/>
              <w:ind w:left="152" w:right="150"/>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tcBorders>
              <w:left w:val="nil" w:sz="6" w:space="0" w:color="auto"/>
              <w:right w:val="nil" w:sz="6" w:space="0" w:color="auto"/>
            </w:tcBorders>
            <w:shd w:val="clear" w:color="auto" w:fill="DEEAF6"/>
          </w:tcPr>
          <w:p>
            <w:pPr/>
          </w:p>
        </w:tc>
      </w:tr>
      <w:tr>
        <w:trPr>
          <w:trHeight w:val="946" w:hRule="exact"/>
        </w:trPr>
        <w:tc>
          <w:tcPr>
            <w:tcW w:w="1419" w:type="dxa"/>
            <w:vMerge/>
            <w:tcBorders>
              <w:left w:val="nil" w:sz="6" w:space="0" w:color="auto"/>
              <w:bottom w:val="single" w:sz="4" w:space="0" w:color="5B9BD4"/>
              <w:right w:val="nil" w:sz="6" w:space="0" w:color="auto"/>
            </w:tcBorders>
            <w:shd w:val="clear" w:color="auto" w:fill="DEEAF6"/>
          </w:tcPr>
          <w:p>
            <w:pPr/>
          </w:p>
        </w:tc>
        <w:tc>
          <w:tcPr>
            <w:tcW w:w="582" w:type="dxa"/>
            <w:vMerge/>
            <w:tcBorders>
              <w:left w:val="nil" w:sz="6" w:space="0" w:color="auto"/>
              <w:bottom w:val="single" w:sz="4" w:space="0" w:color="5B9BD4"/>
              <w:right w:val="nil" w:sz="6" w:space="0" w:color="auto"/>
            </w:tcBorders>
            <w:shd w:val="clear" w:color="auto" w:fill="DEEAF6"/>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243" w:right="104"/>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243" w:right="107"/>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243" w:right="104"/>
              <w:jc w:val="left"/>
              <w:rPr>
                <w:rFonts w:ascii="宋体" w:hAnsi="宋体" w:cs="宋体" w:eastAsia="宋体" w:hint="default"/>
                <w:sz w:val="18"/>
                <w:szCs w:val="18"/>
              </w:rPr>
            </w:pPr>
            <w:r>
              <w:rPr>
                <w:rFonts w:ascii="宋体" w:hAnsi="宋体" w:cs="宋体" w:eastAsia="宋体" w:hint="default"/>
                <w:sz w:val="18"/>
                <w:szCs w:val="18"/>
              </w:rPr>
              <w:t>其 他</w:t>
            </w:r>
          </w:p>
        </w:tc>
        <w:tc>
          <w:tcPr>
            <w:tcW w:w="664"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316" w:lineRule="auto" w:before="6"/>
              <w:ind w:left="151" w:right="150"/>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6" w:type="dxa"/>
            <w:vMerge/>
            <w:tcBorders>
              <w:left w:val="nil" w:sz="6" w:space="0" w:color="auto"/>
              <w:bottom w:val="single" w:sz="4" w:space="0" w:color="5B9BD4"/>
              <w:right w:val="nil" w:sz="6" w:space="0" w:color="auto"/>
            </w:tcBorders>
            <w:shd w:val="clear" w:color="auto" w:fill="DEEAF6"/>
          </w:tcPr>
          <w:p>
            <w:pPr/>
          </w:p>
        </w:tc>
        <w:tc>
          <w:tcPr>
            <w:tcW w:w="665" w:type="dxa"/>
            <w:vMerge/>
            <w:tcBorders>
              <w:left w:val="nil" w:sz="6" w:space="0" w:color="auto"/>
              <w:bottom w:val="single" w:sz="4" w:space="0" w:color="5B9BD4"/>
              <w:right w:val="nil" w:sz="6" w:space="0" w:color="auto"/>
            </w:tcBorders>
            <w:shd w:val="clear" w:color="auto" w:fill="DEEAF6"/>
          </w:tcPr>
          <w:p>
            <w:pPr/>
          </w:p>
        </w:tc>
        <w:tc>
          <w:tcPr>
            <w:tcW w:w="665"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316" w:lineRule="auto" w:before="6"/>
              <w:ind w:left="152" w:right="150"/>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4"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316" w:lineRule="auto" w:before="6"/>
              <w:ind w:left="151" w:right="150"/>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5" w:type="dxa"/>
            <w:vMerge/>
            <w:tcBorders>
              <w:left w:val="nil" w:sz="6" w:space="0" w:color="auto"/>
              <w:bottom w:val="single" w:sz="4" w:space="0" w:color="5B9BD4"/>
              <w:right w:val="nil" w:sz="6" w:space="0" w:color="auto"/>
            </w:tcBorders>
            <w:shd w:val="clear" w:color="auto" w:fill="DEEAF6"/>
          </w:tcPr>
          <w:p>
            <w:pPr/>
          </w:p>
        </w:tc>
        <w:tc>
          <w:tcPr>
            <w:tcW w:w="666" w:type="dxa"/>
            <w:vMerge/>
            <w:tcBorders>
              <w:left w:val="nil" w:sz="6" w:space="0" w:color="auto"/>
              <w:bottom w:val="single" w:sz="4" w:space="0" w:color="5B9BD4"/>
              <w:right w:val="nil" w:sz="6" w:space="0" w:color="auto"/>
            </w:tcBorders>
            <w:shd w:val="clear" w:color="auto" w:fill="DEEAF6"/>
          </w:tcPr>
          <w:p>
            <w:pPr/>
          </w:p>
        </w:tc>
        <w:tc>
          <w:tcPr>
            <w:tcW w:w="665" w:type="dxa"/>
            <w:vMerge/>
            <w:tcBorders>
              <w:left w:val="nil" w:sz="6" w:space="0" w:color="auto"/>
              <w:bottom w:val="single" w:sz="4" w:space="0" w:color="5B9BD4"/>
              <w:right w:val="nil" w:sz="6" w:space="0" w:color="auto"/>
            </w:tcBorders>
            <w:shd w:val="clear" w:color="auto" w:fill="DEEAF6"/>
          </w:tcPr>
          <w:p>
            <w:pPr/>
          </w:p>
        </w:tc>
        <w:tc>
          <w:tcPr>
            <w:tcW w:w="659" w:type="dxa"/>
            <w:vMerge/>
            <w:tcBorders>
              <w:left w:val="nil" w:sz="6" w:space="0" w:color="auto"/>
              <w:bottom w:val="single" w:sz="4" w:space="0" w:color="5B9BD4"/>
              <w:right w:val="nil" w:sz="6" w:space="0" w:color="auto"/>
            </w:tcBorders>
            <w:shd w:val="clear" w:color="auto" w:fill="DEEAF6"/>
          </w:tcPr>
          <w:p>
            <w:pPr/>
          </w:p>
        </w:tc>
      </w:tr>
      <w:tr>
        <w:trPr>
          <w:trHeight w:val="1258" w:hRule="exact"/>
        </w:trPr>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
              <w:ind w:right="0"/>
              <w:jc w:val="left"/>
              <w:rPr>
                <w:rFonts w:ascii="宋体" w:hAnsi="宋体" w:cs="宋体" w:eastAsia="宋体" w:hint="default"/>
                <w:sz w:val="24"/>
                <w:szCs w:val="24"/>
              </w:rPr>
            </w:pPr>
          </w:p>
          <w:p>
            <w:pPr>
              <w:pStyle w:val="TableParagraph"/>
              <w:spacing w:line="316" w:lineRule="auto"/>
              <w:ind w:left="108" w:right="106"/>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82" w:type="dxa"/>
            <w:tcBorders>
              <w:top w:val="single" w:sz="4" w:space="0" w:color="5B9BD4"/>
              <w:left w:val="nil" w:sz="6" w:space="0" w:color="auto"/>
              <w:bottom w:val="single" w:sz="4" w:space="0" w:color="5B9BD4"/>
              <w:right w:val="nil" w:sz="6" w:space="0" w:color="auto"/>
            </w:tcBorders>
          </w:tcPr>
          <w:p>
            <w:pPr>
              <w:pStyle w:val="TableParagraph"/>
              <w:spacing w:line="240" w:lineRule="auto" w:before="58"/>
              <w:ind w:left="55" w:right="0"/>
              <w:jc w:val="center"/>
              <w:rPr>
                <w:rFonts w:ascii="Arial" w:hAnsi="Arial" w:cs="Arial" w:eastAsia="Arial" w:hint="default"/>
                <w:sz w:val="16"/>
                <w:szCs w:val="16"/>
              </w:rPr>
            </w:pPr>
            <w:r>
              <w:rPr>
                <w:rFonts w:ascii="Arial"/>
                <w:sz w:val="16"/>
              </w:rPr>
              <w:t>994,</w:t>
            </w:r>
          </w:p>
          <w:p>
            <w:pPr>
              <w:pStyle w:val="TableParagraph"/>
              <w:spacing w:line="240" w:lineRule="auto" w:before="128"/>
              <w:ind w:left="55" w:right="0"/>
              <w:jc w:val="center"/>
              <w:rPr>
                <w:rFonts w:ascii="Arial" w:hAnsi="Arial" w:cs="Arial" w:eastAsia="Arial" w:hint="default"/>
                <w:sz w:val="16"/>
                <w:szCs w:val="16"/>
              </w:rPr>
            </w:pPr>
            <w:r>
              <w:rPr>
                <w:rFonts w:ascii="Arial"/>
                <w:sz w:val="16"/>
              </w:rPr>
              <w:t>766,</w:t>
            </w:r>
          </w:p>
          <w:p>
            <w:pPr>
              <w:pStyle w:val="TableParagraph"/>
              <w:spacing w:line="240" w:lineRule="auto" w:before="128"/>
              <w:ind w:left="55" w:right="0"/>
              <w:jc w:val="center"/>
              <w:rPr>
                <w:rFonts w:ascii="Arial" w:hAnsi="Arial" w:cs="Arial" w:eastAsia="Arial" w:hint="default"/>
                <w:sz w:val="16"/>
                <w:szCs w:val="16"/>
              </w:rPr>
            </w:pPr>
            <w:r>
              <w:rPr>
                <w:rFonts w:ascii="Arial"/>
                <w:sz w:val="16"/>
              </w:rPr>
              <w:t>266.</w:t>
            </w:r>
          </w:p>
          <w:p>
            <w:pPr>
              <w:pStyle w:val="TableParagraph"/>
              <w:spacing w:line="240" w:lineRule="auto" w:before="128"/>
              <w:ind w:left="188" w:right="0"/>
              <w:jc w:val="center"/>
              <w:rPr>
                <w:rFonts w:ascii="Arial" w:hAnsi="Arial" w:cs="Arial" w:eastAsia="Arial" w:hint="default"/>
                <w:sz w:val="16"/>
                <w:szCs w:val="16"/>
              </w:rPr>
            </w:pPr>
            <w:r>
              <w:rPr>
                <w:rFonts w:ascii="Arial"/>
                <w:sz w:val="16"/>
              </w:rPr>
              <w:t>00</w:t>
            </w: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12" w:right="0"/>
              <w:jc w:val="left"/>
              <w:rPr>
                <w:rFonts w:ascii="Arial" w:hAnsi="Arial" w:cs="Arial" w:eastAsia="Arial" w:hint="default"/>
                <w:sz w:val="16"/>
                <w:szCs w:val="16"/>
              </w:rPr>
            </w:pPr>
            <w:r>
              <w:rPr>
                <w:rFonts w:ascii="Arial"/>
                <w:sz w:val="16"/>
              </w:rPr>
              <w:t>1,498,</w:t>
            </w:r>
          </w:p>
          <w:p>
            <w:pPr>
              <w:pStyle w:val="TableParagraph"/>
              <w:spacing w:line="240" w:lineRule="auto" w:before="128"/>
              <w:ind w:left="157" w:right="0"/>
              <w:jc w:val="left"/>
              <w:rPr>
                <w:rFonts w:ascii="Arial" w:hAnsi="Arial" w:cs="Arial" w:eastAsia="Arial" w:hint="default"/>
                <w:sz w:val="16"/>
                <w:szCs w:val="16"/>
              </w:rPr>
            </w:pPr>
            <w:r>
              <w:rPr>
                <w:rFonts w:ascii="Arial"/>
                <w:sz w:val="16"/>
              </w:rPr>
              <w:t>595,4</w:t>
            </w:r>
          </w:p>
          <w:p>
            <w:pPr>
              <w:pStyle w:val="TableParagraph"/>
              <w:spacing w:line="240" w:lineRule="auto" w:before="128"/>
              <w:ind w:left="157" w:right="0"/>
              <w:jc w:val="left"/>
              <w:rPr>
                <w:rFonts w:ascii="Arial" w:hAnsi="Arial" w:cs="Arial" w:eastAsia="Arial" w:hint="default"/>
                <w:sz w:val="16"/>
                <w:szCs w:val="16"/>
              </w:rPr>
            </w:pPr>
            <w:r>
              <w:rPr>
                <w:rFonts w:ascii="Arial"/>
                <w:sz w:val="16"/>
              </w:rPr>
              <w:t>46.61</w:t>
            </w:r>
          </w:p>
        </w:tc>
        <w:tc>
          <w:tcPr>
            <w:tcW w:w="666"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193" w:right="0"/>
              <w:jc w:val="left"/>
              <w:rPr>
                <w:rFonts w:ascii="Arial" w:hAnsi="Arial" w:cs="Arial" w:eastAsia="Arial" w:hint="default"/>
                <w:sz w:val="16"/>
                <w:szCs w:val="16"/>
              </w:rPr>
            </w:pPr>
            <w:r>
              <w:rPr>
                <w:rFonts w:ascii="Arial"/>
                <w:sz w:val="16"/>
              </w:rPr>
              <w:t>-69,5</w:t>
            </w:r>
          </w:p>
          <w:p>
            <w:pPr>
              <w:pStyle w:val="TableParagraph"/>
              <w:spacing w:line="240" w:lineRule="auto" w:before="128"/>
              <w:ind w:left="158" w:right="0"/>
              <w:jc w:val="left"/>
              <w:rPr>
                <w:rFonts w:ascii="Arial" w:hAnsi="Arial" w:cs="Arial" w:eastAsia="Arial" w:hint="default"/>
                <w:sz w:val="16"/>
                <w:szCs w:val="16"/>
              </w:rPr>
            </w:pPr>
            <w:r>
              <w:rPr>
                <w:rFonts w:ascii="Arial"/>
                <w:sz w:val="16"/>
              </w:rPr>
              <w:t>77.58</w:t>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57" w:right="0"/>
              <w:jc w:val="left"/>
              <w:rPr>
                <w:rFonts w:ascii="Arial" w:hAnsi="Arial" w:cs="Arial" w:eastAsia="Arial" w:hint="default"/>
                <w:sz w:val="16"/>
                <w:szCs w:val="16"/>
              </w:rPr>
            </w:pPr>
            <w:r>
              <w:rPr>
                <w:rFonts w:ascii="Arial"/>
                <w:sz w:val="16"/>
              </w:rPr>
              <w:t>221,6</w:t>
            </w:r>
          </w:p>
          <w:p>
            <w:pPr>
              <w:pStyle w:val="TableParagraph"/>
              <w:spacing w:line="240" w:lineRule="auto" w:before="128"/>
              <w:ind w:left="157" w:right="0"/>
              <w:jc w:val="left"/>
              <w:rPr>
                <w:rFonts w:ascii="Arial" w:hAnsi="Arial" w:cs="Arial" w:eastAsia="Arial" w:hint="default"/>
                <w:sz w:val="16"/>
                <w:szCs w:val="16"/>
              </w:rPr>
            </w:pPr>
            <w:r>
              <w:rPr>
                <w:rFonts w:ascii="Arial"/>
                <w:sz w:val="16"/>
              </w:rPr>
              <w:t>07,09</w:t>
            </w:r>
          </w:p>
          <w:p>
            <w:pPr>
              <w:pStyle w:val="TableParagraph"/>
              <w:spacing w:line="240" w:lineRule="auto" w:before="128"/>
              <w:ind w:left="244" w:right="0"/>
              <w:jc w:val="left"/>
              <w:rPr>
                <w:rFonts w:ascii="Arial" w:hAnsi="Arial" w:cs="Arial" w:eastAsia="Arial" w:hint="default"/>
                <w:sz w:val="16"/>
                <w:szCs w:val="16"/>
              </w:rPr>
            </w:pPr>
            <w:r>
              <w:rPr>
                <w:rFonts w:ascii="Arial"/>
                <w:sz w:val="16"/>
              </w:rPr>
              <w:t>7.36</w:t>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6"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13" w:right="0"/>
              <w:jc w:val="left"/>
              <w:rPr>
                <w:rFonts w:ascii="Arial" w:hAnsi="Arial" w:cs="Arial" w:eastAsia="Arial" w:hint="default"/>
                <w:sz w:val="16"/>
                <w:szCs w:val="16"/>
              </w:rPr>
            </w:pPr>
            <w:r>
              <w:rPr>
                <w:rFonts w:ascii="Arial"/>
                <w:sz w:val="16"/>
              </w:rPr>
              <w:t>1,583,</w:t>
            </w:r>
          </w:p>
          <w:p>
            <w:pPr>
              <w:pStyle w:val="TableParagraph"/>
              <w:spacing w:line="240" w:lineRule="auto" w:before="128"/>
              <w:ind w:left="158" w:right="0"/>
              <w:jc w:val="left"/>
              <w:rPr>
                <w:rFonts w:ascii="Arial" w:hAnsi="Arial" w:cs="Arial" w:eastAsia="Arial" w:hint="default"/>
                <w:sz w:val="16"/>
                <w:szCs w:val="16"/>
              </w:rPr>
            </w:pPr>
            <w:r>
              <w:rPr>
                <w:rFonts w:ascii="Arial"/>
                <w:sz w:val="16"/>
              </w:rPr>
              <w:t>472,5</w:t>
            </w:r>
          </w:p>
          <w:p>
            <w:pPr>
              <w:pStyle w:val="TableParagraph"/>
              <w:spacing w:line="240" w:lineRule="auto" w:before="128"/>
              <w:ind w:left="158" w:right="0"/>
              <w:jc w:val="left"/>
              <w:rPr>
                <w:rFonts w:ascii="Arial" w:hAnsi="Arial" w:cs="Arial" w:eastAsia="Arial" w:hint="default"/>
                <w:sz w:val="16"/>
                <w:szCs w:val="16"/>
              </w:rPr>
            </w:pPr>
            <w:r>
              <w:rPr>
                <w:rFonts w:ascii="Arial"/>
                <w:sz w:val="16"/>
              </w:rPr>
              <w:t>44.55</w:t>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58" w:right="0"/>
              <w:jc w:val="left"/>
              <w:rPr>
                <w:rFonts w:ascii="Arial" w:hAnsi="Arial" w:cs="Arial" w:eastAsia="Arial" w:hint="default"/>
                <w:sz w:val="16"/>
                <w:szCs w:val="16"/>
              </w:rPr>
            </w:pPr>
            <w:r>
              <w:rPr>
                <w:rFonts w:ascii="Arial"/>
                <w:sz w:val="16"/>
              </w:rPr>
              <w:t>26,94</w:t>
            </w:r>
          </w:p>
          <w:p>
            <w:pPr>
              <w:pStyle w:val="TableParagraph"/>
              <w:spacing w:line="240" w:lineRule="auto" w:before="128"/>
              <w:ind w:left="113" w:right="0"/>
              <w:jc w:val="left"/>
              <w:rPr>
                <w:rFonts w:ascii="Arial" w:hAnsi="Arial" w:cs="Arial" w:eastAsia="Arial" w:hint="default"/>
                <w:sz w:val="16"/>
                <w:szCs w:val="16"/>
              </w:rPr>
            </w:pPr>
            <w:r>
              <w:rPr>
                <w:rFonts w:ascii="Arial"/>
                <w:sz w:val="16"/>
              </w:rPr>
              <w:t>8,115.</w:t>
            </w:r>
          </w:p>
          <w:p>
            <w:pPr>
              <w:pStyle w:val="TableParagraph"/>
              <w:spacing w:line="240" w:lineRule="auto" w:before="128"/>
              <w:ind w:left="379" w:right="0"/>
              <w:jc w:val="left"/>
              <w:rPr>
                <w:rFonts w:ascii="Arial" w:hAnsi="Arial" w:cs="Arial" w:eastAsia="Arial" w:hint="default"/>
                <w:sz w:val="16"/>
                <w:szCs w:val="16"/>
              </w:rPr>
            </w:pPr>
            <w:r>
              <w:rPr>
                <w:rFonts w:ascii="Arial"/>
                <w:sz w:val="16"/>
              </w:rPr>
              <w:t>30</w:t>
            </w:r>
          </w:p>
        </w:tc>
        <w:tc>
          <w:tcPr>
            <w:tcW w:w="659" w:type="dxa"/>
            <w:tcBorders>
              <w:top w:val="single" w:sz="4" w:space="0" w:color="5B9BD4"/>
              <w:left w:val="nil" w:sz="6" w:space="0" w:color="auto"/>
              <w:bottom w:val="single" w:sz="4" w:space="0" w:color="5B9BD4"/>
              <w:right w:val="nil" w:sz="6" w:space="0" w:color="auto"/>
            </w:tcBorders>
          </w:tcPr>
          <w:p>
            <w:pPr>
              <w:pStyle w:val="TableParagraph"/>
              <w:spacing w:line="240" w:lineRule="auto" w:before="58"/>
              <w:ind w:left="152" w:right="0"/>
              <w:jc w:val="left"/>
              <w:rPr>
                <w:rFonts w:ascii="Arial" w:hAnsi="Arial" w:cs="Arial" w:eastAsia="Arial" w:hint="default"/>
                <w:sz w:val="16"/>
                <w:szCs w:val="16"/>
              </w:rPr>
            </w:pPr>
            <w:r>
              <w:rPr>
                <w:rFonts w:ascii="Arial"/>
                <w:sz w:val="16"/>
              </w:rPr>
              <w:t>4,325</w:t>
            </w:r>
          </w:p>
          <w:p>
            <w:pPr>
              <w:pStyle w:val="TableParagraph"/>
              <w:spacing w:line="240" w:lineRule="auto" w:before="128"/>
              <w:ind w:left="196" w:right="0"/>
              <w:jc w:val="left"/>
              <w:rPr>
                <w:rFonts w:ascii="Arial" w:hAnsi="Arial" w:cs="Arial" w:eastAsia="Arial" w:hint="default"/>
                <w:sz w:val="16"/>
                <w:szCs w:val="16"/>
              </w:rPr>
            </w:pPr>
            <w:r>
              <w:rPr>
                <w:rFonts w:ascii="Arial"/>
                <w:sz w:val="16"/>
              </w:rPr>
              <w:t>,319,</w:t>
            </w:r>
          </w:p>
          <w:p>
            <w:pPr>
              <w:pStyle w:val="TableParagraph"/>
              <w:spacing w:line="240" w:lineRule="auto" w:before="128"/>
              <w:ind w:left="152" w:right="0"/>
              <w:jc w:val="left"/>
              <w:rPr>
                <w:rFonts w:ascii="Arial" w:hAnsi="Arial" w:cs="Arial" w:eastAsia="Arial" w:hint="default"/>
                <w:sz w:val="16"/>
                <w:szCs w:val="16"/>
              </w:rPr>
            </w:pPr>
            <w:r>
              <w:rPr>
                <w:rFonts w:ascii="Arial"/>
                <w:sz w:val="16"/>
              </w:rPr>
              <w:t>892.2</w:t>
            </w:r>
          </w:p>
          <w:p>
            <w:pPr>
              <w:pStyle w:val="TableParagraph"/>
              <w:spacing w:line="240" w:lineRule="auto" w:before="128"/>
              <w:ind w:right="106"/>
              <w:jc w:val="right"/>
              <w:rPr>
                <w:rFonts w:ascii="Arial" w:hAnsi="Arial" w:cs="Arial" w:eastAsia="Arial" w:hint="default"/>
                <w:sz w:val="16"/>
                <w:szCs w:val="16"/>
              </w:rPr>
            </w:pPr>
            <w:r>
              <w:rPr>
                <w:rFonts w:ascii="Arial"/>
                <w:w w:val="99"/>
                <w:sz w:val="16"/>
              </w:rPr>
              <w:t>4</w:t>
            </w:r>
            <w:r>
              <w:rPr>
                <w:rFonts w:ascii="Arial"/>
                <w:sz w:val="16"/>
              </w:rPr>
            </w:r>
          </w:p>
        </w:tc>
      </w:tr>
      <w:tr>
        <w:trPr>
          <w:trHeight w:val="634" w:hRule="exact"/>
        </w:trPr>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06" w:firstLine="360"/>
              <w:jc w:val="left"/>
              <w:rPr>
                <w:rFonts w:ascii="宋体" w:hAnsi="宋体" w:cs="宋体" w:eastAsia="宋体" w:hint="default"/>
                <w:sz w:val="18"/>
                <w:szCs w:val="18"/>
              </w:rPr>
            </w:pPr>
            <w:r>
              <w:rPr>
                <w:rFonts w:ascii="宋体" w:hAnsi="宋体" w:cs="宋体" w:eastAsia="宋体" w:hint="default"/>
                <w:spacing w:val="-12"/>
                <w:sz w:val="18"/>
                <w:szCs w:val="18"/>
              </w:rPr>
              <w:t>加：会计政</w:t>
            </w:r>
            <w:r>
              <w:rPr>
                <w:rFonts w:ascii="宋体" w:hAnsi="宋体" w:cs="宋体" w:eastAsia="宋体" w:hint="default"/>
                <w:sz w:val="18"/>
                <w:szCs w:val="18"/>
              </w:rPr>
              <w:t> 策变更</w:t>
            </w:r>
          </w:p>
        </w:tc>
        <w:tc>
          <w:tcPr>
            <w:tcW w:w="58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
        </w:tc>
        <w:tc>
          <w:tcPr>
            <w:tcW w:w="666"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6"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59" w:type="dxa"/>
            <w:tcBorders>
              <w:top w:val="single" w:sz="4" w:space="0" w:color="5B9BD4"/>
              <w:left w:val="nil" w:sz="6" w:space="0" w:color="auto"/>
              <w:bottom w:val="single" w:sz="4" w:space="0" w:color="5B9BD4"/>
              <w:right w:val="nil" w:sz="6" w:space="0" w:color="auto"/>
            </w:tcBorders>
          </w:tcPr>
          <w:p>
            <w:pPr/>
          </w:p>
        </w:tc>
      </w:tr>
      <w:tr>
        <w:trPr>
          <w:trHeight w:val="635" w:hRule="exact"/>
        </w:trPr>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828"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8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
        </w:tc>
        <w:tc>
          <w:tcPr>
            <w:tcW w:w="666"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6"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59" w:type="dxa"/>
            <w:tcBorders>
              <w:top w:val="single" w:sz="4" w:space="0" w:color="5B9BD4"/>
              <w:left w:val="nil" w:sz="6" w:space="0" w:color="auto"/>
              <w:bottom w:val="single" w:sz="4" w:space="0" w:color="5B9BD4"/>
              <w:right w:val="nil" w:sz="6" w:space="0" w:color="auto"/>
            </w:tcBorders>
          </w:tcPr>
          <w:p>
            <w:pPr/>
          </w:p>
        </w:tc>
      </w:tr>
      <w:tr>
        <w:trPr>
          <w:trHeight w:val="946" w:hRule="exact"/>
        </w:trPr>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228"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8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
        </w:tc>
        <w:tc>
          <w:tcPr>
            <w:tcW w:w="666"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6"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59" w:type="dxa"/>
            <w:tcBorders>
              <w:top w:val="single" w:sz="4" w:space="0" w:color="5B9BD4"/>
              <w:left w:val="nil" w:sz="6" w:space="0" w:color="auto"/>
              <w:bottom w:val="single" w:sz="4" w:space="0" w:color="5B9BD4"/>
              <w:right w:val="nil" w:sz="6" w:space="0" w:color="auto"/>
            </w:tcBorders>
          </w:tcPr>
          <w:p>
            <w:pPr/>
          </w:p>
        </w:tc>
      </w:tr>
      <w:tr>
        <w:trPr>
          <w:trHeight w:val="322" w:hRule="exact"/>
        </w:trPr>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228"/>
              <w:jc w:val="right"/>
              <w:rPr>
                <w:rFonts w:ascii="宋体" w:hAnsi="宋体" w:cs="宋体" w:eastAsia="宋体" w:hint="default"/>
                <w:sz w:val="18"/>
                <w:szCs w:val="18"/>
              </w:rPr>
            </w:pPr>
            <w:r>
              <w:rPr>
                <w:rFonts w:ascii="宋体" w:hAnsi="宋体" w:cs="宋体" w:eastAsia="宋体" w:hint="default"/>
                <w:sz w:val="18"/>
                <w:szCs w:val="18"/>
              </w:rPr>
              <w:t>其他</w:t>
            </w:r>
          </w:p>
        </w:tc>
        <w:tc>
          <w:tcPr>
            <w:tcW w:w="58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
        </w:tc>
        <w:tc>
          <w:tcPr>
            <w:tcW w:w="666"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6"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59" w:type="dxa"/>
            <w:tcBorders>
              <w:top w:val="single" w:sz="4" w:space="0" w:color="5B9BD4"/>
              <w:left w:val="nil" w:sz="6" w:space="0" w:color="auto"/>
              <w:bottom w:val="single" w:sz="4" w:space="0" w:color="5B9BD4"/>
              <w:right w:val="nil" w:sz="6" w:space="0" w:color="auto"/>
            </w:tcBorders>
          </w:tcPr>
          <w:p>
            <w:pPr/>
          </w:p>
        </w:tc>
      </w:tr>
      <w:tr>
        <w:trPr>
          <w:trHeight w:val="1258" w:hRule="exact"/>
        </w:trPr>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
              <w:ind w:right="0"/>
              <w:jc w:val="left"/>
              <w:rPr>
                <w:rFonts w:ascii="宋体" w:hAnsi="宋体" w:cs="宋体" w:eastAsia="宋体" w:hint="default"/>
                <w:sz w:val="24"/>
                <w:szCs w:val="24"/>
              </w:rPr>
            </w:pPr>
          </w:p>
          <w:p>
            <w:pPr>
              <w:pStyle w:val="TableParagraph"/>
              <w:spacing w:line="316" w:lineRule="auto"/>
              <w:ind w:left="108" w:right="106"/>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82" w:type="dxa"/>
            <w:tcBorders>
              <w:top w:val="single" w:sz="4" w:space="0" w:color="5B9BD4"/>
              <w:left w:val="nil" w:sz="6" w:space="0" w:color="auto"/>
              <w:bottom w:val="single" w:sz="4" w:space="0" w:color="5B9BD4"/>
              <w:right w:val="nil" w:sz="6" w:space="0" w:color="auto"/>
            </w:tcBorders>
          </w:tcPr>
          <w:p>
            <w:pPr>
              <w:pStyle w:val="TableParagraph"/>
              <w:spacing w:line="240" w:lineRule="auto" w:before="59"/>
              <w:ind w:left="55" w:right="0"/>
              <w:jc w:val="center"/>
              <w:rPr>
                <w:rFonts w:ascii="Arial" w:hAnsi="Arial" w:cs="Arial" w:eastAsia="Arial" w:hint="default"/>
                <w:sz w:val="16"/>
                <w:szCs w:val="16"/>
              </w:rPr>
            </w:pPr>
            <w:r>
              <w:rPr>
                <w:rFonts w:ascii="Arial"/>
                <w:sz w:val="16"/>
              </w:rPr>
              <w:t>994,</w:t>
            </w:r>
          </w:p>
          <w:p>
            <w:pPr>
              <w:pStyle w:val="TableParagraph"/>
              <w:spacing w:line="240" w:lineRule="auto" w:before="128"/>
              <w:ind w:left="55" w:right="0"/>
              <w:jc w:val="center"/>
              <w:rPr>
                <w:rFonts w:ascii="Arial" w:hAnsi="Arial" w:cs="Arial" w:eastAsia="Arial" w:hint="default"/>
                <w:sz w:val="16"/>
                <w:szCs w:val="16"/>
              </w:rPr>
            </w:pPr>
            <w:r>
              <w:rPr>
                <w:rFonts w:ascii="Arial"/>
                <w:sz w:val="16"/>
              </w:rPr>
              <w:t>766,</w:t>
            </w:r>
          </w:p>
          <w:p>
            <w:pPr>
              <w:pStyle w:val="TableParagraph"/>
              <w:spacing w:line="240" w:lineRule="auto" w:before="128"/>
              <w:ind w:left="55" w:right="0"/>
              <w:jc w:val="center"/>
              <w:rPr>
                <w:rFonts w:ascii="Arial" w:hAnsi="Arial" w:cs="Arial" w:eastAsia="Arial" w:hint="default"/>
                <w:sz w:val="16"/>
                <w:szCs w:val="16"/>
              </w:rPr>
            </w:pPr>
            <w:r>
              <w:rPr>
                <w:rFonts w:ascii="Arial"/>
                <w:sz w:val="16"/>
              </w:rPr>
              <w:t>266.</w:t>
            </w:r>
          </w:p>
          <w:p>
            <w:pPr>
              <w:pStyle w:val="TableParagraph"/>
              <w:spacing w:line="240" w:lineRule="auto" w:before="128"/>
              <w:ind w:left="188" w:right="0"/>
              <w:jc w:val="center"/>
              <w:rPr>
                <w:rFonts w:ascii="Arial" w:hAnsi="Arial" w:cs="Arial" w:eastAsia="Arial" w:hint="default"/>
                <w:sz w:val="16"/>
                <w:szCs w:val="16"/>
              </w:rPr>
            </w:pPr>
            <w:r>
              <w:rPr>
                <w:rFonts w:ascii="Arial"/>
                <w:sz w:val="16"/>
              </w:rPr>
              <w:t>00</w:t>
            </w: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12" w:right="0"/>
              <w:jc w:val="left"/>
              <w:rPr>
                <w:rFonts w:ascii="Arial" w:hAnsi="Arial" w:cs="Arial" w:eastAsia="Arial" w:hint="default"/>
                <w:sz w:val="16"/>
                <w:szCs w:val="16"/>
              </w:rPr>
            </w:pPr>
            <w:r>
              <w:rPr>
                <w:rFonts w:ascii="Arial"/>
                <w:sz w:val="16"/>
              </w:rPr>
              <w:t>1,498,</w:t>
            </w:r>
          </w:p>
          <w:p>
            <w:pPr>
              <w:pStyle w:val="TableParagraph"/>
              <w:spacing w:line="240" w:lineRule="auto" w:before="128"/>
              <w:ind w:left="157" w:right="0"/>
              <w:jc w:val="left"/>
              <w:rPr>
                <w:rFonts w:ascii="Arial" w:hAnsi="Arial" w:cs="Arial" w:eastAsia="Arial" w:hint="default"/>
                <w:sz w:val="16"/>
                <w:szCs w:val="16"/>
              </w:rPr>
            </w:pPr>
            <w:r>
              <w:rPr>
                <w:rFonts w:ascii="Arial"/>
                <w:sz w:val="16"/>
              </w:rPr>
              <w:t>595,4</w:t>
            </w:r>
          </w:p>
          <w:p>
            <w:pPr>
              <w:pStyle w:val="TableParagraph"/>
              <w:spacing w:line="240" w:lineRule="auto" w:before="128"/>
              <w:ind w:left="157" w:right="0"/>
              <w:jc w:val="left"/>
              <w:rPr>
                <w:rFonts w:ascii="Arial" w:hAnsi="Arial" w:cs="Arial" w:eastAsia="Arial" w:hint="default"/>
                <w:sz w:val="16"/>
                <w:szCs w:val="16"/>
              </w:rPr>
            </w:pPr>
            <w:r>
              <w:rPr>
                <w:rFonts w:ascii="Arial"/>
                <w:sz w:val="16"/>
              </w:rPr>
              <w:t>46.61</w:t>
            </w:r>
          </w:p>
        </w:tc>
        <w:tc>
          <w:tcPr>
            <w:tcW w:w="666"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93" w:right="0"/>
              <w:jc w:val="left"/>
              <w:rPr>
                <w:rFonts w:ascii="Arial" w:hAnsi="Arial" w:cs="Arial" w:eastAsia="Arial" w:hint="default"/>
                <w:sz w:val="16"/>
                <w:szCs w:val="16"/>
              </w:rPr>
            </w:pPr>
            <w:r>
              <w:rPr>
                <w:rFonts w:ascii="Arial"/>
                <w:sz w:val="16"/>
              </w:rPr>
              <w:t>-69,5</w:t>
            </w:r>
          </w:p>
          <w:p>
            <w:pPr>
              <w:pStyle w:val="TableParagraph"/>
              <w:spacing w:line="240" w:lineRule="auto" w:before="128"/>
              <w:ind w:left="158" w:right="0"/>
              <w:jc w:val="left"/>
              <w:rPr>
                <w:rFonts w:ascii="Arial" w:hAnsi="Arial" w:cs="Arial" w:eastAsia="Arial" w:hint="default"/>
                <w:sz w:val="16"/>
                <w:szCs w:val="16"/>
              </w:rPr>
            </w:pPr>
            <w:r>
              <w:rPr>
                <w:rFonts w:ascii="Arial"/>
                <w:sz w:val="16"/>
              </w:rPr>
              <w:t>77.58</w:t>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57" w:right="0"/>
              <w:jc w:val="left"/>
              <w:rPr>
                <w:rFonts w:ascii="Arial" w:hAnsi="Arial" w:cs="Arial" w:eastAsia="Arial" w:hint="default"/>
                <w:sz w:val="16"/>
                <w:szCs w:val="16"/>
              </w:rPr>
            </w:pPr>
            <w:r>
              <w:rPr>
                <w:rFonts w:ascii="Arial"/>
                <w:sz w:val="16"/>
              </w:rPr>
              <w:t>221,6</w:t>
            </w:r>
          </w:p>
          <w:p>
            <w:pPr>
              <w:pStyle w:val="TableParagraph"/>
              <w:spacing w:line="240" w:lineRule="auto" w:before="128"/>
              <w:ind w:left="157" w:right="0"/>
              <w:jc w:val="left"/>
              <w:rPr>
                <w:rFonts w:ascii="Arial" w:hAnsi="Arial" w:cs="Arial" w:eastAsia="Arial" w:hint="default"/>
                <w:sz w:val="16"/>
                <w:szCs w:val="16"/>
              </w:rPr>
            </w:pPr>
            <w:r>
              <w:rPr>
                <w:rFonts w:ascii="Arial"/>
                <w:sz w:val="16"/>
              </w:rPr>
              <w:t>07,09</w:t>
            </w:r>
          </w:p>
          <w:p>
            <w:pPr>
              <w:pStyle w:val="TableParagraph"/>
              <w:spacing w:line="240" w:lineRule="auto" w:before="128"/>
              <w:ind w:left="244" w:right="0"/>
              <w:jc w:val="left"/>
              <w:rPr>
                <w:rFonts w:ascii="Arial" w:hAnsi="Arial" w:cs="Arial" w:eastAsia="Arial" w:hint="default"/>
                <w:sz w:val="16"/>
                <w:szCs w:val="16"/>
              </w:rPr>
            </w:pPr>
            <w:r>
              <w:rPr>
                <w:rFonts w:ascii="Arial"/>
                <w:sz w:val="16"/>
              </w:rPr>
              <w:t>7.36</w:t>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6" w:type="dxa"/>
            <w:tcBorders>
              <w:top w:val="single" w:sz="4" w:space="0" w:color="5B9BD4"/>
              <w:left w:val="nil" w:sz="6" w:space="0" w:color="auto"/>
              <w:bottom w:val="single" w:sz="4" w:space="0" w:color="5B9BD4"/>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13" w:right="0"/>
              <w:jc w:val="left"/>
              <w:rPr>
                <w:rFonts w:ascii="Arial" w:hAnsi="Arial" w:cs="Arial" w:eastAsia="Arial" w:hint="default"/>
                <w:sz w:val="16"/>
                <w:szCs w:val="16"/>
              </w:rPr>
            </w:pPr>
            <w:r>
              <w:rPr>
                <w:rFonts w:ascii="Arial"/>
                <w:sz w:val="16"/>
              </w:rPr>
              <w:t>1,583,</w:t>
            </w:r>
          </w:p>
          <w:p>
            <w:pPr>
              <w:pStyle w:val="TableParagraph"/>
              <w:spacing w:line="240" w:lineRule="auto" w:before="128"/>
              <w:ind w:left="158" w:right="0"/>
              <w:jc w:val="left"/>
              <w:rPr>
                <w:rFonts w:ascii="Arial" w:hAnsi="Arial" w:cs="Arial" w:eastAsia="Arial" w:hint="default"/>
                <w:sz w:val="16"/>
                <w:szCs w:val="16"/>
              </w:rPr>
            </w:pPr>
            <w:r>
              <w:rPr>
                <w:rFonts w:ascii="Arial"/>
                <w:sz w:val="16"/>
              </w:rPr>
              <w:t>472,5</w:t>
            </w:r>
          </w:p>
          <w:p>
            <w:pPr>
              <w:pStyle w:val="TableParagraph"/>
              <w:spacing w:line="240" w:lineRule="auto" w:before="128"/>
              <w:ind w:left="158" w:right="0"/>
              <w:jc w:val="left"/>
              <w:rPr>
                <w:rFonts w:ascii="Arial" w:hAnsi="Arial" w:cs="Arial" w:eastAsia="Arial" w:hint="default"/>
                <w:sz w:val="16"/>
                <w:szCs w:val="16"/>
              </w:rPr>
            </w:pPr>
            <w:r>
              <w:rPr>
                <w:rFonts w:ascii="Arial"/>
                <w:sz w:val="16"/>
              </w:rPr>
              <w:t>44.55</w:t>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58" w:right="0"/>
              <w:jc w:val="left"/>
              <w:rPr>
                <w:rFonts w:ascii="Arial" w:hAnsi="Arial" w:cs="Arial" w:eastAsia="Arial" w:hint="default"/>
                <w:sz w:val="16"/>
                <w:szCs w:val="16"/>
              </w:rPr>
            </w:pPr>
            <w:r>
              <w:rPr>
                <w:rFonts w:ascii="Arial"/>
                <w:sz w:val="16"/>
              </w:rPr>
              <w:t>26,94</w:t>
            </w:r>
          </w:p>
          <w:p>
            <w:pPr>
              <w:pStyle w:val="TableParagraph"/>
              <w:spacing w:line="240" w:lineRule="auto" w:before="128"/>
              <w:ind w:left="113" w:right="0"/>
              <w:jc w:val="left"/>
              <w:rPr>
                <w:rFonts w:ascii="Arial" w:hAnsi="Arial" w:cs="Arial" w:eastAsia="Arial" w:hint="default"/>
                <w:sz w:val="16"/>
                <w:szCs w:val="16"/>
              </w:rPr>
            </w:pPr>
            <w:r>
              <w:rPr>
                <w:rFonts w:ascii="Arial"/>
                <w:sz w:val="16"/>
              </w:rPr>
              <w:t>8,115.</w:t>
            </w:r>
          </w:p>
          <w:p>
            <w:pPr>
              <w:pStyle w:val="TableParagraph"/>
              <w:spacing w:line="240" w:lineRule="auto" w:before="128"/>
              <w:ind w:left="379" w:right="0"/>
              <w:jc w:val="left"/>
              <w:rPr>
                <w:rFonts w:ascii="Arial" w:hAnsi="Arial" w:cs="Arial" w:eastAsia="Arial" w:hint="default"/>
                <w:sz w:val="16"/>
                <w:szCs w:val="16"/>
              </w:rPr>
            </w:pPr>
            <w:r>
              <w:rPr>
                <w:rFonts w:ascii="Arial"/>
                <w:sz w:val="16"/>
              </w:rPr>
              <w:t>30</w:t>
            </w:r>
          </w:p>
        </w:tc>
        <w:tc>
          <w:tcPr>
            <w:tcW w:w="659" w:type="dxa"/>
            <w:tcBorders>
              <w:top w:val="single" w:sz="4" w:space="0" w:color="5B9BD4"/>
              <w:left w:val="nil" w:sz="6" w:space="0" w:color="auto"/>
              <w:bottom w:val="single" w:sz="4" w:space="0" w:color="5B9BD4"/>
              <w:right w:val="nil" w:sz="6" w:space="0" w:color="auto"/>
            </w:tcBorders>
          </w:tcPr>
          <w:p>
            <w:pPr>
              <w:pStyle w:val="TableParagraph"/>
              <w:spacing w:line="240" w:lineRule="auto" w:before="59"/>
              <w:ind w:left="152" w:right="0"/>
              <w:jc w:val="left"/>
              <w:rPr>
                <w:rFonts w:ascii="Arial" w:hAnsi="Arial" w:cs="Arial" w:eastAsia="Arial" w:hint="default"/>
                <w:sz w:val="16"/>
                <w:szCs w:val="16"/>
              </w:rPr>
            </w:pPr>
            <w:r>
              <w:rPr>
                <w:rFonts w:ascii="Arial"/>
                <w:sz w:val="16"/>
              </w:rPr>
              <w:t>4,325</w:t>
            </w:r>
          </w:p>
          <w:p>
            <w:pPr>
              <w:pStyle w:val="TableParagraph"/>
              <w:spacing w:line="240" w:lineRule="auto" w:before="128"/>
              <w:ind w:left="196" w:right="0"/>
              <w:jc w:val="left"/>
              <w:rPr>
                <w:rFonts w:ascii="Arial" w:hAnsi="Arial" w:cs="Arial" w:eastAsia="Arial" w:hint="default"/>
                <w:sz w:val="16"/>
                <w:szCs w:val="16"/>
              </w:rPr>
            </w:pPr>
            <w:r>
              <w:rPr>
                <w:rFonts w:ascii="Arial"/>
                <w:sz w:val="16"/>
              </w:rPr>
              <w:t>,319,</w:t>
            </w:r>
          </w:p>
          <w:p>
            <w:pPr>
              <w:pStyle w:val="TableParagraph"/>
              <w:spacing w:line="240" w:lineRule="auto" w:before="128"/>
              <w:ind w:left="152" w:right="0"/>
              <w:jc w:val="left"/>
              <w:rPr>
                <w:rFonts w:ascii="Arial" w:hAnsi="Arial" w:cs="Arial" w:eastAsia="Arial" w:hint="default"/>
                <w:sz w:val="16"/>
                <w:szCs w:val="16"/>
              </w:rPr>
            </w:pPr>
            <w:r>
              <w:rPr>
                <w:rFonts w:ascii="Arial"/>
                <w:sz w:val="16"/>
              </w:rPr>
              <w:t>892.2</w:t>
            </w:r>
          </w:p>
          <w:p>
            <w:pPr>
              <w:pStyle w:val="TableParagraph"/>
              <w:spacing w:line="240" w:lineRule="auto" w:before="128"/>
              <w:ind w:right="106"/>
              <w:jc w:val="right"/>
              <w:rPr>
                <w:rFonts w:ascii="Arial" w:hAnsi="Arial" w:cs="Arial" w:eastAsia="Arial" w:hint="default"/>
                <w:sz w:val="16"/>
                <w:szCs w:val="16"/>
              </w:rPr>
            </w:pPr>
            <w:r>
              <w:rPr>
                <w:rFonts w:ascii="Arial"/>
                <w:w w:val="99"/>
                <w:sz w:val="16"/>
              </w:rPr>
              <w:t>4</w:t>
            </w:r>
            <w:r>
              <w:rPr>
                <w:rFonts w:ascii="Arial"/>
                <w:sz w:val="16"/>
              </w:rPr>
            </w:r>
          </w:p>
        </w:tc>
      </w:tr>
      <w:tr>
        <w:trPr>
          <w:trHeight w:val="946" w:hRule="exact"/>
        </w:trPr>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48"/>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动金额（减少以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“－”号填列）</w:t>
            </w:r>
          </w:p>
        </w:tc>
        <w:tc>
          <w:tcPr>
            <w:tcW w:w="582" w:type="dxa"/>
            <w:tcBorders>
              <w:top w:val="single" w:sz="4" w:space="0" w:color="5B9BD4"/>
              <w:left w:val="nil" w:sz="6" w:space="0" w:color="auto"/>
              <w:bottom w:val="single" w:sz="4" w:space="0" w:color="5B9BD4"/>
              <w:right w:val="nil" w:sz="6" w:space="0" w:color="auto"/>
            </w:tcBorders>
          </w:tcPr>
          <w:p>
            <w:pPr>
              <w:pStyle w:val="TableParagraph"/>
              <w:spacing w:line="240" w:lineRule="auto" w:before="58"/>
              <w:ind w:left="110" w:right="0"/>
              <w:jc w:val="left"/>
              <w:rPr>
                <w:rFonts w:ascii="Arial" w:hAnsi="Arial" w:cs="Arial" w:eastAsia="Arial" w:hint="default"/>
                <w:sz w:val="16"/>
                <w:szCs w:val="16"/>
              </w:rPr>
            </w:pPr>
            <w:r>
              <w:rPr>
                <w:rFonts w:ascii="Arial"/>
                <w:sz w:val="16"/>
              </w:rPr>
              <w:t>-3,38</w:t>
            </w:r>
          </w:p>
          <w:p>
            <w:pPr>
              <w:pStyle w:val="TableParagraph"/>
              <w:spacing w:line="240" w:lineRule="auto" w:before="128"/>
              <w:ind w:left="163" w:right="0"/>
              <w:jc w:val="left"/>
              <w:rPr>
                <w:rFonts w:ascii="Arial" w:hAnsi="Arial" w:cs="Arial" w:eastAsia="Arial" w:hint="default"/>
                <w:sz w:val="16"/>
                <w:szCs w:val="16"/>
              </w:rPr>
            </w:pPr>
            <w:r>
              <w:rPr>
                <w:rFonts w:ascii="Arial"/>
                <w:sz w:val="16"/>
              </w:rPr>
              <w:t>1,42</w:t>
            </w:r>
          </w:p>
          <w:p>
            <w:pPr>
              <w:pStyle w:val="TableParagraph"/>
              <w:spacing w:line="240" w:lineRule="auto" w:before="128"/>
              <w:ind w:left="163" w:right="0"/>
              <w:jc w:val="left"/>
              <w:rPr>
                <w:rFonts w:ascii="Arial" w:hAnsi="Arial" w:cs="Arial" w:eastAsia="Arial" w:hint="default"/>
                <w:sz w:val="16"/>
                <w:szCs w:val="16"/>
              </w:rPr>
            </w:pPr>
            <w:r>
              <w:rPr>
                <w:rFonts w:ascii="Arial"/>
                <w:sz w:val="16"/>
              </w:rPr>
              <w:t>7.00</w:t>
            </w: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Style w:val="TableParagraph"/>
              <w:spacing w:line="240" w:lineRule="auto" w:before="58"/>
              <w:ind w:left="191" w:right="0"/>
              <w:jc w:val="left"/>
              <w:rPr>
                <w:rFonts w:ascii="Arial" w:hAnsi="Arial" w:cs="Arial" w:eastAsia="Arial" w:hint="default"/>
                <w:sz w:val="16"/>
                <w:szCs w:val="16"/>
              </w:rPr>
            </w:pPr>
            <w:r>
              <w:rPr>
                <w:rFonts w:ascii="Arial"/>
                <w:sz w:val="16"/>
              </w:rPr>
              <w:t>-21,7</w:t>
            </w:r>
          </w:p>
          <w:p>
            <w:pPr>
              <w:pStyle w:val="TableParagraph"/>
              <w:spacing w:line="240" w:lineRule="auto" w:before="128"/>
              <w:ind w:left="157" w:right="0"/>
              <w:jc w:val="left"/>
              <w:rPr>
                <w:rFonts w:ascii="Arial" w:hAnsi="Arial" w:cs="Arial" w:eastAsia="Arial" w:hint="default"/>
                <w:sz w:val="16"/>
                <w:szCs w:val="16"/>
              </w:rPr>
            </w:pPr>
            <w:r>
              <w:rPr>
                <w:rFonts w:ascii="Arial"/>
                <w:sz w:val="16"/>
              </w:rPr>
              <w:t>59,65</w:t>
            </w:r>
          </w:p>
          <w:p>
            <w:pPr>
              <w:pStyle w:val="TableParagraph"/>
              <w:spacing w:line="240" w:lineRule="auto" w:before="128"/>
              <w:ind w:left="244" w:right="0"/>
              <w:jc w:val="left"/>
              <w:rPr>
                <w:rFonts w:ascii="Arial" w:hAnsi="Arial" w:cs="Arial" w:eastAsia="Arial" w:hint="default"/>
                <w:sz w:val="16"/>
                <w:szCs w:val="16"/>
              </w:rPr>
            </w:pPr>
            <w:r>
              <w:rPr>
                <w:rFonts w:ascii="Arial"/>
                <w:sz w:val="16"/>
              </w:rPr>
              <w:t>1.91</w:t>
            </w:r>
          </w:p>
        </w:tc>
        <w:tc>
          <w:tcPr>
            <w:tcW w:w="666"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Style w:val="TableParagraph"/>
              <w:spacing w:line="240" w:lineRule="auto" w:before="58"/>
              <w:ind w:left="158" w:right="0"/>
              <w:jc w:val="left"/>
              <w:rPr>
                <w:rFonts w:ascii="Arial" w:hAnsi="Arial" w:cs="Arial" w:eastAsia="Arial" w:hint="default"/>
                <w:sz w:val="16"/>
                <w:szCs w:val="16"/>
              </w:rPr>
            </w:pPr>
            <w:r>
              <w:rPr>
                <w:rFonts w:ascii="Arial"/>
                <w:sz w:val="16"/>
              </w:rPr>
              <w:t>54,71</w:t>
            </w:r>
          </w:p>
          <w:p>
            <w:pPr>
              <w:pStyle w:val="TableParagraph"/>
              <w:spacing w:line="240" w:lineRule="auto" w:before="128"/>
              <w:ind w:left="113" w:right="0"/>
              <w:jc w:val="left"/>
              <w:rPr>
                <w:rFonts w:ascii="Arial" w:hAnsi="Arial" w:cs="Arial" w:eastAsia="Arial" w:hint="default"/>
                <w:sz w:val="16"/>
                <w:szCs w:val="16"/>
              </w:rPr>
            </w:pPr>
            <w:r>
              <w:rPr>
                <w:rFonts w:ascii="Arial"/>
                <w:sz w:val="16"/>
              </w:rPr>
              <w:t>3,075.</w:t>
            </w:r>
          </w:p>
          <w:p>
            <w:pPr>
              <w:pStyle w:val="TableParagraph"/>
              <w:spacing w:line="240" w:lineRule="auto" w:before="128"/>
              <w:ind w:left="379" w:right="0"/>
              <w:jc w:val="left"/>
              <w:rPr>
                <w:rFonts w:ascii="Arial" w:hAnsi="Arial" w:cs="Arial" w:eastAsia="Arial" w:hint="default"/>
                <w:sz w:val="16"/>
                <w:szCs w:val="16"/>
              </w:rPr>
            </w:pPr>
            <w:r>
              <w:rPr>
                <w:rFonts w:ascii="Arial"/>
                <w:sz w:val="16"/>
              </w:rPr>
              <w:t>70</w:t>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Style w:val="TableParagraph"/>
              <w:spacing w:line="240" w:lineRule="auto" w:before="58"/>
              <w:ind w:right="104"/>
              <w:jc w:val="right"/>
              <w:rPr>
                <w:rFonts w:ascii="Arial" w:hAnsi="Arial" w:cs="Arial" w:eastAsia="Arial" w:hint="default"/>
                <w:sz w:val="16"/>
                <w:szCs w:val="16"/>
              </w:rPr>
            </w:pPr>
            <w:r>
              <w:rPr>
                <w:rFonts w:ascii="Arial"/>
                <w:w w:val="95"/>
                <w:sz w:val="16"/>
              </w:rPr>
              <w:t>4,238,</w:t>
            </w:r>
            <w:r>
              <w:rPr>
                <w:rFonts w:ascii="Arial"/>
                <w:sz w:val="16"/>
              </w:rPr>
            </w:r>
          </w:p>
          <w:p>
            <w:pPr>
              <w:pStyle w:val="TableParagraph"/>
              <w:spacing w:line="240" w:lineRule="auto" w:before="128"/>
              <w:ind w:right="104"/>
              <w:jc w:val="right"/>
              <w:rPr>
                <w:rFonts w:ascii="Arial" w:hAnsi="Arial" w:cs="Arial" w:eastAsia="Arial" w:hint="default"/>
                <w:sz w:val="16"/>
                <w:szCs w:val="16"/>
              </w:rPr>
            </w:pPr>
            <w:r>
              <w:rPr>
                <w:rFonts w:ascii="Arial"/>
                <w:w w:val="95"/>
                <w:sz w:val="16"/>
              </w:rPr>
              <w:t>250.0</w:t>
            </w:r>
            <w:r>
              <w:rPr>
                <w:rFonts w:ascii="Arial"/>
                <w:sz w:val="16"/>
              </w:rPr>
            </w:r>
          </w:p>
          <w:p>
            <w:pPr>
              <w:pStyle w:val="TableParagraph"/>
              <w:spacing w:line="240" w:lineRule="auto" w:before="128"/>
              <w:ind w:right="106"/>
              <w:jc w:val="right"/>
              <w:rPr>
                <w:rFonts w:ascii="Arial" w:hAnsi="Arial" w:cs="Arial" w:eastAsia="Arial" w:hint="default"/>
                <w:sz w:val="16"/>
                <w:szCs w:val="16"/>
              </w:rPr>
            </w:pPr>
            <w:r>
              <w:rPr>
                <w:rFonts w:ascii="Arial"/>
                <w:w w:val="99"/>
                <w:sz w:val="16"/>
              </w:rPr>
              <w:t>4</w:t>
            </w:r>
            <w:r>
              <w:rPr>
                <w:rFonts w:ascii="Arial"/>
                <w:sz w:val="16"/>
              </w:rPr>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6" w:type="dxa"/>
            <w:tcBorders>
              <w:top w:val="single" w:sz="4" w:space="0" w:color="5B9BD4"/>
              <w:left w:val="nil" w:sz="6" w:space="0" w:color="auto"/>
              <w:bottom w:val="single" w:sz="4" w:space="0" w:color="5B9BD4"/>
              <w:right w:val="nil" w:sz="6" w:space="0" w:color="auto"/>
            </w:tcBorders>
          </w:tcPr>
          <w:p>
            <w:pPr>
              <w:pStyle w:val="TableParagraph"/>
              <w:spacing w:line="240" w:lineRule="auto" w:before="58"/>
              <w:ind w:left="158" w:right="0"/>
              <w:jc w:val="left"/>
              <w:rPr>
                <w:rFonts w:ascii="Arial" w:hAnsi="Arial" w:cs="Arial" w:eastAsia="Arial" w:hint="default"/>
                <w:sz w:val="16"/>
                <w:szCs w:val="16"/>
              </w:rPr>
            </w:pPr>
            <w:r>
              <w:rPr>
                <w:rFonts w:ascii="Arial"/>
                <w:sz w:val="16"/>
              </w:rPr>
              <w:t>136,3</w:t>
            </w:r>
          </w:p>
          <w:p>
            <w:pPr>
              <w:pStyle w:val="TableParagraph"/>
              <w:spacing w:line="240" w:lineRule="auto" w:before="128"/>
              <w:ind w:left="158" w:right="0"/>
              <w:jc w:val="left"/>
              <w:rPr>
                <w:rFonts w:ascii="Arial" w:hAnsi="Arial" w:cs="Arial" w:eastAsia="Arial" w:hint="default"/>
                <w:sz w:val="16"/>
                <w:szCs w:val="16"/>
              </w:rPr>
            </w:pPr>
            <w:r>
              <w:rPr>
                <w:rFonts w:ascii="Arial"/>
                <w:sz w:val="16"/>
              </w:rPr>
              <w:t>93,04</w:t>
            </w:r>
          </w:p>
          <w:p>
            <w:pPr>
              <w:pStyle w:val="TableParagraph"/>
              <w:spacing w:line="240" w:lineRule="auto" w:before="128"/>
              <w:ind w:left="246" w:right="0"/>
              <w:jc w:val="left"/>
              <w:rPr>
                <w:rFonts w:ascii="Arial" w:hAnsi="Arial" w:cs="Arial" w:eastAsia="Arial" w:hint="default"/>
                <w:sz w:val="16"/>
                <w:szCs w:val="16"/>
              </w:rPr>
            </w:pPr>
            <w:r>
              <w:rPr>
                <w:rFonts w:ascii="Arial"/>
                <w:sz w:val="16"/>
              </w:rPr>
              <w:t>8.51</w:t>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8"/>
              <w:ind w:left="193" w:right="0"/>
              <w:jc w:val="left"/>
              <w:rPr>
                <w:rFonts w:ascii="Arial" w:hAnsi="Arial" w:cs="Arial" w:eastAsia="Arial" w:hint="default"/>
                <w:sz w:val="16"/>
                <w:szCs w:val="16"/>
              </w:rPr>
            </w:pPr>
            <w:r>
              <w:rPr>
                <w:rFonts w:ascii="Arial"/>
                <w:sz w:val="16"/>
              </w:rPr>
              <w:t>-17,9</w:t>
            </w:r>
          </w:p>
          <w:p>
            <w:pPr>
              <w:pStyle w:val="TableParagraph"/>
              <w:spacing w:line="240" w:lineRule="auto" w:before="128"/>
              <w:ind w:left="158" w:right="0"/>
              <w:jc w:val="left"/>
              <w:rPr>
                <w:rFonts w:ascii="Arial" w:hAnsi="Arial" w:cs="Arial" w:eastAsia="Arial" w:hint="default"/>
                <w:sz w:val="16"/>
                <w:szCs w:val="16"/>
              </w:rPr>
            </w:pPr>
            <w:r>
              <w:rPr>
                <w:rFonts w:ascii="Arial"/>
                <w:sz w:val="16"/>
              </w:rPr>
              <w:t>63,01</w:t>
            </w:r>
          </w:p>
          <w:p>
            <w:pPr>
              <w:pStyle w:val="TableParagraph"/>
              <w:spacing w:line="240" w:lineRule="auto" w:before="128"/>
              <w:ind w:left="246" w:right="0"/>
              <w:jc w:val="left"/>
              <w:rPr>
                <w:rFonts w:ascii="Arial" w:hAnsi="Arial" w:cs="Arial" w:eastAsia="Arial" w:hint="default"/>
                <w:sz w:val="16"/>
                <w:szCs w:val="16"/>
              </w:rPr>
            </w:pPr>
            <w:r>
              <w:rPr>
                <w:rFonts w:ascii="Arial"/>
                <w:sz w:val="16"/>
              </w:rPr>
              <w:t>3.09</w:t>
            </w:r>
          </w:p>
        </w:tc>
        <w:tc>
          <w:tcPr>
            <w:tcW w:w="659" w:type="dxa"/>
            <w:tcBorders>
              <w:top w:val="single" w:sz="4" w:space="0" w:color="5B9BD4"/>
              <w:left w:val="nil" w:sz="6" w:space="0" w:color="auto"/>
              <w:bottom w:val="single" w:sz="4" w:space="0" w:color="5B9BD4"/>
              <w:right w:val="nil" w:sz="6" w:space="0" w:color="auto"/>
            </w:tcBorders>
          </w:tcPr>
          <w:p>
            <w:pPr>
              <w:pStyle w:val="TableParagraph"/>
              <w:spacing w:line="240" w:lineRule="auto" w:before="58"/>
              <w:ind w:left="152" w:right="0"/>
              <w:jc w:val="left"/>
              <w:rPr>
                <w:rFonts w:ascii="Arial" w:hAnsi="Arial" w:cs="Arial" w:eastAsia="Arial" w:hint="default"/>
                <w:sz w:val="16"/>
                <w:szCs w:val="16"/>
              </w:rPr>
            </w:pPr>
            <w:r>
              <w:rPr>
                <w:rFonts w:ascii="Arial"/>
                <w:sz w:val="16"/>
              </w:rPr>
              <w:t>152,2</w:t>
            </w:r>
          </w:p>
          <w:p>
            <w:pPr>
              <w:pStyle w:val="TableParagraph"/>
              <w:spacing w:line="240" w:lineRule="auto" w:before="128"/>
              <w:ind w:left="152" w:right="0"/>
              <w:jc w:val="left"/>
              <w:rPr>
                <w:rFonts w:ascii="Arial" w:hAnsi="Arial" w:cs="Arial" w:eastAsia="Arial" w:hint="default"/>
                <w:sz w:val="16"/>
                <w:szCs w:val="16"/>
              </w:rPr>
            </w:pPr>
            <w:r>
              <w:rPr>
                <w:rFonts w:ascii="Arial"/>
                <w:sz w:val="16"/>
              </w:rPr>
              <w:t>40,28</w:t>
            </w:r>
          </w:p>
          <w:p>
            <w:pPr>
              <w:pStyle w:val="TableParagraph"/>
              <w:spacing w:line="240" w:lineRule="auto" w:before="128"/>
              <w:ind w:left="240" w:right="0"/>
              <w:jc w:val="left"/>
              <w:rPr>
                <w:rFonts w:ascii="Arial" w:hAnsi="Arial" w:cs="Arial" w:eastAsia="Arial" w:hint="default"/>
                <w:sz w:val="16"/>
                <w:szCs w:val="16"/>
              </w:rPr>
            </w:pPr>
            <w:r>
              <w:rPr>
                <w:rFonts w:ascii="Arial"/>
                <w:sz w:val="16"/>
              </w:rPr>
              <w:t>2.25</w:t>
            </w:r>
          </w:p>
        </w:tc>
      </w:tr>
      <w:tr>
        <w:trPr>
          <w:trHeight w:val="946" w:hRule="exact"/>
        </w:trPr>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161"/>
              <w:ind w:left="108" w:right="106"/>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总额</w:t>
            </w:r>
          </w:p>
        </w:tc>
        <w:tc>
          <w:tcPr>
            <w:tcW w:w="58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
        </w:tc>
        <w:tc>
          <w:tcPr>
            <w:tcW w:w="666"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Style w:val="TableParagraph"/>
              <w:spacing w:line="240" w:lineRule="auto" w:before="58"/>
              <w:ind w:left="158" w:right="0"/>
              <w:jc w:val="left"/>
              <w:rPr>
                <w:rFonts w:ascii="Arial" w:hAnsi="Arial" w:cs="Arial" w:eastAsia="Arial" w:hint="default"/>
                <w:sz w:val="16"/>
                <w:szCs w:val="16"/>
              </w:rPr>
            </w:pPr>
            <w:r>
              <w:rPr>
                <w:rFonts w:ascii="Arial"/>
                <w:sz w:val="16"/>
              </w:rPr>
              <w:t>54,71</w:t>
            </w:r>
          </w:p>
          <w:p>
            <w:pPr>
              <w:pStyle w:val="TableParagraph"/>
              <w:spacing w:line="240" w:lineRule="auto" w:before="128"/>
              <w:ind w:left="113" w:right="0"/>
              <w:jc w:val="left"/>
              <w:rPr>
                <w:rFonts w:ascii="Arial" w:hAnsi="Arial" w:cs="Arial" w:eastAsia="Arial" w:hint="default"/>
                <w:sz w:val="16"/>
                <w:szCs w:val="16"/>
              </w:rPr>
            </w:pPr>
            <w:r>
              <w:rPr>
                <w:rFonts w:ascii="Arial"/>
                <w:sz w:val="16"/>
              </w:rPr>
              <w:t>3,075.</w:t>
            </w:r>
          </w:p>
          <w:p>
            <w:pPr>
              <w:pStyle w:val="TableParagraph"/>
              <w:spacing w:line="240" w:lineRule="auto" w:before="128"/>
              <w:ind w:left="379" w:right="0"/>
              <w:jc w:val="left"/>
              <w:rPr>
                <w:rFonts w:ascii="Arial" w:hAnsi="Arial" w:cs="Arial" w:eastAsia="Arial" w:hint="default"/>
                <w:sz w:val="16"/>
                <w:szCs w:val="16"/>
              </w:rPr>
            </w:pPr>
            <w:r>
              <w:rPr>
                <w:rFonts w:ascii="Arial"/>
                <w:sz w:val="16"/>
              </w:rPr>
              <w:t>70</w:t>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6" w:type="dxa"/>
            <w:tcBorders>
              <w:top w:val="single" w:sz="4" w:space="0" w:color="5B9BD4"/>
              <w:left w:val="nil" w:sz="6" w:space="0" w:color="auto"/>
              <w:bottom w:val="single" w:sz="4" w:space="0" w:color="5B9BD4"/>
              <w:right w:val="nil" w:sz="6" w:space="0" w:color="auto"/>
            </w:tcBorders>
          </w:tcPr>
          <w:p>
            <w:pPr>
              <w:pStyle w:val="TableParagraph"/>
              <w:spacing w:line="240" w:lineRule="auto" w:before="58"/>
              <w:ind w:left="158" w:right="0"/>
              <w:jc w:val="left"/>
              <w:rPr>
                <w:rFonts w:ascii="Arial" w:hAnsi="Arial" w:cs="Arial" w:eastAsia="Arial" w:hint="default"/>
                <w:sz w:val="16"/>
                <w:szCs w:val="16"/>
              </w:rPr>
            </w:pPr>
            <w:r>
              <w:rPr>
                <w:rFonts w:ascii="Arial"/>
                <w:sz w:val="16"/>
              </w:rPr>
              <w:t>140,6</w:t>
            </w:r>
          </w:p>
          <w:p>
            <w:pPr>
              <w:pStyle w:val="TableParagraph"/>
              <w:spacing w:line="240" w:lineRule="auto" w:before="128"/>
              <w:ind w:left="158" w:right="0"/>
              <w:jc w:val="left"/>
              <w:rPr>
                <w:rFonts w:ascii="Arial" w:hAnsi="Arial" w:cs="Arial" w:eastAsia="Arial" w:hint="default"/>
                <w:sz w:val="16"/>
                <w:szCs w:val="16"/>
              </w:rPr>
            </w:pPr>
            <w:r>
              <w:rPr>
                <w:rFonts w:ascii="Arial"/>
                <w:sz w:val="16"/>
              </w:rPr>
              <w:t>31,29</w:t>
            </w:r>
          </w:p>
          <w:p>
            <w:pPr>
              <w:pStyle w:val="TableParagraph"/>
              <w:spacing w:line="240" w:lineRule="auto" w:before="128"/>
              <w:ind w:left="246" w:right="0"/>
              <w:jc w:val="left"/>
              <w:rPr>
                <w:rFonts w:ascii="Arial" w:hAnsi="Arial" w:cs="Arial" w:eastAsia="Arial" w:hint="default"/>
                <w:sz w:val="16"/>
                <w:szCs w:val="16"/>
              </w:rPr>
            </w:pPr>
            <w:r>
              <w:rPr>
                <w:rFonts w:ascii="Arial"/>
                <w:sz w:val="16"/>
              </w:rPr>
              <w:t>8.55</w:t>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8"/>
              <w:ind w:left="85" w:right="0"/>
              <w:jc w:val="center"/>
              <w:rPr>
                <w:rFonts w:ascii="Arial" w:hAnsi="Arial" w:cs="Arial" w:eastAsia="Arial" w:hint="default"/>
                <w:sz w:val="16"/>
                <w:szCs w:val="16"/>
              </w:rPr>
            </w:pPr>
            <w:r>
              <w:rPr>
                <w:rFonts w:ascii="Arial"/>
                <w:sz w:val="16"/>
              </w:rPr>
              <w:t>-2,27</w:t>
            </w:r>
          </w:p>
          <w:p>
            <w:pPr>
              <w:pStyle w:val="TableParagraph"/>
              <w:spacing w:line="240" w:lineRule="auto" w:before="128"/>
              <w:ind w:left="113" w:right="0"/>
              <w:jc w:val="left"/>
              <w:rPr>
                <w:rFonts w:ascii="Arial" w:hAnsi="Arial" w:cs="Arial" w:eastAsia="Arial" w:hint="default"/>
                <w:sz w:val="16"/>
                <w:szCs w:val="16"/>
              </w:rPr>
            </w:pPr>
            <w:r>
              <w:rPr>
                <w:rFonts w:ascii="Arial"/>
                <w:sz w:val="16"/>
              </w:rPr>
              <w:t>2,526.</w:t>
            </w:r>
          </w:p>
          <w:p>
            <w:pPr>
              <w:pStyle w:val="TableParagraph"/>
              <w:spacing w:line="240" w:lineRule="auto" w:before="128"/>
              <w:ind w:left="271" w:right="0"/>
              <w:jc w:val="center"/>
              <w:rPr>
                <w:rFonts w:ascii="Arial" w:hAnsi="Arial" w:cs="Arial" w:eastAsia="Arial" w:hint="default"/>
                <w:sz w:val="16"/>
                <w:szCs w:val="16"/>
              </w:rPr>
            </w:pPr>
            <w:r>
              <w:rPr>
                <w:rFonts w:ascii="Arial"/>
                <w:sz w:val="16"/>
              </w:rPr>
              <w:t>80</w:t>
            </w:r>
          </w:p>
        </w:tc>
        <w:tc>
          <w:tcPr>
            <w:tcW w:w="659" w:type="dxa"/>
            <w:tcBorders>
              <w:top w:val="single" w:sz="4" w:space="0" w:color="5B9BD4"/>
              <w:left w:val="nil" w:sz="6" w:space="0" w:color="auto"/>
              <w:bottom w:val="single" w:sz="4" w:space="0" w:color="5B9BD4"/>
              <w:right w:val="nil" w:sz="6" w:space="0" w:color="auto"/>
            </w:tcBorders>
          </w:tcPr>
          <w:p>
            <w:pPr>
              <w:pStyle w:val="TableParagraph"/>
              <w:spacing w:line="240" w:lineRule="auto" w:before="58"/>
              <w:ind w:left="152" w:right="0"/>
              <w:jc w:val="left"/>
              <w:rPr>
                <w:rFonts w:ascii="Arial" w:hAnsi="Arial" w:cs="Arial" w:eastAsia="Arial" w:hint="default"/>
                <w:sz w:val="16"/>
                <w:szCs w:val="16"/>
              </w:rPr>
            </w:pPr>
            <w:r>
              <w:rPr>
                <w:rFonts w:ascii="Arial"/>
                <w:sz w:val="16"/>
              </w:rPr>
              <w:t>193,0</w:t>
            </w:r>
          </w:p>
          <w:p>
            <w:pPr>
              <w:pStyle w:val="TableParagraph"/>
              <w:spacing w:line="240" w:lineRule="auto" w:before="128"/>
              <w:ind w:left="152" w:right="0"/>
              <w:jc w:val="left"/>
              <w:rPr>
                <w:rFonts w:ascii="Arial" w:hAnsi="Arial" w:cs="Arial" w:eastAsia="Arial" w:hint="default"/>
                <w:sz w:val="16"/>
                <w:szCs w:val="16"/>
              </w:rPr>
            </w:pPr>
            <w:r>
              <w:rPr>
                <w:rFonts w:ascii="Arial"/>
                <w:sz w:val="16"/>
              </w:rPr>
              <w:t>71,84</w:t>
            </w:r>
          </w:p>
          <w:p>
            <w:pPr>
              <w:pStyle w:val="TableParagraph"/>
              <w:spacing w:line="240" w:lineRule="auto" w:before="128"/>
              <w:ind w:left="240" w:right="0"/>
              <w:jc w:val="left"/>
              <w:rPr>
                <w:rFonts w:ascii="Arial" w:hAnsi="Arial" w:cs="Arial" w:eastAsia="Arial" w:hint="default"/>
                <w:sz w:val="16"/>
                <w:szCs w:val="16"/>
              </w:rPr>
            </w:pPr>
            <w:r>
              <w:rPr>
                <w:rFonts w:ascii="Arial"/>
                <w:sz w:val="16"/>
              </w:rPr>
              <w:t>7.45</w:t>
            </w:r>
          </w:p>
        </w:tc>
      </w:tr>
      <w:tr>
        <w:trPr>
          <w:trHeight w:val="947" w:hRule="exact"/>
        </w:trPr>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108" w:right="106"/>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入和减少资本</w:t>
            </w:r>
          </w:p>
        </w:tc>
        <w:tc>
          <w:tcPr>
            <w:tcW w:w="582" w:type="dxa"/>
            <w:tcBorders>
              <w:top w:val="single" w:sz="4" w:space="0" w:color="5B9BD4"/>
              <w:left w:val="nil" w:sz="6" w:space="0" w:color="auto"/>
              <w:bottom w:val="single" w:sz="4" w:space="0" w:color="5B9BD4"/>
              <w:right w:val="nil" w:sz="6" w:space="0" w:color="auto"/>
            </w:tcBorders>
          </w:tcPr>
          <w:p>
            <w:pPr>
              <w:pStyle w:val="TableParagraph"/>
              <w:spacing w:line="240" w:lineRule="auto" w:before="59"/>
              <w:ind w:left="110" w:right="0"/>
              <w:jc w:val="left"/>
              <w:rPr>
                <w:rFonts w:ascii="Arial" w:hAnsi="Arial" w:cs="Arial" w:eastAsia="Arial" w:hint="default"/>
                <w:sz w:val="16"/>
                <w:szCs w:val="16"/>
              </w:rPr>
            </w:pPr>
            <w:r>
              <w:rPr>
                <w:rFonts w:ascii="Arial"/>
                <w:sz w:val="16"/>
              </w:rPr>
              <w:t>-3,38</w:t>
            </w:r>
          </w:p>
          <w:p>
            <w:pPr>
              <w:pStyle w:val="TableParagraph"/>
              <w:spacing w:line="240" w:lineRule="auto" w:before="128"/>
              <w:ind w:left="163" w:right="0"/>
              <w:jc w:val="left"/>
              <w:rPr>
                <w:rFonts w:ascii="Arial" w:hAnsi="Arial" w:cs="Arial" w:eastAsia="Arial" w:hint="default"/>
                <w:sz w:val="16"/>
                <w:szCs w:val="16"/>
              </w:rPr>
            </w:pPr>
            <w:r>
              <w:rPr>
                <w:rFonts w:ascii="Arial"/>
                <w:sz w:val="16"/>
              </w:rPr>
              <w:t>1,42</w:t>
            </w:r>
          </w:p>
          <w:p>
            <w:pPr>
              <w:pStyle w:val="TableParagraph"/>
              <w:spacing w:line="240" w:lineRule="auto" w:before="128"/>
              <w:ind w:left="163" w:right="0"/>
              <w:jc w:val="left"/>
              <w:rPr>
                <w:rFonts w:ascii="Arial" w:hAnsi="Arial" w:cs="Arial" w:eastAsia="Arial" w:hint="default"/>
                <w:sz w:val="16"/>
                <w:szCs w:val="16"/>
              </w:rPr>
            </w:pPr>
            <w:r>
              <w:rPr>
                <w:rFonts w:ascii="Arial"/>
                <w:sz w:val="16"/>
              </w:rPr>
              <w:t>7.00</w:t>
            </w: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Style w:val="TableParagraph"/>
              <w:spacing w:line="240" w:lineRule="auto" w:before="59"/>
              <w:ind w:left="191" w:right="0"/>
              <w:jc w:val="left"/>
              <w:rPr>
                <w:rFonts w:ascii="Arial" w:hAnsi="Arial" w:cs="Arial" w:eastAsia="Arial" w:hint="default"/>
                <w:sz w:val="16"/>
                <w:szCs w:val="16"/>
              </w:rPr>
            </w:pPr>
            <w:r>
              <w:rPr>
                <w:rFonts w:ascii="Arial"/>
                <w:sz w:val="16"/>
              </w:rPr>
              <w:t>-15,3</w:t>
            </w:r>
          </w:p>
          <w:p>
            <w:pPr>
              <w:pStyle w:val="TableParagraph"/>
              <w:spacing w:line="240" w:lineRule="auto" w:before="128"/>
              <w:ind w:left="157" w:right="0"/>
              <w:jc w:val="left"/>
              <w:rPr>
                <w:rFonts w:ascii="Arial" w:hAnsi="Arial" w:cs="Arial" w:eastAsia="Arial" w:hint="default"/>
                <w:sz w:val="16"/>
                <w:szCs w:val="16"/>
              </w:rPr>
            </w:pPr>
            <w:r>
              <w:rPr>
                <w:rFonts w:ascii="Arial"/>
                <w:sz w:val="16"/>
              </w:rPr>
              <w:t>10,59</w:t>
            </w:r>
          </w:p>
          <w:p>
            <w:pPr>
              <w:pStyle w:val="TableParagraph"/>
              <w:spacing w:line="240" w:lineRule="auto" w:before="128"/>
              <w:ind w:left="244" w:right="0"/>
              <w:jc w:val="left"/>
              <w:rPr>
                <w:rFonts w:ascii="Arial" w:hAnsi="Arial" w:cs="Arial" w:eastAsia="Arial" w:hint="default"/>
                <w:sz w:val="16"/>
                <w:szCs w:val="16"/>
              </w:rPr>
            </w:pPr>
            <w:r>
              <w:rPr>
                <w:rFonts w:ascii="Arial"/>
                <w:sz w:val="16"/>
              </w:rPr>
              <w:t>7.34</w:t>
            </w:r>
          </w:p>
        </w:tc>
        <w:tc>
          <w:tcPr>
            <w:tcW w:w="666"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6"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9"/>
              <w:ind w:right="104"/>
              <w:jc w:val="right"/>
              <w:rPr>
                <w:rFonts w:ascii="Arial" w:hAnsi="Arial" w:cs="Arial" w:eastAsia="Arial" w:hint="default"/>
                <w:sz w:val="16"/>
                <w:szCs w:val="16"/>
              </w:rPr>
            </w:pPr>
            <w:r>
              <w:rPr>
                <w:rFonts w:ascii="Arial"/>
                <w:w w:val="95"/>
                <w:sz w:val="16"/>
              </w:rPr>
              <w:t>1,470,</w:t>
            </w:r>
            <w:r>
              <w:rPr>
                <w:rFonts w:ascii="Arial"/>
                <w:sz w:val="16"/>
              </w:rPr>
            </w:r>
          </w:p>
          <w:p>
            <w:pPr>
              <w:pStyle w:val="TableParagraph"/>
              <w:spacing w:line="240" w:lineRule="auto" w:before="128"/>
              <w:ind w:right="104"/>
              <w:jc w:val="right"/>
              <w:rPr>
                <w:rFonts w:ascii="Arial" w:hAnsi="Arial" w:cs="Arial" w:eastAsia="Arial" w:hint="default"/>
                <w:sz w:val="16"/>
                <w:szCs w:val="16"/>
              </w:rPr>
            </w:pPr>
            <w:r>
              <w:rPr>
                <w:rFonts w:ascii="Arial"/>
                <w:w w:val="95"/>
                <w:sz w:val="16"/>
              </w:rPr>
              <w:t>000.0</w:t>
            </w:r>
            <w:r>
              <w:rPr>
                <w:rFonts w:ascii="Arial"/>
                <w:sz w:val="16"/>
              </w:rPr>
            </w:r>
          </w:p>
          <w:p>
            <w:pPr>
              <w:pStyle w:val="TableParagraph"/>
              <w:spacing w:line="240" w:lineRule="auto" w:before="128"/>
              <w:ind w:right="106"/>
              <w:jc w:val="right"/>
              <w:rPr>
                <w:rFonts w:ascii="Arial" w:hAnsi="Arial" w:cs="Arial" w:eastAsia="Arial" w:hint="default"/>
                <w:sz w:val="16"/>
                <w:szCs w:val="16"/>
              </w:rPr>
            </w:pPr>
            <w:r>
              <w:rPr>
                <w:rFonts w:ascii="Arial"/>
                <w:w w:val="99"/>
                <w:sz w:val="16"/>
              </w:rPr>
              <w:t>0</w:t>
            </w:r>
            <w:r>
              <w:rPr>
                <w:rFonts w:ascii="Arial"/>
                <w:sz w:val="16"/>
              </w:rPr>
            </w:r>
          </w:p>
        </w:tc>
        <w:tc>
          <w:tcPr>
            <w:tcW w:w="659" w:type="dxa"/>
            <w:tcBorders>
              <w:top w:val="single" w:sz="4" w:space="0" w:color="5B9BD4"/>
              <w:left w:val="nil" w:sz="6" w:space="0" w:color="auto"/>
              <w:bottom w:val="single" w:sz="4" w:space="0" w:color="5B9BD4"/>
              <w:right w:val="nil" w:sz="6" w:space="0" w:color="auto"/>
            </w:tcBorders>
          </w:tcPr>
          <w:p>
            <w:pPr>
              <w:pStyle w:val="TableParagraph"/>
              <w:spacing w:line="240" w:lineRule="auto" w:before="59"/>
              <w:ind w:left="187" w:right="0"/>
              <w:jc w:val="left"/>
              <w:rPr>
                <w:rFonts w:ascii="Arial" w:hAnsi="Arial" w:cs="Arial" w:eastAsia="Arial" w:hint="default"/>
                <w:sz w:val="16"/>
                <w:szCs w:val="16"/>
              </w:rPr>
            </w:pPr>
            <w:r>
              <w:rPr>
                <w:rFonts w:ascii="Arial"/>
                <w:sz w:val="16"/>
              </w:rPr>
              <w:t>-17,2</w:t>
            </w:r>
          </w:p>
          <w:p>
            <w:pPr>
              <w:pStyle w:val="TableParagraph"/>
              <w:spacing w:line="240" w:lineRule="auto" w:before="128"/>
              <w:ind w:left="152" w:right="0"/>
              <w:jc w:val="left"/>
              <w:rPr>
                <w:rFonts w:ascii="Arial" w:hAnsi="Arial" w:cs="Arial" w:eastAsia="Arial" w:hint="default"/>
                <w:sz w:val="16"/>
                <w:szCs w:val="16"/>
              </w:rPr>
            </w:pPr>
            <w:r>
              <w:rPr>
                <w:rFonts w:ascii="Arial"/>
                <w:sz w:val="16"/>
              </w:rPr>
              <w:t>22,02</w:t>
            </w:r>
          </w:p>
          <w:p>
            <w:pPr>
              <w:pStyle w:val="TableParagraph"/>
              <w:spacing w:line="240" w:lineRule="auto" w:before="128"/>
              <w:ind w:left="240" w:right="0"/>
              <w:jc w:val="left"/>
              <w:rPr>
                <w:rFonts w:ascii="Arial" w:hAnsi="Arial" w:cs="Arial" w:eastAsia="Arial" w:hint="default"/>
                <w:sz w:val="16"/>
                <w:szCs w:val="16"/>
              </w:rPr>
            </w:pPr>
            <w:r>
              <w:rPr>
                <w:rFonts w:ascii="Arial"/>
                <w:sz w:val="16"/>
              </w:rPr>
              <w:t>4.34</w:t>
            </w:r>
          </w:p>
        </w:tc>
      </w:tr>
      <w:tr>
        <w:trPr>
          <w:trHeight w:val="946" w:hRule="exact"/>
        </w:trPr>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2" w:lineRule="auto" w:before="161"/>
              <w:ind w:left="108" w:right="129"/>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．股东投入的 普通股</w:t>
            </w:r>
          </w:p>
        </w:tc>
        <w:tc>
          <w:tcPr>
            <w:tcW w:w="582" w:type="dxa"/>
            <w:tcBorders>
              <w:top w:val="single" w:sz="4" w:space="0" w:color="5B9BD4"/>
              <w:left w:val="nil" w:sz="6" w:space="0" w:color="auto"/>
              <w:bottom w:val="single" w:sz="4" w:space="0" w:color="5B9BD4"/>
              <w:right w:val="nil" w:sz="6" w:space="0" w:color="auto"/>
            </w:tcBorders>
          </w:tcPr>
          <w:p>
            <w:pPr>
              <w:pStyle w:val="TableParagraph"/>
              <w:spacing w:line="240" w:lineRule="auto" w:before="58"/>
              <w:ind w:left="110" w:right="0"/>
              <w:jc w:val="left"/>
              <w:rPr>
                <w:rFonts w:ascii="Arial" w:hAnsi="Arial" w:cs="Arial" w:eastAsia="Arial" w:hint="default"/>
                <w:sz w:val="16"/>
                <w:szCs w:val="16"/>
              </w:rPr>
            </w:pPr>
            <w:r>
              <w:rPr>
                <w:rFonts w:ascii="Arial"/>
                <w:sz w:val="16"/>
              </w:rPr>
              <w:t>-3,38</w:t>
            </w:r>
          </w:p>
          <w:p>
            <w:pPr>
              <w:pStyle w:val="TableParagraph"/>
              <w:spacing w:line="240" w:lineRule="auto" w:before="128"/>
              <w:ind w:left="163" w:right="0"/>
              <w:jc w:val="left"/>
              <w:rPr>
                <w:rFonts w:ascii="Arial" w:hAnsi="Arial" w:cs="Arial" w:eastAsia="Arial" w:hint="default"/>
                <w:sz w:val="16"/>
                <w:szCs w:val="16"/>
              </w:rPr>
            </w:pPr>
            <w:r>
              <w:rPr>
                <w:rFonts w:ascii="Arial"/>
                <w:sz w:val="16"/>
              </w:rPr>
              <w:t>1,42</w:t>
            </w:r>
          </w:p>
          <w:p>
            <w:pPr>
              <w:pStyle w:val="TableParagraph"/>
              <w:spacing w:line="240" w:lineRule="auto" w:before="128"/>
              <w:ind w:left="163" w:right="0"/>
              <w:jc w:val="left"/>
              <w:rPr>
                <w:rFonts w:ascii="Arial" w:hAnsi="Arial" w:cs="Arial" w:eastAsia="Arial" w:hint="default"/>
                <w:sz w:val="16"/>
                <w:szCs w:val="16"/>
              </w:rPr>
            </w:pPr>
            <w:r>
              <w:rPr>
                <w:rFonts w:ascii="Arial"/>
                <w:sz w:val="16"/>
              </w:rPr>
              <w:t>7.00</w:t>
            </w: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Style w:val="TableParagraph"/>
              <w:spacing w:line="240" w:lineRule="auto" w:before="58"/>
              <w:ind w:left="191" w:right="0"/>
              <w:jc w:val="left"/>
              <w:rPr>
                <w:rFonts w:ascii="Arial" w:hAnsi="Arial" w:cs="Arial" w:eastAsia="Arial" w:hint="default"/>
                <w:sz w:val="16"/>
                <w:szCs w:val="16"/>
              </w:rPr>
            </w:pPr>
            <w:r>
              <w:rPr>
                <w:rFonts w:ascii="Arial"/>
                <w:sz w:val="16"/>
              </w:rPr>
              <w:t>-15,0</w:t>
            </w:r>
          </w:p>
          <w:p>
            <w:pPr>
              <w:pStyle w:val="TableParagraph"/>
              <w:spacing w:line="240" w:lineRule="auto" w:before="128"/>
              <w:ind w:left="157" w:right="0"/>
              <w:jc w:val="left"/>
              <w:rPr>
                <w:rFonts w:ascii="Arial" w:hAnsi="Arial" w:cs="Arial" w:eastAsia="Arial" w:hint="default"/>
                <w:sz w:val="16"/>
                <w:szCs w:val="16"/>
              </w:rPr>
            </w:pPr>
            <w:r>
              <w:rPr>
                <w:rFonts w:ascii="Arial"/>
                <w:sz w:val="16"/>
              </w:rPr>
              <w:t>01,34</w:t>
            </w:r>
          </w:p>
          <w:p>
            <w:pPr>
              <w:pStyle w:val="TableParagraph"/>
              <w:spacing w:line="240" w:lineRule="auto" w:before="128"/>
              <w:ind w:left="244" w:right="0"/>
              <w:jc w:val="left"/>
              <w:rPr>
                <w:rFonts w:ascii="Arial" w:hAnsi="Arial" w:cs="Arial" w:eastAsia="Arial" w:hint="default"/>
                <w:sz w:val="16"/>
                <w:szCs w:val="16"/>
              </w:rPr>
            </w:pPr>
            <w:r>
              <w:rPr>
                <w:rFonts w:ascii="Arial"/>
                <w:sz w:val="16"/>
              </w:rPr>
              <w:t>6.19</w:t>
            </w:r>
          </w:p>
        </w:tc>
        <w:tc>
          <w:tcPr>
            <w:tcW w:w="666"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6"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8"/>
              <w:ind w:right="104"/>
              <w:jc w:val="right"/>
              <w:rPr>
                <w:rFonts w:ascii="Arial" w:hAnsi="Arial" w:cs="Arial" w:eastAsia="Arial" w:hint="default"/>
                <w:sz w:val="16"/>
                <w:szCs w:val="16"/>
              </w:rPr>
            </w:pPr>
            <w:r>
              <w:rPr>
                <w:rFonts w:ascii="Arial"/>
                <w:w w:val="95"/>
                <w:sz w:val="16"/>
              </w:rPr>
              <w:t>1,470,</w:t>
            </w:r>
            <w:r>
              <w:rPr>
                <w:rFonts w:ascii="Arial"/>
                <w:sz w:val="16"/>
              </w:rPr>
            </w:r>
          </w:p>
          <w:p>
            <w:pPr>
              <w:pStyle w:val="TableParagraph"/>
              <w:spacing w:line="240" w:lineRule="auto" w:before="128"/>
              <w:ind w:right="104"/>
              <w:jc w:val="right"/>
              <w:rPr>
                <w:rFonts w:ascii="Arial" w:hAnsi="Arial" w:cs="Arial" w:eastAsia="Arial" w:hint="default"/>
                <w:sz w:val="16"/>
                <w:szCs w:val="16"/>
              </w:rPr>
            </w:pPr>
            <w:r>
              <w:rPr>
                <w:rFonts w:ascii="Arial"/>
                <w:w w:val="95"/>
                <w:sz w:val="16"/>
              </w:rPr>
              <w:t>000.0</w:t>
            </w:r>
            <w:r>
              <w:rPr>
                <w:rFonts w:ascii="Arial"/>
                <w:sz w:val="16"/>
              </w:rPr>
            </w:r>
          </w:p>
          <w:p>
            <w:pPr>
              <w:pStyle w:val="TableParagraph"/>
              <w:spacing w:line="240" w:lineRule="auto" w:before="128"/>
              <w:ind w:right="106"/>
              <w:jc w:val="right"/>
              <w:rPr>
                <w:rFonts w:ascii="Arial" w:hAnsi="Arial" w:cs="Arial" w:eastAsia="Arial" w:hint="default"/>
                <w:sz w:val="16"/>
                <w:szCs w:val="16"/>
              </w:rPr>
            </w:pPr>
            <w:r>
              <w:rPr>
                <w:rFonts w:ascii="Arial"/>
                <w:w w:val="99"/>
                <w:sz w:val="16"/>
              </w:rPr>
              <w:t>0</w:t>
            </w:r>
            <w:r>
              <w:rPr>
                <w:rFonts w:ascii="Arial"/>
                <w:sz w:val="16"/>
              </w:rPr>
            </w:r>
          </w:p>
        </w:tc>
        <w:tc>
          <w:tcPr>
            <w:tcW w:w="659" w:type="dxa"/>
            <w:tcBorders>
              <w:top w:val="single" w:sz="4" w:space="0" w:color="5B9BD4"/>
              <w:left w:val="nil" w:sz="6" w:space="0" w:color="auto"/>
              <w:bottom w:val="single" w:sz="4" w:space="0" w:color="5B9BD4"/>
              <w:right w:val="nil" w:sz="6" w:space="0" w:color="auto"/>
            </w:tcBorders>
          </w:tcPr>
          <w:p>
            <w:pPr>
              <w:pStyle w:val="TableParagraph"/>
              <w:spacing w:line="240" w:lineRule="auto" w:before="58"/>
              <w:ind w:left="187" w:right="0"/>
              <w:jc w:val="left"/>
              <w:rPr>
                <w:rFonts w:ascii="Arial" w:hAnsi="Arial" w:cs="Arial" w:eastAsia="Arial" w:hint="default"/>
                <w:sz w:val="16"/>
                <w:szCs w:val="16"/>
              </w:rPr>
            </w:pPr>
            <w:r>
              <w:rPr>
                <w:rFonts w:ascii="Arial"/>
                <w:sz w:val="16"/>
              </w:rPr>
              <w:t>-16,9</w:t>
            </w:r>
          </w:p>
          <w:p>
            <w:pPr>
              <w:pStyle w:val="TableParagraph"/>
              <w:spacing w:line="240" w:lineRule="auto" w:before="128"/>
              <w:ind w:left="152" w:right="0"/>
              <w:jc w:val="left"/>
              <w:rPr>
                <w:rFonts w:ascii="Arial" w:hAnsi="Arial" w:cs="Arial" w:eastAsia="Arial" w:hint="default"/>
                <w:sz w:val="16"/>
                <w:szCs w:val="16"/>
              </w:rPr>
            </w:pPr>
            <w:r>
              <w:rPr>
                <w:rFonts w:ascii="Arial"/>
                <w:sz w:val="16"/>
              </w:rPr>
              <w:t>12,77</w:t>
            </w:r>
          </w:p>
          <w:p>
            <w:pPr>
              <w:pStyle w:val="TableParagraph"/>
              <w:spacing w:line="240" w:lineRule="auto" w:before="128"/>
              <w:ind w:left="240" w:right="0"/>
              <w:jc w:val="left"/>
              <w:rPr>
                <w:rFonts w:ascii="Arial" w:hAnsi="Arial" w:cs="Arial" w:eastAsia="Arial" w:hint="default"/>
                <w:sz w:val="16"/>
                <w:szCs w:val="16"/>
              </w:rPr>
            </w:pPr>
            <w:r>
              <w:rPr>
                <w:rFonts w:ascii="Arial"/>
                <w:sz w:val="16"/>
              </w:rPr>
              <w:t>3.19</w:t>
            </w:r>
          </w:p>
        </w:tc>
      </w:tr>
      <w:tr>
        <w:trPr>
          <w:trHeight w:val="323" w:hRule="exact"/>
        </w:trPr>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29"/>
              <w:jc w:val="right"/>
              <w:rPr>
                <w:rFonts w:ascii="宋体" w:hAnsi="宋体" w:cs="宋体" w:eastAsia="宋体" w:hint="default"/>
                <w:sz w:val="18"/>
                <w:szCs w:val="18"/>
              </w:rPr>
            </w:pPr>
            <w:r>
              <w:rPr>
                <w:rFonts w:ascii="Arial" w:hAnsi="Arial" w:cs="Arial" w:eastAsia="Arial" w:hint="default"/>
                <w:spacing w:val="-1"/>
                <w:sz w:val="18"/>
                <w:szCs w:val="18"/>
              </w:rPr>
              <w:t>2</w:t>
            </w:r>
            <w:r>
              <w:rPr>
                <w:rFonts w:ascii="宋体" w:hAnsi="宋体" w:cs="宋体" w:eastAsia="宋体" w:hint="default"/>
                <w:spacing w:val="-1"/>
                <w:sz w:val="18"/>
                <w:szCs w:val="18"/>
              </w:rPr>
              <w:t>．其他权益工</w:t>
            </w:r>
          </w:p>
        </w:tc>
        <w:tc>
          <w:tcPr>
            <w:tcW w:w="58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
        </w:tc>
        <w:tc>
          <w:tcPr>
            <w:tcW w:w="666"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6"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59" w:type="dxa"/>
            <w:tcBorders>
              <w:top w:val="single" w:sz="4" w:space="0" w:color="5B9BD4"/>
              <w:left w:val="nil" w:sz="6" w:space="0" w:color="auto"/>
              <w:bottom w:val="single" w:sz="4" w:space="0" w:color="5B9BD4"/>
              <w:right w:val="nil" w:sz="6" w:space="0" w:color="auto"/>
            </w:tcBorders>
          </w:tcPr>
          <w:p>
            <w:pPr/>
          </w:p>
        </w:tc>
      </w:tr>
    </w:tbl>
    <w:p>
      <w:pPr>
        <w:spacing w:after="0"/>
        <w:sectPr>
          <w:pgSz w:w="11910" w:h="16840"/>
          <w:pgMar w:header="877" w:footer="979" w:top="1100" w:bottom="1160" w:left="920" w:right="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1419"/>
        <w:gridCol w:w="582"/>
        <w:gridCol w:w="530"/>
        <w:gridCol w:w="532"/>
        <w:gridCol w:w="530"/>
        <w:gridCol w:w="664"/>
        <w:gridCol w:w="666"/>
        <w:gridCol w:w="665"/>
        <w:gridCol w:w="665"/>
        <w:gridCol w:w="664"/>
        <w:gridCol w:w="665"/>
        <w:gridCol w:w="666"/>
        <w:gridCol w:w="665"/>
        <w:gridCol w:w="659"/>
      </w:tblGrid>
      <w:tr>
        <w:trPr>
          <w:trHeight w:val="634" w:hRule="exact"/>
        </w:trPr>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228"/>
              <w:jc w:val="left"/>
              <w:rPr>
                <w:rFonts w:ascii="宋体" w:hAnsi="宋体" w:cs="宋体" w:eastAsia="宋体" w:hint="default"/>
                <w:sz w:val="18"/>
                <w:szCs w:val="18"/>
              </w:rPr>
            </w:pPr>
            <w:r>
              <w:rPr>
                <w:rFonts w:ascii="宋体" w:hAnsi="宋体" w:cs="宋体" w:eastAsia="宋体" w:hint="default"/>
                <w:sz w:val="18"/>
                <w:szCs w:val="18"/>
              </w:rPr>
              <w:t>具持有者投入 资本</w:t>
            </w:r>
          </w:p>
        </w:tc>
        <w:tc>
          <w:tcPr>
            <w:tcW w:w="58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
        </w:tc>
        <w:tc>
          <w:tcPr>
            <w:tcW w:w="666"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6"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59" w:type="dxa"/>
            <w:tcBorders>
              <w:top w:val="single" w:sz="4" w:space="0" w:color="5B9BD4"/>
              <w:left w:val="nil" w:sz="6" w:space="0" w:color="auto"/>
              <w:bottom w:val="single" w:sz="4" w:space="0" w:color="5B9BD4"/>
              <w:right w:val="nil" w:sz="6" w:space="0" w:color="auto"/>
            </w:tcBorders>
          </w:tcPr>
          <w:p>
            <w:pPr/>
          </w:p>
        </w:tc>
      </w:tr>
      <w:tr>
        <w:trPr>
          <w:trHeight w:val="947" w:hRule="exact"/>
        </w:trPr>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9" w:lineRule="auto" w:before="6"/>
              <w:ind w:left="108" w:right="129"/>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．股份支付计 入所有者权益 的金额</w:t>
            </w:r>
          </w:p>
        </w:tc>
        <w:tc>
          <w:tcPr>
            <w:tcW w:w="58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Style w:val="TableParagraph"/>
              <w:spacing w:line="240" w:lineRule="auto" w:before="59"/>
              <w:ind w:right="106"/>
              <w:jc w:val="right"/>
              <w:rPr>
                <w:rFonts w:ascii="Arial" w:hAnsi="Arial" w:cs="Arial" w:eastAsia="Arial" w:hint="default"/>
                <w:sz w:val="16"/>
                <w:szCs w:val="16"/>
              </w:rPr>
            </w:pPr>
            <w:r>
              <w:rPr>
                <w:rFonts w:ascii="Arial"/>
                <w:spacing w:val="-1"/>
                <w:sz w:val="16"/>
              </w:rPr>
              <w:t>-309,</w:t>
            </w:r>
          </w:p>
          <w:p>
            <w:pPr>
              <w:pStyle w:val="TableParagraph"/>
              <w:spacing w:line="240" w:lineRule="auto" w:before="128"/>
              <w:ind w:right="105"/>
              <w:jc w:val="right"/>
              <w:rPr>
                <w:rFonts w:ascii="Arial" w:hAnsi="Arial" w:cs="Arial" w:eastAsia="Arial" w:hint="default"/>
                <w:sz w:val="16"/>
                <w:szCs w:val="16"/>
              </w:rPr>
            </w:pPr>
            <w:r>
              <w:rPr>
                <w:rFonts w:ascii="Arial"/>
                <w:w w:val="95"/>
                <w:sz w:val="16"/>
              </w:rPr>
              <w:t>251.1</w:t>
            </w:r>
            <w:r>
              <w:rPr>
                <w:rFonts w:ascii="Arial"/>
                <w:sz w:val="16"/>
              </w:rPr>
            </w:r>
          </w:p>
          <w:p>
            <w:pPr>
              <w:pStyle w:val="TableParagraph"/>
              <w:spacing w:line="240" w:lineRule="auto" w:before="128"/>
              <w:ind w:right="106"/>
              <w:jc w:val="right"/>
              <w:rPr>
                <w:rFonts w:ascii="Arial" w:hAnsi="Arial" w:cs="Arial" w:eastAsia="Arial" w:hint="default"/>
                <w:sz w:val="16"/>
                <w:szCs w:val="16"/>
              </w:rPr>
            </w:pPr>
            <w:r>
              <w:rPr>
                <w:rFonts w:ascii="Arial"/>
                <w:w w:val="99"/>
                <w:sz w:val="16"/>
              </w:rPr>
              <w:t>5</w:t>
            </w:r>
            <w:r>
              <w:rPr>
                <w:rFonts w:ascii="Arial"/>
                <w:sz w:val="16"/>
              </w:rPr>
            </w:r>
          </w:p>
        </w:tc>
        <w:tc>
          <w:tcPr>
            <w:tcW w:w="666"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6"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59" w:type="dxa"/>
            <w:tcBorders>
              <w:top w:val="single" w:sz="4" w:space="0" w:color="5B9BD4"/>
              <w:left w:val="nil" w:sz="6" w:space="0" w:color="auto"/>
              <w:bottom w:val="single" w:sz="4" w:space="0" w:color="5B9BD4"/>
              <w:right w:val="nil" w:sz="6" w:space="0" w:color="auto"/>
            </w:tcBorders>
          </w:tcPr>
          <w:p>
            <w:pPr>
              <w:pStyle w:val="TableParagraph"/>
              <w:spacing w:line="240" w:lineRule="auto" w:before="59"/>
              <w:ind w:right="105"/>
              <w:jc w:val="right"/>
              <w:rPr>
                <w:rFonts w:ascii="Arial" w:hAnsi="Arial" w:cs="Arial" w:eastAsia="Arial" w:hint="default"/>
                <w:sz w:val="16"/>
                <w:szCs w:val="16"/>
              </w:rPr>
            </w:pPr>
            <w:r>
              <w:rPr>
                <w:rFonts w:ascii="Arial"/>
                <w:spacing w:val="-1"/>
                <w:sz w:val="16"/>
              </w:rPr>
              <w:t>-309,</w:t>
            </w:r>
          </w:p>
          <w:p>
            <w:pPr>
              <w:pStyle w:val="TableParagraph"/>
              <w:spacing w:line="240" w:lineRule="auto" w:before="128"/>
              <w:ind w:right="104"/>
              <w:jc w:val="right"/>
              <w:rPr>
                <w:rFonts w:ascii="Arial" w:hAnsi="Arial" w:cs="Arial" w:eastAsia="Arial" w:hint="default"/>
                <w:sz w:val="16"/>
                <w:szCs w:val="16"/>
              </w:rPr>
            </w:pPr>
            <w:r>
              <w:rPr>
                <w:rFonts w:ascii="Arial"/>
                <w:w w:val="95"/>
                <w:sz w:val="16"/>
              </w:rPr>
              <w:t>251.1</w:t>
            </w:r>
            <w:r>
              <w:rPr>
                <w:rFonts w:ascii="Arial"/>
                <w:sz w:val="16"/>
              </w:rPr>
            </w:r>
          </w:p>
          <w:p>
            <w:pPr>
              <w:pStyle w:val="TableParagraph"/>
              <w:spacing w:line="240" w:lineRule="auto" w:before="128"/>
              <w:ind w:right="106"/>
              <w:jc w:val="right"/>
              <w:rPr>
                <w:rFonts w:ascii="Arial" w:hAnsi="Arial" w:cs="Arial" w:eastAsia="Arial" w:hint="default"/>
                <w:sz w:val="16"/>
                <w:szCs w:val="16"/>
              </w:rPr>
            </w:pPr>
            <w:r>
              <w:rPr>
                <w:rFonts w:ascii="Arial"/>
                <w:w w:val="99"/>
                <w:sz w:val="16"/>
              </w:rPr>
              <w:t>5</w:t>
            </w:r>
            <w:r>
              <w:rPr>
                <w:rFonts w:ascii="Arial"/>
                <w:sz w:val="16"/>
              </w:rPr>
            </w:r>
          </w:p>
        </w:tc>
      </w:tr>
      <w:tr>
        <w:trPr>
          <w:trHeight w:val="322" w:hRule="exact"/>
        </w:trPr>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58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
        </w:tc>
        <w:tc>
          <w:tcPr>
            <w:tcW w:w="666"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6"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59" w:type="dxa"/>
            <w:tcBorders>
              <w:top w:val="single" w:sz="4" w:space="0" w:color="5B9BD4"/>
              <w:left w:val="nil" w:sz="6" w:space="0" w:color="auto"/>
              <w:bottom w:val="single" w:sz="4" w:space="0" w:color="5B9BD4"/>
              <w:right w:val="nil" w:sz="6" w:space="0" w:color="auto"/>
            </w:tcBorders>
          </w:tcPr>
          <w:p>
            <w:pPr/>
          </w:p>
        </w:tc>
      </w:tr>
      <w:tr>
        <w:trPr>
          <w:trHeight w:val="946" w:hRule="exact"/>
        </w:trPr>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58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
        </w:tc>
        <w:tc>
          <w:tcPr>
            <w:tcW w:w="666"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Style w:val="TableParagraph"/>
              <w:spacing w:line="240" w:lineRule="auto" w:before="58"/>
              <w:ind w:right="104"/>
              <w:jc w:val="right"/>
              <w:rPr>
                <w:rFonts w:ascii="Arial" w:hAnsi="Arial" w:cs="Arial" w:eastAsia="Arial" w:hint="default"/>
                <w:sz w:val="16"/>
                <w:szCs w:val="16"/>
              </w:rPr>
            </w:pPr>
            <w:r>
              <w:rPr>
                <w:rFonts w:ascii="Arial"/>
                <w:w w:val="95"/>
                <w:sz w:val="16"/>
              </w:rPr>
              <w:t>4,238,</w:t>
            </w:r>
            <w:r>
              <w:rPr>
                <w:rFonts w:ascii="Arial"/>
                <w:sz w:val="16"/>
              </w:rPr>
            </w:r>
          </w:p>
          <w:p>
            <w:pPr>
              <w:pStyle w:val="TableParagraph"/>
              <w:spacing w:line="240" w:lineRule="auto" w:before="128"/>
              <w:ind w:right="104"/>
              <w:jc w:val="right"/>
              <w:rPr>
                <w:rFonts w:ascii="Arial" w:hAnsi="Arial" w:cs="Arial" w:eastAsia="Arial" w:hint="default"/>
                <w:sz w:val="16"/>
                <w:szCs w:val="16"/>
              </w:rPr>
            </w:pPr>
            <w:r>
              <w:rPr>
                <w:rFonts w:ascii="Arial"/>
                <w:w w:val="95"/>
                <w:sz w:val="16"/>
              </w:rPr>
              <w:t>250.0</w:t>
            </w:r>
            <w:r>
              <w:rPr>
                <w:rFonts w:ascii="Arial"/>
                <w:sz w:val="16"/>
              </w:rPr>
            </w:r>
          </w:p>
          <w:p>
            <w:pPr>
              <w:pStyle w:val="TableParagraph"/>
              <w:spacing w:line="240" w:lineRule="auto" w:before="128"/>
              <w:ind w:right="106"/>
              <w:jc w:val="right"/>
              <w:rPr>
                <w:rFonts w:ascii="Arial" w:hAnsi="Arial" w:cs="Arial" w:eastAsia="Arial" w:hint="default"/>
                <w:sz w:val="16"/>
                <w:szCs w:val="16"/>
              </w:rPr>
            </w:pPr>
            <w:r>
              <w:rPr>
                <w:rFonts w:ascii="Arial"/>
                <w:w w:val="99"/>
                <w:sz w:val="16"/>
              </w:rPr>
              <w:t>4</w:t>
            </w:r>
            <w:r>
              <w:rPr>
                <w:rFonts w:ascii="Arial"/>
                <w:sz w:val="16"/>
              </w:rPr>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6" w:type="dxa"/>
            <w:tcBorders>
              <w:top w:val="single" w:sz="4" w:space="0" w:color="5B9BD4"/>
              <w:left w:val="nil" w:sz="6" w:space="0" w:color="auto"/>
              <w:bottom w:val="single" w:sz="4" w:space="0" w:color="5B9BD4"/>
              <w:right w:val="nil" w:sz="6" w:space="0" w:color="auto"/>
            </w:tcBorders>
          </w:tcPr>
          <w:p>
            <w:pPr>
              <w:pStyle w:val="TableParagraph"/>
              <w:spacing w:line="240" w:lineRule="auto" w:before="58"/>
              <w:ind w:left="84" w:right="0"/>
              <w:jc w:val="center"/>
              <w:rPr>
                <w:rFonts w:ascii="Arial" w:hAnsi="Arial" w:cs="Arial" w:eastAsia="Arial" w:hint="default"/>
                <w:sz w:val="16"/>
                <w:szCs w:val="16"/>
              </w:rPr>
            </w:pPr>
            <w:r>
              <w:rPr>
                <w:rFonts w:ascii="Arial"/>
                <w:sz w:val="16"/>
              </w:rPr>
              <w:t>-4,23</w:t>
            </w:r>
          </w:p>
          <w:p>
            <w:pPr>
              <w:pStyle w:val="TableParagraph"/>
              <w:spacing w:line="240" w:lineRule="auto" w:before="128"/>
              <w:ind w:left="113" w:right="0"/>
              <w:jc w:val="left"/>
              <w:rPr>
                <w:rFonts w:ascii="Arial" w:hAnsi="Arial" w:cs="Arial" w:eastAsia="Arial" w:hint="default"/>
                <w:sz w:val="16"/>
                <w:szCs w:val="16"/>
              </w:rPr>
            </w:pPr>
            <w:r>
              <w:rPr>
                <w:rFonts w:ascii="Arial"/>
                <w:sz w:val="16"/>
              </w:rPr>
              <w:t>8,250.</w:t>
            </w:r>
          </w:p>
          <w:p>
            <w:pPr>
              <w:pStyle w:val="TableParagraph"/>
              <w:spacing w:line="240" w:lineRule="auto" w:before="128"/>
              <w:ind w:left="270" w:right="0"/>
              <w:jc w:val="center"/>
              <w:rPr>
                <w:rFonts w:ascii="Arial" w:hAnsi="Arial" w:cs="Arial" w:eastAsia="Arial" w:hint="default"/>
                <w:sz w:val="16"/>
                <w:szCs w:val="16"/>
              </w:rPr>
            </w:pPr>
            <w:r>
              <w:rPr>
                <w:rFonts w:ascii="Arial"/>
                <w:sz w:val="16"/>
              </w:rPr>
              <w:t>04</w:t>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8"/>
              <w:ind w:left="85" w:right="0"/>
              <w:jc w:val="center"/>
              <w:rPr>
                <w:rFonts w:ascii="Arial" w:hAnsi="Arial" w:cs="Arial" w:eastAsia="Arial" w:hint="default"/>
                <w:sz w:val="16"/>
                <w:szCs w:val="16"/>
              </w:rPr>
            </w:pPr>
            <w:r>
              <w:rPr>
                <w:rFonts w:ascii="Arial"/>
                <w:sz w:val="16"/>
              </w:rPr>
              <w:t>-3,00</w:t>
            </w:r>
          </w:p>
          <w:p>
            <w:pPr>
              <w:pStyle w:val="TableParagraph"/>
              <w:spacing w:line="240" w:lineRule="auto" w:before="128"/>
              <w:ind w:left="113" w:right="0"/>
              <w:jc w:val="left"/>
              <w:rPr>
                <w:rFonts w:ascii="Arial" w:hAnsi="Arial" w:cs="Arial" w:eastAsia="Arial" w:hint="default"/>
                <w:sz w:val="16"/>
                <w:szCs w:val="16"/>
              </w:rPr>
            </w:pPr>
            <w:r>
              <w:rPr>
                <w:rFonts w:ascii="Arial"/>
                <w:sz w:val="16"/>
              </w:rPr>
              <w:t>0,000.</w:t>
            </w:r>
          </w:p>
          <w:p>
            <w:pPr>
              <w:pStyle w:val="TableParagraph"/>
              <w:spacing w:line="240" w:lineRule="auto" w:before="128"/>
              <w:ind w:left="271" w:right="0"/>
              <w:jc w:val="center"/>
              <w:rPr>
                <w:rFonts w:ascii="Arial" w:hAnsi="Arial" w:cs="Arial" w:eastAsia="Arial" w:hint="default"/>
                <w:sz w:val="16"/>
                <w:szCs w:val="16"/>
              </w:rPr>
            </w:pPr>
            <w:r>
              <w:rPr>
                <w:rFonts w:ascii="Arial"/>
                <w:sz w:val="16"/>
              </w:rPr>
              <w:t>00</w:t>
            </w:r>
          </w:p>
        </w:tc>
        <w:tc>
          <w:tcPr>
            <w:tcW w:w="659" w:type="dxa"/>
            <w:tcBorders>
              <w:top w:val="single" w:sz="4" w:space="0" w:color="5B9BD4"/>
              <w:left w:val="nil" w:sz="6" w:space="0" w:color="auto"/>
              <w:bottom w:val="single" w:sz="4" w:space="0" w:color="5B9BD4"/>
              <w:right w:val="nil" w:sz="6" w:space="0" w:color="auto"/>
            </w:tcBorders>
          </w:tcPr>
          <w:p>
            <w:pPr>
              <w:pStyle w:val="TableParagraph"/>
              <w:spacing w:line="240" w:lineRule="auto" w:before="58"/>
              <w:ind w:left="79" w:right="0"/>
              <w:jc w:val="center"/>
              <w:rPr>
                <w:rFonts w:ascii="Arial" w:hAnsi="Arial" w:cs="Arial" w:eastAsia="Arial" w:hint="default"/>
                <w:sz w:val="16"/>
                <w:szCs w:val="16"/>
              </w:rPr>
            </w:pPr>
            <w:r>
              <w:rPr>
                <w:rFonts w:ascii="Arial"/>
                <w:sz w:val="16"/>
              </w:rPr>
              <w:t>-3,00</w:t>
            </w:r>
          </w:p>
          <w:p>
            <w:pPr>
              <w:pStyle w:val="TableParagraph"/>
              <w:spacing w:line="240" w:lineRule="auto" w:before="128"/>
              <w:ind w:left="45" w:right="0"/>
              <w:jc w:val="center"/>
              <w:rPr>
                <w:rFonts w:ascii="Arial" w:hAnsi="Arial" w:cs="Arial" w:eastAsia="Arial" w:hint="default"/>
                <w:sz w:val="16"/>
                <w:szCs w:val="16"/>
              </w:rPr>
            </w:pPr>
            <w:r>
              <w:rPr>
                <w:rFonts w:ascii="Arial"/>
                <w:sz w:val="16"/>
              </w:rPr>
              <w:t>0,000</w:t>
            </w:r>
          </w:p>
          <w:p>
            <w:pPr>
              <w:pStyle w:val="TableParagraph"/>
              <w:spacing w:line="240" w:lineRule="auto" w:before="128"/>
              <w:ind w:left="220" w:right="0"/>
              <w:jc w:val="center"/>
              <w:rPr>
                <w:rFonts w:ascii="Arial" w:hAnsi="Arial" w:cs="Arial" w:eastAsia="Arial" w:hint="default"/>
                <w:sz w:val="16"/>
                <w:szCs w:val="16"/>
              </w:rPr>
            </w:pPr>
            <w:r>
              <w:rPr>
                <w:rFonts w:ascii="Arial"/>
                <w:sz w:val="16"/>
              </w:rPr>
              <w:t>.00</w:t>
            </w:r>
          </w:p>
        </w:tc>
      </w:tr>
      <w:tr>
        <w:trPr>
          <w:trHeight w:val="946" w:hRule="exact"/>
        </w:trPr>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sz w:val="12"/>
                <w:szCs w:val="12"/>
              </w:rPr>
            </w:pPr>
          </w:p>
          <w:p>
            <w:pPr>
              <w:pStyle w:val="TableParagraph"/>
              <w:spacing w:line="302" w:lineRule="auto"/>
              <w:ind w:left="108" w:right="129"/>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．提取盈余公 积</w:t>
            </w:r>
          </w:p>
        </w:tc>
        <w:tc>
          <w:tcPr>
            <w:tcW w:w="58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
        </w:tc>
        <w:tc>
          <w:tcPr>
            <w:tcW w:w="666"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Style w:val="TableParagraph"/>
              <w:spacing w:line="240" w:lineRule="auto" w:before="59"/>
              <w:ind w:right="104"/>
              <w:jc w:val="right"/>
              <w:rPr>
                <w:rFonts w:ascii="Arial" w:hAnsi="Arial" w:cs="Arial" w:eastAsia="Arial" w:hint="default"/>
                <w:sz w:val="16"/>
                <w:szCs w:val="16"/>
              </w:rPr>
            </w:pPr>
            <w:r>
              <w:rPr>
                <w:rFonts w:ascii="Arial"/>
                <w:w w:val="95"/>
                <w:sz w:val="16"/>
              </w:rPr>
              <w:t>4,238,</w:t>
            </w:r>
            <w:r>
              <w:rPr>
                <w:rFonts w:ascii="Arial"/>
                <w:sz w:val="16"/>
              </w:rPr>
            </w:r>
          </w:p>
          <w:p>
            <w:pPr>
              <w:pStyle w:val="TableParagraph"/>
              <w:spacing w:line="240" w:lineRule="auto" w:before="128"/>
              <w:ind w:right="104"/>
              <w:jc w:val="right"/>
              <w:rPr>
                <w:rFonts w:ascii="Arial" w:hAnsi="Arial" w:cs="Arial" w:eastAsia="Arial" w:hint="default"/>
                <w:sz w:val="16"/>
                <w:szCs w:val="16"/>
              </w:rPr>
            </w:pPr>
            <w:r>
              <w:rPr>
                <w:rFonts w:ascii="Arial"/>
                <w:w w:val="95"/>
                <w:sz w:val="16"/>
              </w:rPr>
              <w:t>250.0</w:t>
            </w:r>
            <w:r>
              <w:rPr>
                <w:rFonts w:ascii="Arial"/>
                <w:sz w:val="16"/>
              </w:rPr>
            </w:r>
          </w:p>
          <w:p>
            <w:pPr>
              <w:pStyle w:val="TableParagraph"/>
              <w:spacing w:line="240" w:lineRule="auto" w:before="128"/>
              <w:ind w:right="106"/>
              <w:jc w:val="right"/>
              <w:rPr>
                <w:rFonts w:ascii="Arial" w:hAnsi="Arial" w:cs="Arial" w:eastAsia="Arial" w:hint="default"/>
                <w:sz w:val="16"/>
                <w:szCs w:val="16"/>
              </w:rPr>
            </w:pPr>
            <w:r>
              <w:rPr>
                <w:rFonts w:ascii="Arial"/>
                <w:w w:val="99"/>
                <w:sz w:val="16"/>
              </w:rPr>
              <w:t>4</w:t>
            </w:r>
            <w:r>
              <w:rPr>
                <w:rFonts w:ascii="Arial"/>
                <w:sz w:val="16"/>
              </w:rPr>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6" w:type="dxa"/>
            <w:tcBorders>
              <w:top w:val="single" w:sz="4" w:space="0" w:color="5B9BD4"/>
              <w:left w:val="nil" w:sz="6" w:space="0" w:color="auto"/>
              <w:bottom w:val="single" w:sz="4" w:space="0" w:color="5B9BD4"/>
              <w:right w:val="nil" w:sz="6" w:space="0" w:color="auto"/>
            </w:tcBorders>
          </w:tcPr>
          <w:p>
            <w:pPr>
              <w:pStyle w:val="TableParagraph"/>
              <w:spacing w:line="240" w:lineRule="auto" w:before="59"/>
              <w:ind w:left="84" w:right="0"/>
              <w:jc w:val="center"/>
              <w:rPr>
                <w:rFonts w:ascii="Arial" w:hAnsi="Arial" w:cs="Arial" w:eastAsia="Arial" w:hint="default"/>
                <w:sz w:val="16"/>
                <w:szCs w:val="16"/>
              </w:rPr>
            </w:pPr>
            <w:r>
              <w:rPr>
                <w:rFonts w:ascii="Arial"/>
                <w:sz w:val="16"/>
              </w:rPr>
              <w:t>-4,23</w:t>
            </w:r>
          </w:p>
          <w:p>
            <w:pPr>
              <w:pStyle w:val="TableParagraph"/>
              <w:spacing w:line="240" w:lineRule="auto" w:before="128"/>
              <w:ind w:left="113" w:right="0"/>
              <w:jc w:val="left"/>
              <w:rPr>
                <w:rFonts w:ascii="Arial" w:hAnsi="Arial" w:cs="Arial" w:eastAsia="Arial" w:hint="default"/>
                <w:sz w:val="16"/>
                <w:szCs w:val="16"/>
              </w:rPr>
            </w:pPr>
            <w:r>
              <w:rPr>
                <w:rFonts w:ascii="Arial"/>
                <w:sz w:val="16"/>
              </w:rPr>
              <w:t>8,250.</w:t>
            </w:r>
          </w:p>
          <w:p>
            <w:pPr>
              <w:pStyle w:val="TableParagraph"/>
              <w:spacing w:line="240" w:lineRule="auto" w:before="128"/>
              <w:ind w:left="270" w:right="0"/>
              <w:jc w:val="center"/>
              <w:rPr>
                <w:rFonts w:ascii="Arial" w:hAnsi="Arial" w:cs="Arial" w:eastAsia="Arial" w:hint="default"/>
                <w:sz w:val="16"/>
                <w:szCs w:val="16"/>
              </w:rPr>
            </w:pPr>
            <w:r>
              <w:rPr>
                <w:rFonts w:ascii="Arial"/>
                <w:sz w:val="16"/>
              </w:rPr>
              <w:t>04</w:t>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59" w:type="dxa"/>
            <w:tcBorders>
              <w:top w:val="single" w:sz="4" w:space="0" w:color="5B9BD4"/>
              <w:left w:val="nil" w:sz="6" w:space="0" w:color="auto"/>
              <w:bottom w:val="single" w:sz="4" w:space="0" w:color="5B9BD4"/>
              <w:right w:val="nil" w:sz="6" w:space="0" w:color="auto"/>
            </w:tcBorders>
          </w:tcPr>
          <w:p>
            <w:pPr/>
          </w:p>
        </w:tc>
      </w:tr>
      <w:tr>
        <w:trPr>
          <w:trHeight w:val="634" w:hRule="exact"/>
        </w:trPr>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2" w:lineRule="auto" w:before="5"/>
              <w:ind w:left="108" w:right="129"/>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．提取一般风 险准备</w:t>
            </w:r>
          </w:p>
        </w:tc>
        <w:tc>
          <w:tcPr>
            <w:tcW w:w="58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
        </w:tc>
        <w:tc>
          <w:tcPr>
            <w:tcW w:w="666"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6"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59" w:type="dxa"/>
            <w:tcBorders>
              <w:top w:val="single" w:sz="4" w:space="0" w:color="5B9BD4"/>
              <w:left w:val="nil" w:sz="6" w:space="0" w:color="auto"/>
              <w:bottom w:val="single" w:sz="4" w:space="0" w:color="5B9BD4"/>
              <w:right w:val="nil" w:sz="6" w:space="0" w:color="auto"/>
            </w:tcBorders>
          </w:tcPr>
          <w:p>
            <w:pPr/>
          </w:p>
        </w:tc>
      </w:tr>
      <w:tr>
        <w:trPr>
          <w:trHeight w:val="946" w:hRule="exact"/>
        </w:trPr>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2" w:lineRule="auto" w:before="161"/>
              <w:ind w:left="108" w:right="107"/>
              <w:jc w:val="left"/>
              <w:rPr>
                <w:rFonts w:ascii="宋体" w:hAnsi="宋体" w:cs="宋体" w:eastAsia="宋体" w:hint="default"/>
                <w:sz w:val="18"/>
                <w:szCs w:val="18"/>
              </w:rPr>
            </w:pPr>
            <w:r>
              <w:rPr>
                <w:rFonts w:ascii="Arial" w:hAnsi="Arial" w:cs="Arial" w:eastAsia="Arial" w:hint="default"/>
                <w:spacing w:val="-21"/>
                <w:w w:val="99"/>
                <w:sz w:val="18"/>
                <w:szCs w:val="18"/>
              </w:rPr>
              <w:t>3</w:t>
            </w:r>
            <w:r>
              <w:rPr>
                <w:rFonts w:ascii="宋体" w:hAnsi="宋体" w:cs="宋体" w:eastAsia="宋体" w:hint="default"/>
                <w:spacing w:val="-21"/>
                <w:w w:val="99"/>
                <w:sz w:val="18"/>
                <w:szCs w:val="18"/>
              </w:rPr>
              <w:t>．对所有者（或</w:t>
            </w:r>
            <w:r>
              <w:rPr>
                <w:rFonts w:ascii="宋体" w:hAnsi="宋体" w:cs="宋体" w:eastAsia="宋体" w:hint="default"/>
                <w:spacing w:val="-83"/>
                <w:w w:val="99"/>
                <w:sz w:val="18"/>
                <w:szCs w:val="18"/>
              </w:rPr>
              <w:t> </w:t>
            </w:r>
            <w:r>
              <w:rPr>
                <w:rFonts w:ascii="宋体" w:hAnsi="宋体" w:cs="宋体" w:eastAsia="宋体" w:hint="default"/>
                <w:spacing w:val="-83"/>
                <w:w w:val="99"/>
                <w:sz w:val="18"/>
                <w:szCs w:val="18"/>
              </w:rPr>
            </w:r>
            <w:r>
              <w:rPr>
                <w:rFonts w:ascii="宋体" w:hAnsi="宋体" w:cs="宋体" w:eastAsia="宋体" w:hint="default"/>
                <w:sz w:val="18"/>
                <w:szCs w:val="18"/>
              </w:rPr>
              <w:t>股东）的分配</w:t>
            </w:r>
          </w:p>
        </w:tc>
        <w:tc>
          <w:tcPr>
            <w:tcW w:w="58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
        </w:tc>
        <w:tc>
          <w:tcPr>
            <w:tcW w:w="666"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6"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8"/>
              <w:ind w:left="85" w:right="0"/>
              <w:jc w:val="center"/>
              <w:rPr>
                <w:rFonts w:ascii="Arial" w:hAnsi="Arial" w:cs="Arial" w:eastAsia="Arial" w:hint="default"/>
                <w:sz w:val="16"/>
                <w:szCs w:val="16"/>
              </w:rPr>
            </w:pPr>
            <w:r>
              <w:rPr>
                <w:rFonts w:ascii="Arial"/>
                <w:sz w:val="16"/>
              </w:rPr>
              <w:t>-3,00</w:t>
            </w:r>
          </w:p>
          <w:p>
            <w:pPr>
              <w:pStyle w:val="TableParagraph"/>
              <w:spacing w:line="240" w:lineRule="auto" w:before="128"/>
              <w:ind w:left="113" w:right="0"/>
              <w:jc w:val="left"/>
              <w:rPr>
                <w:rFonts w:ascii="Arial" w:hAnsi="Arial" w:cs="Arial" w:eastAsia="Arial" w:hint="default"/>
                <w:sz w:val="16"/>
                <w:szCs w:val="16"/>
              </w:rPr>
            </w:pPr>
            <w:r>
              <w:rPr>
                <w:rFonts w:ascii="Arial"/>
                <w:sz w:val="16"/>
              </w:rPr>
              <w:t>0,000.</w:t>
            </w:r>
          </w:p>
          <w:p>
            <w:pPr>
              <w:pStyle w:val="TableParagraph"/>
              <w:spacing w:line="240" w:lineRule="auto" w:before="128"/>
              <w:ind w:left="271" w:right="0"/>
              <w:jc w:val="center"/>
              <w:rPr>
                <w:rFonts w:ascii="Arial" w:hAnsi="Arial" w:cs="Arial" w:eastAsia="Arial" w:hint="default"/>
                <w:sz w:val="16"/>
                <w:szCs w:val="16"/>
              </w:rPr>
            </w:pPr>
            <w:r>
              <w:rPr>
                <w:rFonts w:ascii="Arial"/>
                <w:sz w:val="16"/>
              </w:rPr>
              <w:t>00</w:t>
            </w:r>
          </w:p>
        </w:tc>
        <w:tc>
          <w:tcPr>
            <w:tcW w:w="659" w:type="dxa"/>
            <w:tcBorders>
              <w:top w:val="single" w:sz="4" w:space="0" w:color="5B9BD4"/>
              <w:left w:val="nil" w:sz="6" w:space="0" w:color="auto"/>
              <w:bottom w:val="single" w:sz="4" w:space="0" w:color="5B9BD4"/>
              <w:right w:val="nil" w:sz="6" w:space="0" w:color="auto"/>
            </w:tcBorders>
          </w:tcPr>
          <w:p>
            <w:pPr>
              <w:pStyle w:val="TableParagraph"/>
              <w:spacing w:line="240" w:lineRule="auto" w:before="58"/>
              <w:ind w:left="79" w:right="0"/>
              <w:jc w:val="center"/>
              <w:rPr>
                <w:rFonts w:ascii="Arial" w:hAnsi="Arial" w:cs="Arial" w:eastAsia="Arial" w:hint="default"/>
                <w:sz w:val="16"/>
                <w:szCs w:val="16"/>
              </w:rPr>
            </w:pPr>
            <w:r>
              <w:rPr>
                <w:rFonts w:ascii="Arial"/>
                <w:sz w:val="16"/>
              </w:rPr>
              <w:t>-3,00</w:t>
            </w:r>
          </w:p>
          <w:p>
            <w:pPr>
              <w:pStyle w:val="TableParagraph"/>
              <w:spacing w:line="240" w:lineRule="auto" w:before="128"/>
              <w:ind w:left="45" w:right="0"/>
              <w:jc w:val="center"/>
              <w:rPr>
                <w:rFonts w:ascii="Arial" w:hAnsi="Arial" w:cs="Arial" w:eastAsia="Arial" w:hint="default"/>
                <w:sz w:val="16"/>
                <w:szCs w:val="16"/>
              </w:rPr>
            </w:pPr>
            <w:r>
              <w:rPr>
                <w:rFonts w:ascii="Arial"/>
                <w:sz w:val="16"/>
              </w:rPr>
              <w:t>0,000</w:t>
            </w:r>
          </w:p>
          <w:p>
            <w:pPr>
              <w:pStyle w:val="TableParagraph"/>
              <w:spacing w:line="240" w:lineRule="auto" w:before="128"/>
              <w:ind w:left="220" w:right="0"/>
              <w:jc w:val="center"/>
              <w:rPr>
                <w:rFonts w:ascii="Arial" w:hAnsi="Arial" w:cs="Arial" w:eastAsia="Arial" w:hint="default"/>
                <w:sz w:val="16"/>
                <w:szCs w:val="16"/>
              </w:rPr>
            </w:pPr>
            <w:r>
              <w:rPr>
                <w:rFonts w:ascii="Arial"/>
                <w:sz w:val="16"/>
              </w:rPr>
              <w:t>.00</w:t>
            </w:r>
          </w:p>
        </w:tc>
      </w:tr>
      <w:tr>
        <w:trPr>
          <w:trHeight w:val="322" w:hRule="exact"/>
        </w:trPr>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58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
        </w:tc>
        <w:tc>
          <w:tcPr>
            <w:tcW w:w="666"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6"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59" w:type="dxa"/>
            <w:tcBorders>
              <w:top w:val="single" w:sz="4" w:space="0" w:color="5B9BD4"/>
              <w:left w:val="nil" w:sz="6" w:space="0" w:color="auto"/>
              <w:bottom w:val="single" w:sz="4" w:space="0" w:color="5B9BD4"/>
              <w:right w:val="nil" w:sz="6" w:space="0" w:color="auto"/>
            </w:tcBorders>
          </w:tcPr>
          <w:p>
            <w:pPr/>
          </w:p>
        </w:tc>
      </w:tr>
      <w:tr>
        <w:trPr>
          <w:trHeight w:val="634" w:hRule="exact"/>
        </w:trPr>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06"/>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益内部结转</w:t>
            </w:r>
          </w:p>
        </w:tc>
        <w:tc>
          <w:tcPr>
            <w:tcW w:w="58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
        </w:tc>
        <w:tc>
          <w:tcPr>
            <w:tcW w:w="666"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6"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59" w:type="dxa"/>
            <w:tcBorders>
              <w:top w:val="single" w:sz="4" w:space="0" w:color="5B9BD4"/>
              <w:left w:val="nil" w:sz="6" w:space="0" w:color="auto"/>
              <w:bottom w:val="single" w:sz="4" w:space="0" w:color="5B9BD4"/>
              <w:right w:val="nil" w:sz="6" w:space="0" w:color="auto"/>
            </w:tcBorders>
          </w:tcPr>
          <w:p>
            <w:pPr/>
          </w:p>
        </w:tc>
      </w:tr>
      <w:tr>
        <w:trPr>
          <w:trHeight w:val="947" w:hRule="exact"/>
        </w:trPr>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9" w:lineRule="auto" w:before="5"/>
              <w:ind w:left="108" w:right="129"/>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．资本公积转 增资本（或股 本）</w:t>
            </w:r>
          </w:p>
        </w:tc>
        <w:tc>
          <w:tcPr>
            <w:tcW w:w="58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
        </w:tc>
        <w:tc>
          <w:tcPr>
            <w:tcW w:w="666"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6"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59" w:type="dxa"/>
            <w:tcBorders>
              <w:top w:val="single" w:sz="4" w:space="0" w:color="5B9BD4"/>
              <w:left w:val="nil" w:sz="6" w:space="0" w:color="auto"/>
              <w:bottom w:val="single" w:sz="4" w:space="0" w:color="5B9BD4"/>
              <w:right w:val="nil" w:sz="6" w:space="0" w:color="auto"/>
            </w:tcBorders>
          </w:tcPr>
          <w:p>
            <w:pPr/>
          </w:p>
        </w:tc>
      </w:tr>
      <w:tr>
        <w:trPr>
          <w:trHeight w:val="946" w:hRule="exact"/>
        </w:trPr>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9" w:lineRule="auto" w:before="6"/>
              <w:ind w:left="108" w:right="129"/>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．盈余公积转 增资本（或股 本）</w:t>
            </w:r>
          </w:p>
        </w:tc>
        <w:tc>
          <w:tcPr>
            <w:tcW w:w="58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
        </w:tc>
        <w:tc>
          <w:tcPr>
            <w:tcW w:w="666"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6"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59" w:type="dxa"/>
            <w:tcBorders>
              <w:top w:val="single" w:sz="4" w:space="0" w:color="5B9BD4"/>
              <w:left w:val="nil" w:sz="6" w:space="0" w:color="auto"/>
              <w:bottom w:val="single" w:sz="4" w:space="0" w:color="5B9BD4"/>
              <w:right w:val="nil" w:sz="6" w:space="0" w:color="auto"/>
            </w:tcBorders>
          </w:tcPr>
          <w:p>
            <w:pPr/>
          </w:p>
        </w:tc>
      </w:tr>
      <w:tr>
        <w:trPr>
          <w:trHeight w:val="634" w:hRule="exact"/>
        </w:trPr>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2" w:lineRule="auto" w:before="5"/>
              <w:ind w:left="108" w:right="129"/>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．盈余公积弥 补亏损</w:t>
            </w:r>
          </w:p>
        </w:tc>
        <w:tc>
          <w:tcPr>
            <w:tcW w:w="58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
        </w:tc>
        <w:tc>
          <w:tcPr>
            <w:tcW w:w="666"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6"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59" w:type="dxa"/>
            <w:tcBorders>
              <w:top w:val="single" w:sz="4" w:space="0" w:color="5B9BD4"/>
              <w:left w:val="nil" w:sz="6" w:space="0" w:color="auto"/>
              <w:bottom w:val="single" w:sz="4" w:space="0" w:color="5B9BD4"/>
              <w:right w:val="nil" w:sz="6" w:space="0" w:color="auto"/>
            </w:tcBorders>
          </w:tcPr>
          <w:p>
            <w:pPr/>
          </w:p>
        </w:tc>
      </w:tr>
      <w:tr>
        <w:trPr>
          <w:trHeight w:val="322" w:hRule="exact"/>
        </w:trPr>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58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
        </w:tc>
        <w:tc>
          <w:tcPr>
            <w:tcW w:w="666"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6"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59" w:type="dxa"/>
            <w:tcBorders>
              <w:top w:val="single" w:sz="4" w:space="0" w:color="5B9BD4"/>
              <w:left w:val="nil" w:sz="6" w:space="0" w:color="auto"/>
              <w:bottom w:val="single" w:sz="4" w:space="0" w:color="5B9BD4"/>
              <w:right w:val="nil" w:sz="6" w:space="0" w:color="auto"/>
            </w:tcBorders>
          </w:tcPr>
          <w:p>
            <w:pPr/>
          </w:p>
        </w:tc>
      </w:tr>
      <w:tr>
        <w:trPr>
          <w:trHeight w:val="322" w:hRule="exact"/>
        </w:trPr>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58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
        </w:tc>
        <w:tc>
          <w:tcPr>
            <w:tcW w:w="666"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6"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59" w:type="dxa"/>
            <w:tcBorders>
              <w:top w:val="single" w:sz="4" w:space="0" w:color="5B9BD4"/>
              <w:left w:val="nil" w:sz="6" w:space="0" w:color="auto"/>
              <w:bottom w:val="single" w:sz="4" w:space="0" w:color="5B9BD4"/>
              <w:right w:val="nil" w:sz="6" w:space="0" w:color="auto"/>
            </w:tcBorders>
          </w:tcPr>
          <w:p>
            <w:pPr/>
          </w:p>
        </w:tc>
      </w:tr>
      <w:tr>
        <w:trPr>
          <w:trHeight w:val="322" w:hRule="exact"/>
        </w:trPr>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．本期提取</w:t>
            </w:r>
          </w:p>
        </w:tc>
        <w:tc>
          <w:tcPr>
            <w:tcW w:w="58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
        </w:tc>
        <w:tc>
          <w:tcPr>
            <w:tcW w:w="666"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6"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59" w:type="dxa"/>
            <w:tcBorders>
              <w:top w:val="single" w:sz="4" w:space="0" w:color="5B9BD4"/>
              <w:left w:val="nil" w:sz="6" w:space="0" w:color="auto"/>
              <w:bottom w:val="single" w:sz="4" w:space="0" w:color="5B9BD4"/>
              <w:right w:val="nil" w:sz="6" w:space="0" w:color="auto"/>
            </w:tcBorders>
          </w:tcPr>
          <w:p>
            <w:pPr/>
          </w:p>
        </w:tc>
      </w:tr>
      <w:tr>
        <w:trPr>
          <w:trHeight w:val="322" w:hRule="exact"/>
        </w:trPr>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．本期使用</w:t>
            </w:r>
          </w:p>
        </w:tc>
        <w:tc>
          <w:tcPr>
            <w:tcW w:w="58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
        </w:tc>
        <w:tc>
          <w:tcPr>
            <w:tcW w:w="666"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6"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59" w:type="dxa"/>
            <w:tcBorders>
              <w:top w:val="single" w:sz="4" w:space="0" w:color="5B9BD4"/>
              <w:left w:val="nil" w:sz="6" w:space="0" w:color="auto"/>
              <w:bottom w:val="single" w:sz="4" w:space="0" w:color="5B9BD4"/>
              <w:right w:val="nil" w:sz="6" w:space="0" w:color="auto"/>
            </w:tcBorders>
          </w:tcPr>
          <w:p>
            <w:pPr/>
          </w:p>
        </w:tc>
      </w:tr>
      <w:tr>
        <w:trPr>
          <w:trHeight w:val="946" w:hRule="exact"/>
        </w:trPr>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8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Style w:val="TableParagraph"/>
              <w:spacing w:line="240" w:lineRule="auto" w:before="59"/>
              <w:ind w:left="83" w:right="0"/>
              <w:jc w:val="center"/>
              <w:rPr>
                <w:rFonts w:ascii="Arial" w:hAnsi="Arial" w:cs="Arial" w:eastAsia="Arial" w:hint="default"/>
                <w:sz w:val="16"/>
                <w:szCs w:val="16"/>
              </w:rPr>
            </w:pPr>
            <w:r>
              <w:rPr>
                <w:rFonts w:ascii="Arial"/>
                <w:sz w:val="16"/>
              </w:rPr>
              <w:t>-6,44</w:t>
            </w:r>
          </w:p>
          <w:p>
            <w:pPr>
              <w:pStyle w:val="TableParagraph"/>
              <w:spacing w:line="240" w:lineRule="auto" w:before="128"/>
              <w:ind w:left="112" w:right="0"/>
              <w:jc w:val="left"/>
              <w:rPr>
                <w:rFonts w:ascii="Arial" w:hAnsi="Arial" w:cs="Arial" w:eastAsia="Arial" w:hint="default"/>
                <w:sz w:val="16"/>
                <w:szCs w:val="16"/>
              </w:rPr>
            </w:pPr>
            <w:r>
              <w:rPr>
                <w:rFonts w:ascii="Arial"/>
                <w:sz w:val="16"/>
              </w:rPr>
              <w:t>9,054.</w:t>
            </w:r>
          </w:p>
          <w:p>
            <w:pPr>
              <w:pStyle w:val="TableParagraph"/>
              <w:spacing w:line="240" w:lineRule="auto" w:before="128"/>
              <w:ind w:left="270" w:right="0"/>
              <w:jc w:val="center"/>
              <w:rPr>
                <w:rFonts w:ascii="Arial" w:hAnsi="Arial" w:cs="Arial" w:eastAsia="Arial" w:hint="default"/>
                <w:sz w:val="16"/>
                <w:szCs w:val="16"/>
              </w:rPr>
            </w:pPr>
            <w:r>
              <w:rPr>
                <w:rFonts w:ascii="Arial"/>
                <w:sz w:val="16"/>
              </w:rPr>
              <w:t>57</w:t>
            </w:r>
          </w:p>
        </w:tc>
        <w:tc>
          <w:tcPr>
            <w:tcW w:w="666"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6"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9"/>
              <w:ind w:left="193" w:right="0"/>
              <w:jc w:val="left"/>
              <w:rPr>
                <w:rFonts w:ascii="Arial" w:hAnsi="Arial" w:cs="Arial" w:eastAsia="Arial" w:hint="default"/>
                <w:sz w:val="16"/>
                <w:szCs w:val="16"/>
              </w:rPr>
            </w:pPr>
            <w:r>
              <w:rPr>
                <w:rFonts w:ascii="Arial"/>
                <w:sz w:val="16"/>
              </w:rPr>
              <w:t>-14,1</w:t>
            </w:r>
          </w:p>
          <w:p>
            <w:pPr>
              <w:pStyle w:val="TableParagraph"/>
              <w:spacing w:line="240" w:lineRule="auto" w:before="128"/>
              <w:ind w:left="158" w:right="0"/>
              <w:jc w:val="left"/>
              <w:rPr>
                <w:rFonts w:ascii="Arial" w:hAnsi="Arial" w:cs="Arial" w:eastAsia="Arial" w:hint="default"/>
                <w:sz w:val="16"/>
                <w:szCs w:val="16"/>
              </w:rPr>
            </w:pPr>
            <w:r>
              <w:rPr>
                <w:rFonts w:ascii="Arial"/>
                <w:sz w:val="16"/>
              </w:rPr>
              <w:t>60,48</w:t>
            </w:r>
          </w:p>
          <w:p>
            <w:pPr>
              <w:pStyle w:val="TableParagraph"/>
              <w:spacing w:line="240" w:lineRule="auto" w:before="128"/>
              <w:ind w:left="246" w:right="0"/>
              <w:jc w:val="left"/>
              <w:rPr>
                <w:rFonts w:ascii="Arial" w:hAnsi="Arial" w:cs="Arial" w:eastAsia="Arial" w:hint="default"/>
                <w:sz w:val="16"/>
                <w:szCs w:val="16"/>
              </w:rPr>
            </w:pPr>
            <w:r>
              <w:rPr>
                <w:rFonts w:ascii="Arial"/>
                <w:sz w:val="16"/>
              </w:rPr>
              <w:t>6.29</w:t>
            </w:r>
          </w:p>
        </w:tc>
        <w:tc>
          <w:tcPr>
            <w:tcW w:w="659" w:type="dxa"/>
            <w:tcBorders>
              <w:top w:val="single" w:sz="4" w:space="0" w:color="5B9BD4"/>
              <w:left w:val="nil" w:sz="6" w:space="0" w:color="auto"/>
              <w:bottom w:val="single" w:sz="4" w:space="0" w:color="5B9BD4"/>
              <w:right w:val="nil" w:sz="6" w:space="0" w:color="auto"/>
            </w:tcBorders>
          </w:tcPr>
          <w:p>
            <w:pPr>
              <w:pStyle w:val="TableParagraph"/>
              <w:spacing w:line="240" w:lineRule="auto" w:before="59"/>
              <w:ind w:left="187" w:right="0"/>
              <w:jc w:val="left"/>
              <w:rPr>
                <w:rFonts w:ascii="Arial" w:hAnsi="Arial" w:cs="Arial" w:eastAsia="Arial" w:hint="default"/>
                <w:sz w:val="16"/>
                <w:szCs w:val="16"/>
              </w:rPr>
            </w:pPr>
            <w:r>
              <w:rPr>
                <w:rFonts w:ascii="Arial"/>
                <w:sz w:val="16"/>
              </w:rPr>
              <w:t>-20,6</w:t>
            </w:r>
          </w:p>
          <w:p>
            <w:pPr>
              <w:pStyle w:val="TableParagraph"/>
              <w:spacing w:line="240" w:lineRule="auto" w:before="128"/>
              <w:ind w:left="152" w:right="0"/>
              <w:jc w:val="left"/>
              <w:rPr>
                <w:rFonts w:ascii="Arial" w:hAnsi="Arial" w:cs="Arial" w:eastAsia="Arial" w:hint="default"/>
                <w:sz w:val="16"/>
                <w:szCs w:val="16"/>
              </w:rPr>
            </w:pPr>
            <w:r>
              <w:rPr>
                <w:rFonts w:ascii="Arial"/>
                <w:sz w:val="16"/>
              </w:rPr>
              <w:t>09,54</w:t>
            </w:r>
          </w:p>
          <w:p>
            <w:pPr>
              <w:pStyle w:val="TableParagraph"/>
              <w:spacing w:line="240" w:lineRule="auto" w:before="128"/>
              <w:ind w:left="240" w:right="0"/>
              <w:jc w:val="left"/>
              <w:rPr>
                <w:rFonts w:ascii="Arial" w:hAnsi="Arial" w:cs="Arial" w:eastAsia="Arial" w:hint="default"/>
                <w:sz w:val="16"/>
                <w:szCs w:val="16"/>
              </w:rPr>
            </w:pPr>
            <w:r>
              <w:rPr>
                <w:rFonts w:ascii="Arial"/>
                <w:sz w:val="16"/>
              </w:rPr>
              <w:t>0.86</w:t>
            </w:r>
          </w:p>
        </w:tc>
      </w:tr>
      <w:tr>
        <w:trPr>
          <w:trHeight w:val="1258" w:hRule="exact"/>
        </w:trPr>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
              <w:ind w:right="0"/>
              <w:jc w:val="left"/>
              <w:rPr>
                <w:rFonts w:ascii="宋体" w:hAnsi="宋体" w:cs="宋体" w:eastAsia="宋体" w:hint="default"/>
                <w:sz w:val="24"/>
                <w:szCs w:val="24"/>
              </w:rPr>
            </w:pPr>
          </w:p>
          <w:p>
            <w:pPr>
              <w:pStyle w:val="TableParagraph"/>
              <w:spacing w:line="316" w:lineRule="auto"/>
              <w:ind w:left="108" w:right="106"/>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82" w:type="dxa"/>
            <w:tcBorders>
              <w:top w:val="single" w:sz="4" w:space="0" w:color="5B9BD4"/>
              <w:left w:val="nil" w:sz="6" w:space="0" w:color="auto"/>
              <w:bottom w:val="single" w:sz="4" w:space="0" w:color="5B9BD4"/>
              <w:right w:val="nil" w:sz="6" w:space="0" w:color="auto"/>
            </w:tcBorders>
          </w:tcPr>
          <w:p>
            <w:pPr>
              <w:pStyle w:val="TableParagraph"/>
              <w:spacing w:line="240" w:lineRule="auto" w:before="58"/>
              <w:ind w:left="55" w:right="0"/>
              <w:jc w:val="center"/>
              <w:rPr>
                <w:rFonts w:ascii="Arial" w:hAnsi="Arial" w:cs="Arial" w:eastAsia="Arial" w:hint="default"/>
                <w:sz w:val="16"/>
                <w:szCs w:val="16"/>
              </w:rPr>
            </w:pPr>
            <w:r>
              <w:rPr>
                <w:rFonts w:ascii="Arial"/>
                <w:sz w:val="16"/>
              </w:rPr>
              <w:t>991,</w:t>
            </w:r>
          </w:p>
          <w:p>
            <w:pPr>
              <w:pStyle w:val="TableParagraph"/>
              <w:spacing w:line="240" w:lineRule="auto" w:before="128"/>
              <w:ind w:left="55" w:right="0"/>
              <w:jc w:val="center"/>
              <w:rPr>
                <w:rFonts w:ascii="Arial" w:hAnsi="Arial" w:cs="Arial" w:eastAsia="Arial" w:hint="default"/>
                <w:sz w:val="16"/>
                <w:szCs w:val="16"/>
              </w:rPr>
            </w:pPr>
            <w:r>
              <w:rPr>
                <w:rFonts w:ascii="Arial"/>
                <w:sz w:val="16"/>
              </w:rPr>
              <w:t>384,</w:t>
            </w:r>
          </w:p>
          <w:p>
            <w:pPr>
              <w:pStyle w:val="TableParagraph"/>
              <w:spacing w:line="240" w:lineRule="auto" w:before="128"/>
              <w:ind w:left="55" w:right="0"/>
              <w:jc w:val="center"/>
              <w:rPr>
                <w:rFonts w:ascii="Arial" w:hAnsi="Arial" w:cs="Arial" w:eastAsia="Arial" w:hint="default"/>
                <w:sz w:val="16"/>
                <w:szCs w:val="16"/>
              </w:rPr>
            </w:pPr>
            <w:r>
              <w:rPr>
                <w:rFonts w:ascii="Arial"/>
                <w:sz w:val="16"/>
              </w:rPr>
              <w:t>839.</w:t>
            </w:r>
          </w:p>
          <w:p>
            <w:pPr>
              <w:pStyle w:val="TableParagraph"/>
              <w:spacing w:line="240" w:lineRule="auto" w:before="128"/>
              <w:ind w:left="188" w:right="0"/>
              <w:jc w:val="center"/>
              <w:rPr>
                <w:rFonts w:ascii="Arial" w:hAnsi="Arial" w:cs="Arial" w:eastAsia="Arial" w:hint="default"/>
                <w:sz w:val="16"/>
                <w:szCs w:val="16"/>
              </w:rPr>
            </w:pPr>
            <w:r>
              <w:rPr>
                <w:rFonts w:ascii="Arial"/>
                <w:sz w:val="16"/>
              </w:rPr>
              <w:t>00</w:t>
            </w: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12" w:right="0"/>
              <w:jc w:val="left"/>
              <w:rPr>
                <w:rFonts w:ascii="Arial" w:hAnsi="Arial" w:cs="Arial" w:eastAsia="Arial" w:hint="default"/>
                <w:sz w:val="16"/>
                <w:szCs w:val="16"/>
              </w:rPr>
            </w:pPr>
            <w:r>
              <w:rPr>
                <w:rFonts w:ascii="Arial"/>
                <w:sz w:val="16"/>
              </w:rPr>
              <w:t>1,476,</w:t>
            </w:r>
          </w:p>
          <w:p>
            <w:pPr>
              <w:pStyle w:val="TableParagraph"/>
              <w:spacing w:line="240" w:lineRule="auto" w:before="128"/>
              <w:ind w:left="157" w:right="0"/>
              <w:jc w:val="left"/>
              <w:rPr>
                <w:rFonts w:ascii="Arial" w:hAnsi="Arial" w:cs="Arial" w:eastAsia="Arial" w:hint="default"/>
                <w:sz w:val="16"/>
                <w:szCs w:val="16"/>
              </w:rPr>
            </w:pPr>
            <w:r>
              <w:rPr>
                <w:rFonts w:ascii="Arial"/>
                <w:sz w:val="16"/>
              </w:rPr>
              <w:t>835,7</w:t>
            </w:r>
          </w:p>
          <w:p>
            <w:pPr>
              <w:pStyle w:val="TableParagraph"/>
              <w:spacing w:line="240" w:lineRule="auto" w:before="128"/>
              <w:ind w:left="157" w:right="0"/>
              <w:jc w:val="left"/>
              <w:rPr>
                <w:rFonts w:ascii="Arial" w:hAnsi="Arial" w:cs="Arial" w:eastAsia="Arial" w:hint="default"/>
                <w:sz w:val="16"/>
                <w:szCs w:val="16"/>
              </w:rPr>
            </w:pPr>
            <w:r>
              <w:rPr>
                <w:rFonts w:ascii="Arial"/>
                <w:sz w:val="16"/>
              </w:rPr>
              <w:t>94.70</w:t>
            </w:r>
          </w:p>
        </w:tc>
        <w:tc>
          <w:tcPr>
            <w:tcW w:w="666"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58" w:right="0"/>
              <w:jc w:val="left"/>
              <w:rPr>
                <w:rFonts w:ascii="Arial" w:hAnsi="Arial" w:cs="Arial" w:eastAsia="Arial" w:hint="default"/>
                <w:sz w:val="16"/>
                <w:szCs w:val="16"/>
              </w:rPr>
            </w:pPr>
            <w:r>
              <w:rPr>
                <w:rFonts w:ascii="Arial"/>
                <w:sz w:val="16"/>
              </w:rPr>
              <w:t>54,64</w:t>
            </w:r>
          </w:p>
          <w:p>
            <w:pPr>
              <w:pStyle w:val="TableParagraph"/>
              <w:spacing w:line="240" w:lineRule="auto" w:before="128"/>
              <w:ind w:left="113" w:right="0"/>
              <w:jc w:val="left"/>
              <w:rPr>
                <w:rFonts w:ascii="Arial" w:hAnsi="Arial" w:cs="Arial" w:eastAsia="Arial" w:hint="default"/>
                <w:sz w:val="16"/>
                <w:szCs w:val="16"/>
              </w:rPr>
            </w:pPr>
            <w:r>
              <w:rPr>
                <w:rFonts w:ascii="Arial"/>
                <w:sz w:val="16"/>
              </w:rPr>
              <w:t>3,498.</w:t>
            </w:r>
          </w:p>
          <w:p>
            <w:pPr>
              <w:pStyle w:val="TableParagraph"/>
              <w:spacing w:line="240" w:lineRule="auto" w:before="128"/>
              <w:ind w:left="379" w:right="0"/>
              <w:jc w:val="left"/>
              <w:rPr>
                <w:rFonts w:ascii="Arial" w:hAnsi="Arial" w:cs="Arial" w:eastAsia="Arial" w:hint="default"/>
                <w:sz w:val="16"/>
                <w:szCs w:val="16"/>
              </w:rPr>
            </w:pPr>
            <w:r>
              <w:rPr>
                <w:rFonts w:ascii="Arial"/>
                <w:sz w:val="16"/>
              </w:rPr>
              <w:t>12</w:t>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4"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57" w:right="0"/>
              <w:jc w:val="left"/>
              <w:rPr>
                <w:rFonts w:ascii="Arial" w:hAnsi="Arial" w:cs="Arial" w:eastAsia="Arial" w:hint="default"/>
                <w:sz w:val="16"/>
                <w:szCs w:val="16"/>
              </w:rPr>
            </w:pPr>
            <w:r>
              <w:rPr>
                <w:rFonts w:ascii="Arial"/>
                <w:sz w:val="16"/>
              </w:rPr>
              <w:t>225,8</w:t>
            </w:r>
          </w:p>
          <w:p>
            <w:pPr>
              <w:pStyle w:val="TableParagraph"/>
              <w:spacing w:line="240" w:lineRule="auto" w:before="128"/>
              <w:ind w:left="157" w:right="0"/>
              <w:jc w:val="left"/>
              <w:rPr>
                <w:rFonts w:ascii="Arial" w:hAnsi="Arial" w:cs="Arial" w:eastAsia="Arial" w:hint="default"/>
                <w:sz w:val="16"/>
                <w:szCs w:val="16"/>
              </w:rPr>
            </w:pPr>
            <w:r>
              <w:rPr>
                <w:rFonts w:ascii="Arial"/>
                <w:sz w:val="16"/>
              </w:rPr>
              <w:t>45,34</w:t>
            </w:r>
          </w:p>
          <w:p>
            <w:pPr>
              <w:pStyle w:val="TableParagraph"/>
              <w:spacing w:line="240" w:lineRule="auto" w:before="128"/>
              <w:ind w:left="244" w:right="0"/>
              <w:jc w:val="left"/>
              <w:rPr>
                <w:rFonts w:ascii="Arial" w:hAnsi="Arial" w:cs="Arial" w:eastAsia="Arial" w:hint="default"/>
                <w:sz w:val="16"/>
                <w:szCs w:val="16"/>
              </w:rPr>
            </w:pPr>
            <w:r>
              <w:rPr>
                <w:rFonts w:ascii="Arial"/>
                <w:sz w:val="16"/>
              </w:rPr>
              <w:t>7.40</w:t>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6"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13" w:right="0"/>
              <w:jc w:val="left"/>
              <w:rPr>
                <w:rFonts w:ascii="Arial" w:hAnsi="Arial" w:cs="Arial" w:eastAsia="Arial" w:hint="default"/>
                <w:sz w:val="16"/>
                <w:szCs w:val="16"/>
              </w:rPr>
            </w:pPr>
            <w:r>
              <w:rPr>
                <w:rFonts w:ascii="Arial"/>
                <w:sz w:val="16"/>
              </w:rPr>
              <w:t>1,719,</w:t>
            </w:r>
          </w:p>
          <w:p>
            <w:pPr>
              <w:pStyle w:val="TableParagraph"/>
              <w:spacing w:line="240" w:lineRule="auto" w:before="128"/>
              <w:ind w:left="158" w:right="0"/>
              <w:jc w:val="left"/>
              <w:rPr>
                <w:rFonts w:ascii="Arial" w:hAnsi="Arial" w:cs="Arial" w:eastAsia="Arial" w:hint="default"/>
                <w:sz w:val="16"/>
                <w:szCs w:val="16"/>
              </w:rPr>
            </w:pPr>
            <w:r>
              <w:rPr>
                <w:rFonts w:ascii="Arial"/>
                <w:sz w:val="16"/>
              </w:rPr>
              <w:t>865,5</w:t>
            </w:r>
          </w:p>
          <w:p>
            <w:pPr>
              <w:pStyle w:val="TableParagraph"/>
              <w:spacing w:line="240" w:lineRule="auto" w:before="128"/>
              <w:ind w:left="158" w:right="0"/>
              <w:jc w:val="left"/>
              <w:rPr>
                <w:rFonts w:ascii="Arial" w:hAnsi="Arial" w:cs="Arial" w:eastAsia="Arial" w:hint="default"/>
                <w:sz w:val="16"/>
                <w:szCs w:val="16"/>
              </w:rPr>
            </w:pPr>
            <w:r>
              <w:rPr>
                <w:rFonts w:ascii="Arial"/>
                <w:sz w:val="16"/>
              </w:rPr>
              <w:t>93.06</w:t>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4"/>
              <w:jc w:val="right"/>
              <w:rPr>
                <w:rFonts w:ascii="Arial" w:hAnsi="Arial" w:cs="Arial" w:eastAsia="Arial" w:hint="default"/>
                <w:sz w:val="16"/>
                <w:szCs w:val="16"/>
              </w:rPr>
            </w:pPr>
            <w:r>
              <w:rPr>
                <w:rFonts w:ascii="Arial"/>
                <w:w w:val="95"/>
                <w:sz w:val="16"/>
              </w:rPr>
              <w:t>8,985,</w:t>
            </w:r>
            <w:r>
              <w:rPr>
                <w:rFonts w:ascii="Arial"/>
                <w:sz w:val="16"/>
              </w:rPr>
            </w:r>
          </w:p>
          <w:p>
            <w:pPr>
              <w:pStyle w:val="TableParagraph"/>
              <w:spacing w:line="240" w:lineRule="auto" w:before="128"/>
              <w:ind w:right="104"/>
              <w:jc w:val="right"/>
              <w:rPr>
                <w:rFonts w:ascii="Arial" w:hAnsi="Arial" w:cs="Arial" w:eastAsia="Arial" w:hint="default"/>
                <w:sz w:val="16"/>
                <w:szCs w:val="16"/>
              </w:rPr>
            </w:pPr>
            <w:r>
              <w:rPr>
                <w:rFonts w:ascii="Arial"/>
                <w:w w:val="95"/>
                <w:sz w:val="16"/>
              </w:rPr>
              <w:t>102.2</w:t>
            </w:r>
            <w:r>
              <w:rPr>
                <w:rFonts w:ascii="Arial"/>
                <w:sz w:val="16"/>
              </w:rPr>
            </w:r>
          </w:p>
          <w:p>
            <w:pPr>
              <w:pStyle w:val="TableParagraph"/>
              <w:spacing w:line="240" w:lineRule="auto" w:before="128"/>
              <w:ind w:right="106"/>
              <w:jc w:val="right"/>
              <w:rPr>
                <w:rFonts w:ascii="Arial" w:hAnsi="Arial" w:cs="Arial" w:eastAsia="Arial" w:hint="default"/>
                <w:sz w:val="16"/>
                <w:szCs w:val="16"/>
              </w:rPr>
            </w:pPr>
            <w:r>
              <w:rPr>
                <w:rFonts w:ascii="Arial"/>
                <w:w w:val="99"/>
                <w:sz w:val="16"/>
              </w:rPr>
              <w:t>1</w:t>
            </w:r>
            <w:r>
              <w:rPr>
                <w:rFonts w:ascii="Arial"/>
                <w:sz w:val="16"/>
              </w:rPr>
            </w:r>
          </w:p>
        </w:tc>
        <w:tc>
          <w:tcPr>
            <w:tcW w:w="659" w:type="dxa"/>
            <w:tcBorders>
              <w:top w:val="single" w:sz="4" w:space="0" w:color="5B9BD4"/>
              <w:left w:val="nil" w:sz="6" w:space="0" w:color="auto"/>
              <w:bottom w:val="single" w:sz="4" w:space="0" w:color="5B9BD4"/>
              <w:right w:val="nil" w:sz="6" w:space="0" w:color="auto"/>
            </w:tcBorders>
          </w:tcPr>
          <w:p>
            <w:pPr>
              <w:pStyle w:val="TableParagraph"/>
              <w:spacing w:line="240" w:lineRule="auto" w:before="58"/>
              <w:ind w:left="152" w:right="0"/>
              <w:jc w:val="left"/>
              <w:rPr>
                <w:rFonts w:ascii="Arial" w:hAnsi="Arial" w:cs="Arial" w:eastAsia="Arial" w:hint="default"/>
                <w:sz w:val="16"/>
                <w:szCs w:val="16"/>
              </w:rPr>
            </w:pPr>
            <w:r>
              <w:rPr>
                <w:rFonts w:ascii="Arial"/>
                <w:sz w:val="16"/>
              </w:rPr>
              <w:t>4,477</w:t>
            </w:r>
          </w:p>
          <w:p>
            <w:pPr>
              <w:pStyle w:val="TableParagraph"/>
              <w:spacing w:line="240" w:lineRule="auto" w:before="128"/>
              <w:ind w:left="196" w:right="0"/>
              <w:jc w:val="left"/>
              <w:rPr>
                <w:rFonts w:ascii="Arial" w:hAnsi="Arial" w:cs="Arial" w:eastAsia="Arial" w:hint="default"/>
                <w:sz w:val="16"/>
                <w:szCs w:val="16"/>
              </w:rPr>
            </w:pPr>
            <w:r>
              <w:rPr>
                <w:rFonts w:ascii="Arial"/>
                <w:sz w:val="16"/>
              </w:rPr>
              <w:t>,560,</w:t>
            </w:r>
          </w:p>
          <w:p>
            <w:pPr>
              <w:pStyle w:val="TableParagraph"/>
              <w:spacing w:line="240" w:lineRule="auto" w:before="128"/>
              <w:ind w:left="152" w:right="0"/>
              <w:jc w:val="left"/>
              <w:rPr>
                <w:rFonts w:ascii="Arial" w:hAnsi="Arial" w:cs="Arial" w:eastAsia="Arial" w:hint="default"/>
                <w:sz w:val="16"/>
                <w:szCs w:val="16"/>
              </w:rPr>
            </w:pPr>
            <w:r>
              <w:rPr>
                <w:rFonts w:ascii="Arial"/>
                <w:sz w:val="16"/>
              </w:rPr>
              <w:t>174.4</w:t>
            </w:r>
          </w:p>
          <w:p>
            <w:pPr>
              <w:pStyle w:val="TableParagraph"/>
              <w:spacing w:line="240" w:lineRule="auto" w:before="128"/>
              <w:ind w:right="106"/>
              <w:jc w:val="right"/>
              <w:rPr>
                <w:rFonts w:ascii="Arial" w:hAnsi="Arial" w:cs="Arial" w:eastAsia="Arial" w:hint="default"/>
                <w:sz w:val="16"/>
                <w:szCs w:val="16"/>
              </w:rPr>
            </w:pPr>
            <w:r>
              <w:rPr>
                <w:rFonts w:ascii="Arial"/>
                <w:w w:val="99"/>
                <w:sz w:val="16"/>
              </w:rPr>
              <w:t>9</w:t>
            </w:r>
            <w:r>
              <w:rPr>
                <w:rFonts w:ascii="Arial"/>
                <w:sz w:val="16"/>
              </w:rPr>
            </w:r>
          </w:p>
        </w:tc>
      </w:tr>
    </w:tbl>
    <w:p>
      <w:pPr>
        <w:spacing w:line="240" w:lineRule="auto" w:before="1"/>
        <w:rPr>
          <w:rFonts w:ascii="宋体" w:hAnsi="宋体" w:cs="宋体" w:eastAsia="宋体" w:hint="default"/>
          <w:sz w:val="15"/>
          <w:szCs w:val="15"/>
        </w:rPr>
      </w:pPr>
    </w:p>
    <w:p>
      <w:pPr>
        <w:pStyle w:val="BodyText"/>
        <w:spacing w:line="240" w:lineRule="auto" w:before="18"/>
        <w:ind w:left="634" w:right="1513"/>
        <w:jc w:val="left"/>
      </w:pPr>
      <w:r>
        <w:rPr>
          <w:rFonts w:ascii="Arial" w:hAnsi="Arial" w:cs="Arial" w:eastAsia="Arial" w:hint="default"/>
        </w:rPr>
        <w:t>2</w:t>
      </w:r>
      <w:r>
        <w:rPr/>
        <w:t>、上期金额</w:t>
      </w:r>
    </w:p>
    <w:p>
      <w:pPr>
        <w:spacing w:line="240" w:lineRule="auto" w:before="2"/>
        <w:rPr>
          <w:rFonts w:ascii="宋体" w:hAnsi="宋体" w:cs="宋体" w:eastAsia="宋体" w:hint="default"/>
          <w:sz w:val="24"/>
          <w:szCs w:val="24"/>
        </w:rPr>
      </w:pPr>
    </w:p>
    <w:p>
      <w:pPr>
        <w:pStyle w:val="BodyText"/>
        <w:spacing w:line="240" w:lineRule="auto" w:before="18"/>
        <w:ind w:left="0" w:right="1130"/>
        <w:jc w:val="right"/>
      </w:pPr>
      <w:r>
        <w:rPr/>
        <w:t>单位：元</w:t>
      </w:r>
    </w:p>
    <w:p>
      <w:pPr>
        <w:spacing w:line="240" w:lineRule="auto" w:before="5"/>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111"/>
        <w:gridCol w:w="6459"/>
      </w:tblGrid>
      <w:tr>
        <w:trPr>
          <w:trHeight w:val="322" w:hRule="exact"/>
        </w:trPr>
        <w:tc>
          <w:tcPr>
            <w:tcW w:w="311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53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645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1673"/>
              <w:jc w:val="center"/>
              <w:rPr>
                <w:rFonts w:ascii="宋体" w:hAnsi="宋体" w:cs="宋体" w:eastAsia="宋体" w:hint="default"/>
                <w:sz w:val="18"/>
                <w:szCs w:val="18"/>
              </w:rPr>
            </w:pPr>
            <w:r>
              <w:rPr>
                <w:rFonts w:ascii="宋体" w:hAnsi="宋体" w:cs="宋体" w:eastAsia="宋体" w:hint="default"/>
                <w:sz w:val="18"/>
                <w:szCs w:val="18"/>
              </w:rPr>
              <w:t>上期</w:t>
            </w:r>
          </w:p>
        </w:tc>
      </w:tr>
    </w:tbl>
    <w:p>
      <w:pPr>
        <w:spacing w:after="0" w:line="240" w:lineRule="auto"/>
        <w:jc w:val="center"/>
        <w:rPr>
          <w:rFonts w:ascii="宋体" w:hAnsi="宋体" w:cs="宋体" w:eastAsia="宋体" w:hint="default"/>
          <w:sz w:val="18"/>
          <w:szCs w:val="18"/>
        </w:rPr>
        <w:sectPr>
          <w:footerReference w:type="default" r:id="rId48"/>
          <w:pgSz w:w="11910" w:h="16840"/>
          <w:pgMar w:footer="979" w:header="877" w:top="1100" w:bottom="1160" w:left="920" w:right="0"/>
        </w:sectPr>
      </w:pPr>
    </w:p>
    <w:p>
      <w:pPr>
        <w:spacing w:line="240" w:lineRule="auto" w:before="10"/>
        <w:rPr>
          <w:rFonts w:ascii="Times New Roman" w:hAnsi="Times New Roman" w:cs="Times New Roman" w:eastAsia="Times New Roman" w:hint="default"/>
          <w:sz w:val="27"/>
          <w:szCs w:val="27"/>
        </w:rPr>
      </w:pPr>
      <w:r>
        <w:rPr/>
        <w:pict>
          <v:group style="position:absolute;margin-left:122.959999pt;margin-top:88.079987pt;width:341.6pt;height:.5pt;mso-position-horizontal-relative:page;mso-position-vertical-relative:page;z-index:-1051216" coordorigin="2459,1762" coordsize="6832,10">
            <v:group style="position:absolute;left:2464;top:1766;width:562;height:2" coordorigin="2464,1766" coordsize="562,2">
              <v:shape style="position:absolute;left:2464;top:1766;width:562;height:2" coordorigin="2464,1766" coordsize="562,0" path="m2464,1766l3026,1766e" filled="false" stroked="true" strokeweight=".48pt" strokecolor="#5b9bd4">
                <v:path arrowok="t"/>
              </v:shape>
            </v:group>
            <v:group style="position:absolute;left:3026;top:1766;width:10;height:2" coordorigin="3026,1766" coordsize="10,2">
              <v:shape style="position:absolute;left:3026;top:1766;width:10;height:2" coordorigin="3026,1766" coordsize="10,0" path="m3026,1766l3035,1766e" filled="false" stroked="true" strokeweight=".48pt" strokecolor="#5b9bd4">
                <v:path arrowok="t"/>
              </v:shape>
            </v:group>
            <v:group style="position:absolute;left:3035;top:1766;width:1583;height:2" coordorigin="3035,1766" coordsize="1583,2">
              <v:shape style="position:absolute;left:3035;top:1766;width:1583;height:2" coordorigin="3035,1766" coordsize="1583,0" path="m3035,1766l4618,1766e" filled="false" stroked="true" strokeweight=".48pt" strokecolor="#5b9bd4">
                <v:path arrowok="t"/>
              </v:shape>
            </v:group>
            <v:group style="position:absolute;left:4618;top:1766;width:10;height:2" coordorigin="4618,1766" coordsize="10,2">
              <v:shape style="position:absolute;left:4618;top:1766;width:10;height:2" coordorigin="4618,1766" coordsize="10,0" path="m4618,1766l4628,1766e" filled="false" stroked="true" strokeweight=".48pt" strokecolor="#5b9bd4">
                <v:path arrowok="t"/>
              </v:shape>
            </v:group>
            <v:group style="position:absolute;left:4628;top:1766;width:656;height:2" coordorigin="4628,1766" coordsize="656,2">
              <v:shape style="position:absolute;left:4628;top:1766;width:656;height:2" coordorigin="4628,1766" coordsize="656,0" path="m4628,1766l5283,1766e" filled="false" stroked="true" strokeweight=".48pt" strokecolor="#5b9bd4">
                <v:path arrowok="t"/>
              </v:shape>
            </v:group>
            <v:group style="position:absolute;left:5283;top:1766;width:10;height:2" coordorigin="5283,1766" coordsize="10,2">
              <v:shape style="position:absolute;left:5283;top:1766;width:10;height:2" coordorigin="5283,1766" coordsize="10,0" path="m5283,1766l5293,1766e" filled="false" stroked="true" strokeweight=".48pt" strokecolor="#5b9bd4">
                <v:path arrowok="t"/>
              </v:shape>
            </v:group>
            <v:group style="position:absolute;left:5293;top:1766;width:656;height:2" coordorigin="5293,1766" coordsize="656,2">
              <v:shape style="position:absolute;left:5293;top:1766;width:656;height:2" coordorigin="5293,1766" coordsize="656,0" path="m5293,1766l5948,1766e" filled="false" stroked="true" strokeweight=".48pt" strokecolor="#5b9bd4">
                <v:path arrowok="t"/>
              </v:shape>
            </v:group>
            <v:group style="position:absolute;left:5948;top:1766;width:10;height:2" coordorigin="5948,1766" coordsize="10,2">
              <v:shape style="position:absolute;left:5948;top:1766;width:10;height:2" coordorigin="5948,1766" coordsize="10,0" path="m5948,1766l5958,1766e" filled="false" stroked="true" strokeweight=".48pt" strokecolor="#5b9bd4">
                <v:path arrowok="t"/>
              </v:shape>
            </v:group>
            <v:group style="position:absolute;left:5958;top:1766;width:656;height:2" coordorigin="5958,1766" coordsize="656,2">
              <v:shape style="position:absolute;left:5958;top:1766;width:656;height:2" coordorigin="5958,1766" coordsize="656,0" path="m5958,1766l6613,1766e" filled="false" stroked="true" strokeweight=".48pt" strokecolor="#5b9bd4">
                <v:path arrowok="t"/>
              </v:shape>
            </v:group>
            <v:group style="position:absolute;left:6613;top:1766;width:10;height:2" coordorigin="6613,1766" coordsize="10,2">
              <v:shape style="position:absolute;left:6613;top:1766;width:10;height:2" coordorigin="6613,1766" coordsize="10,0" path="m6613,1766l6622,1766e" filled="false" stroked="true" strokeweight=".48pt" strokecolor="#5b9bd4">
                <v:path arrowok="t"/>
              </v:shape>
            </v:group>
            <v:group style="position:absolute;left:6622;top:1766;width:656;height:2" coordorigin="6622,1766" coordsize="656,2">
              <v:shape style="position:absolute;left:6622;top:1766;width:656;height:2" coordorigin="6622,1766" coordsize="656,0" path="m6622,1766l7278,1766e" filled="false" stroked="true" strokeweight=".48pt" strokecolor="#5b9bd4">
                <v:path arrowok="t"/>
              </v:shape>
            </v:group>
            <v:group style="position:absolute;left:7278;top:1766;width:10;height:2" coordorigin="7278,1766" coordsize="10,2">
              <v:shape style="position:absolute;left:7278;top:1766;width:10;height:2" coordorigin="7278,1766" coordsize="10,0" path="m7278,1766l7287,1766e" filled="false" stroked="true" strokeweight=".48pt" strokecolor="#5b9bd4">
                <v:path arrowok="t"/>
              </v:shape>
            </v:group>
            <v:group style="position:absolute;left:7287;top:1766;width:656;height:2" coordorigin="7287,1766" coordsize="656,2">
              <v:shape style="position:absolute;left:7287;top:1766;width:656;height:2" coordorigin="7287,1766" coordsize="656,0" path="m7287,1766l7942,1766e" filled="false" stroked="true" strokeweight=".48pt" strokecolor="#5b9bd4">
                <v:path arrowok="t"/>
              </v:shape>
            </v:group>
            <v:group style="position:absolute;left:7942;top:1766;width:10;height:2" coordorigin="7942,1766" coordsize="10,2">
              <v:shape style="position:absolute;left:7942;top:1766;width:10;height:2" coordorigin="7942,1766" coordsize="10,0" path="m7942,1766l7952,1766e" filled="false" stroked="true" strokeweight=".48pt" strokecolor="#5b9bd4">
                <v:path arrowok="t"/>
              </v:shape>
            </v:group>
            <v:group style="position:absolute;left:7952;top:1766;width:656;height:2" coordorigin="7952,1766" coordsize="656,2">
              <v:shape style="position:absolute;left:7952;top:1766;width:656;height:2" coordorigin="7952,1766" coordsize="656,0" path="m7952,1766l8608,1766e" filled="false" stroked="true" strokeweight=".48pt" strokecolor="#5b9bd4">
                <v:path arrowok="t"/>
              </v:shape>
            </v:group>
            <v:group style="position:absolute;left:8608;top:1766;width:10;height:2" coordorigin="8608,1766" coordsize="10,2">
              <v:shape style="position:absolute;left:8608;top:1766;width:10;height:2" coordorigin="8608,1766" coordsize="10,0" path="m8608,1766l8617,1766e" filled="false" stroked="true" strokeweight=".48pt" strokecolor="#5b9bd4">
                <v:path arrowok="t"/>
              </v:shape>
            </v:group>
            <v:group style="position:absolute;left:8617;top:1766;width:669;height:2" coordorigin="8617,1766" coordsize="669,2">
              <v:shape style="position:absolute;left:8617;top:1766;width:669;height:2" coordorigin="8617,1766" coordsize="669,0" path="m8617,1766l9286,1766e" filled="false" stroked="true" strokeweight=".48pt" strokecolor="#5b9bd4">
                <v:path arrowok="t"/>
              </v:shape>
            </v:group>
            <w10:wrap type="none"/>
          </v:group>
        </w:pict>
      </w:r>
      <w:r>
        <w:rPr/>
        <w:pict>
          <v:group style="position:absolute;margin-left:151.039993pt;margin-top:104.219986pt;width:80.1pt;height:.5pt;mso-position-horizontal-relative:page;mso-position-vertical-relative:page;z-index:-1051192" coordorigin="3021,2084" coordsize="1602,10">
            <v:group style="position:absolute;left:3026;top:2089;width:531;height:2" coordorigin="3026,2089" coordsize="531,2">
              <v:shape style="position:absolute;left:3026;top:2089;width:531;height:2" coordorigin="3026,2089" coordsize="531,0" path="m3026,2089l3556,2089e" filled="false" stroked="true" strokeweight=".48pt" strokecolor="#5b9bd4">
                <v:path arrowok="t"/>
              </v:shape>
            </v:group>
            <v:group style="position:absolute;left:3556;top:2089;width:10;height:2" coordorigin="3556,2089" coordsize="10,2">
              <v:shape style="position:absolute;left:3556;top:2089;width:10;height:2" coordorigin="3556,2089" coordsize="10,0" path="m3556,2089l3566,2089e" filled="false" stroked="true" strokeweight=".48pt" strokecolor="#5b9bd4">
                <v:path arrowok="t"/>
              </v:shape>
            </v:group>
            <v:group style="position:absolute;left:3566;top:2089;width:522;height:2" coordorigin="3566,2089" coordsize="522,2">
              <v:shape style="position:absolute;left:3566;top:2089;width:522;height:2" coordorigin="3566,2089" coordsize="522,0" path="m3566,2089l4088,2089e" filled="false" stroked="true" strokeweight=".48pt" strokecolor="#5b9bd4">
                <v:path arrowok="t"/>
              </v:shape>
            </v:group>
            <v:group style="position:absolute;left:4088;top:2089;width:10;height:2" coordorigin="4088,2089" coordsize="10,2">
              <v:shape style="position:absolute;left:4088;top:2089;width:10;height:2" coordorigin="4088,2089" coordsize="10,0" path="m4088,2089l4097,2089e" filled="false" stroked="true" strokeweight=".48pt" strokecolor="#5b9bd4">
                <v:path arrowok="t"/>
              </v:shape>
            </v:group>
            <v:group style="position:absolute;left:4097;top:2089;width:521;height:2" coordorigin="4097,2089" coordsize="521,2">
              <v:shape style="position:absolute;left:4097;top:2089;width:521;height:2" coordorigin="4097,2089" coordsize="521,0" path="m4097,2089l4618,2089e" filled="false" stroked="true" strokeweight=".48pt" strokecolor="#5b9bd4">
                <v:path arrowok="t"/>
              </v:shape>
            </v:group>
            <w10:wrap type="none"/>
          </v:group>
        </w:pict>
      </w:r>
    </w:p>
    <w:tbl>
      <w:tblPr>
        <w:tblW w:w="0" w:type="auto"/>
        <w:jc w:val="left"/>
        <w:tblInd w:w="101"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254" w:hRule="exact"/>
        </w:trPr>
        <w:tc>
          <w:tcPr>
            <w:tcW w:w="9570" w:type="dxa"/>
            <w:gridSpan w:val="14"/>
            <w:tcBorders>
              <w:top w:val="single" w:sz="4" w:space="0" w:color="5B9BD4"/>
              <w:left w:val="nil" w:sz="6" w:space="0" w:color="auto"/>
              <w:bottom w:val="nil" w:sz="6" w:space="0" w:color="auto"/>
              <w:right w:val="nil" w:sz="6" w:space="0" w:color="auto"/>
            </w:tcBorders>
            <w:shd w:val="clear" w:color="auto" w:fill="DEEAF6"/>
          </w:tcPr>
          <w:p>
            <w:pPr>
              <w:pStyle w:val="TableParagraph"/>
              <w:spacing w:line="240" w:lineRule="auto" w:before="5"/>
              <w:ind w:left="125"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r>
      <w:tr>
        <w:trPr>
          <w:trHeight w:val="320" w:hRule="exact"/>
        </w:trPr>
        <w:tc>
          <w:tcPr>
            <w:tcW w:w="1438" w:type="dxa"/>
            <w:tcBorders>
              <w:top w:val="nil" w:sz="6" w:space="0" w:color="auto"/>
              <w:left w:val="nil" w:sz="6" w:space="0" w:color="auto"/>
              <w:bottom w:val="nil" w:sz="6" w:space="0" w:color="auto"/>
              <w:right w:val="nil" w:sz="6" w:space="0" w:color="auto"/>
            </w:tcBorders>
            <w:shd w:val="clear" w:color="auto" w:fill="DEEAF6"/>
          </w:tcPr>
          <w:p>
            <w:pPr/>
          </w:p>
        </w:tc>
        <w:tc>
          <w:tcPr>
            <w:tcW w:w="562" w:type="dxa"/>
            <w:tcBorders>
              <w:top w:val="nil" w:sz="6" w:space="0" w:color="auto"/>
              <w:left w:val="nil" w:sz="6" w:space="0" w:color="auto"/>
              <w:bottom w:val="nil" w:sz="6" w:space="0" w:color="auto"/>
              <w:right w:val="nil" w:sz="6" w:space="0" w:color="auto"/>
            </w:tcBorders>
            <w:shd w:val="clear" w:color="auto" w:fill="DEEAF6"/>
          </w:tcPr>
          <w:p>
            <w:pPr/>
          </w:p>
        </w:tc>
        <w:tc>
          <w:tcPr>
            <w:tcW w:w="1592" w:type="dxa"/>
            <w:gridSpan w:val="3"/>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79"/>
              <w:ind w:left="25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nil" w:sz="6" w:space="0" w:color="auto"/>
              <w:left w:val="nil" w:sz="6" w:space="0" w:color="auto"/>
              <w:bottom w:val="nil" w:sz="6" w:space="0" w:color="auto"/>
              <w:right w:val="nil" w:sz="6" w:space="0" w:color="auto"/>
            </w:tcBorders>
            <w:shd w:val="clear" w:color="auto" w:fill="DEEAF6"/>
          </w:tcPr>
          <w:p>
            <w:pPr/>
          </w:p>
        </w:tc>
        <w:tc>
          <w:tcPr>
            <w:tcW w:w="665" w:type="dxa"/>
            <w:tcBorders>
              <w:top w:val="nil" w:sz="6" w:space="0" w:color="auto"/>
              <w:left w:val="nil" w:sz="6" w:space="0" w:color="auto"/>
              <w:bottom w:val="nil" w:sz="6" w:space="0" w:color="auto"/>
              <w:right w:val="nil" w:sz="6" w:space="0" w:color="auto"/>
            </w:tcBorders>
            <w:shd w:val="clear" w:color="auto" w:fill="DEEAF6"/>
          </w:tcPr>
          <w:p>
            <w:pPr/>
          </w:p>
        </w:tc>
        <w:tc>
          <w:tcPr>
            <w:tcW w:w="665" w:type="dxa"/>
            <w:tcBorders>
              <w:top w:val="nil" w:sz="6" w:space="0" w:color="auto"/>
              <w:left w:val="nil" w:sz="6" w:space="0" w:color="auto"/>
              <w:bottom w:val="nil" w:sz="6" w:space="0" w:color="auto"/>
              <w:right w:val="nil" w:sz="6" w:space="0" w:color="auto"/>
            </w:tcBorders>
            <w:shd w:val="clear" w:color="auto" w:fill="DEEAF6"/>
          </w:tcPr>
          <w:p>
            <w:pPr/>
          </w:p>
        </w:tc>
        <w:tc>
          <w:tcPr>
            <w:tcW w:w="665" w:type="dxa"/>
            <w:tcBorders>
              <w:top w:val="nil" w:sz="6" w:space="0" w:color="auto"/>
              <w:left w:val="nil" w:sz="6" w:space="0" w:color="auto"/>
              <w:bottom w:val="nil" w:sz="6" w:space="0" w:color="auto"/>
              <w:right w:val="nil" w:sz="6" w:space="0" w:color="auto"/>
            </w:tcBorders>
            <w:shd w:val="clear" w:color="auto" w:fill="DEEAF6"/>
          </w:tcPr>
          <w:p>
            <w:pPr/>
          </w:p>
        </w:tc>
        <w:tc>
          <w:tcPr>
            <w:tcW w:w="665" w:type="dxa"/>
            <w:tcBorders>
              <w:top w:val="nil" w:sz="6" w:space="0" w:color="auto"/>
              <w:left w:val="nil" w:sz="6" w:space="0" w:color="auto"/>
              <w:bottom w:val="nil" w:sz="6" w:space="0" w:color="auto"/>
              <w:right w:val="nil" w:sz="6" w:space="0" w:color="auto"/>
            </w:tcBorders>
            <w:shd w:val="clear" w:color="auto" w:fill="DEEAF6"/>
          </w:tcPr>
          <w:p>
            <w:pPr/>
          </w:p>
        </w:tc>
        <w:tc>
          <w:tcPr>
            <w:tcW w:w="665" w:type="dxa"/>
            <w:tcBorders>
              <w:top w:val="nil" w:sz="6" w:space="0" w:color="auto"/>
              <w:left w:val="nil" w:sz="6" w:space="0" w:color="auto"/>
              <w:bottom w:val="nil" w:sz="6" w:space="0" w:color="auto"/>
              <w:right w:val="nil" w:sz="6" w:space="0" w:color="auto"/>
            </w:tcBorders>
            <w:shd w:val="clear" w:color="auto" w:fill="DEEAF6"/>
          </w:tcPr>
          <w:p>
            <w:pPr/>
          </w:p>
        </w:tc>
        <w:tc>
          <w:tcPr>
            <w:tcW w:w="678" w:type="dxa"/>
            <w:tcBorders>
              <w:top w:val="nil" w:sz="6" w:space="0" w:color="auto"/>
              <w:left w:val="nil" w:sz="6" w:space="0" w:color="auto"/>
              <w:bottom w:val="nil" w:sz="6" w:space="0" w:color="auto"/>
              <w:right w:val="nil" w:sz="6" w:space="0" w:color="auto"/>
            </w:tcBorders>
            <w:shd w:val="clear" w:color="auto" w:fill="DEEAF6"/>
          </w:tcPr>
          <w:p>
            <w:pPr/>
          </w:p>
        </w:tc>
        <w:tc>
          <w:tcPr>
            <w:tcW w:w="652"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79"/>
              <w:ind w:left="145" w:right="144"/>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val="restart"/>
            <w:tcBorders>
              <w:top w:val="nil" w:sz="6" w:space="0" w:color="auto"/>
              <w:left w:val="nil" w:sz="6" w:space="0" w:color="auto"/>
              <w:right w:val="nil" w:sz="6" w:space="0" w:color="auto"/>
            </w:tcBorders>
            <w:shd w:val="clear" w:color="auto" w:fill="DEEAF6"/>
          </w:tcPr>
          <w:p>
            <w:pPr>
              <w:pStyle w:val="TableParagraph"/>
              <w:spacing w:line="159" w:lineRule="exact"/>
              <w:ind w:left="148" w:right="0"/>
              <w:jc w:val="both"/>
              <w:rPr>
                <w:rFonts w:ascii="宋体" w:hAnsi="宋体" w:cs="宋体" w:eastAsia="宋体" w:hint="default"/>
                <w:sz w:val="18"/>
                <w:szCs w:val="18"/>
              </w:rPr>
            </w:pPr>
            <w:r>
              <w:rPr>
                <w:rFonts w:ascii="宋体" w:hAnsi="宋体" w:cs="宋体" w:eastAsia="宋体" w:hint="default"/>
                <w:sz w:val="18"/>
                <w:szCs w:val="18"/>
              </w:rPr>
              <w:t>所有</w:t>
            </w:r>
          </w:p>
          <w:p>
            <w:pPr>
              <w:pStyle w:val="TableParagraph"/>
              <w:spacing w:line="316" w:lineRule="auto" w:before="76"/>
              <w:ind w:left="148" w:right="149"/>
              <w:jc w:val="both"/>
              <w:rPr>
                <w:rFonts w:ascii="宋体" w:hAnsi="宋体" w:cs="宋体" w:eastAsia="宋体" w:hint="default"/>
                <w:sz w:val="18"/>
                <w:szCs w:val="18"/>
              </w:rPr>
            </w:pPr>
            <w:r>
              <w:rPr>
                <w:rFonts w:ascii="宋体" w:hAnsi="宋体" w:cs="宋体" w:eastAsia="宋体" w:hint="default"/>
                <w:sz w:val="18"/>
                <w:szCs w:val="18"/>
              </w:rPr>
              <w:t>者权 益合 计</w:t>
            </w:r>
          </w:p>
        </w:tc>
      </w:tr>
      <w:tr>
        <w:trPr>
          <w:trHeight w:val="1011" w:hRule="exact"/>
        </w:trPr>
        <w:tc>
          <w:tcPr>
            <w:tcW w:w="1438" w:type="dxa"/>
            <w:tcBorders>
              <w:top w:val="nil" w:sz="6" w:space="0" w:color="auto"/>
              <w:left w:val="nil" w:sz="6" w:space="0" w:color="auto"/>
              <w:bottom w:val="single" w:sz="4" w:space="0" w:color="5B9BD4"/>
              <w:right w:val="nil" w:sz="6" w:space="0" w:color="auto"/>
            </w:tcBorders>
            <w:shd w:val="clear" w:color="auto" w:fill="DEEAF6"/>
          </w:tcPr>
          <w:p>
            <w:pPr/>
          </w:p>
        </w:tc>
        <w:tc>
          <w:tcPr>
            <w:tcW w:w="562"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316" w:lineRule="auto" w:before="76"/>
              <w:ind w:left="189" w:right="191"/>
              <w:jc w:val="center"/>
              <w:rPr>
                <w:rFonts w:ascii="宋体" w:hAnsi="宋体" w:cs="宋体" w:eastAsia="宋体" w:hint="default"/>
                <w:sz w:val="18"/>
                <w:szCs w:val="18"/>
              </w:rPr>
            </w:pPr>
            <w:r>
              <w:rPr>
                <w:rFonts w:ascii="宋体" w:hAnsi="宋体" w:cs="宋体" w:eastAsia="宋体" w:hint="default"/>
                <w:sz w:val="18"/>
                <w:szCs w:val="18"/>
              </w:rPr>
              <w:t>股 本</w:t>
            </w:r>
          </w:p>
        </w:tc>
        <w:tc>
          <w:tcPr>
            <w:tcW w:w="530"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319" w:lineRule="auto" w:before="81"/>
              <w:ind w:left="243" w:right="104"/>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2"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319" w:lineRule="auto" w:before="81"/>
              <w:ind w:left="243" w:right="107"/>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0"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316" w:lineRule="auto"/>
              <w:ind w:left="243" w:right="104"/>
              <w:jc w:val="left"/>
              <w:rPr>
                <w:rFonts w:ascii="宋体" w:hAnsi="宋体" w:cs="宋体" w:eastAsia="宋体" w:hint="default"/>
                <w:sz w:val="18"/>
                <w:szCs w:val="18"/>
              </w:rPr>
            </w:pPr>
            <w:r>
              <w:rPr>
                <w:rFonts w:ascii="宋体" w:hAnsi="宋体" w:cs="宋体" w:eastAsia="宋体" w:hint="default"/>
                <w:sz w:val="18"/>
                <w:szCs w:val="18"/>
              </w:rPr>
              <w:t>其 他</w:t>
            </w:r>
          </w:p>
        </w:tc>
        <w:tc>
          <w:tcPr>
            <w:tcW w:w="665"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316" w:lineRule="auto" w:before="76"/>
              <w:ind w:left="151" w:right="15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156" w:lineRule="exact"/>
              <w:ind w:left="152" w:right="0"/>
              <w:jc w:val="left"/>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316" w:lineRule="auto" w:before="76"/>
              <w:ind w:left="242" w:right="150" w:hanging="90"/>
              <w:jc w:val="left"/>
              <w:rPr>
                <w:rFonts w:ascii="宋体" w:hAnsi="宋体" w:cs="宋体" w:eastAsia="宋体" w:hint="default"/>
                <w:sz w:val="18"/>
                <w:szCs w:val="18"/>
              </w:rPr>
            </w:pPr>
            <w:r>
              <w:rPr>
                <w:rFonts w:ascii="宋体" w:hAnsi="宋体" w:cs="宋体" w:eastAsia="宋体" w:hint="default"/>
                <w:sz w:val="18"/>
                <w:szCs w:val="18"/>
              </w:rPr>
              <w:t>库存 股</w:t>
            </w:r>
          </w:p>
        </w:tc>
        <w:tc>
          <w:tcPr>
            <w:tcW w:w="665"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156" w:lineRule="exact"/>
              <w:ind w:left="152"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316" w:lineRule="auto" w:before="76"/>
              <w:ind w:left="152" w:right="150"/>
              <w:jc w:val="left"/>
              <w:rPr>
                <w:rFonts w:ascii="宋体" w:hAnsi="宋体" w:cs="宋体" w:eastAsia="宋体" w:hint="default"/>
                <w:sz w:val="18"/>
                <w:szCs w:val="18"/>
              </w:rPr>
            </w:pPr>
            <w:r>
              <w:rPr>
                <w:rFonts w:ascii="宋体" w:hAnsi="宋体" w:cs="宋体" w:eastAsia="宋体" w:hint="default"/>
                <w:sz w:val="18"/>
                <w:szCs w:val="18"/>
              </w:rPr>
              <w:t>综合 收益</w:t>
            </w:r>
          </w:p>
        </w:tc>
        <w:tc>
          <w:tcPr>
            <w:tcW w:w="665"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316" w:lineRule="auto" w:before="76"/>
              <w:ind w:left="152" w:right="150"/>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5"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316" w:lineRule="auto" w:before="76"/>
              <w:ind w:left="151" w:right="15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5"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156" w:lineRule="exact"/>
              <w:ind w:left="151" w:right="0"/>
              <w:jc w:val="left"/>
              <w:rPr>
                <w:rFonts w:ascii="宋体" w:hAnsi="宋体" w:cs="宋体" w:eastAsia="宋体" w:hint="default"/>
                <w:sz w:val="18"/>
                <w:szCs w:val="18"/>
              </w:rPr>
            </w:pPr>
            <w:r>
              <w:rPr>
                <w:rFonts w:ascii="宋体" w:hAnsi="宋体" w:cs="宋体" w:eastAsia="宋体" w:hint="default"/>
                <w:sz w:val="18"/>
                <w:szCs w:val="18"/>
              </w:rPr>
              <w:t>一般</w:t>
            </w:r>
          </w:p>
          <w:p>
            <w:pPr>
              <w:pStyle w:val="TableParagraph"/>
              <w:spacing w:line="316" w:lineRule="auto" w:before="76"/>
              <w:ind w:left="151" w:right="153"/>
              <w:jc w:val="left"/>
              <w:rPr>
                <w:rFonts w:ascii="宋体" w:hAnsi="宋体" w:cs="宋体" w:eastAsia="宋体" w:hint="default"/>
                <w:sz w:val="18"/>
                <w:szCs w:val="18"/>
              </w:rPr>
            </w:pPr>
            <w:r>
              <w:rPr>
                <w:rFonts w:ascii="宋体" w:hAnsi="宋体" w:cs="宋体" w:eastAsia="宋体" w:hint="default"/>
                <w:sz w:val="18"/>
                <w:szCs w:val="18"/>
              </w:rPr>
              <w:t>风险 准备</w:t>
            </w:r>
          </w:p>
        </w:tc>
        <w:tc>
          <w:tcPr>
            <w:tcW w:w="678"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156" w:lineRule="exact"/>
              <w:ind w:left="158" w:right="0"/>
              <w:jc w:val="left"/>
              <w:rPr>
                <w:rFonts w:ascii="宋体" w:hAnsi="宋体" w:cs="宋体" w:eastAsia="宋体" w:hint="default"/>
                <w:sz w:val="18"/>
                <w:szCs w:val="18"/>
              </w:rPr>
            </w:pPr>
            <w:r>
              <w:rPr>
                <w:rFonts w:ascii="宋体" w:hAnsi="宋体" w:cs="宋体" w:eastAsia="宋体" w:hint="default"/>
                <w:sz w:val="18"/>
                <w:szCs w:val="18"/>
              </w:rPr>
              <w:t>未分</w:t>
            </w:r>
          </w:p>
          <w:p>
            <w:pPr>
              <w:pStyle w:val="TableParagraph"/>
              <w:spacing w:line="316" w:lineRule="auto" w:before="76"/>
              <w:ind w:left="248" w:right="157" w:hanging="90"/>
              <w:jc w:val="left"/>
              <w:rPr>
                <w:rFonts w:ascii="宋体" w:hAnsi="宋体" w:cs="宋体" w:eastAsia="宋体" w:hint="default"/>
                <w:sz w:val="18"/>
                <w:szCs w:val="18"/>
              </w:rPr>
            </w:pPr>
            <w:r>
              <w:rPr>
                <w:rFonts w:ascii="宋体" w:hAnsi="宋体" w:cs="宋体" w:eastAsia="宋体" w:hint="default"/>
                <w:sz w:val="18"/>
                <w:szCs w:val="18"/>
              </w:rPr>
              <w:t>配利 润</w:t>
            </w:r>
          </w:p>
        </w:tc>
        <w:tc>
          <w:tcPr>
            <w:tcW w:w="652" w:type="dxa"/>
            <w:vMerge/>
            <w:tcBorders>
              <w:left w:val="nil" w:sz="6" w:space="0" w:color="auto"/>
              <w:bottom w:val="single" w:sz="4" w:space="0" w:color="5B9BD4"/>
              <w:right w:val="nil" w:sz="6" w:space="0" w:color="auto"/>
            </w:tcBorders>
            <w:shd w:val="clear" w:color="auto" w:fill="DEEAF6"/>
          </w:tcPr>
          <w:p>
            <w:pPr/>
          </w:p>
        </w:tc>
        <w:tc>
          <w:tcPr>
            <w:tcW w:w="659" w:type="dxa"/>
            <w:vMerge/>
            <w:tcBorders>
              <w:left w:val="nil" w:sz="6" w:space="0" w:color="auto"/>
              <w:bottom w:val="single" w:sz="4" w:space="0" w:color="5B9BD4"/>
              <w:right w:val="nil" w:sz="6" w:space="0" w:color="auto"/>
            </w:tcBorders>
            <w:shd w:val="clear" w:color="auto" w:fill="DEEAF6"/>
          </w:tcPr>
          <w:p>
            <w:pPr/>
          </w:p>
        </w:tc>
      </w:tr>
      <w:tr>
        <w:trPr>
          <w:trHeight w:val="1575" w:hRule="exact"/>
        </w:trPr>
        <w:tc>
          <w:tcPr>
            <w:tcW w:w="143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8" w:right="107"/>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left="153" w:right="0"/>
              <w:jc w:val="left"/>
              <w:rPr>
                <w:rFonts w:ascii="Arial" w:hAnsi="Arial" w:cs="Arial" w:eastAsia="Arial" w:hint="default"/>
                <w:sz w:val="18"/>
                <w:szCs w:val="18"/>
              </w:rPr>
            </w:pPr>
            <w:r>
              <w:rPr>
                <w:rFonts w:ascii="Arial"/>
                <w:sz w:val="18"/>
              </w:rPr>
              <w:t>999</w:t>
            </w:r>
          </w:p>
          <w:p>
            <w:pPr>
              <w:pStyle w:val="TableParagraph"/>
              <w:spacing w:line="240" w:lineRule="auto" w:before="105"/>
              <w:ind w:left="202" w:right="0"/>
              <w:jc w:val="left"/>
              <w:rPr>
                <w:rFonts w:ascii="Arial" w:hAnsi="Arial" w:cs="Arial" w:eastAsia="Arial" w:hint="default"/>
                <w:sz w:val="18"/>
                <w:szCs w:val="18"/>
              </w:rPr>
            </w:pPr>
            <w:r>
              <w:rPr>
                <w:rFonts w:ascii="Arial"/>
                <w:sz w:val="18"/>
              </w:rPr>
              <w:t>,10</w:t>
            </w:r>
          </w:p>
          <w:p>
            <w:pPr>
              <w:pStyle w:val="TableParagraph"/>
              <w:spacing w:line="240" w:lineRule="auto" w:before="105"/>
              <w:ind w:left="202" w:right="0"/>
              <w:jc w:val="left"/>
              <w:rPr>
                <w:rFonts w:ascii="Arial" w:hAnsi="Arial" w:cs="Arial" w:eastAsia="Arial" w:hint="default"/>
                <w:sz w:val="18"/>
                <w:szCs w:val="18"/>
              </w:rPr>
            </w:pPr>
            <w:r>
              <w:rPr>
                <w:rFonts w:ascii="Arial"/>
                <w:sz w:val="18"/>
              </w:rPr>
              <w:t>0,0</w:t>
            </w:r>
          </w:p>
          <w:p>
            <w:pPr>
              <w:pStyle w:val="TableParagraph"/>
              <w:spacing w:line="240" w:lineRule="auto" w:before="105"/>
              <w:ind w:left="202" w:right="0"/>
              <w:jc w:val="left"/>
              <w:rPr>
                <w:rFonts w:ascii="Arial" w:hAnsi="Arial" w:cs="Arial" w:eastAsia="Arial" w:hint="default"/>
                <w:sz w:val="18"/>
                <w:szCs w:val="18"/>
              </w:rPr>
            </w:pPr>
            <w:r>
              <w:rPr>
                <w:rFonts w:ascii="Arial"/>
                <w:sz w:val="18"/>
              </w:rPr>
              <w:t>00.</w:t>
            </w:r>
          </w:p>
          <w:p>
            <w:pPr>
              <w:pStyle w:val="TableParagraph"/>
              <w:spacing w:line="240" w:lineRule="auto" w:before="105"/>
              <w:ind w:left="253" w:right="0"/>
              <w:jc w:val="left"/>
              <w:rPr>
                <w:rFonts w:ascii="Arial" w:hAnsi="Arial" w:cs="Arial" w:eastAsia="Arial" w:hint="default"/>
                <w:sz w:val="18"/>
                <w:szCs w:val="18"/>
              </w:rPr>
            </w:pPr>
            <w:r>
              <w:rPr>
                <w:rFonts w:ascii="Arial"/>
                <w:sz w:val="18"/>
              </w:rPr>
              <w:t>00</w:t>
            </w: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06" w:right="0"/>
              <w:jc w:val="left"/>
              <w:rPr>
                <w:rFonts w:ascii="Arial" w:hAnsi="Arial" w:cs="Arial" w:eastAsia="Arial" w:hint="default"/>
                <w:sz w:val="18"/>
                <w:szCs w:val="18"/>
              </w:rPr>
            </w:pPr>
            <w:r>
              <w:rPr>
                <w:rFonts w:ascii="Arial"/>
                <w:sz w:val="18"/>
              </w:rPr>
              <w:t>1,68</w:t>
            </w:r>
          </w:p>
          <w:p>
            <w:pPr>
              <w:pStyle w:val="TableParagraph"/>
              <w:spacing w:line="240" w:lineRule="auto" w:before="105"/>
              <w:ind w:left="206" w:right="0"/>
              <w:jc w:val="left"/>
              <w:rPr>
                <w:rFonts w:ascii="Arial" w:hAnsi="Arial" w:cs="Arial" w:eastAsia="Arial" w:hint="default"/>
                <w:sz w:val="18"/>
                <w:szCs w:val="18"/>
              </w:rPr>
            </w:pPr>
            <w:r>
              <w:rPr>
                <w:rFonts w:ascii="Arial"/>
                <w:sz w:val="18"/>
              </w:rPr>
              <w:t>4,41</w:t>
            </w:r>
          </w:p>
          <w:p>
            <w:pPr>
              <w:pStyle w:val="TableParagraph"/>
              <w:spacing w:line="240" w:lineRule="auto" w:before="105"/>
              <w:ind w:left="206" w:right="0"/>
              <w:jc w:val="left"/>
              <w:rPr>
                <w:rFonts w:ascii="Arial" w:hAnsi="Arial" w:cs="Arial" w:eastAsia="Arial" w:hint="default"/>
                <w:sz w:val="18"/>
                <w:szCs w:val="18"/>
              </w:rPr>
            </w:pPr>
            <w:r>
              <w:rPr>
                <w:rFonts w:ascii="Arial"/>
                <w:sz w:val="18"/>
              </w:rPr>
              <w:t>0,28</w:t>
            </w:r>
          </w:p>
          <w:p>
            <w:pPr>
              <w:pStyle w:val="TableParagraph"/>
              <w:spacing w:line="240" w:lineRule="auto" w:before="105"/>
              <w:ind w:left="206" w:right="0"/>
              <w:jc w:val="left"/>
              <w:rPr>
                <w:rFonts w:ascii="Arial" w:hAnsi="Arial" w:cs="Arial" w:eastAsia="Arial" w:hint="default"/>
                <w:sz w:val="18"/>
                <w:szCs w:val="18"/>
              </w:rPr>
            </w:pPr>
            <w:r>
              <w:rPr>
                <w:rFonts w:ascii="Arial"/>
                <w:sz w:val="18"/>
              </w:rPr>
              <w:t>4.28</w:t>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96" w:right="0"/>
              <w:jc w:val="center"/>
              <w:rPr>
                <w:rFonts w:ascii="Arial" w:hAnsi="Arial" w:cs="Arial" w:eastAsia="Arial" w:hint="default"/>
                <w:sz w:val="18"/>
                <w:szCs w:val="18"/>
              </w:rPr>
            </w:pPr>
            <w:r>
              <w:rPr>
                <w:rFonts w:ascii="Arial"/>
                <w:sz w:val="18"/>
              </w:rPr>
              <w:t>185,</w:t>
            </w:r>
          </w:p>
          <w:p>
            <w:pPr>
              <w:pStyle w:val="TableParagraph"/>
              <w:spacing w:line="240" w:lineRule="auto" w:before="105"/>
              <w:ind w:left="96" w:right="0"/>
              <w:jc w:val="center"/>
              <w:rPr>
                <w:rFonts w:ascii="Arial" w:hAnsi="Arial" w:cs="Arial" w:eastAsia="Arial" w:hint="default"/>
                <w:sz w:val="18"/>
                <w:szCs w:val="18"/>
              </w:rPr>
            </w:pPr>
            <w:r>
              <w:rPr>
                <w:rFonts w:ascii="Arial"/>
                <w:sz w:val="18"/>
              </w:rPr>
              <w:t>828,</w:t>
            </w:r>
          </w:p>
          <w:p>
            <w:pPr>
              <w:pStyle w:val="TableParagraph"/>
              <w:spacing w:line="240" w:lineRule="auto" w:before="105"/>
              <w:ind w:left="96" w:right="0"/>
              <w:jc w:val="center"/>
              <w:rPr>
                <w:rFonts w:ascii="Arial" w:hAnsi="Arial" w:cs="Arial" w:eastAsia="Arial" w:hint="default"/>
                <w:sz w:val="18"/>
                <w:szCs w:val="18"/>
              </w:rPr>
            </w:pPr>
            <w:r>
              <w:rPr>
                <w:rFonts w:ascii="Arial"/>
                <w:sz w:val="18"/>
              </w:rPr>
              <w:t>622.</w:t>
            </w:r>
          </w:p>
          <w:p>
            <w:pPr>
              <w:pStyle w:val="TableParagraph"/>
              <w:spacing w:line="240" w:lineRule="auto" w:before="105"/>
              <w:ind w:left="247" w:right="0"/>
              <w:jc w:val="center"/>
              <w:rPr>
                <w:rFonts w:ascii="Arial" w:hAnsi="Arial" w:cs="Arial" w:eastAsia="Arial" w:hint="default"/>
                <w:sz w:val="18"/>
                <w:szCs w:val="18"/>
              </w:rPr>
            </w:pPr>
            <w:r>
              <w:rPr>
                <w:rFonts w:ascii="Arial"/>
                <w:sz w:val="18"/>
              </w:rPr>
              <w:t>98</w:t>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78" w:type="dxa"/>
            <w:tcBorders>
              <w:top w:val="single" w:sz="4" w:space="0" w:color="5B9BD4"/>
              <w:left w:val="nil" w:sz="6" w:space="0" w:color="auto"/>
              <w:bottom w:val="single" w:sz="4" w:space="0" w:color="5B9BD4"/>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21" w:right="0"/>
              <w:jc w:val="left"/>
              <w:rPr>
                <w:rFonts w:ascii="Arial" w:hAnsi="Arial" w:cs="Arial" w:eastAsia="Arial" w:hint="default"/>
                <w:sz w:val="18"/>
                <w:szCs w:val="18"/>
              </w:rPr>
            </w:pPr>
            <w:r>
              <w:rPr>
                <w:rFonts w:ascii="Arial"/>
                <w:sz w:val="18"/>
              </w:rPr>
              <w:t>1,738</w:t>
            </w:r>
          </w:p>
          <w:p>
            <w:pPr>
              <w:pStyle w:val="TableParagraph"/>
              <w:spacing w:line="240" w:lineRule="auto" w:before="105"/>
              <w:ind w:left="171" w:right="0"/>
              <w:jc w:val="left"/>
              <w:rPr>
                <w:rFonts w:ascii="Arial" w:hAnsi="Arial" w:cs="Arial" w:eastAsia="Arial" w:hint="default"/>
                <w:sz w:val="18"/>
                <w:szCs w:val="18"/>
              </w:rPr>
            </w:pPr>
            <w:r>
              <w:rPr>
                <w:rFonts w:ascii="Arial"/>
                <w:sz w:val="18"/>
              </w:rPr>
              <w:t>,097,</w:t>
            </w:r>
          </w:p>
          <w:p>
            <w:pPr>
              <w:pStyle w:val="TableParagraph"/>
              <w:spacing w:line="240" w:lineRule="auto" w:before="105"/>
              <w:ind w:left="121" w:right="0"/>
              <w:jc w:val="left"/>
              <w:rPr>
                <w:rFonts w:ascii="Arial" w:hAnsi="Arial" w:cs="Arial" w:eastAsia="Arial" w:hint="default"/>
                <w:sz w:val="18"/>
                <w:szCs w:val="18"/>
              </w:rPr>
            </w:pPr>
            <w:r>
              <w:rPr>
                <w:rFonts w:ascii="Arial"/>
                <w:sz w:val="18"/>
              </w:rPr>
              <w:t>058.5</w:t>
            </w:r>
          </w:p>
          <w:p>
            <w:pPr>
              <w:pStyle w:val="TableParagraph"/>
              <w:spacing w:line="240" w:lineRule="auto" w:before="105"/>
              <w:ind w:right="105"/>
              <w:jc w:val="right"/>
              <w:rPr>
                <w:rFonts w:ascii="Arial" w:hAnsi="Arial" w:cs="Arial" w:eastAsia="Arial" w:hint="default"/>
                <w:sz w:val="18"/>
                <w:szCs w:val="18"/>
              </w:rPr>
            </w:pPr>
            <w:r>
              <w:rPr>
                <w:rFonts w:ascii="Arial"/>
                <w:w w:val="99"/>
                <w:sz w:val="18"/>
              </w:rPr>
              <w:t>2</w:t>
            </w:r>
            <w:r>
              <w:rPr>
                <w:rFonts w:ascii="Arial"/>
                <w:sz w:val="18"/>
              </w:rPr>
            </w:r>
          </w:p>
        </w:tc>
        <w:tc>
          <w:tcPr>
            <w:tcW w:w="65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85" w:right="0"/>
              <w:jc w:val="center"/>
              <w:rPr>
                <w:rFonts w:ascii="Arial" w:hAnsi="Arial" w:cs="Arial" w:eastAsia="Arial" w:hint="default"/>
                <w:sz w:val="18"/>
                <w:szCs w:val="18"/>
              </w:rPr>
            </w:pPr>
            <w:r>
              <w:rPr>
                <w:rFonts w:ascii="Arial"/>
                <w:sz w:val="18"/>
              </w:rPr>
              <w:t>201,</w:t>
            </w:r>
          </w:p>
          <w:p>
            <w:pPr>
              <w:pStyle w:val="TableParagraph"/>
              <w:spacing w:line="240" w:lineRule="auto" w:before="105"/>
              <w:ind w:left="85" w:right="0"/>
              <w:jc w:val="center"/>
              <w:rPr>
                <w:rFonts w:ascii="Arial" w:hAnsi="Arial" w:cs="Arial" w:eastAsia="Arial" w:hint="default"/>
                <w:sz w:val="18"/>
                <w:szCs w:val="18"/>
              </w:rPr>
            </w:pPr>
            <w:r>
              <w:rPr>
                <w:rFonts w:ascii="Arial"/>
                <w:sz w:val="18"/>
              </w:rPr>
              <w:t>963,</w:t>
            </w:r>
          </w:p>
          <w:p>
            <w:pPr>
              <w:pStyle w:val="TableParagraph"/>
              <w:spacing w:line="240" w:lineRule="auto" w:before="105"/>
              <w:ind w:left="85" w:right="0"/>
              <w:jc w:val="center"/>
              <w:rPr>
                <w:rFonts w:ascii="Arial" w:hAnsi="Arial" w:cs="Arial" w:eastAsia="Arial" w:hint="default"/>
                <w:sz w:val="18"/>
                <w:szCs w:val="18"/>
              </w:rPr>
            </w:pPr>
            <w:r>
              <w:rPr>
                <w:rFonts w:ascii="Arial"/>
                <w:sz w:val="18"/>
              </w:rPr>
              <w:t>481.</w:t>
            </w:r>
          </w:p>
          <w:p>
            <w:pPr>
              <w:pStyle w:val="TableParagraph"/>
              <w:spacing w:line="240" w:lineRule="auto" w:before="105"/>
              <w:ind w:left="236" w:right="0"/>
              <w:jc w:val="center"/>
              <w:rPr>
                <w:rFonts w:ascii="Arial" w:hAnsi="Arial" w:cs="Arial" w:eastAsia="Arial" w:hint="default"/>
                <w:sz w:val="18"/>
                <w:szCs w:val="18"/>
              </w:rPr>
            </w:pPr>
            <w:r>
              <w:rPr>
                <w:rFonts w:ascii="Arial"/>
                <w:sz w:val="18"/>
              </w:rPr>
              <w:t>69</w:t>
            </w:r>
          </w:p>
        </w:tc>
        <w:tc>
          <w:tcPr>
            <w:tcW w:w="659" w:type="dxa"/>
            <w:tcBorders>
              <w:top w:val="single" w:sz="4" w:space="0" w:color="5B9BD4"/>
              <w:left w:val="nil" w:sz="6" w:space="0" w:color="auto"/>
              <w:bottom w:val="single" w:sz="4" w:space="0" w:color="5B9BD4"/>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01" w:right="0"/>
              <w:jc w:val="left"/>
              <w:rPr>
                <w:rFonts w:ascii="Arial" w:hAnsi="Arial" w:cs="Arial" w:eastAsia="Arial" w:hint="default"/>
                <w:sz w:val="18"/>
                <w:szCs w:val="18"/>
              </w:rPr>
            </w:pPr>
            <w:r>
              <w:rPr>
                <w:rFonts w:ascii="Arial"/>
                <w:sz w:val="18"/>
              </w:rPr>
              <w:t>4,80</w:t>
            </w:r>
          </w:p>
          <w:p>
            <w:pPr>
              <w:pStyle w:val="TableParagraph"/>
              <w:spacing w:line="240" w:lineRule="auto" w:before="105"/>
              <w:ind w:left="201" w:right="0"/>
              <w:jc w:val="left"/>
              <w:rPr>
                <w:rFonts w:ascii="Arial" w:hAnsi="Arial" w:cs="Arial" w:eastAsia="Arial" w:hint="default"/>
                <w:sz w:val="18"/>
                <w:szCs w:val="18"/>
              </w:rPr>
            </w:pPr>
            <w:r>
              <w:rPr>
                <w:rFonts w:ascii="Arial"/>
                <w:sz w:val="18"/>
              </w:rPr>
              <w:t>9,39</w:t>
            </w:r>
          </w:p>
          <w:p>
            <w:pPr>
              <w:pStyle w:val="TableParagraph"/>
              <w:spacing w:line="240" w:lineRule="auto" w:before="105"/>
              <w:ind w:left="201" w:right="0"/>
              <w:jc w:val="left"/>
              <w:rPr>
                <w:rFonts w:ascii="Arial" w:hAnsi="Arial" w:cs="Arial" w:eastAsia="Arial" w:hint="default"/>
                <w:sz w:val="18"/>
                <w:szCs w:val="18"/>
              </w:rPr>
            </w:pPr>
            <w:r>
              <w:rPr>
                <w:rFonts w:ascii="Arial"/>
                <w:sz w:val="18"/>
              </w:rPr>
              <w:t>9,44</w:t>
            </w:r>
          </w:p>
          <w:p>
            <w:pPr>
              <w:pStyle w:val="TableParagraph"/>
              <w:spacing w:line="240" w:lineRule="auto" w:before="105"/>
              <w:ind w:left="201" w:right="0"/>
              <w:jc w:val="left"/>
              <w:rPr>
                <w:rFonts w:ascii="Arial" w:hAnsi="Arial" w:cs="Arial" w:eastAsia="Arial" w:hint="default"/>
                <w:sz w:val="18"/>
                <w:szCs w:val="18"/>
              </w:rPr>
            </w:pPr>
            <w:r>
              <w:rPr>
                <w:rFonts w:ascii="Arial"/>
                <w:sz w:val="18"/>
              </w:rPr>
              <w:t>7.47</w:t>
            </w:r>
          </w:p>
        </w:tc>
      </w:tr>
      <w:tr>
        <w:trPr>
          <w:trHeight w:val="634" w:hRule="exact"/>
        </w:trPr>
        <w:tc>
          <w:tcPr>
            <w:tcW w:w="143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106"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78" w:type="dxa"/>
            <w:tcBorders>
              <w:top w:val="single" w:sz="4" w:space="0" w:color="5B9BD4"/>
              <w:left w:val="nil" w:sz="6" w:space="0" w:color="auto"/>
              <w:bottom w:val="single" w:sz="4" w:space="0" w:color="5B9BD4"/>
              <w:right w:val="nil" w:sz="6" w:space="0" w:color="auto"/>
            </w:tcBorders>
          </w:tcPr>
          <w:p>
            <w:pPr/>
          </w:p>
        </w:tc>
        <w:tc>
          <w:tcPr>
            <w:tcW w:w="652" w:type="dxa"/>
            <w:tcBorders>
              <w:top w:val="single" w:sz="4" w:space="0" w:color="5B9BD4"/>
              <w:left w:val="nil" w:sz="6" w:space="0" w:color="auto"/>
              <w:bottom w:val="single" w:sz="4" w:space="0" w:color="5B9BD4"/>
              <w:right w:val="nil" w:sz="6" w:space="0" w:color="auto"/>
            </w:tcBorders>
            <w:shd w:val="clear" w:color="auto" w:fill="DEEAF6"/>
          </w:tcPr>
          <w:p>
            <w:pPr/>
          </w:p>
        </w:tc>
        <w:tc>
          <w:tcPr>
            <w:tcW w:w="659" w:type="dxa"/>
            <w:tcBorders>
              <w:top w:val="single" w:sz="4" w:space="0" w:color="5B9BD4"/>
              <w:left w:val="nil" w:sz="6" w:space="0" w:color="auto"/>
              <w:bottom w:val="single" w:sz="4" w:space="0" w:color="5B9BD4"/>
              <w:right w:val="nil" w:sz="6" w:space="0" w:color="auto"/>
            </w:tcBorders>
          </w:tcPr>
          <w:p>
            <w:pPr/>
          </w:p>
        </w:tc>
      </w:tr>
      <w:tr>
        <w:trPr>
          <w:trHeight w:val="634" w:hRule="exact"/>
        </w:trPr>
        <w:tc>
          <w:tcPr>
            <w:tcW w:w="143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828"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6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78" w:type="dxa"/>
            <w:tcBorders>
              <w:top w:val="single" w:sz="4" w:space="0" w:color="5B9BD4"/>
              <w:left w:val="nil" w:sz="6" w:space="0" w:color="auto"/>
              <w:bottom w:val="single" w:sz="4" w:space="0" w:color="5B9BD4"/>
              <w:right w:val="nil" w:sz="6" w:space="0" w:color="auto"/>
            </w:tcBorders>
          </w:tcPr>
          <w:p>
            <w:pPr/>
          </w:p>
        </w:tc>
        <w:tc>
          <w:tcPr>
            <w:tcW w:w="652" w:type="dxa"/>
            <w:tcBorders>
              <w:top w:val="single" w:sz="4" w:space="0" w:color="5B9BD4"/>
              <w:left w:val="nil" w:sz="6" w:space="0" w:color="auto"/>
              <w:bottom w:val="single" w:sz="4" w:space="0" w:color="5B9BD4"/>
              <w:right w:val="nil" w:sz="6" w:space="0" w:color="auto"/>
            </w:tcBorders>
            <w:shd w:val="clear" w:color="auto" w:fill="DEEAF6"/>
          </w:tcPr>
          <w:p>
            <w:pPr/>
          </w:p>
        </w:tc>
        <w:tc>
          <w:tcPr>
            <w:tcW w:w="659" w:type="dxa"/>
            <w:tcBorders>
              <w:top w:val="single" w:sz="4" w:space="0" w:color="5B9BD4"/>
              <w:left w:val="nil" w:sz="6" w:space="0" w:color="auto"/>
              <w:bottom w:val="single" w:sz="4" w:space="0" w:color="5B9BD4"/>
              <w:right w:val="nil" w:sz="6" w:space="0" w:color="auto"/>
            </w:tcBorders>
          </w:tcPr>
          <w:p>
            <w:pPr/>
          </w:p>
        </w:tc>
      </w:tr>
      <w:tr>
        <w:trPr>
          <w:trHeight w:val="946" w:hRule="exact"/>
        </w:trPr>
        <w:tc>
          <w:tcPr>
            <w:tcW w:w="143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247"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78" w:type="dxa"/>
            <w:tcBorders>
              <w:top w:val="single" w:sz="4" w:space="0" w:color="5B9BD4"/>
              <w:left w:val="nil" w:sz="6" w:space="0" w:color="auto"/>
              <w:bottom w:val="single" w:sz="4" w:space="0" w:color="5B9BD4"/>
              <w:right w:val="nil" w:sz="6" w:space="0" w:color="auto"/>
            </w:tcBorders>
          </w:tcPr>
          <w:p>
            <w:pPr/>
          </w:p>
        </w:tc>
        <w:tc>
          <w:tcPr>
            <w:tcW w:w="652" w:type="dxa"/>
            <w:tcBorders>
              <w:top w:val="single" w:sz="4" w:space="0" w:color="5B9BD4"/>
              <w:left w:val="nil" w:sz="6" w:space="0" w:color="auto"/>
              <w:bottom w:val="single" w:sz="4" w:space="0" w:color="5B9BD4"/>
              <w:right w:val="nil" w:sz="6" w:space="0" w:color="auto"/>
            </w:tcBorders>
            <w:shd w:val="clear" w:color="auto" w:fill="DEEAF6"/>
          </w:tcPr>
          <w:p>
            <w:pPr/>
          </w:p>
        </w:tc>
        <w:tc>
          <w:tcPr>
            <w:tcW w:w="659" w:type="dxa"/>
            <w:tcBorders>
              <w:top w:val="single" w:sz="4" w:space="0" w:color="5B9BD4"/>
              <w:left w:val="nil" w:sz="6" w:space="0" w:color="auto"/>
              <w:bottom w:val="single" w:sz="4" w:space="0" w:color="5B9BD4"/>
              <w:right w:val="nil" w:sz="6" w:space="0" w:color="auto"/>
            </w:tcBorders>
          </w:tcPr>
          <w:p>
            <w:pPr/>
          </w:p>
        </w:tc>
      </w:tr>
      <w:tr>
        <w:trPr>
          <w:trHeight w:val="322" w:hRule="exact"/>
        </w:trPr>
        <w:tc>
          <w:tcPr>
            <w:tcW w:w="143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8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78" w:type="dxa"/>
            <w:tcBorders>
              <w:top w:val="single" w:sz="4" w:space="0" w:color="5B9BD4"/>
              <w:left w:val="nil" w:sz="6" w:space="0" w:color="auto"/>
              <w:bottom w:val="single" w:sz="4" w:space="0" w:color="5B9BD4"/>
              <w:right w:val="nil" w:sz="6" w:space="0" w:color="auto"/>
            </w:tcBorders>
          </w:tcPr>
          <w:p>
            <w:pPr/>
          </w:p>
        </w:tc>
        <w:tc>
          <w:tcPr>
            <w:tcW w:w="652" w:type="dxa"/>
            <w:tcBorders>
              <w:top w:val="single" w:sz="4" w:space="0" w:color="5B9BD4"/>
              <w:left w:val="nil" w:sz="6" w:space="0" w:color="auto"/>
              <w:bottom w:val="single" w:sz="4" w:space="0" w:color="5B9BD4"/>
              <w:right w:val="nil" w:sz="6" w:space="0" w:color="auto"/>
            </w:tcBorders>
            <w:shd w:val="clear" w:color="auto" w:fill="DEEAF6"/>
          </w:tcPr>
          <w:p>
            <w:pPr/>
          </w:p>
        </w:tc>
        <w:tc>
          <w:tcPr>
            <w:tcW w:w="659" w:type="dxa"/>
            <w:tcBorders>
              <w:top w:val="single" w:sz="4" w:space="0" w:color="5B9BD4"/>
              <w:left w:val="nil" w:sz="6" w:space="0" w:color="auto"/>
              <w:bottom w:val="single" w:sz="4" w:space="0" w:color="5B9BD4"/>
              <w:right w:val="nil" w:sz="6" w:space="0" w:color="auto"/>
            </w:tcBorders>
          </w:tcPr>
          <w:p>
            <w:pPr/>
          </w:p>
        </w:tc>
      </w:tr>
      <w:tr>
        <w:trPr>
          <w:trHeight w:val="1570" w:hRule="exact"/>
        </w:trPr>
        <w:tc>
          <w:tcPr>
            <w:tcW w:w="143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316" w:lineRule="auto"/>
              <w:ind w:left="108" w:right="106"/>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53" w:right="0"/>
              <w:jc w:val="left"/>
              <w:rPr>
                <w:rFonts w:ascii="Arial" w:hAnsi="Arial" w:cs="Arial" w:eastAsia="Arial" w:hint="default"/>
                <w:sz w:val="18"/>
                <w:szCs w:val="18"/>
              </w:rPr>
            </w:pPr>
            <w:r>
              <w:rPr>
                <w:rFonts w:ascii="Arial"/>
                <w:sz w:val="18"/>
              </w:rPr>
              <w:t>999</w:t>
            </w:r>
          </w:p>
          <w:p>
            <w:pPr>
              <w:pStyle w:val="TableParagraph"/>
              <w:spacing w:line="240" w:lineRule="auto" w:before="105"/>
              <w:ind w:left="202" w:right="0"/>
              <w:jc w:val="left"/>
              <w:rPr>
                <w:rFonts w:ascii="Arial" w:hAnsi="Arial" w:cs="Arial" w:eastAsia="Arial" w:hint="default"/>
                <w:sz w:val="18"/>
                <w:szCs w:val="18"/>
              </w:rPr>
            </w:pPr>
            <w:r>
              <w:rPr>
                <w:rFonts w:ascii="Arial"/>
                <w:sz w:val="18"/>
              </w:rPr>
              <w:t>,10</w:t>
            </w:r>
          </w:p>
          <w:p>
            <w:pPr>
              <w:pStyle w:val="TableParagraph"/>
              <w:spacing w:line="240" w:lineRule="auto" w:before="105"/>
              <w:ind w:left="202" w:right="0"/>
              <w:jc w:val="left"/>
              <w:rPr>
                <w:rFonts w:ascii="Arial" w:hAnsi="Arial" w:cs="Arial" w:eastAsia="Arial" w:hint="default"/>
                <w:sz w:val="18"/>
                <w:szCs w:val="18"/>
              </w:rPr>
            </w:pPr>
            <w:r>
              <w:rPr>
                <w:rFonts w:ascii="Arial"/>
                <w:sz w:val="18"/>
              </w:rPr>
              <w:t>0,0</w:t>
            </w:r>
          </w:p>
          <w:p>
            <w:pPr>
              <w:pStyle w:val="TableParagraph"/>
              <w:spacing w:line="240" w:lineRule="auto" w:before="105"/>
              <w:ind w:left="202" w:right="0"/>
              <w:jc w:val="left"/>
              <w:rPr>
                <w:rFonts w:ascii="Arial" w:hAnsi="Arial" w:cs="Arial" w:eastAsia="Arial" w:hint="default"/>
                <w:sz w:val="18"/>
                <w:szCs w:val="18"/>
              </w:rPr>
            </w:pPr>
            <w:r>
              <w:rPr>
                <w:rFonts w:ascii="Arial"/>
                <w:sz w:val="18"/>
              </w:rPr>
              <w:t>00.</w:t>
            </w:r>
          </w:p>
          <w:p>
            <w:pPr>
              <w:pStyle w:val="TableParagraph"/>
              <w:spacing w:line="240" w:lineRule="auto" w:before="105"/>
              <w:ind w:left="253" w:right="0"/>
              <w:jc w:val="left"/>
              <w:rPr>
                <w:rFonts w:ascii="Arial" w:hAnsi="Arial" w:cs="Arial" w:eastAsia="Arial" w:hint="default"/>
                <w:sz w:val="18"/>
                <w:szCs w:val="18"/>
              </w:rPr>
            </w:pPr>
            <w:r>
              <w:rPr>
                <w:rFonts w:ascii="Arial"/>
                <w:sz w:val="18"/>
              </w:rPr>
              <w:t>00</w:t>
            </w: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06" w:right="0"/>
              <w:jc w:val="left"/>
              <w:rPr>
                <w:rFonts w:ascii="Arial" w:hAnsi="Arial" w:cs="Arial" w:eastAsia="Arial" w:hint="default"/>
                <w:sz w:val="18"/>
                <w:szCs w:val="18"/>
              </w:rPr>
            </w:pPr>
            <w:r>
              <w:rPr>
                <w:rFonts w:ascii="Arial"/>
                <w:sz w:val="18"/>
              </w:rPr>
              <w:t>1,68</w:t>
            </w:r>
          </w:p>
          <w:p>
            <w:pPr>
              <w:pStyle w:val="TableParagraph"/>
              <w:spacing w:line="240" w:lineRule="auto" w:before="105"/>
              <w:ind w:left="206" w:right="0"/>
              <w:jc w:val="left"/>
              <w:rPr>
                <w:rFonts w:ascii="Arial" w:hAnsi="Arial" w:cs="Arial" w:eastAsia="Arial" w:hint="default"/>
                <w:sz w:val="18"/>
                <w:szCs w:val="18"/>
              </w:rPr>
            </w:pPr>
            <w:r>
              <w:rPr>
                <w:rFonts w:ascii="Arial"/>
                <w:sz w:val="18"/>
              </w:rPr>
              <w:t>4,41</w:t>
            </w:r>
          </w:p>
          <w:p>
            <w:pPr>
              <w:pStyle w:val="TableParagraph"/>
              <w:spacing w:line="240" w:lineRule="auto" w:before="105"/>
              <w:ind w:left="206" w:right="0"/>
              <w:jc w:val="left"/>
              <w:rPr>
                <w:rFonts w:ascii="Arial" w:hAnsi="Arial" w:cs="Arial" w:eastAsia="Arial" w:hint="default"/>
                <w:sz w:val="18"/>
                <w:szCs w:val="18"/>
              </w:rPr>
            </w:pPr>
            <w:r>
              <w:rPr>
                <w:rFonts w:ascii="Arial"/>
                <w:sz w:val="18"/>
              </w:rPr>
              <w:t>0,28</w:t>
            </w:r>
          </w:p>
          <w:p>
            <w:pPr>
              <w:pStyle w:val="TableParagraph"/>
              <w:spacing w:line="240" w:lineRule="auto" w:before="105"/>
              <w:ind w:left="206" w:right="0"/>
              <w:jc w:val="left"/>
              <w:rPr>
                <w:rFonts w:ascii="Arial" w:hAnsi="Arial" w:cs="Arial" w:eastAsia="Arial" w:hint="default"/>
                <w:sz w:val="18"/>
                <w:szCs w:val="18"/>
              </w:rPr>
            </w:pPr>
            <w:r>
              <w:rPr>
                <w:rFonts w:ascii="Arial"/>
                <w:sz w:val="18"/>
              </w:rPr>
              <w:t>4.28</w:t>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96" w:right="0"/>
              <w:jc w:val="center"/>
              <w:rPr>
                <w:rFonts w:ascii="Arial" w:hAnsi="Arial" w:cs="Arial" w:eastAsia="Arial" w:hint="default"/>
                <w:sz w:val="18"/>
                <w:szCs w:val="18"/>
              </w:rPr>
            </w:pPr>
            <w:r>
              <w:rPr>
                <w:rFonts w:ascii="Arial"/>
                <w:sz w:val="18"/>
              </w:rPr>
              <w:t>185,</w:t>
            </w:r>
          </w:p>
          <w:p>
            <w:pPr>
              <w:pStyle w:val="TableParagraph"/>
              <w:spacing w:line="240" w:lineRule="auto" w:before="105"/>
              <w:ind w:left="96" w:right="0"/>
              <w:jc w:val="center"/>
              <w:rPr>
                <w:rFonts w:ascii="Arial" w:hAnsi="Arial" w:cs="Arial" w:eastAsia="Arial" w:hint="default"/>
                <w:sz w:val="18"/>
                <w:szCs w:val="18"/>
              </w:rPr>
            </w:pPr>
            <w:r>
              <w:rPr>
                <w:rFonts w:ascii="Arial"/>
                <w:sz w:val="18"/>
              </w:rPr>
              <w:t>828,</w:t>
            </w:r>
          </w:p>
          <w:p>
            <w:pPr>
              <w:pStyle w:val="TableParagraph"/>
              <w:spacing w:line="240" w:lineRule="auto" w:before="105"/>
              <w:ind w:left="96" w:right="0"/>
              <w:jc w:val="center"/>
              <w:rPr>
                <w:rFonts w:ascii="Arial" w:hAnsi="Arial" w:cs="Arial" w:eastAsia="Arial" w:hint="default"/>
                <w:sz w:val="18"/>
                <w:szCs w:val="18"/>
              </w:rPr>
            </w:pPr>
            <w:r>
              <w:rPr>
                <w:rFonts w:ascii="Arial"/>
                <w:sz w:val="18"/>
              </w:rPr>
              <w:t>622.</w:t>
            </w:r>
          </w:p>
          <w:p>
            <w:pPr>
              <w:pStyle w:val="TableParagraph"/>
              <w:spacing w:line="240" w:lineRule="auto" w:before="105"/>
              <w:ind w:left="247" w:right="0"/>
              <w:jc w:val="center"/>
              <w:rPr>
                <w:rFonts w:ascii="Arial" w:hAnsi="Arial" w:cs="Arial" w:eastAsia="Arial" w:hint="default"/>
                <w:sz w:val="18"/>
                <w:szCs w:val="18"/>
              </w:rPr>
            </w:pPr>
            <w:r>
              <w:rPr>
                <w:rFonts w:ascii="Arial"/>
                <w:sz w:val="18"/>
              </w:rPr>
              <w:t>98</w:t>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78"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21" w:right="0"/>
              <w:jc w:val="left"/>
              <w:rPr>
                <w:rFonts w:ascii="Arial" w:hAnsi="Arial" w:cs="Arial" w:eastAsia="Arial" w:hint="default"/>
                <w:sz w:val="18"/>
                <w:szCs w:val="18"/>
              </w:rPr>
            </w:pPr>
            <w:r>
              <w:rPr>
                <w:rFonts w:ascii="Arial"/>
                <w:sz w:val="18"/>
              </w:rPr>
              <w:t>1,738</w:t>
            </w:r>
          </w:p>
          <w:p>
            <w:pPr>
              <w:pStyle w:val="TableParagraph"/>
              <w:spacing w:line="240" w:lineRule="auto" w:before="105"/>
              <w:ind w:left="171" w:right="0"/>
              <w:jc w:val="left"/>
              <w:rPr>
                <w:rFonts w:ascii="Arial" w:hAnsi="Arial" w:cs="Arial" w:eastAsia="Arial" w:hint="default"/>
                <w:sz w:val="18"/>
                <w:szCs w:val="18"/>
              </w:rPr>
            </w:pPr>
            <w:r>
              <w:rPr>
                <w:rFonts w:ascii="Arial"/>
                <w:sz w:val="18"/>
              </w:rPr>
              <w:t>,097,</w:t>
            </w:r>
          </w:p>
          <w:p>
            <w:pPr>
              <w:pStyle w:val="TableParagraph"/>
              <w:spacing w:line="240" w:lineRule="auto" w:before="105"/>
              <w:ind w:left="121" w:right="0"/>
              <w:jc w:val="left"/>
              <w:rPr>
                <w:rFonts w:ascii="Arial" w:hAnsi="Arial" w:cs="Arial" w:eastAsia="Arial" w:hint="default"/>
                <w:sz w:val="18"/>
                <w:szCs w:val="18"/>
              </w:rPr>
            </w:pPr>
            <w:r>
              <w:rPr>
                <w:rFonts w:ascii="Arial"/>
                <w:sz w:val="18"/>
              </w:rPr>
              <w:t>058.5</w:t>
            </w:r>
          </w:p>
          <w:p>
            <w:pPr>
              <w:pStyle w:val="TableParagraph"/>
              <w:spacing w:line="240" w:lineRule="auto" w:before="105"/>
              <w:ind w:right="105"/>
              <w:jc w:val="right"/>
              <w:rPr>
                <w:rFonts w:ascii="Arial" w:hAnsi="Arial" w:cs="Arial" w:eastAsia="Arial" w:hint="default"/>
                <w:sz w:val="18"/>
                <w:szCs w:val="18"/>
              </w:rPr>
            </w:pPr>
            <w:r>
              <w:rPr>
                <w:rFonts w:ascii="Arial"/>
                <w:w w:val="99"/>
                <w:sz w:val="18"/>
              </w:rPr>
              <w:t>2</w:t>
            </w:r>
            <w:r>
              <w:rPr>
                <w:rFonts w:ascii="Arial"/>
                <w:sz w:val="18"/>
              </w:rPr>
            </w:r>
          </w:p>
        </w:tc>
        <w:tc>
          <w:tcPr>
            <w:tcW w:w="65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85" w:right="0"/>
              <w:jc w:val="center"/>
              <w:rPr>
                <w:rFonts w:ascii="Arial" w:hAnsi="Arial" w:cs="Arial" w:eastAsia="Arial" w:hint="default"/>
                <w:sz w:val="18"/>
                <w:szCs w:val="18"/>
              </w:rPr>
            </w:pPr>
            <w:r>
              <w:rPr>
                <w:rFonts w:ascii="Arial"/>
                <w:sz w:val="18"/>
              </w:rPr>
              <w:t>201,</w:t>
            </w:r>
          </w:p>
          <w:p>
            <w:pPr>
              <w:pStyle w:val="TableParagraph"/>
              <w:spacing w:line="240" w:lineRule="auto" w:before="105"/>
              <w:ind w:left="85" w:right="0"/>
              <w:jc w:val="center"/>
              <w:rPr>
                <w:rFonts w:ascii="Arial" w:hAnsi="Arial" w:cs="Arial" w:eastAsia="Arial" w:hint="default"/>
                <w:sz w:val="18"/>
                <w:szCs w:val="18"/>
              </w:rPr>
            </w:pPr>
            <w:r>
              <w:rPr>
                <w:rFonts w:ascii="Arial"/>
                <w:sz w:val="18"/>
              </w:rPr>
              <w:t>963,</w:t>
            </w:r>
          </w:p>
          <w:p>
            <w:pPr>
              <w:pStyle w:val="TableParagraph"/>
              <w:spacing w:line="240" w:lineRule="auto" w:before="105"/>
              <w:ind w:left="85" w:right="0"/>
              <w:jc w:val="center"/>
              <w:rPr>
                <w:rFonts w:ascii="Arial" w:hAnsi="Arial" w:cs="Arial" w:eastAsia="Arial" w:hint="default"/>
                <w:sz w:val="18"/>
                <w:szCs w:val="18"/>
              </w:rPr>
            </w:pPr>
            <w:r>
              <w:rPr>
                <w:rFonts w:ascii="Arial"/>
                <w:sz w:val="18"/>
              </w:rPr>
              <w:t>481.</w:t>
            </w:r>
          </w:p>
          <w:p>
            <w:pPr>
              <w:pStyle w:val="TableParagraph"/>
              <w:spacing w:line="240" w:lineRule="auto" w:before="105"/>
              <w:ind w:left="236" w:right="0"/>
              <w:jc w:val="center"/>
              <w:rPr>
                <w:rFonts w:ascii="Arial" w:hAnsi="Arial" w:cs="Arial" w:eastAsia="Arial" w:hint="default"/>
                <w:sz w:val="18"/>
                <w:szCs w:val="18"/>
              </w:rPr>
            </w:pPr>
            <w:r>
              <w:rPr>
                <w:rFonts w:ascii="Arial"/>
                <w:sz w:val="18"/>
              </w:rPr>
              <w:t>69</w:t>
            </w:r>
          </w:p>
        </w:tc>
        <w:tc>
          <w:tcPr>
            <w:tcW w:w="659"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01" w:right="0"/>
              <w:jc w:val="left"/>
              <w:rPr>
                <w:rFonts w:ascii="Arial" w:hAnsi="Arial" w:cs="Arial" w:eastAsia="Arial" w:hint="default"/>
                <w:sz w:val="18"/>
                <w:szCs w:val="18"/>
              </w:rPr>
            </w:pPr>
            <w:r>
              <w:rPr>
                <w:rFonts w:ascii="Arial"/>
                <w:sz w:val="18"/>
              </w:rPr>
              <w:t>4,80</w:t>
            </w:r>
          </w:p>
          <w:p>
            <w:pPr>
              <w:pStyle w:val="TableParagraph"/>
              <w:spacing w:line="240" w:lineRule="auto" w:before="105"/>
              <w:ind w:left="201" w:right="0"/>
              <w:jc w:val="left"/>
              <w:rPr>
                <w:rFonts w:ascii="Arial" w:hAnsi="Arial" w:cs="Arial" w:eastAsia="Arial" w:hint="default"/>
                <w:sz w:val="18"/>
                <w:szCs w:val="18"/>
              </w:rPr>
            </w:pPr>
            <w:r>
              <w:rPr>
                <w:rFonts w:ascii="Arial"/>
                <w:sz w:val="18"/>
              </w:rPr>
              <w:t>9,39</w:t>
            </w:r>
          </w:p>
          <w:p>
            <w:pPr>
              <w:pStyle w:val="TableParagraph"/>
              <w:spacing w:line="240" w:lineRule="auto" w:before="105"/>
              <w:ind w:left="201" w:right="0"/>
              <w:jc w:val="left"/>
              <w:rPr>
                <w:rFonts w:ascii="Arial" w:hAnsi="Arial" w:cs="Arial" w:eastAsia="Arial" w:hint="default"/>
                <w:sz w:val="18"/>
                <w:szCs w:val="18"/>
              </w:rPr>
            </w:pPr>
            <w:r>
              <w:rPr>
                <w:rFonts w:ascii="Arial"/>
                <w:sz w:val="18"/>
              </w:rPr>
              <w:t>9,44</w:t>
            </w:r>
          </w:p>
          <w:p>
            <w:pPr>
              <w:pStyle w:val="TableParagraph"/>
              <w:spacing w:line="240" w:lineRule="auto" w:before="105"/>
              <w:ind w:left="201" w:right="0"/>
              <w:jc w:val="left"/>
              <w:rPr>
                <w:rFonts w:ascii="Arial" w:hAnsi="Arial" w:cs="Arial" w:eastAsia="Arial" w:hint="default"/>
                <w:sz w:val="18"/>
                <w:szCs w:val="18"/>
              </w:rPr>
            </w:pPr>
            <w:r>
              <w:rPr>
                <w:rFonts w:ascii="Arial"/>
                <w:sz w:val="18"/>
              </w:rPr>
              <w:t>7.47</w:t>
            </w:r>
          </w:p>
        </w:tc>
      </w:tr>
      <w:tr>
        <w:trPr>
          <w:trHeight w:val="1258" w:hRule="exact"/>
        </w:trPr>
        <w:tc>
          <w:tcPr>
            <w:tcW w:w="143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161"/>
              <w:ind w:left="108" w:right="67"/>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2"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42" w:right="0"/>
              <w:jc w:val="left"/>
              <w:rPr>
                <w:rFonts w:ascii="Arial" w:hAnsi="Arial" w:cs="Arial" w:eastAsia="Arial" w:hint="default"/>
                <w:sz w:val="18"/>
                <w:szCs w:val="18"/>
              </w:rPr>
            </w:pPr>
            <w:r>
              <w:rPr>
                <w:rFonts w:ascii="Arial"/>
                <w:sz w:val="18"/>
              </w:rPr>
              <w:t>-4,3</w:t>
            </w:r>
          </w:p>
          <w:p>
            <w:pPr>
              <w:pStyle w:val="TableParagraph"/>
              <w:spacing w:line="240" w:lineRule="auto" w:before="105"/>
              <w:ind w:left="202" w:right="0"/>
              <w:jc w:val="left"/>
              <w:rPr>
                <w:rFonts w:ascii="Arial" w:hAnsi="Arial" w:cs="Arial" w:eastAsia="Arial" w:hint="default"/>
                <w:sz w:val="18"/>
                <w:szCs w:val="18"/>
              </w:rPr>
            </w:pPr>
            <w:r>
              <w:rPr>
                <w:rFonts w:ascii="Arial"/>
                <w:sz w:val="18"/>
              </w:rPr>
              <w:t>33,</w:t>
            </w:r>
          </w:p>
          <w:p>
            <w:pPr>
              <w:pStyle w:val="TableParagraph"/>
              <w:spacing w:line="240" w:lineRule="auto" w:before="105"/>
              <w:ind w:left="153" w:right="0"/>
              <w:jc w:val="left"/>
              <w:rPr>
                <w:rFonts w:ascii="Arial" w:hAnsi="Arial" w:cs="Arial" w:eastAsia="Arial" w:hint="default"/>
                <w:sz w:val="18"/>
                <w:szCs w:val="18"/>
              </w:rPr>
            </w:pPr>
            <w:r>
              <w:rPr>
                <w:rFonts w:ascii="Arial"/>
                <w:sz w:val="18"/>
              </w:rPr>
              <w:t>734</w:t>
            </w:r>
          </w:p>
          <w:p>
            <w:pPr>
              <w:pStyle w:val="TableParagraph"/>
              <w:spacing w:line="240" w:lineRule="auto" w:before="105"/>
              <w:ind w:left="202" w:right="0"/>
              <w:jc w:val="left"/>
              <w:rPr>
                <w:rFonts w:ascii="Arial" w:hAnsi="Arial" w:cs="Arial" w:eastAsia="Arial" w:hint="default"/>
                <w:sz w:val="18"/>
                <w:szCs w:val="18"/>
              </w:rPr>
            </w:pPr>
            <w:r>
              <w:rPr>
                <w:rFonts w:ascii="Arial"/>
                <w:sz w:val="18"/>
              </w:rPr>
              <w:t>.00</w:t>
            </w: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46" w:right="0"/>
              <w:jc w:val="left"/>
              <w:rPr>
                <w:rFonts w:ascii="Arial" w:hAnsi="Arial" w:cs="Arial" w:eastAsia="Arial" w:hint="default"/>
                <w:sz w:val="18"/>
                <w:szCs w:val="18"/>
              </w:rPr>
            </w:pPr>
            <w:r>
              <w:rPr>
                <w:rFonts w:ascii="Arial"/>
                <w:sz w:val="18"/>
              </w:rPr>
              <w:t>-185,</w:t>
            </w:r>
          </w:p>
          <w:p>
            <w:pPr>
              <w:pStyle w:val="TableParagraph"/>
              <w:spacing w:line="240" w:lineRule="auto" w:before="105"/>
              <w:ind w:left="96" w:right="0"/>
              <w:jc w:val="center"/>
              <w:rPr>
                <w:rFonts w:ascii="Arial" w:hAnsi="Arial" w:cs="Arial" w:eastAsia="Arial" w:hint="default"/>
                <w:sz w:val="18"/>
                <w:szCs w:val="18"/>
              </w:rPr>
            </w:pPr>
            <w:r>
              <w:rPr>
                <w:rFonts w:ascii="Arial"/>
                <w:sz w:val="18"/>
              </w:rPr>
              <w:t>814,</w:t>
            </w:r>
          </w:p>
          <w:p>
            <w:pPr>
              <w:pStyle w:val="TableParagraph"/>
              <w:spacing w:line="240" w:lineRule="auto" w:before="105"/>
              <w:ind w:left="96" w:right="0"/>
              <w:jc w:val="center"/>
              <w:rPr>
                <w:rFonts w:ascii="Arial" w:hAnsi="Arial" w:cs="Arial" w:eastAsia="Arial" w:hint="default"/>
                <w:sz w:val="18"/>
                <w:szCs w:val="18"/>
              </w:rPr>
            </w:pPr>
            <w:r>
              <w:rPr>
                <w:rFonts w:ascii="Arial"/>
                <w:sz w:val="18"/>
              </w:rPr>
              <w:t>837.</w:t>
            </w:r>
          </w:p>
          <w:p>
            <w:pPr>
              <w:pStyle w:val="TableParagraph"/>
              <w:spacing w:line="240" w:lineRule="auto" w:before="105"/>
              <w:ind w:left="247" w:right="0"/>
              <w:jc w:val="center"/>
              <w:rPr>
                <w:rFonts w:ascii="Arial" w:hAnsi="Arial" w:cs="Arial" w:eastAsia="Arial" w:hint="default"/>
                <w:sz w:val="18"/>
                <w:szCs w:val="18"/>
              </w:rPr>
            </w:pPr>
            <w:r>
              <w:rPr>
                <w:rFonts w:ascii="Arial"/>
                <w:sz w:val="18"/>
              </w:rPr>
              <w:t>67</w:t>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47" w:right="0"/>
              <w:jc w:val="left"/>
              <w:rPr>
                <w:rFonts w:ascii="Arial" w:hAnsi="Arial" w:cs="Arial" w:eastAsia="Arial" w:hint="default"/>
                <w:sz w:val="18"/>
                <w:szCs w:val="18"/>
              </w:rPr>
            </w:pPr>
            <w:r>
              <w:rPr>
                <w:rFonts w:ascii="Arial"/>
                <w:sz w:val="18"/>
              </w:rPr>
              <w:t>-69,5</w:t>
            </w:r>
          </w:p>
          <w:p>
            <w:pPr>
              <w:pStyle w:val="TableParagraph"/>
              <w:spacing w:line="240" w:lineRule="auto" w:before="105"/>
              <w:ind w:left="107" w:right="0"/>
              <w:jc w:val="left"/>
              <w:rPr>
                <w:rFonts w:ascii="Arial" w:hAnsi="Arial" w:cs="Arial" w:eastAsia="Arial" w:hint="default"/>
                <w:sz w:val="18"/>
                <w:szCs w:val="18"/>
              </w:rPr>
            </w:pPr>
            <w:r>
              <w:rPr>
                <w:rFonts w:ascii="Arial"/>
                <w:sz w:val="18"/>
              </w:rPr>
              <w:t>77.58</w:t>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206" w:right="0"/>
              <w:jc w:val="left"/>
              <w:rPr>
                <w:rFonts w:ascii="Arial" w:hAnsi="Arial" w:cs="Arial" w:eastAsia="Arial" w:hint="default"/>
                <w:sz w:val="18"/>
                <w:szCs w:val="18"/>
              </w:rPr>
            </w:pPr>
            <w:r>
              <w:rPr>
                <w:rFonts w:ascii="Arial"/>
                <w:sz w:val="18"/>
              </w:rPr>
              <w:t>35,7</w:t>
            </w:r>
          </w:p>
          <w:p>
            <w:pPr>
              <w:pStyle w:val="TableParagraph"/>
              <w:spacing w:line="240" w:lineRule="auto" w:before="105"/>
              <w:ind w:left="206" w:right="0"/>
              <w:jc w:val="left"/>
              <w:rPr>
                <w:rFonts w:ascii="Arial" w:hAnsi="Arial" w:cs="Arial" w:eastAsia="Arial" w:hint="default"/>
                <w:sz w:val="18"/>
                <w:szCs w:val="18"/>
              </w:rPr>
            </w:pPr>
            <w:r>
              <w:rPr>
                <w:rFonts w:ascii="Arial"/>
                <w:sz w:val="18"/>
              </w:rPr>
              <w:t>78,4</w:t>
            </w:r>
          </w:p>
          <w:p>
            <w:pPr>
              <w:pStyle w:val="TableParagraph"/>
              <w:spacing w:line="240" w:lineRule="auto" w:before="105"/>
              <w:ind w:left="206" w:right="0"/>
              <w:jc w:val="left"/>
              <w:rPr>
                <w:rFonts w:ascii="Arial" w:hAnsi="Arial" w:cs="Arial" w:eastAsia="Arial" w:hint="default"/>
                <w:sz w:val="18"/>
                <w:szCs w:val="18"/>
              </w:rPr>
            </w:pPr>
            <w:r>
              <w:rPr>
                <w:rFonts w:ascii="Arial"/>
                <w:sz w:val="18"/>
              </w:rPr>
              <w:t>74.3</w:t>
            </w:r>
          </w:p>
          <w:p>
            <w:pPr>
              <w:pStyle w:val="TableParagraph"/>
              <w:spacing w:line="240" w:lineRule="auto" w:before="105"/>
              <w:ind w:right="107"/>
              <w:jc w:val="right"/>
              <w:rPr>
                <w:rFonts w:ascii="Arial" w:hAnsi="Arial" w:cs="Arial" w:eastAsia="Arial" w:hint="default"/>
                <w:sz w:val="18"/>
                <w:szCs w:val="18"/>
              </w:rPr>
            </w:pPr>
            <w:r>
              <w:rPr>
                <w:rFonts w:ascii="Arial"/>
                <w:w w:val="99"/>
                <w:sz w:val="18"/>
              </w:rPr>
              <w:t>8</w:t>
            </w:r>
            <w:r>
              <w:rPr>
                <w:rFonts w:ascii="Arial"/>
                <w:sz w:val="18"/>
              </w:rPr>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78"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60" w:right="0"/>
              <w:jc w:val="left"/>
              <w:rPr>
                <w:rFonts w:ascii="Arial" w:hAnsi="Arial" w:cs="Arial" w:eastAsia="Arial" w:hint="default"/>
                <w:sz w:val="18"/>
                <w:szCs w:val="18"/>
              </w:rPr>
            </w:pPr>
            <w:r>
              <w:rPr>
                <w:rFonts w:ascii="Arial"/>
                <w:sz w:val="18"/>
              </w:rPr>
              <w:t>-154,</w:t>
            </w:r>
          </w:p>
          <w:p>
            <w:pPr>
              <w:pStyle w:val="TableParagraph"/>
              <w:spacing w:line="240" w:lineRule="auto" w:before="105"/>
              <w:ind w:left="121" w:right="0"/>
              <w:jc w:val="left"/>
              <w:rPr>
                <w:rFonts w:ascii="Arial" w:hAnsi="Arial" w:cs="Arial" w:eastAsia="Arial" w:hint="default"/>
                <w:sz w:val="18"/>
                <w:szCs w:val="18"/>
              </w:rPr>
            </w:pPr>
            <w:r>
              <w:rPr>
                <w:rFonts w:ascii="Arial"/>
                <w:sz w:val="18"/>
              </w:rPr>
              <w:t>624,5</w:t>
            </w:r>
          </w:p>
          <w:p>
            <w:pPr>
              <w:pStyle w:val="TableParagraph"/>
              <w:spacing w:line="240" w:lineRule="auto" w:before="105"/>
              <w:ind w:left="121" w:right="0"/>
              <w:jc w:val="left"/>
              <w:rPr>
                <w:rFonts w:ascii="Arial" w:hAnsi="Arial" w:cs="Arial" w:eastAsia="Arial" w:hint="default"/>
                <w:sz w:val="18"/>
                <w:szCs w:val="18"/>
              </w:rPr>
            </w:pPr>
            <w:r>
              <w:rPr>
                <w:rFonts w:ascii="Arial"/>
                <w:sz w:val="18"/>
              </w:rPr>
              <w:t>13.97</w:t>
            </w:r>
          </w:p>
        </w:tc>
        <w:tc>
          <w:tcPr>
            <w:tcW w:w="65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4" w:right="0"/>
              <w:jc w:val="left"/>
              <w:rPr>
                <w:rFonts w:ascii="Arial" w:hAnsi="Arial" w:cs="Arial" w:eastAsia="Arial" w:hint="default"/>
                <w:sz w:val="18"/>
                <w:szCs w:val="18"/>
              </w:rPr>
            </w:pPr>
            <w:r>
              <w:rPr>
                <w:rFonts w:ascii="Arial"/>
                <w:sz w:val="18"/>
              </w:rPr>
              <w:t>-175,</w:t>
            </w:r>
          </w:p>
          <w:p>
            <w:pPr>
              <w:pStyle w:val="TableParagraph"/>
              <w:spacing w:line="240" w:lineRule="auto" w:before="105"/>
              <w:ind w:left="85" w:right="0"/>
              <w:jc w:val="center"/>
              <w:rPr>
                <w:rFonts w:ascii="Arial" w:hAnsi="Arial" w:cs="Arial" w:eastAsia="Arial" w:hint="default"/>
                <w:sz w:val="18"/>
                <w:szCs w:val="18"/>
              </w:rPr>
            </w:pPr>
            <w:r>
              <w:rPr>
                <w:rFonts w:ascii="Arial"/>
                <w:sz w:val="18"/>
              </w:rPr>
              <w:t>015,</w:t>
            </w:r>
          </w:p>
          <w:p>
            <w:pPr>
              <w:pStyle w:val="TableParagraph"/>
              <w:spacing w:line="240" w:lineRule="auto" w:before="105"/>
              <w:ind w:left="85" w:right="0"/>
              <w:jc w:val="center"/>
              <w:rPr>
                <w:rFonts w:ascii="Arial" w:hAnsi="Arial" w:cs="Arial" w:eastAsia="Arial" w:hint="default"/>
                <w:sz w:val="18"/>
                <w:szCs w:val="18"/>
              </w:rPr>
            </w:pPr>
            <w:r>
              <w:rPr>
                <w:rFonts w:ascii="Arial"/>
                <w:sz w:val="18"/>
              </w:rPr>
              <w:t>366.</w:t>
            </w:r>
          </w:p>
          <w:p>
            <w:pPr>
              <w:pStyle w:val="TableParagraph"/>
              <w:spacing w:line="240" w:lineRule="auto" w:before="105"/>
              <w:ind w:left="236" w:right="0"/>
              <w:jc w:val="center"/>
              <w:rPr>
                <w:rFonts w:ascii="Arial" w:hAnsi="Arial" w:cs="Arial" w:eastAsia="Arial" w:hint="default"/>
                <w:sz w:val="18"/>
                <w:szCs w:val="18"/>
              </w:rPr>
            </w:pPr>
            <w:r>
              <w:rPr>
                <w:rFonts w:ascii="Arial"/>
                <w:sz w:val="18"/>
              </w:rPr>
              <w:t>39</w:t>
            </w:r>
          </w:p>
        </w:tc>
        <w:tc>
          <w:tcPr>
            <w:tcW w:w="65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41" w:right="0"/>
              <w:jc w:val="left"/>
              <w:rPr>
                <w:rFonts w:ascii="Arial" w:hAnsi="Arial" w:cs="Arial" w:eastAsia="Arial" w:hint="default"/>
                <w:sz w:val="18"/>
                <w:szCs w:val="18"/>
              </w:rPr>
            </w:pPr>
            <w:r>
              <w:rPr>
                <w:rFonts w:ascii="Arial"/>
                <w:sz w:val="18"/>
              </w:rPr>
              <w:t>-484,</w:t>
            </w:r>
          </w:p>
          <w:p>
            <w:pPr>
              <w:pStyle w:val="TableParagraph"/>
              <w:spacing w:line="240" w:lineRule="auto" w:before="105"/>
              <w:ind w:left="92" w:right="0"/>
              <w:jc w:val="center"/>
              <w:rPr>
                <w:rFonts w:ascii="Arial" w:hAnsi="Arial" w:cs="Arial" w:eastAsia="Arial" w:hint="default"/>
                <w:sz w:val="18"/>
                <w:szCs w:val="18"/>
              </w:rPr>
            </w:pPr>
            <w:r>
              <w:rPr>
                <w:rFonts w:ascii="Arial"/>
                <w:sz w:val="18"/>
              </w:rPr>
              <w:t>079,</w:t>
            </w:r>
          </w:p>
          <w:p>
            <w:pPr>
              <w:pStyle w:val="TableParagraph"/>
              <w:spacing w:line="240" w:lineRule="auto" w:before="105"/>
              <w:ind w:left="92" w:right="0"/>
              <w:jc w:val="center"/>
              <w:rPr>
                <w:rFonts w:ascii="Arial" w:hAnsi="Arial" w:cs="Arial" w:eastAsia="Arial" w:hint="default"/>
                <w:sz w:val="18"/>
                <w:szCs w:val="18"/>
              </w:rPr>
            </w:pPr>
            <w:r>
              <w:rPr>
                <w:rFonts w:ascii="Arial"/>
                <w:sz w:val="18"/>
              </w:rPr>
              <w:t>555.</w:t>
            </w:r>
          </w:p>
          <w:p>
            <w:pPr>
              <w:pStyle w:val="TableParagraph"/>
              <w:spacing w:line="240" w:lineRule="auto" w:before="105"/>
              <w:ind w:left="243" w:right="0"/>
              <w:jc w:val="center"/>
              <w:rPr>
                <w:rFonts w:ascii="Arial" w:hAnsi="Arial" w:cs="Arial" w:eastAsia="Arial" w:hint="default"/>
                <w:sz w:val="18"/>
                <w:szCs w:val="18"/>
              </w:rPr>
            </w:pPr>
            <w:r>
              <w:rPr>
                <w:rFonts w:ascii="Arial"/>
                <w:sz w:val="18"/>
              </w:rPr>
              <w:t>23</w:t>
            </w:r>
          </w:p>
        </w:tc>
      </w:tr>
      <w:tr>
        <w:trPr>
          <w:trHeight w:val="1258" w:hRule="exact"/>
        </w:trPr>
        <w:tc>
          <w:tcPr>
            <w:tcW w:w="143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108" w:right="106"/>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47" w:right="0"/>
              <w:jc w:val="left"/>
              <w:rPr>
                <w:rFonts w:ascii="Arial" w:hAnsi="Arial" w:cs="Arial" w:eastAsia="Arial" w:hint="default"/>
                <w:sz w:val="18"/>
                <w:szCs w:val="18"/>
              </w:rPr>
            </w:pPr>
            <w:r>
              <w:rPr>
                <w:rFonts w:ascii="Arial"/>
                <w:sz w:val="18"/>
              </w:rPr>
              <w:t>-69,5</w:t>
            </w:r>
          </w:p>
          <w:p>
            <w:pPr>
              <w:pStyle w:val="TableParagraph"/>
              <w:spacing w:line="240" w:lineRule="auto" w:before="105"/>
              <w:ind w:left="107" w:right="0"/>
              <w:jc w:val="left"/>
              <w:rPr>
                <w:rFonts w:ascii="Arial" w:hAnsi="Arial" w:cs="Arial" w:eastAsia="Arial" w:hint="default"/>
                <w:sz w:val="18"/>
                <w:szCs w:val="18"/>
              </w:rPr>
            </w:pPr>
            <w:r>
              <w:rPr>
                <w:rFonts w:ascii="Arial"/>
                <w:sz w:val="18"/>
              </w:rPr>
              <w:t>77.58</w:t>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78"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3" w:right="0"/>
              <w:jc w:val="center"/>
              <w:rPr>
                <w:rFonts w:ascii="Arial" w:hAnsi="Arial" w:cs="Arial" w:eastAsia="Arial" w:hint="default"/>
                <w:sz w:val="18"/>
                <w:szCs w:val="18"/>
              </w:rPr>
            </w:pPr>
            <w:r>
              <w:rPr>
                <w:rFonts w:ascii="Arial"/>
                <w:sz w:val="18"/>
              </w:rPr>
              <w:t>29,14</w:t>
            </w:r>
          </w:p>
          <w:p>
            <w:pPr>
              <w:pStyle w:val="TableParagraph"/>
              <w:spacing w:line="240" w:lineRule="auto" w:before="105"/>
              <w:ind w:left="13" w:right="0"/>
              <w:jc w:val="center"/>
              <w:rPr>
                <w:rFonts w:ascii="Arial" w:hAnsi="Arial" w:cs="Arial" w:eastAsia="Arial" w:hint="default"/>
                <w:sz w:val="18"/>
                <w:szCs w:val="18"/>
              </w:rPr>
            </w:pPr>
            <w:r>
              <w:rPr>
                <w:rFonts w:ascii="Arial"/>
                <w:sz w:val="18"/>
              </w:rPr>
              <w:t>3,960</w:t>
            </w:r>
          </w:p>
          <w:p>
            <w:pPr>
              <w:pStyle w:val="TableParagraph"/>
              <w:spacing w:line="240" w:lineRule="auto" w:before="105"/>
              <w:ind w:left="212" w:right="0"/>
              <w:jc w:val="center"/>
              <w:rPr>
                <w:rFonts w:ascii="Arial" w:hAnsi="Arial" w:cs="Arial" w:eastAsia="Arial" w:hint="default"/>
                <w:sz w:val="18"/>
                <w:szCs w:val="18"/>
              </w:rPr>
            </w:pPr>
            <w:r>
              <w:rPr>
                <w:rFonts w:ascii="Arial"/>
                <w:sz w:val="18"/>
              </w:rPr>
              <w:t>.41</w:t>
            </w:r>
          </w:p>
        </w:tc>
        <w:tc>
          <w:tcPr>
            <w:tcW w:w="65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94" w:right="0"/>
              <w:jc w:val="left"/>
              <w:rPr>
                <w:rFonts w:ascii="Arial" w:hAnsi="Arial" w:cs="Arial" w:eastAsia="Arial" w:hint="default"/>
                <w:sz w:val="18"/>
                <w:szCs w:val="18"/>
              </w:rPr>
            </w:pPr>
            <w:r>
              <w:rPr>
                <w:rFonts w:ascii="Arial"/>
                <w:sz w:val="18"/>
              </w:rPr>
              <w:t>18,0</w:t>
            </w:r>
          </w:p>
          <w:p>
            <w:pPr>
              <w:pStyle w:val="TableParagraph"/>
              <w:spacing w:line="240" w:lineRule="auto" w:before="105"/>
              <w:ind w:left="194" w:right="0"/>
              <w:jc w:val="left"/>
              <w:rPr>
                <w:rFonts w:ascii="Arial" w:hAnsi="Arial" w:cs="Arial" w:eastAsia="Arial" w:hint="default"/>
                <w:sz w:val="18"/>
                <w:szCs w:val="18"/>
              </w:rPr>
            </w:pPr>
            <w:r>
              <w:rPr>
                <w:rFonts w:ascii="Arial"/>
                <w:sz w:val="18"/>
              </w:rPr>
              <w:t>58,2</w:t>
            </w:r>
          </w:p>
          <w:p>
            <w:pPr>
              <w:pStyle w:val="TableParagraph"/>
              <w:spacing w:line="240" w:lineRule="auto" w:before="105"/>
              <w:ind w:left="194" w:right="0"/>
              <w:jc w:val="left"/>
              <w:rPr>
                <w:rFonts w:ascii="Arial" w:hAnsi="Arial" w:cs="Arial" w:eastAsia="Arial" w:hint="default"/>
                <w:sz w:val="18"/>
                <w:szCs w:val="18"/>
              </w:rPr>
            </w:pPr>
            <w:r>
              <w:rPr>
                <w:rFonts w:ascii="Arial"/>
                <w:sz w:val="18"/>
              </w:rPr>
              <w:t>89.6</w:t>
            </w:r>
          </w:p>
          <w:p>
            <w:pPr>
              <w:pStyle w:val="TableParagraph"/>
              <w:spacing w:line="240" w:lineRule="auto" w:before="105"/>
              <w:ind w:right="105"/>
              <w:jc w:val="right"/>
              <w:rPr>
                <w:rFonts w:ascii="Arial" w:hAnsi="Arial" w:cs="Arial" w:eastAsia="Arial" w:hint="default"/>
                <w:sz w:val="18"/>
                <w:szCs w:val="18"/>
              </w:rPr>
            </w:pPr>
            <w:r>
              <w:rPr>
                <w:rFonts w:ascii="Arial"/>
                <w:w w:val="99"/>
                <w:sz w:val="18"/>
              </w:rPr>
              <w:t>1</w:t>
            </w:r>
            <w:r>
              <w:rPr>
                <w:rFonts w:ascii="Arial"/>
                <w:sz w:val="18"/>
              </w:rPr>
            </w:r>
          </w:p>
        </w:tc>
        <w:tc>
          <w:tcPr>
            <w:tcW w:w="65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201" w:right="0"/>
              <w:jc w:val="left"/>
              <w:rPr>
                <w:rFonts w:ascii="Arial" w:hAnsi="Arial" w:cs="Arial" w:eastAsia="Arial" w:hint="default"/>
                <w:sz w:val="18"/>
                <w:szCs w:val="18"/>
              </w:rPr>
            </w:pPr>
            <w:r>
              <w:rPr>
                <w:rFonts w:ascii="Arial"/>
                <w:sz w:val="18"/>
              </w:rPr>
              <w:t>47,1</w:t>
            </w:r>
          </w:p>
          <w:p>
            <w:pPr>
              <w:pStyle w:val="TableParagraph"/>
              <w:spacing w:line="240" w:lineRule="auto" w:before="105"/>
              <w:ind w:left="201" w:right="0"/>
              <w:jc w:val="left"/>
              <w:rPr>
                <w:rFonts w:ascii="Arial" w:hAnsi="Arial" w:cs="Arial" w:eastAsia="Arial" w:hint="default"/>
                <w:sz w:val="18"/>
                <w:szCs w:val="18"/>
              </w:rPr>
            </w:pPr>
            <w:r>
              <w:rPr>
                <w:rFonts w:ascii="Arial"/>
                <w:sz w:val="18"/>
              </w:rPr>
              <w:t>32,6</w:t>
            </w:r>
          </w:p>
          <w:p>
            <w:pPr>
              <w:pStyle w:val="TableParagraph"/>
              <w:spacing w:line="240" w:lineRule="auto" w:before="105"/>
              <w:ind w:left="201" w:right="0"/>
              <w:jc w:val="left"/>
              <w:rPr>
                <w:rFonts w:ascii="Arial" w:hAnsi="Arial" w:cs="Arial" w:eastAsia="Arial" w:hint="default"/>
                <w:sz w:val="18"/>
                <w:szCs w:val="18"/>
              </w:rPr>
            </w:pPr>
            <w:r>
              <w:rPr>
                <w:rFonts w:ascii="Arial"/>
                <w:sz w:val="18"/>
              </w:rPr>
              <w:t>72.4</w:t>
            </w:r>
          </w:p>
          <w:p>
            <w:pPr>
              <w:pStyle w:val="TableParagraph"/>
              <w:spacing w:line="240" w:lineRule="auto" w:before="105"/>
              <w:ind w:right="105"/>
              <w:jc w:val="right"/>
              <w:rPr>
                <w:rFonts w:ascii="Arial" w:hAnsi="Arial" w:cs="Arial" w:eastAsia="Arial" w:hint="default"/>
                <w:sz w:val="18"/>
                <w:szCs w:val="18"/>
              </w:rPr>
            </w:pPr>
            <w:r>
              <w:rPr>
                <w:rFonts w:ascii="Arial"/>
                <w:w w:val="99"/>
                <w:sz w:val="18"/>
              </w:rPr>
              <w:t>4</w:t>
            </w:r>
            <w:r>
              <w:rPr>
                <w:rFonts w:ascii="Arial"/>
                <w:sz w:val="18"/>
              </w:rPr>
            </w:r>
          </w:p>
        </w:tc>
      </w:tr>
      <w:tr>
        <w:trPr>
          <w:trHeight w:val="1258" w:hRule="exact"/>
        </w:trPr>
        <w:tc>
          <w:tcPr>
            <w:tcW w:w="143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108" w:right="106"/>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2"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42" w:right="0"/>
              <w:jc w:val="left"/>
              <w:rPr>
                <w:rFonts w:ascii="Arial" w:hAnsi="Arial" w:cs="Arial" w:eastAsia="Arial" w:hint="default"/>
                <w:sz w:val="18"/>
                <w:szCs w:val="18"/>
              </w:rPr>
            </w:pPr>
            <w:r>
              <w:rPr>
                <w:rFonts w:ascii="Arial"/>
                <w:sz w:val="18"/>
              </w:rPr>
              <w:t>-4,3</w:t>
            </w:r>
          </w:p>
          <w:p>
            <w:pPr>
              <w:pStyle w:val="TableParagraph"/>
              <w:spacing w:line="240" w:lineRule="auto" w:before="105"/>
              <w:ind w:left="202" w:right="0"/>
              <w:jc w:val="left"/>
              <w:rPr>
                <w:rFonts w:ascii="Arial" w:hAnsi="Arial" w:cs="Arial" w:eastAsia="Arial" w:hint="default"/>
                <w:sz w:val="18"/>
                <w:szCs w:val="18"/>
              </w:rPr>
            </w:pPr>
            <w:r>
              <w:rPr>
                <w:rFonts w:ascii="Arial"/>
                <w:sz w:val="18"/>
              </w:rPr>
              <w:t>33,</w:t>
            </w:r>
          </w:p>
          <w:p>
            <w:pPr>
              <w:pStyle w:val="TableParagraph"/>
              <w:spacing w:line="240" w:lineRule="auto" w:before="105"/>
              <w:ind w:left="153" w:right="0"/>
              <w:jc w:val="left"/>
              <w:rPr>
                <w:rFonts w:ascii="Arial" w:hAnsi="Arial" w:cs="Arial" w:eastAsia="Arial" w:hint="default"/>
                <w:sz w:val="18"/>
                <w:szCs w:val="18"/>
              </w:rPr>
            </w:pPr>
            <w:r>
              <w:rPr>
                <w:rFonts w:ascii="Arial"/>
                <w:sz w:val="18"/>
              </w:rPr>
              <w:t>734</w:t>
            </w:r>
          </w:p>
          <w:p>
            <w:pPr>
              <w:pStyle w:val="TableParagraph"/>
              <w:spacing w:line="240" w:lineRule="auto" w:before="105"/>
              <w:ind w:left="202" w:right="0"/>
              <w:jc w:val="left"/>
              <w:rPr>
                <w:rFonts w:ascii="Arial" w:hAnsi="Arial" w:cs="Arial" w:eastAsia="Arial" w:hint="default"/>
                <w:sz w:val="18"/>
                <w:szCs w:val="18"/>
              </w:rPr>
            </w:pPr>
            <w:r>
              <w:rPr>
                <w:rFonts w:ascii="Arial"/>
                <w:sz w:val="18"/>
              </w:rPr>
              <w:t>.00</w:t>
            </w: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46" w:right="0"/>
              <w:jc w:val="left"/>
              <w:rPr>
                <w:rFonts w:ascii="Arial" w:hAnsi="Arial" w:cs="Arial" w:eastAsia="Arial" w:hint="default"/>
                <w:sz w:val="18"/>
                <w:szCs w:val="18"/>
              </w:rPr>
            </w:pPr>
            <w:r>
              <w:rPr>
                <w:rFonts w:ascii="Arial"/>
                <w:sz w:val="18"/>
              </w:rPr>
              <w:t>-185,</w:t>
            </w:r>
          </w:p>
          <w:p>
            <w:pPr>
              <w:pStyle w:val="TableParagraph"/>
              <w:spacing w:line="240" w:lineRule="auto" w:before="105"/>
              <w:ind w:left="96" w:right="0"/>
              <w:jc w:val="center"/>
              <w:rPr>
                <w:rFonts w:ascii="Arial" w:hAnsi="Arial" w:cs="Arial" w:eastAsia="Arial" w:hint="default"/>
                <w:sz w:val="18"/>
                <w:szCs w:val="18"/>
              </w:rPr>
            </w:pPr>
            <w:r>
              <w:rPr>
                <w:rFonts w:ascii="Arial"/>
                <w:sz w:val="18"/>
              </w:rPr>
              <w:t>814,</w:t>
            </w:r>
          </w:p>
          <w:p>
            <w:pPr>
              <w:pStyle w:val="TableParagraph"/>
              <w:spacing w:line="240" w:lineRule="auto" w:before="105"/>
              <w:ind w:left="96" w:right="0"/>
              <w:jc w:val="center"/>
              <w:rPr>
                <w:rFonts w:ascii="Arial" w:hAnsi="Arial" w:cs="Arial" w:eastAsia="Arial" w:hint="default"/>
                <w:sz w:val="18"/>
                <w:szCs w:val="18"/>
              </w:rPr>
            </w:pPr>
            <w:r>
              <w:rPr>
                <w:rFonts w:ascii="Arial"/>
                <w:sz w:val="18"/>
              </w:rPr>
              <w:t>837.</w:t>
            </w:r>
          </w:p>
          <w:p>
            <w:pPr>
              <w:pStyle w:val="TableParagraph"/>
              <w:spacing w:line="240" w:lineRule="auto" w:before="105"/>
              <w:ind w:left="247" w:right="0"/>
              <w:jc w:val="center"/>
              <w:rPr>
                <w:rFonts w:ascii="Arial" w:hAnsi="Arial" w:cs="Arial" w:eastAsia="Arial" w:hint="default"/>
                <w:sz w:val="18"/>
                <w:szCs w:val="18"/>
              </w:rPr>
            </w:pPr>
            <w:r>
              <w:rPr>
                <w:rFonts w:ascii="Arial"/>
                <w:sz w:val="18"/>
              </w:rPr>
              <w:t>67</w:t>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78" w:type="dxa"/>
            <w:tcBorders>
              <w:top w:val="single" w:sz="4" w:space="0" w:color="5B9BD4"/>
              <w:left w:val="nil" w:sz="6" w:space="0" w:color="auto"/>
              <w:bottom w:val="single" w:sz="4" w:space="0" w:color="5B9BD4"/>
              <w:right w:val="nil" w:sz="6" w:space="0" w:color="auto"/>
            </w:tcBorders>
          </w:tcPr>
          <w:p>
            <w:pPr/>
          </w:p>
        </w:tc>
        <w:tc>
          <w:tcPr>
            <w:tcW w:w="65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94" w:right="0"/>
              <w:jc w:val="left"/>
              <w:rPr>
                <w:rFonts w:ascii="Arial" w:hAnsi="Arial" w:cs="Arial" w:eastAsia="Arial" w:hint="default"/>
                <w:sz w:val="18"/>
                <w:szCs w:val="18"/>
              </w:rPr>
            </w:pPr>
            <w:r>
              <w:rPr>
                <w:rFonts w:ascii="Arial"/>
                <w:sz w:val="18"/>
              </w:rPr>
              <w:t>13,1</w:t>
            </w:r>
          </w:p>
          <w:p>
            <w:pPr>
              <w:pStyle w:val="TableParagraph"/>
              <w:spacing w:line="240" w:lineRule="auto" w:before="105"/>
              <w:ind w:left="194" w:right="0"/>
              <w:jc w:val="left"/>
              <w:rPr>
                <w:rFonts w:ascii="Arial" w:hAnsi="Arial" w:cs="Arial" w:eastAsia="Arial" w:hint="default"/>
                <w:sz w:val="18"/>
                <w:szCs w:val="18"/>
              </w:rPr>
            </w:pPr>
            <w:r>
              <w:rPr>
                <w:rFonts w:ascii="Arial"/>
                <w:sz w:val="18"/>
              </w:rPr>
              <w:t>56,0</w:t>
            </w:r>
          </w:p>
          <w:p>
            <w:pPr>
              <w:pStyle w:val="TableParagraph"/>
              <w:spacing w:line="240" w:lineRule="auto" w:before="105"/>
              <w:ind w:left="194" w:right="0"/>
              <w:jc w:val="left"/>
              <w:rPr>
                <w:rFonts w:ascii="Arial" w:hAnsi="Arial" w:cs="Arial" w:eastAsia="Arial" w:hint="default"/>
                <w:sz w:val="18"/>
                <w:szCs w:val="18"/>
              </w:rPr>
            </w:pPr>
            <w:r>
              <w:rPr>
                <w:rFonts w:ascii="Arial"/>
                <w:sz w:val="18"/>
              </w:rPr>
              <w:t>46.7</w:t>
            </w:r>
          </w:p>
          <w:p>
            <w:pPr>
              <w:pStyle w:val="TableParagraph"/>
              <w:spacing w:line="240" w:lineRule="auto" w:before="105"/>
              <w:ind w:right="105"/>
              <w:jc w:val="right"/>
              <w:rPr>
                <w:rFonts w:ascii="Arial" w:hAnsi="Arial" w:cs="Arial" w:eastAsia="Arial" w:hint="default"/>
                <w:sz w:val="18"/>
                <w:szCs w:val="18"/>
              </w:rPr>
            </w:pPr>
            <w:r>
              <w:rPr>
                <w:rFonts w:ascii="Arial"/>
                <w:w w:val="99"/>
                <w:sz w:val="18"/>
              </w:rPr>
              <w:t>7</w:t>
            </w:r>
            <w:r>
              <w:rPr>
                <w:rFonts w:ascii="Arial"/>
                <w:sz w:val="18"/>
              </w:rPr>
            </w:r>
          </w:p>
        </w:tc>
        <w:tc>
          <w:tcPr>
            <w:tcW w:w="65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41" w:right="0"/>
              <w:jc w:val="left"/>
              <w:rPr>
                <w:rFonts w:ascii="Arial" w:hAnsi="Arial" w:cs="Arial" w:eastAsia="Arial" w:hint="default"/>
                <w:sz w:val="18"/>
                <w:szCs w:val="18"/>
              </w:rPr>
            </w:pPr>
            <w:r>
              <w:rPr>
                <w:rFonts w:ascii="Arial"/>
                <w:sz w:val="18"/>
              </w:rPr>
              <w:t>-176,</w:t>
            </w:r>
          </w:p>
          <w:p>
            <w:pPr>
              <w:pStyle w:val="TableParagraph"/>
              <w:spacing w:line="240" w:lineRule="auto" w:before="105"/>
              <w:ind w:left="92" w:right="0"/>
              <w:jc w:val="center"/>
              <w:rPr>
                <w:rFonts w:ascii="Arial" w:hAnsi="Arial" w:cs="Arial" w:eastAsia="Arial" w:hint="default"/>
                <w:sz w:val="18"/>
                <w:szCs w:val="18"/>
              </w:rPr>
            </w:pPr>
            <w:r>
              <w:rPr>
                <w:rFonts w:ascii="Arial"/>
                <w:sz w:val="18"/>
              </w:rPr>
              <w:t>992,</w:t>
            </w:r>
          </w:p>
          <w:p>
            <w:pPr>
              <w:pStyle w:val="TableParagraph"/>
              <w:spacing w:line="240" w:lineRule="auto" w:before="105"/>
              <w:ind w:left="92" w:right="0"/>
              <w:jc w:val="center"/>
              <w:rPr>
                <w:rFonts w:ascii="Arial" w:hAnsi="Arial" w:cs="Arial" w:eastAsia="Arial" w:hint="default"/>
                <w:sz w:val="18"/>
                <w:szCs w:val="18"/>
              </w:rPr>
            </w:pPr>
            <w:r>
              <w:rPr>
                <w:rFonts w:ascii="Arial"/>
                <w:sz w:val="18"/>
              </w:rPr>
              <w:t>524.</w:t>
            </w:r>
          </w:p>
          <w:p>
            <w:pPr>
              <w:pStyle w:val="TableParagraph"/>
              <w:spacing w:line="240" w:lineRule="auto" w:before="105"/>
              <w:ind w:left="243" w:right="0"/>
              <w:jc w:val="center"/>
              <w:rPr>
                <w:rFonts w:ascii="Arial" w:hAnsi="Arial" w:cs="Arial" w:eastAsia="Arial" w:hint="default"/>
                <w:sz w:val="18"/>
                <w:szCs w:val="18"/>
              </w:rPr>
            </w:pPr>
            <w:r>
              <w:rPr>
                <w:rFonts w:ascii="Arial"/>
                <w:sz w:val="18"/>
              </w:rPr>
              <w:t>90</w:t>
            </w:r>
          </w:p>
        </w:tc>
      </w:tr>
      <w:tr>
        <w:trPr>
          <w:trHeight w:val="1258" w:hRule="exact"/>
        </w:trPr>
        <w:tc>
          <w:tcPr>
            <w:tcW w:w="143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10"/>
              <w:ind w:left="108" w:right="148"/>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．股东投入的 普通股</w:t>
            </w:r>
          </w:p>
        </w:tc>
        <w:tc>
          <w:tcPr>
            <w:tcW w:w="562"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42" w:right="0"/>
              <w:jc w:val="left"/>
              <w:rPr>
                <w:rFonts w:ascii="Arial" w:hAnsi="Arial" w:cs="Arial" w:eastAsia="Arial" w:hint="default"/>
                <w:sz w:val="18"/>
                <w:szCs w:val="18"/>
              </w:rPr>
            </w:pPr>
            <w:r>
              <w:rPr>
                <w:rFonts w:ascii="Arial"/>
                <w:sz w:val="18"/>
              </w:rPr>
              <w:t>-4,3</w:t>
            </w:r>
          </w:p>
          <w:p>
            <w:pPr>
              <w:pStyle w:val="TableParagraph"/>
              <w:spacing w:line="240" w:lineRule="auto" w:before="105"/>
              <w:ind w:left="202" w:right="0"/>
              <w:jc w:val="left"/>
              <w:rPr>
                <w:rFonts w:ascii="Arial" w:hAnsi="Arial" w:cs="Arial" w:eastAsia="Arial" w:hint="default"/>
                <w:sz w:val="18"/>
                <w:szCs w:val="18"/>
              </w:rPr>
            </w:pPr>
            <w:r>
              <w:rPr>
                <w:rFonts w:ascii="Arial"/>
                <w:sz w:val="18"/>
              </w:rPr>
              <w:t>33,</w:t>
            </w:r>
          </w:p>
          <w:p>
            <w:pPr>
              <w:pStyle w:val="TableParagraph"/>
              <w:spacing w:line="240" w:lineRule="auto" w:before="105"/>
              <w:ind w:left="153" w:right="0"/>
              <w:jc w:val="left"/>
              <w:rPr>
                <w:rFonts w:ascii="Arial" w:hAnsi="Arial" w:cs="Arial" w:eastAsia="Arial" w:hint="default"/>
                <w:sz w:val="18"/>
                <w:szCs w:val="18"/>
              </w:rPr>
            </w:pPr>
            <w:r>
              <w:rPr>
                <w:rFonts w:ascii="Arial"/>
                <w:sz w:val="18"/>
              </w:rPr>
              <w:t>734</w:t>
            </w:r>
          </w:p>
          <w:p>
            <w:pPr>
              <w:pStyle w:val="TableParagraph"/>
              <w:spacing w:line="240" w:lineRule="auto" w:before="105"/>
              <w:ind w:left="202" w:right="0"/>
              <w:jc w:val="left"/>
              <w:rPr>
                <w:rFonts w:ascii="Arial" w:hAnsi="Arial" w:cs="Arial" w:eastAsia="Arial" w:hint="default"/>
                <w:sz w:val="18"/>
                <w:szCs w:val="18"/>
              </w:rPr>
            </w:pPr>
            <w:r>
              <w:rPr>
                <w:rFonts w:ascii="Arial"/>
                <w:sz w:val="18"/>
              </w:rPr>
              <w:t>.00</w:t>
            </w: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46" w:right="0"/>
              <w:jc w:val="left"/>
              <w:rPr>
                <w:rFonts w:ascii="Arial" w:hAnsi="Arial" w:cs="Arial" w:eastAsia="Arial" w:hint="default"/>
                <w:sz w:val="18"/>
                <w:szCs w:val="18"/>
              </w:rPr>
            </w:pPr>
            <w:r>
              <w:rPr>
                <w:rFonts w:ascii="Arial"/>
                <w:sz w:val="18"/>
              </w:rPr>
              <w:t>-24,4</w:t>
            </w:r>
          </w:p>
          <w:p>
            <w:pPr>
              <w:pStyle w:val="TableParagraph"/>
              <w:spacing w:line="240" w:lineRule="auto" w:before="105"/>
              <w:ind w:left="206" w:right="0"/>
              <w:jc w:val="left"/>
              <w:rPr>
                <w:rFonts w:ascii="Arial" w:hAnsi="Arial" w:cs="Arial" w:eastAsia="Arial" w:hint="default"/>
                <w:sz w:val="18"/>
                <w:szCs w:val="18"/>
              </w:rPr>
            </w:pPr>
            <w:r>
              <w:rPr>
                <w:rFonts w:ascii="Arial"/>
                <w:sz w:val="18"/>
              </w:rPr>
              <w:t>40,4</w:t>
            </w:r>
          </w:p>
          <w:p>
            <w:pPr>
              <w:pStyle w:val="TableParagraph"/>
              <w:spacing w:line="240" w:lineRule="auto" w:before="105"/>
              <w:ind w:left="206" w:right="0"/>
              <w:jc w:val="left"/>
              <w:rPr>
                <w:rFonts w:ascii="Arial" w:hAnsi="Arial" w:cs="Arial" w:eastAsia="Arial" w:hint="default"/>
                <w:sz w:val="18"/>
                <w:szCs w:val="18"/>
              </w:rPr>
            </w:pPr>
            <w:r>
              <w:rPr>
                <w:rFonts w:ascii="Arial"/>
                <w:sz w:val="18"/>
              </w:rPr>
              <w:t>84.3</w:t>
            </w:r>
          </w:p>
          <w:p>
            <w:pPr>
              <w:pStyle w:val="TableParagraph"/>
              <w:spacing w:line="240" w:lineRule="auto" w:before="105"/>
              <w:ind w:right="107"/>
              <w:jc w:val="right"/>
              <w:rPr>
                <w:rFonts w:ascii="Arial" w:hAnsi="Arial" w:cs="Arial" w:eastAsia="Arial" w:hint="default"/>
                <w:sz w:val="18"/>
                <w:szCs w:val="18"/>
              </w:rPr>
            </w:pPr>
            <w:r>
              <w:rPr>
                <w:rFonts w:ascii="Arial"/>
                <w:w w:val="99"/>
                <w:sz w:val="18"/>
              </w:rPr>
              <w:t>0</w:t>
            </w:r>
            <w:r>
              <w:rPr>
                <w:rFonts w:ascii="Arial"/>
                <w:sz w:val="18"/>
              </w:rPr>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78" w:type="dxa"/>
            <w:tcBorders>
              <w:top w:val="single" w:sz="4" w:space="0" w:color="5B9BD4"/>
              <w:left w:val="nil" w:sz="6" w:space="0" w:color="auto"/>
              <w:bottom w:val="single" w:sz="4" w:space="0" w:color="5B9BD4"/>
              <w:right w:val="nil" w:sz="6" w:space="0" w:color="auto"/>
            </w:tcBorders>
          </w:tcPr>
          <w:p>
            <w:pPr/>
          </w:p>
        </w:tc>
        <w:tc>
          <w:tcPr>
            <w:tcW w:w="652" w:type="dxa"/>
            <w:tcBorders>
              <w:top w:val="single" w:sz="4" w:space="0" w:color="5B9BD4"/>
              <w:left w:val="nil" w:sz="6" w:space="0" w:color="auto"/>
              <w:bottom w:val="single" w:sz="4" w:space="0" w:color="5B9BD4"/>
              <w:right w:val="nil" w:sz="6" w:space="0" w:color="auto"/>
            </w:tcBorders>
            <w:shd w:val="clear" w:color="auto" w:fill="DEEAF6"/>
          </w:tcPr>
          <w:p>
            <w:pPr/>
          </w:p>
        </w:tc>
        <w:tc>
          <w:tcPr>
            <w:tcW w:w="65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41" w:right="0"/>
              <w:jc w:val="left"/>
              <w:rPr>
                <w:rFonts w:ascii="Arial" w:hAnsi="Arial" w:cs="Arial" w:eastAsia="Arial" w:hint="default"/>
                <w:sz w:val="18"/>
                <w:szCs w:val="18"/>
              </w:rPr>
            </w:pPr>
            <w:r>
              <w:rPr>
                <w:rFonts w:ascii="Arial"/>
                <w:sz w:val="18"/>
              </w:rPr>
              <w:t>-28,7</w:t>
            </w:r>
          </w:p>
          <w:p>
            <w:pPr>
              <w:pStyle w:val="TableParagraph"/>
              <w:spacing w:line="240" w:lineRule="auto" w:before="105"/>
              <w:ind w:left="201" w:right="0"/>
              <w:jc w:val="left"/>
              <w:rPr>
                <w:rFonts w:ascii="Arial" w:hAnsi="Arial" w:cs="Arial" w:eastAsia="Arial" w:hint="default"/>
                <w:sz w:val="18"/>
                <w:szCs w:val="18"/>
              </w:rPr>
            </w:pPr>
            <w:r>
              <w:rPr>
                <w:rFonts w:ascii="Arial"/>
                <w:sz w:val="18"/>
              </w:rPr>
              <w:t>74,2</w:t>
            </w:r>
          </w:p>
          <w:p>
            <w:pPr>
              <w:pStyle w:val="TableParagraph"/>
              <w:spacing w:line="240" w:lineRule="auto" w:before="105"/>
              <w:ind w:left="201" w:right="0"/>
              <w:jc w:val="left"/>
              <w:rPr>
                <w:rFonts w:ascii="Arial" w:hAnsi="Arial" w:cs="Arial" w:eastAsia="Arial" w:hint="default"/>
                <w:sz w:val="18"/>
                <w:szCs w:val="18"/>
              </w:rPr>
            </w:pPr>
            <w:r>
              <w:rPr>
                <w:rFonts w:ascii="Arial"/>
                <w:sz w:val="18"/>
              </w:rPr>
              <w:t>18.3</w:t>
            </w:r>
          </w:p>
          <w:p>
            <w:pPr>
              <w:pStyle w:val="TableParagraph"/>
              <w:spacing w:line="240" w:lineRule="auto" w:before="105"/>
              <w:ind w:right="105"/>
              <w:jc w:val="right"/>
              <w:rPr>
                <w:rFonts w:ascii="Arial" w:hAnsi="Arial" w:cs="Arial" w:eastAsia="Arial" w:hint="default"/>
                <w:sz w:val="18"/>
                <w:szCs w:val="18"/>
              </w:rPr>
            </w:pPr>
            <w:r>
              <w:rPr>
                <w:rFonts w:ascii="Arial"/>
                <w:w w:val="99"/>
                <w:sz w:val="18"/>
              </w:rPr>
              <w:t>0</w:t>
            </w:r>
            <w:r>
              <w:rPr>
                <w:rFonts w:ascii="Arial"/>
                <w:sz w:val="18"/>
              </w:rPr>
            </w:r>
          </w:p>
        </w:tc>
      </w:tr>
      <w:tr>
        <w:trPr>
          <w:trHeight w:val="947" w:hRule="exact"/>
        </w:trPr>
        <w:tc>
          <w:tcPr>
            <w:tcW w:w="143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9" w:lineRule="auto" w:before="6"/>
              <w:ind w:left="108" w:right="148"/>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．其他权益工 具持有者投入 资本</w:t>
            </w:r>
          </w:p>
        </w:tc>
        <w:tc>
          <w:tcPr>
            <w:tcW w:w="56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78" w:type="dxa"/>
            <w:tcBorders>
              <w:top w:val="single" w:sz="4" w:space="0" w:color="5B9BD4"/>
              <w:left w:val="nil" w:sz="6" w:space="0" w:color="auto"/>
              <w:bottom w:val="single" w:sz="4" w:space="0" w:color="5B9BD4"/>
              <w:right w:val="nil" w:sz="6" w:space="0" w:color="auto"/>
            </w:tcBorders>
          </w:tcPr>
          <w:p>
            <w:pPr/>
          </w:p>
        </w:tc>
        <w:tc>
          <w:tcPr>
            <w:tcW w:w="652" w:type="dxa"/>
            <w:tcBorders>
              <w:top w:val="single" w:sz="4" w:space="0" w:color="5B9BD4"/>
              <w:left w:val="nil" w:sz="6" w:space="0" w:color="auto"/>
              <w:bottom w:val="single" w:sz="4" w:space="0" w:color="5B9BD4"/>
              <w:right w:val="nil" w:sz="6" w:space="0" w:color="auto"/>
            </w:tcBorders>
            <w:shd w:val="clear" w:color="auto" w:fill="DEEAF6"/>
          </w:tcPr>
          <w:p>
            <w:pPr/>
          </w:p>
        </w:tc>
        <w:tc>
          <w:tcPr>
            <w:tcW w:w="659" w:type="dxa"/>
            <w:tcBorders>
              <w:top w:val="single" w:sz="4" w:space="0" w:color="5B9BD4"/>
              <w:left w:val="nil" w:sz="6" w:space="0" w:color="auto"/>
              <w:bottom w:val="single" w:sz="4" w:space="0" w:color="5B9BD4"/>
              <w:right w:val="nil" w:sz="6" w:space="0" w:color="auto"/>
            </w:tcBorders>
          </w:tcPr>
          <w:p>
            <w:pPr/>
          </w:p>
        </w:tc>
      </w:tr>
      <w:tr>
        <w:trPr>
          <w:trHeight w:val="634" w:hRule="exact"/>
        </w:trPr>
        <w:tc>
          <w:tcPr>
            <w:tcW w:w="143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2" w:lineRule="auto" w:before="5"/>
              <w:ind w:left="108" w:right="148"/>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．股份支付计 入所有者权益</w:t>
            </w:r>
          </w:p>
        </w:tc>
        <w:tc>
          <w:tcPr>
            <w:tcW w:w="56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46" w:right="0"/>
              <w:jc w:val="left"/>
              <w:rPr>
                <w:rFonts w:ascii="Arial" w:hAnsi="Arial" w:cs="Arial" w:eastAsia="Arial" w:hint="default"/>
                <w:sz w:val="18"/>
                <w:szCs w:val="18"/>
              </w:rPr>
            </w:pPr>
            <w:r>
              <w:rPr>
                <w:rFonts w:ascii="Arial"/>
                <w:sz w:val="18"/>
              </w:rPr>
              <w:t>-23,8</w:t>
            </w:r>
          </w:p>
          <w:p>
            <w:pPr>
              <w:pStyle w:val="TableParagraph"/>
              <w:spacing w:line="240" w:lineRule="auto" w:before="105"/>
              <w:ind w:left="206" w:right="0"/>
              <w:jc w:val="left"/>
              <w:rPr>
                <w:rFonts w:ascii="Arial" w:hAnsi="Arial" w:cs="Arial" w:eastAsia="Arial" w:hint="default"/>
                <w:sz w:val="18"/>
                <w:szCs w:val="18"/>
              </w:rPr>
            </w:pPr>
            <w:r>
              <w:rPr>
                <w:rFonts w:ascii="Arial"/>
                <w:sz w:val="18"/>
              </w:rPr>
              <w:t>74,3</w:t>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78" w:type="dxa"/>
            <w:tcBorders>
              <w:top w:val="single" w:sz="4" w:space="0" w:color="5B9BD4"/>
              <w:left w:val="nil" w:sz="6" w:space="0" w:color="auto"/>
              <w:bottom w:val="single" w:sz="4" w:space="0" w:color="5B9BD4"/>
              <w:right w:val="nil" w:sz="6" w:space="0" w:color="auto"/>
            </w:tcBorders>
          </w:tcPr>
          <w:p>
            <w:pPr/>
          </w:p>
        </w:tc>
        <w:tc>
          <w:tcPr>
            <w:tcW w:w="652" w:type="dxa"/>
            <w:tcBorders>
              <w:top w:val="single" w:sz="4" w:space="0" w:color="5B9BD4"/>
              <w:left w:val="nil" w:sz="6" w:space="0" w:color="auto"/>
              <w:bottom w:val="single" w:sz="4" w:space="0" w:color="5B9BD4"/>
              <w:right w:val="nil" w:sz="6" w:space="0" w:color="auto"/>
            </w:tcBorders>
            <w:shd w:val="clear" w:color="auto" w:fill="DEEAF6"/>
          </w:tcPr>
          <w:p>
            <w:pPr/>
          </w:p>
        </w:tc>
        <w:tc>
          <w:tcPr>
            <w:tcW w:w="65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41" w:right="0"/>
              <w:jc w:val="left"/>
              <w:rPr>
                <w:rFonts w:ascii="Arial" w:hAnsi="Arial" w:cs="Arial" w:eastAsia="Arial" w:hint="default"/>
                <w:sz w:val="18"/>
                <w:szCs w:val="18"/>
              </w:rPr>
            </w:pPr>
            <w:r>
              <w:rPr>
                <w:rFonts w:ascii="Arial"/>
                <w:sz w:val="18"/>
              </w:rPr>
              <w:t>-23,8</w:t>
            </w:r>
          </w:p>
          <w:p>
            <w:pPr>
              <w:pStyle w:val="TableParagraph"/>
              <w:spacing w:line="240" w:lineRule="auto" w:before="105"/>
              <w:ind w:left="201" w:right="0"/>
              <w:jc w:val="left"/>
              <w:rPr>
                <w:rFonts w:ascii="Arial" w:hAnsi="Arial" w:cs="Arial" w:eastAsia="Arial" w:hint="default"/>
                <w:sz w:val="18"/>
                <w:szCs w:val="18"/>
              </w:rPr>
            </w:pPr>
            <w:r>
              <w:rPr>
                <w:rFonts w:ascii="Arial"/>
                <w:sz w:val="18"/>
              </w:rPr>
              <w:t>74,3</w:t>
            </w:r>
          </w:p>
        </w:tc>
      </w:tr>
    </w:tbl>
    <w:p>
      <w:pPr>
        <w:spacing w:after="0" w:line="240" w:lineRule="auto"/>
        <w:jc w:val="left"/>
        <w:rPr>
          <w:rFonts w:ascii="Arial" w:hAnsi="Arial" w:cs="Arial" w:eastAsia="Arial" w:hint="default"/>
          <w:sz w:val="18"/>
          <w:szCs w:val="18"/>
        </w:rPr>
        <w:sectPr>
          <w:footerReference w:type="default" r:id="rId49"/>
          <w:pgSz w:w="11910" w:h="16840"/>
          <w:pgMar w:footer="979" w:header="877" w:top="1100" w:bottom="1160" w:left="920" w:right="0"/>
          <w:pgNumType w:start="101"/>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634" w:hRule="exact"/>
        </w:trPr>
        <w:tc>
          <w:tcPr>
            <w:tcW w:w="143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56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53.3</w:t>
            </w:r>
            <w:r>
              <w:rPr>
                <w:rFonts w:ascii="Arial"/>
                <w:sz w:val="18"/>
              </w:rPr>
            </w:r>
          </w:p>
          <w:p>
            <w:pPr>
              <w:pStyle w:val="TableParagraph"/>
              <w:spacing w:line="240" w:lineRule="auto" w:before="105"/>
              <w:ind w:right="107"/>
              <w:jc w:val="right"/>
              <w:rPr>
                <w:rFonts w:ascii="Arial" w:hAnsi="Arial" w:cs="Arial" w:eastAsia="Arial" w:hint="default"/>
                <w:sz w:val="18"/>
                <w:szCs w:val="18"/>
              </w:rPr>
            </w:pPr>
            <w:r>
              <w:rPr>
                <w:rFonts w:ascii="Arial"/>
                <w:w w:val="99"/>
                <w:sz w:val="18"/>
              </w:rPr>
              <w:t>7</w:t>
            </w:r>
            <w:r>
              <w:rPr>
                <w:rFonts w:ascii="Arial"/>
                <w:sz w:val="18"/>
              </w:rPr>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78" w:type="dxa"/>
            <w:tcBorders>
              <w:top w:val="single" w:sz="4" w:space="0" w:color="5B9BD4"/>
              <w:left w:val="nil" w:sz="6" w:space="0" w:color="auto"/>
              <w:bottom w:val="single" w:sz="4" w:space="0" w:color="5B9BD4"/>
              <w:right w:val="nil" w:sz="6" w:space="0" w:color="auto"/>
            </w:tcBorders>
          </w:tcPr>
          <w:p>
            <w:pPr/>
          </w:p>
        </w:tc>
        <w:tc>
          <w:tcPr>
            <w:tcW w:w="652" w:type="dxa"/>
            <w:tcBorders>
              <w:top w:val="single" w:sz="4" w:space="0" w:color="5B9BD4"/>
              <w:left w:val="nil" w:sz="6" w:space="0" w:color="auto"/>
              <w:bottom w:val="single" w:sz="4" w:space="0" w:color="5B9BD4"/>
              <w:right w:val="nil" w:sz="6" w:space="0" w:color="auto"/>
            </w:tcBorders>
            <w:shd w:val="clear" w:color="auto" w:fill="DEEAF6"/>
          </w:tcPr>
          <w:p>
            <w:pPr/>
          </w:p>
        </w:tc>
        <w:tc>
          <w:tcPr>
            <w:tcW w:w="65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53.3</w:t>
            </w:r>
            <w:r>
              <w:rPr>
                <w:rFonts w:ascii="Arial"/>
                <w:sz w:val="18"/>
              </w:rPr>
            </w:r>
          </w:p>
          <w:p>
            <w:pPr>
              <w:pStyle w:val="TableParagraph"/>
              <w:spacing w:line="240" w:lineRule="auto" w:before="105"/>
              <w:ind w:right="105"/>
              <w:jc w:val="right"/>
              <w:rPr>
                <w:rFonts w:ascii="Arial" w:hAnsi="Arial" w:cs="Arial" w:eastAsia="Arial" w:hint="default"/>
                <w:sz w:val="18"/>
                <w:szCs w:val="18"/>
              </w:rPr>
            </w:pPr>
            <w:r>
              <w:rPr>
                <w:rFonts w:ascii="Arial"/>
                <w:w w:val="99"/>
                <w:sz w:val="18"/>
              </w:rPr>
              <w:t>7</w:t>
            </w:r>
            <w:r>
              <w:rPr>
                <w:rFonts w:ascii="Arial"/>
                <w:sz w:val="18"/>
              </w:rPr>
            </w:r>
          </w:p>
        </w:tc>
      </w:tr>
      <w:tr>
        <w:trPr>
          <w:trHeight w:val="1259" w:hRule="exact"/>
        </w:trPr>
        <w:tc>
          <w:tcPr>
            <w:tcW w:w="143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108"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56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46" w:right="0"/>
              <w:jc w:val="left"/>
              <w:rPr>
                <w:rFonts w:ascii="Arial" w:hAnsi="Arial" w:cs="Arial" w:eastAsia="Arial" w:hint="default"/>
                <w:sz w:val="18"/>
                <w:szCs w:val="18"/>
              </w:rPr>
            </w:pPr>
            <w:r>
              <w:rPr>
                <w:rFonts w:ascii="Arial"/>
                <w:sz w:val="18"/>
              </w:rPr>
              <w:t>-137,</w:t>
            </w:r>
          </w:p>
          <w:p>
            <w:pPr>
              <w:pStyle w:val="TableParagraph"/>
              <w:spacing w:line="240" w:lineRule="auto" w:before="105"/>
              <w:ind w:left="96" w:right="0"/>
              <w:jc w:val="center"/>
              <w:rPr>
                <w:rFonts w:ascii="Arial" w:hAnsi="Arial" w:cs="Arial" w:eastAsia="Arial" w:hint="default"/>
                <w:sz w:val="18"/>
                <w:szCs w:val="18"/>
              </w:rPr>
            </w:pPr>
            <w:r>
              <w:rPr>
                <w:rFonts w:ascii="Arial"/>
                <w:sz w:val="18"/>
              </w:rPr>
              <w:t>500,</w:t>
            </w:r>
          </w:p>
          <w:p>
            <w:pPr>
              <w:pStyle w:val="TableParagraph"/>
              <w:spacing w:line="240" w:lineRule="auto" w:before="105"/>
              <w:ind w:left="96" w:right="0"/>
              <w:jc w:val="center"/>
              <w:rPr>
                <w:rFonts w:ascii="Arial" w:hAnsi="Arial" w:cs="Arial" w:eastAsia="Arial" w:hint="default"/>
                <w:sz w:val="18"/>
                <w:szCs w:val="18"/>
              </w:rPr>
            </w:pPr>
            <w:r>
              <w:rPr>
                <w:rFonts w:ascii="Arial"/>
                <w:sz w:val="18"/>
              </w:rPr>
              <w:t>000.</w:t>
            </w:r>
          </w:p>
          <w:p>
            <w:pPr>
              <w:pStyle w:val="TableParagraph"/>
              <w:spacing w:line="240" w:lineRule="auto" w:before="105"/>
              <w:ind w:left="247" w:right="0"/>
              <w:jc w:val="center"/>
              <w:rPr>
                <w:rFonts w:ascii="Arial" w:hAnsi="Arial" w:cs="Arial" w:eastAsia="Arial" w:hint="default"/>
                <w:sz w:val="18"/>
                <w:szCs w:val="18"/>
              </w:rPr>
            </w:pPr>
            <w:r>
              <w:rPr>
                <w:rFonts w:ascii="Arial"/>
                <w:sz w:val="18"/>
              </w:rPr>
              <w:t>00</w:t>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78" w:type="dxa"/>
            <w:tcBorders>
              <w:top w:val="single" w:sz="4" w:space="0" w:color="5B9BD4"/>
              <w:left w:val="nil" w:sz="6" w:space="0" w:color="auto"/>
              <w:bottom w:val="single" w:sz="4" w:space="0" w:color="5B9BD4"/>
              <w:right w:val="nil" w:sz="6" w:space="0" w:color="auto"/>
            </w:tcBorders>
          </w:tcPr>
          <w:p>
            <w:pPr/>
          </w:p>
        </w:tc>
        <w:tc>
          <w:tcPr>
            <w:tcW w:w="65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94" w:right="0"/>
              <w:jc w:val="left"/>
              <w:rPr>
                <w:rFonts w:ascii="Arial" w:hAnsi="Arial" w:cs="Arial" w:eastAsia="Arial" w:hint="default"/>
                <w:sz w:val="18"/>
                <w:szCs w:val="18"/>
              </w:rPr>
            </w:pPr>
            <w:r>
              <w:rPr>
                <w:rFonts w:ascii="Arial"/>
                <w:sz w:val="18"/>
              </w:rPr>
              <w:t>13,1</w:t>
            </w:r>
          </w:p>
          <w:p>
            <w:pPr>
              <w:pStyle w:val="TableParagraph"/>
              <w:spacing w:line="240" w:lineRule="auto" w:before="105"/>
              <w:ind w:left="194" w:right="0"/>
              <w:jc w:val="left"/>
              <w:rPr>
                <w:rFonts w:ascii="Arial" w:hAnsi="Arial" w:cs="Arial" w:eastAsia="Arial" w:hint="default"/>
                <w:sz w:val="18"/>
                <w:szCs w:val="18"/>
              </w:rPr>
            </w:pPr>
            <w:r>
              <w:rPr>
                <w:rFonts w:ascii="Arial"/>
                <w:sz w:val="18"/>
              </w:rPr>
              <w:t>56,0</w:t>
            </w:r>
          </w:p>
          <w:p>
            <w:pPr>
              <w:pStyle w:val="TableParagraph"/>
              <w:spacing w:line="240" w:lineRule="auto" w:before="105"/>
              <w:ind w:left="194" w:right="0"/>
              <w:jc w:val="left"/>
              <w:rPr>
                <w:rFonts w:ascii="Arial" w:hAnsi="Arial" w:cs="Arial" w:eastAsia="Arial" w:hint="default"/>
                <w:sz w:val="18"/>
                <w:szCs w:val="18"/>
              </w:rPr>
            </w:pPr>
            <w:r>
              <w:rPr>
                <w:rFonts w:ascii="Arial"/>
                <w:sz w:val="18"/>
              </w:rPr>
              <w:t>46.7</w:t>
            </w:r>
          </w:p>
          <w:p>
            <w:pPr>
              <w:pStyle w:val="TableParagraph"/>
              <w:spacing w:line="240" w:lineRule="auto" w:before="105"/>
              <w:ind w:right="105"/>
              <w:jc w:val="right"/>
              <w:rPr>
                <w:rFonts w:ascii="Arial" w:hAnsi="Arial" w:cs="Arial" w:eastAsia="Arial" w:hint="default"/>
                <w:sz w:val="18"/>
                <w:szCs w:val="18"/>
              </w:rPr>
            </w:pPr>
            <w:r>
              <w:rPr>
                <w:rFonts w:ascii="Arial"/>
                <w:w w:val="99"/>
                <w:sz w:val="18"/>
              </w:rPr>
              <w:t>7</w:t>
            </w:r>
            <w:r>
              <w:rPr>
                <w:rFonts w:ascii="Arial"/>
                <w:sz w:val="18"/>
              </w:rPr>
            </w:r>
          </w:p>
        </w:tc>
        <w:tc>
          <w:tcPr>
            <w:tcW w:w="65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41" w:right="0"/>
              <w:jc w:val="left"/>
              <w:rPr>
                <w:rFonts w:ascii="Arial" w:hAnsi="Arial" w:cs="Arial" w:eastAsia="Arial" w:hint="default"/>
                <w:sz w:val="18"/>
                <w:szCs w:val="18"/>
              </w:rPr>
            </w:pPr>
            <w:r>
              <w:rPr>
                <w:rFonts w:ascii="Arial"/>
                <w:sz w:val="18"/>
              </w:rPr>
              <w:t>-124,</w:t>
            </w:r>
          </w:p>
          <w:p>
            <w:pPr>
              <w:pStyle w:val="TableParagraph"/>
              <w:spacing w:line="240" w:lineRule="auto" w:before="105"/>
              <w:ind w:left="92" w:right="0"/>
              <w:jc w:val="center"/>
              <w:rPr>
                <w:rFonts w:ascii="Arial" w:hAnsi="Arial" w:cs="Arial" w:eastAsia="Arial" w:hint="default"/>
                <w:sz w:val="18"/>
                <w:szCs w:val="18"/>
              </w:rPr>
            </w:pPr>
            <w:r>
              <w:rPr>
                <w:rFonts w:ascii="Arial"/>
                <w:sz w:val="18"/>
              </w:rPr>
              <w:t>343,</w:t>
            </w:r>
          </w:p>
          <w:p>
            <w:pPr>
              <w:pStyle w:val="TableParagraph"/>
              <w:spacing w:line="240" w:lineRule="auto" w:before="105"/>
              <w:ind w:left="92" w:right="0"/>
              <w:jc w:val="center"/>
              <w:rPr>
                <w:rFonts w:ascii="Arial" w:hAnsi="Arial" w:cs="Arial" w:eastAsia="Arial" w:hint="default"/>
                <w:sz w:val="18"/>
                <w:szCs w:val="18"/>
              </w:rPr>
            </w:pPr>
            <w:r>
              <w:rPr>
                <w:rFonts w:ascii="Arial"/>
                <w:sz w:val="18"/>
              </w:rPr>
              <w:t>953.</w:t>
            </w:r>
          </w:p>
          <w:p>
            <w:pPr>
              <w:pStyle w:val="TableParagraph"/>
              <w:spacing w:line="240" w:lineRule="auto" w:before="105"/>
              <w:ind w:left="243" w:right="0"/>
              <w:jc w:val="center"/>
              <w:rPr>
                <w:rFonts w:ascii="Arial" w:hAnsi="Arial" w:cs="Arial" w:eastAsia="Arial" w:hint="default"/>
                <w:sz w:val="18"/>
                <w:szCs w:val="18"/>
              </w:rPr>
            </w:pPr>
            <w:r>
              <w:rPr>
                <w:rFonts w:ascii="Arial"/>
                <w:sz w:val="18"/>
              </w:rPr>
              <w:t>23</w:t>
            </w:r>
          </w:p>
        </w:tc>
      </w:tr>
      <w:tr>
        <w:trPr>
          <w:trHeight w:val="1258" w:hRule="exact"/>
        </w:trPr>
        <w:tc>
          <w:tcPr>
            <w:tcW w:w="143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206" w:right="0"/>
              <w:jc w:val="left"/>
              <w:rPr>
                <w:rFonts w:ascii="Arial" w:hAnsi="Arial" w:cs="Arial" w:eastAsia="Arial" w:hint="default"/>
                <w:sz w:val="18"/>
                <w:szCs w:val="18"/>
              </w:rPr>
            </w:pPr>
            <w:r>
              <w:rPr>
                <w:rFonts w:ascii="Arial"/>
                <w:sz w:val="18"/>
              </w:rPr>
              <w:t>35,7</w:t>
            </w:r>
          </w:p>
          <w:p>
            <w:pPr>
              <w:pStyle w:val="TableParagraph"/>
              <w:spacing w:line="240" w:lineRule="auto" w:before="105"/>
              <w:ind w:left="206" w:right="0"/>
              <w:jc w:val="left"/>
              <w:rPr>
                <w:rFonts w:ascii="Arial" w:hAnsi="Arial" w:cs="Arial" w:eastAsia="Arial" w:hint="default"/>
                <w:sz w:val="18"/>
                <w:szCs w:val="18"/>
              </w:rPr>
            </w:pPr>
            <w:r>
              <w:rPr>
                <w:rFonts w:ascii="Arial"/>
                <w:sz w:val="18"/>
              </w:rPr>
              <w:t>78,4</w:t>
            </w:r>
          </w:p>
          <w:p>
            <w:pPr>
              <w:pStyle w:val="TableParagraph"/>
              <w:spacing w:line="240" w:lineRule="auto" w:before="105"/>
              <w:ind w:left="206" w:right="0"/>
              <w:jc w:val="left"/>
              <w:rPr>
                <w:rFonts w:ascii="Arial" w:hAnsi="Arial" w:cs="Arial" w:eastAsia="Arial" w:hint="default"/>
                <w:sz w:val="18"/>
                <w:szCs w:val="18"/>
              </w:rPr>
            </w:pPr>
            <w:r>
              <w:rPr>
                <w:rFonts w:ascii="Arial"/>
                <w:sz w:val="18"/>
              </w:rPr>
              <w:t>74.3</w:t>
            </w:r>
          </w:p>
          <w:p>
            <w:pPr>
              <w:pStyle w:val="TableParagraph"/>
              <w:spacing w:line="240" w:lineRule="auto" w:before="105"/>
              <w:ind w:right="107"/>
              <w:jc w:val="right"/>
              <w:rPr>
                <w:rFonts w:ascii="Arial" w:hAnsi="Arial" w:cs="Arial" w:eastAsia="Arial" w:hint="default"/>
                <w:sz w:val="18"/>
                <w:szCs w:val="18"/>
              </w:rPr>
            </w:pPr>
            <w:r>
              <w:rPr>
                <w:rFonts w:ascii="Arial"/>
                <w:w w:val="99"/>
                <w:sz w:val="18"/>
              </w:rPr>
              <w:t>8</w:t>
            </w:r>
            <w:r>
              <w:rPr>
                <w:rFonts w:ascii="Arial"/>
                <w:sz w:val="18"/>
              </w:rPr>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78"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60" w:right="0"/>
              <w:jc w:val="left"/>
              <w:rPr>
                <w:rFonts w:ascii="Arial" w:hAnsi="Arial" w:cs="Arial" w:eastAsia="Arial" w:hint="default"/>
                <w:sz w:val="18"/>
                <w:szCs w:val="18"/>
              </w:rPr>
            </w:pPr>
            <w:r>
              <w:rPr>
                <w:rFonts w:ascii="Arial"/>
                <w:sz w:val="18"/>
              </w:rPr>
              <w:t>-183,</w:t>
            </w:r>
          </w:p>
          <w:p>
            <w:pPr>
              <w:pStyle w:val="TableParagraph"/>
              <w:spacing w:line="240" w:lineRule="auto" w:before="105"/>
              <w:ind w:left="121" w:right="0"/>
              <w:jc w:val="left"/>
              <w:rPr>
                <w:rFonts w:ascii="Arial" w:hAnsi="Arial" w:cs="Arial" w:eastAsia="Arial" w:hint="default"/>
                <w:sz w:val="18"/>
                <w:szCs w:val="18"/>
              </w:rPr>
            </w:pPr>
            <w:r>
              <w:rPr>
                <w:rFonts w:ascii="Arial"/>
                <w:sz w:val="18"/>
              </w:rPr>
              <w:t>768,4</w:t>
            </w:r>
          </w:p>
          <w:p>
            <w:pPr>
              <w:pStyle w:val="TableParagraph"/>
              <w:spacing w:line="240" w:lineRule="auto" w:before="105"/>
              <w:ind w:left="121" w:right="0"/>
              <w:jc w:val="left"/>
              <w:rPr>
                <w:rFonts w:ascii="Arial" w:hAnsi="Arial" w:cs="Arial" w:eastAsia="Arial" w:hint="default"/>
                <w:sz w:val="18"/>
                <w:szCs w:val="18"/>
              </w:rPr>
            </w:pPr>
            <w:r>
              <w:rPr>
                <w:rFonts w:ascii="Arial"/>
                <w:sz w:val="18"/>
              </w:rPr>
              <w:t>74.38</w:t>
            </w:r>
          </w:p>
        </w:tc>
        <w:tc>
          <w:tcPr>
            <w:tcW w:w="65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4" w:right="0"/>
              <w:jc w:val="left"/>
              <w:rPr>
                <w:rFonts w:ascii="Arial" w:hAnsi="Arial" w:cs="Arial" w:eastAsia="Arial" w:hint="default"/>
                <w:sz w:val="18"/>
                <w:szCs w:val="18"/>
              </w:rPr>
            </w:pPr>
            <w:r>
              <w:rPr>
                <w:rFonts w:ascii="Arial"/>
                <w:sz w:val="18"/>
              </w:rPr>
              <w:t>-206,</w:t>
            </w:r>
          </w:p>
          <w:p>
            <w:pPr>
              <w:pStyle w:val="TableParagraph"/>
              <w:spacing w:line="240" w:lineRule="auto" w:before="105"/>
              <w:ind w:left="85" w:right="0"/>
              <w:jc w:val="center"/>
              <w:rPr>
                <w:rFonts w:ascii="Arial" w:hAnsi="Arial" w:cs="Arial" w:eastAsia="Arial" w:hint="default"/>
                <w:sz w:val="18"/>
                <w:szCs w:val="18"/>
              </w:rPr>
            </w:pPr>
            <w:r>
              <w:rPr>
                <w:rFonts w:ascii="Arial"/>
                <w:sz w:val="18"/>
              </w:rPr>
              <w:t>229,</w:t>
            </w:r>
          </w:p>
          <w:p>
            <w:pPr>
              <w:pStyle w:val="TableParagraph"/>
              <w:spacing w:line="240" w:lineRule="auto" w:before="105"/>
              <w:ind w:left="85" w:right="0"/>
              <w:jc w:val="center"/>
              <w:rPr>
                <w:rFonts w:ascii="Arial" w:hAnsi="Arial" w:cs="Arial" w:eastAsia="Arial" w:hint="default"/>
                <w:sz w:val="18"/>
                <w:szCs w:val="18"/>
              </w:rPr>
            </w:pPr>
            <w:r>
              <w:rPr>
                <w:rFonts w:ascii="Arial"/>
                <w:sz w:val="18"/>
              </w:rPr>
              <w:t>702.</w:t>
            </w:r>
          </w:p>
          <w:p>
            <w:pPr>
              <w:pStyle w:val="TableParagraph"/>
              <w:spacing w:line="240" w:lineRule="auto" w:before="105"/>
              <w:ind w:left="236" w:right="0"/>
              <w:jc w:val="center"/>
              <w:rPr>
                <w:rFonts w:ascii="Arial" w:hAnsi="Arial" w:cs="Arial" w:eastAsia="Arial" w:hint="default"/>
                <w:sz w:val="18"/>
                <w:szCs w:val="18"/>
              </w:rPr>
            </w:pPr>
            <w:r>
              <w:rPr>
                <w:rFonts w:ascii="Arial"/>
                <w:sz w:val="18"/>
              </w:rPr>
              <w:t>77</w:t>
            </w:r>
          </w:p>
        </w:tc>
        <w:tc>
          <w:tcPr>
            <w:tcW w:w="65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41" w:right="0"/>
              <w:jc w:val="left"/>
              <w:rPr>
                <w:rFonts w:ascii="Arial" w:hAnsi="Arial" w:cs="Arial" w:eastAsia="Arial" w:hint="default"/>
                <w:sz w:val="18"/>
                <w:szCs w:val="18"/>
              </w:rPr>
            </w:pPr>
            <w:r>
              <w:rPr>
                <w:rFonts w:ascii="Arial"/>
                <w:sz w:val="18"/>
              </w:rPr>
              <w:t>-354,</w:t>
            </w:r>
          </w:p>
          <w:p>
            <w:pPr>
              <w:pStyle w:val="TableParagraph"/>
              <w:spacing w:line="240" w:lineRule="auto" w:before="105"/>
              <w:ind w:left="92" w:right="0"/>
              <w:jc w:val="center"/>
              <w:rPr>
                <w:rFonts w:ascii="Arial" w:hAnsi="Arial" w:cs="Arial" w:eastAsia="Arial" w:hint="default"/>
                <w:sz w:val="18"/>
                <w:szCs w:val="18"/>
              </w:rPr>
            </w:pPr>
            <w:r>
              <w:rPr>
                <w:rFonts w:ascii="Arial"/>
                <w:sz w:val="18"/>
              </w:rPr>
              <w:t>219,</w:t>
            </w:r>
          </w:p>
          <w:p>
            <w:pPr>
              <w:pStyle w:val="TableParagraph"/>
              <w:spacing w:line="240" w:lineRule="auto" w:before="105"/>
              <w:ind w:left="92" w:right="0"/>
              <w:jc w:val="center"/>
              <w:rPr>
                <w:rFonts w:ascii="Arial" w:hAnsi="Arial" w:cs="Arial" w:eastAsia="Arial" w:hint="default"/>
                <w:sz w:val="18"/>
                <w:szCs w:val="18"/>
              </w:rPr>
            </w:pPr>
            <w:r>
              <w:rPr>
                <w:rFonts w:ascii="Arial"/>
                <w:sz w:val="18"/>
              </w:rPr>
              <w:t>702.</w:t>
            </w:r>
          </w:p>
          <w:p>
            <w:pPr>
              <w:pStyle w:val="TableParagraph"/>
              <w:spacing w:line="240" w:lineRule="auto" w:before="105"/>
              <w:ind w:left="243" w:right="0"/>
              <w:jc w:val="center"/>
              <w:rPr>
                <w:rFonts w:ascii="Arial" w:hAnsi="Arial" w:cs="Arial" w:eastAsia="Arial" w:hint="default"/>
                <w:sz w:val="18"/>
                <w:szCs w:val="18"/>
              </w:rPr>
            </w:pPr>
            <w:r>
              <w:rPr>
                <w:rFonts w:ascii="Arial"/>
                <w:sz w:val="18"/>
              </w:rPr>
              <w:t>77</w:t>
            </w:r>
          </w:p>
        </w:tc>
      </w:tr>
      <w:tr>
        <w:trPr>
          <w:trHeight w:val="1258" w:hRule="exact"/>
        </w:trPr>
        <w:tc>
          <w:tcPr>
            <w:tcW w:w="143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10"/>
              <w:ind w:left="108" w:right="148"/>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．提取盈余公 积</w:t>
            </w:r>
          </w:p>
        </w:tc>
        <w:tc>
          <w:tcPr>
            <w:tcW w:w="56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206" w:right="0"/>
              <w:jc w:val="left"/>
              <w:rPr>
                <w:rFonts w:ascii="Arial" w:hAnsi="Arial" w:cs="Arial" w:eastAsia="Arial" w:hint="default"/>
                <w:sz w:val="18"/>
                <w:szCs w:val="18"/>
              </w:rPr>
            </w:pPr>
            <w:r>
              <w:rPr>
                <w:rFonts w:ascii="Arial"/>
                <w:sz w:val="18"/>
              </w:rPr>
              <w:t>35,7</w:t>
            </w:r>
          </w:p>
          <w:p>
            <w:pPr>
              <w:pStyle w:val="TableParagraph"/>
              <w:spacing w:line="240" w:lineRule="auto" w:before="105"/>
              <w:ind w:left="206" w:right="0"/>
              <w:jc w:val="left"/>
              <w:rPr>
                <w:rFonts w:ascii="Arial" w:hAnsi="Arial" w:cs="Arial" w:eastAsia="Arial" w:hint="default"/>
                <w:sz w:val="18"/>
                <w:szCs w:val="18"/>
              </w:rPr>
            </w:pPr>
            <w:r>
              <w:rPr>
                <w:rFonts w:ascii="Arial"/>
                <w:sz w:val="18"/>
              </w:rPr>
              <w:t>78,4</w:t>
            </w:r>
          </w:p>
          <w:p>
            <w:pPr>
              <w:pStyle w:val="TableParagraph"/>
              <w:spacing w:line="240" w:lineRule="auto" w:before="105"/>
              <w:ind w:left="206" w:right="0"/>
              <w:jc w:val="left"/>
              <w:rPr>
                <w:rFonts w:ascii="Arial" w:hAnsi="Arial" w:cs="Arial" w:eastAsia="Arial" w:hint="default"/>
                <w:sz w:val="18"/>
                <w:szCs w:val="18"/>
              </w:rPr>
            </w:pPr>
            <w:r>
              <w:rPr>
                <w:rFonts w:ascii="Arial"/>
                <w:sz w:val="18"/>
              </w:rPr>
              <w:t>74.3</w:t>
            </w:r>
          </w:p>
          <w:p>
            <w:pPr>
              <w:pStyle w:val="TableParagraph"/>
              <w:spacing w:line="240" w:lineRule="auto" w:before="105"/>
              <w:ind w:right="107"/>
              <w:jc w:val="right"/>
              <w:rPr>
                <w:rFonts w:ascii="Arial" w:hAnsi="Arial" w:cs="Arial" w:eastAsia="Arial" w:hint="default"/>
                <w:sz w:val="18"/>
                <w:szCs w:val="18"/>
              </w:rPr>
            </w:pPr>
            <w:r>
              <w:rPr>
                <w:rFonts w:ascii="Arial"/>
                <w:w w:val="99"/>
                <w:sz w:val="18"/>
              </w:rPr>
              <w:t>8</w:t>
            </w:r>
            <w:r>
              <w:rPr>
                <w:rFonts w:ascii="Arial"/>
                <w:sz w:val="18"/>
              </w:rPr>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78"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60" w:right="0"/>
              <w:jc w:val="left"/>
              <w:rPr>
                <w:rFonts w:ascii="Arial" w:hAnsi="Arial" w:cs="Arial" w:eastAsia="Arial" w:hint="default"/>
                <w:sz w:val="18"/>
                <w:szCs w:val="18"/>
              </w:rPr>
            </w:pPr>
            <w:r>
              <w:rPr>
                <w:rFonts w:ascii="Arial"/>
                <w:sz w:val="18"/>
              </w:rPr>
              <w:t>-35,7</w:t>
            </w:r>
          </w:p>
          <w:p>
            <w:pPr>
              <w:pStyle w:val="TableParagraph"/>
              <w:spacing w:line="240" w:lineRule="auto" w:before="105"/>
              <w:ind w:left="121" w:right="0"/>
              <w:jc w:val="left"/>
              <w:rPr>
                <w:rFonts w:ascii="Arial" w:hAnsi="Arial" w:cs="Arial" w:eastAsia="Arial" w:hint="default"/>
                <w:sz w:val="18"/>
                <w:szCs w:val="18"/>
              </w:rPr>
            </w:pPr>
            <w:r>
              <w:rPr>
                <w:rFonts w:ascii="Arial"/>
                <w:sz w:val="18"/>
              </w:rPr>
              <w:t>78,47</w:t>
            </w:r>
          </w:p>
          <w:p>
            <w:pPr>
              <w:pStyle w:val="TableParagraph"/>
              <w:spacing w:line="240" w:lineRule="auto" w:before="105"/>
              <w:ind w:left="220" w:right="0"/>
              <w:jc w:val="left"/>
              <w:rPr>
                <w:rFonts w:ascii="Arial" w:hAnsi="Arial" w:cs="Arial" w:eastAsia="Arial" w:hint="default"/>
                <w:sz w:val="18"/>
                <w:szCs w:val="18"/>
              </w:rPr>
            </w:pPr>
            <w:r>
              <w:rPr>
                <w:rFonts w:ascii="Arial"/>
                <w:sz w:val="18"/>
              </w:rPr>
              <w:t>4.38</w:t>
            </w:r>
          </w:p>
        </w:tc>
        <w:tc>
          <w:tcPr>
            <w:tcW w:w="652" w:type="dxa"/>
            <w:tcBorders>
              <w:top w:val="single" w:sz="4" w:space="0" w:color="5B9BD4"/>
              <w:left w:val="nil" w:sz="6" w:space="0" w:color="auto"/>
              <w:bottom w:val="single" w:sz="4" w:space="0" w:color="5B9BD4"/>
              <w:right w:val="nil" w:sz="6" w:space="0" w:color="auto"/>
            </w:tcBorders>
            <w:shd w:val="clear" w:color="auto" w:fill="DEEAF6"/>
          </w:tcPr>
          <w:p>
            <w:pPr/>
          </w:p>
        </w:tc>
        <w:tc>
          <w:tcPr>
            <w:tcW w:w="659" w:type="dxa"/>
            <w:tcBorders>
              <w:top w:val="single" w:sz="4" w:space="0" w:color="5B9BD4"/>
              <w:left w:val="nil" w:sz="6" w:space="0" w:color="auto"/>
              <w:bottom w:val="single" w:sz="4" w:space="0" w:color="5B9BD4"/>
              <w:right w:val="nil" w:sz="6" w:space="0" w:color="auto"/>
            </w:tcBorders>
          </w:tcPr>
          <w:p>
            <w:pPr/>
          </w:p>
        </w:tc>
      </w:tr>
      <w:tr>
        <w:trPr>
          <w:trHeight w:val="634" w:hRule="exact"/>
        </w:trPr>
        <w:tc>
          <w:tcPr>
            <w:tcW w:w="143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2" w:lineRule="auto" w:before="6"/>
              <w:ind w:left="108" w:right="148"/>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．提取一般风 险准备</w:t>
            </w:r>
          </w:p>
        </w:tc>
        <w:tc>
          <w:tcPr>
            <w:tcW w:w="56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78" w:type="dxa"/>
            <w:tcBorders>
              <w:top w:val="single" w:sz="4" w:space="0" w:color="5B9BD4"/>
              <w:left w:val="nil" w:sz="6" w:space="0" w:color="auto"/>
              <w:bottom w:val="single" w:sz="4" w:space="0" w:color="5B9BD4"/>
              <w:right w:val="nil" w:sz="6" w:space="0" w:color="auto"/>
            </w:tcBorders>
          </w:tcPr>
          <w:p>
            <w:pPr/>
          </w:p>
        </w:tc>
        <w:tc>
          <w:tcPr>
            <w:tcW w:w="652" w:type="dxa"/>
            <w:tcBorders>
              <w:top w:val="single" w:sz="4" w:space="0" w:color="5B9BD4"/>
              <w:left w:val="nil" w:sz="6" w:space="0" w:color="auto"/>
              <w:bottom w:val="single" w:sz="4" w:space="0" w:color="5B9BD4"/>
              <w:right w:val="nil" w:sz="6" w:space="0" w:color="auto"/>
            </w:tcBorders>
            <w:shd w:val="clear" w:color="auto" w:fill="DEEAF6"/>
          </w:tcPr>
          <w:p>
            <w:pPr/>
          </w:p>
        </w:tc>
        <w:tc>
          <w:tcPr>
            <w:tcW w:w="659" w:type="dxa"/>
            <w:tcBorders>
              <w:top w:val="single" w:sz="4" w:space="0" w:color="5B9BD4"/>
              <w:left w:val="nil" w:sz="6" w:space="0" w:color="auto"/>
              <w:bottom w:val="single" w:sz="4" w:space="0" w:color="5B9BD4"/>
              <w:right w:val="nil" w:sz="6" w:space="0" w:color="auto"/>
            </w:tcBorders>
          </w:tcPr>
          <w:p>
            <w:pPr/>
          </w:p>
        </w:tc>
      </w:tr>
      <w:tr>
        <w:trPr>
          <w:trHeight w:val="1258" w:hRule="exact"/>
        </w:trPr>
        <w:tc>
          <w:tcPr>
            <w:tcW w:w="143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10"/>
              <w:ind w:left="108" w:right="107"/>
              <w:jc w:val="left"/>
              <w:rPr>
                <w:rFonts w:ascii="宋体" w:hAnsi="宋体" w:cs="宋体" w:eastAsia="宋体" w:hint="default"/>
                <w:sz w:val="18"/>
                <w:szCs w:val="18"/>
              </w:rPr>
            </w:pPr>
            <w:r>
              <w:rPr>
                <w:rFonts w:ascii="Arial" w:hAnsi="Arial" w:cs="Arial" w:eastAsia="Arial" w:hint="default"/>
                <w:spacing w:val="-18"/>
                <w:sz w:val="18"/>
                <w:szCs w:val="18"/>
              </w:rPr>
              <w:t>3</w:t>
            </w:r>
            <w:r>
              <w:rPr>
                <w:rFonts w:ascii="宋体" w:hAnsi="宋体" w:cs="宋体" w:eastAsia="宋体" w:hint="default"/>
                <w:spacing w:val="-18"/>
                <w:sz w:val="18"/>
                <w:szCs w:val="18"/>
              </w:rPr>
              <w:t>．对所有者（或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股东）的分配</w:t>
            </w:r>
          </w:p>
        </w:tc>
        <w:tc>
          <w:tcPr>
            <w:tcW w:w="56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78"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60" w:right="0"/>
              <w:jc w:val="left"/>
              <w:rPr>
                <w:rFonts w:ascii="Arial" w:hAnsi="Arial" w:cs="Arial" w:eastAsia="Arial" w:hint="default"/>
                <w:sz w:val="18"/>
                <w:szCs w:val="18"/>
              </w:rPr>
            </w:pPr>
            <w:r>
              <w:rPr>
                <w:rFonts w:ascii="Arial"/>
                <w:sz w:val="18"/>
              </w:rPr>
              <w:t>-147,</w:t>
            </w:r>
          </w:p>
          <w:p>
            <w:pPr>
              <w:pStyle w:val="TableParagraph"/>
              <w:spacing w:line="240" w:lineRule="auto" w:before="105"/>
              <w:ind w:left="121" w:right="0"/>
              <w:jc w:val="left"/>
              <w:rPr>
                <w:rFonts w:ascii="Arial" w:hAnsi="Arial" w:cs="Arial" w:eastAsia="Arial" w:hint="default"/>
                <w:sz w:val="18"/>
                <w:szCs w:val="18"/>
              </w:rPr>
            </w:pPr>
            <w:r>
              <w:rPr>
                <w:rFonts w:ascii="Arial"/>
                <w:sz w:val="18"/>
              </w:rPr>
              <w:t>990,0</w:t>
            </w:r>
          </w:p>
          <w:p>
            <w:pPr>
              <w:pStyle w:val="TableParagraph"/>
              <w:spacing w:line="240" w:lineRule="auto" w:before="105"/>
              <w:ind w:left="121" w:right="0"/>
              <w:jc w:val="left"/>
              <w:rPr>
                <w:rFonts w:ascii="Arial" w:hAnsi="Arial" w:cs="Arial" w:eastAsia="Arial" w:hint="default"/>
                <w:sz w:val="18"/>
                <w:szCs w:val="18"/>
              </w:rPr>
            </w:pPr>
            <w:r>
              <w:rPr>
                <w:rFonts w:ascii="Arial"/>
                <w:sz w:val="18"/>
              </w:rPr>
              <w:t>00.00</w:t>
            </w:r>
          </w:p>
        </w:tc>
        <w:tc>
          <w:tcPr>
            <w:tcW w:w="65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4" w:right="0"/>
              <w:jc w:val="left"/>
              <w:rPr>
                <w:rFonts w:ascii="Arial" w:hAnsi="Arial" w:cs="Arial" w:eastAsia="Arial" w:hint="default"/>
                <w:sz w:val="18"/>
                <w:szCs w:val="18"/>
              </w:rPr>
            </w:pPr>
            <w:r>
              <w:rPr>
                <w:rFonts w:ascii="Arial"/>
                <w:sz w:val="18"/>
              </w:rPr>
              <w:t>-206,</w:t>
            </w:r>
          </w:p>
          <w:p>
            <w:pPr>
              <w:pStyle w:val="TableParagraph"/>
              <w:spacing w:line="240" w:lineRule="auto" w:before="105"/>
              <w:ind w:left="85" w:right="0"/>
              <w:jc w:val="center"/>
              <w:rPr>
                <w:rFonts w:ascii="Arial" w:hAnsi="Arial" w:cs="Arial" w:eastAsia="Arial" w:hint="default"/>
                <w:sz w:val="18"/>
                <w:szCs w:val="18"/>
              </w:rPr>
            </w:pPr>
            <w:r>
              <w:rPr>
                <w:rFonts w:ascii="Arial"/>
                <w:sz w:val="18"/>
              </w:rPr>
              <w:t>229,</w:t>
            </w:r>
          </w:p>
          <w:p>
            <w:pPr>
              <w:pStyle w:val="TableParagraph"/>
              <w:spacing w:line="240" w:lineRule="auto" w:before="105"/>
              <w:ind w:left="85" w:right="0"/>
              <w:jc w:val="center"/>
              <w:rPr>
                <w:rFonts w:ascii="Arial" w:hAnsi="Arial" w:cs="Arial" w:eastAsia="Arial" w:hint="default"/>
                <w:sz w:val="18"/>
                <w:szCs w:val="18"/>
              </w:rPr>
            </w:pPr>
            <w:r>
              <w:rPr>
                <w:rFonts w:ascii="Arial"/>
                <w:sz w:val="18"/>
              </w:rPr>
              <w:t>702.</w:t>
            </w:r>
          </w:p>
          <w:p>
            <w:pPr>
              <w:pStyle w:val="TableParagraph"/>
              <w:spacing w:line="240" w:lineRule="auto" w:before="105"/>
              <w:ind w:left="236" w:right="0"/>
              <w:jc w:val="center"/>
              <w:rPr>
                <w:rFonts w:ascii="Arial" w:hAnsi="Arial" w:cs="Arial" w:eastAsia="Arial" w:hint="default"/>
                <w:sz w:val="18"/>
                <w:szCs w:val="18"/>
              </w:rPr>
            </w:pPr>
            <w:r>
              <w:rPr>
                <w:rFonts w:ascii="Arial"/>
                <w:sz w:val="18"/>
              </w:rPr>
              <w:t>77</w:t>
            </w:r>
          </w:p>
        </w:tc>
        <w:tc>
          <w:tcPr>
            <w:tcW w:w="65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41" w:right="0"/>
              <w:jc w:val="left"/>
              <w:rPr>
                <w:rFonts w:ascii="Arial" w:hAnsi="Arial" w:cs="Arial" w:eastAsia="Arial" w:hint="default"/>
                <w:sz w:val="18"/>
                <w:szCs w:val="18"/>
              </w:rPr>
            </w:pPr>
            <w:r>
              <w:rPr>
                <w:rFonts w:ascii="Arial"/>
                <w:sz w:val="18"/>
              </w:rPr>
              <w:t>-354,</w:t>
            </w:r>
          </w:p>
          <w:p>
            <w:pPr>
              <w:pStyle w:val="TableParagraph"/>
              <w:spacing w:line="240" w:lineRule="auto" w:before="105"/>
              <w:ind w:left="92" w:right="0"/>
              <w:jc w:val="center"/>
              <w:rPr>
                <w:rFonts w:ascii="Arial" w:hAnsi="Arial" w:cs="Arial" w:eastAsia="Arial" w:hint="default"/>
                <w:sz w:val="18"/>
                <w:szCs w:val="18"/>
              </w:rPr>
            </w:pPr>
            <w:r>
              <w:rPr>
                <w:rFonts w:ascii="Arial"/>
                <w:sz w:val="18"/>
              </w:rPr>
              <w:t>219,</w:t>
            </w:r>
          </w:p>
          <w:p>
            <w:pPr>
              <w:pStyle w:val="TableParagraph"/>
              <w:spacing w:line="240" w:lineRule="auto" w:before="105"/>
              <w:ind w:left="92" w:right="0"/>
              <w:jc w:val="center"/>
              <w:rPr>
                <w:rFonts w:ascii="Arial" w:hAnsi="Arial" w:cs="Arial" w:eastAsia="Arial" w:hint="default"/>
                <w:sz w:val="18"/>
                <w:szCs w:val="18"/>
              </w:rPr>
            </w:pPr>
            <w:r>
              <w:rPr>
                <w:rFonts w:ascii="Arial"/>
                <w:sz w:val="18"/>
              </w:rPr>
              <w:t>702.</w:t>
            </w:r>
          </w:p>
          <w:p>
            <w:pPr>
              <w:pStyle w:val="TableParagraph"/>
              <w:spacing w:line="240" w:lineRule="auto" w:before="105"/>
              <w:ind w:left="243" w:right="0"/>
              <w:jc w:val="center"/>
              <w:rPr>
                <w:rFonts w:ascii="Arial" w:hAnsi="Arial" w:cs="Arial" w:eastAsia="Arial" w:hint="default"/>
                <w:sz w:val="18"/>
                <w:szCs w:val="18"/>
              </w:rPr>
            </w:pPr>
            <w:r>
              <w:rPr>
                <w:rFonts w:ascii="Arial"/>
                <w:sz w:val="18"/>
              </w:rPr>
              <w:t>77</w:t>
            </w:r>
          </w:p>
        </w:tc>
      </w:tr>
      <w:tr>
        <w:trPr>
          <w:trHeight w:val="322" w:hRule="exact"/>
        </w:trPr>
        <w:tc>
          <w:tcPr>
            <w:tcW w:w="143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56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78" w:type="dxa"/>
            <w:tcBorders>
              <w:top w:val="single" w:sz="4" w:space="0" w:color="5B9BD4"/>
              <w:left w:val="nil" w:sz="6" w:space="0" w:color="auto"/>
              <w:bottom w:val="single" w:sz="4" w:space="0" w:color="5B9BD4"/>
              <w:right w:val="nil" w:sz="6" w:space="0" w:color="auto"/>
            </w:tcBorders>
          </w:tcPr>
          <w:p>
            <w:pPr/>
          </w:p>
        </w:tc>
        <w:tc>
          <w:tcPr>
            <w:tcW w:w="652" w:type="dxa"/>
            <w:tcBorders>
              <w:top w:val="single" w:sz="4" w:space="0" w:color="5B9BD4"/>
              <w:left w:val="nil" w:sz="6" w:space="0" w:color="auto"/>
              <w:bottom w:val="single" w:sz="4" w:space="0" w:color="5B9BD4"/>
              <w:right w:val="nil" w:sz="6" w:space="0" w:color="auto"/>
            </w:tcBorders>
            <w:shd w:val="clear" w:color="auto" w:fill="DEEAF6"/>
          </w:tcPr>
          <w:p>
            <w:pPr/>
          </w:p>
        </w:tc>
        <w:tc>
          <w:tcPr>
            <w:tcW w:w="659" w:type="dxa"/>
            <w:tcBorders>
              <w:top w:val="single" w:sz="4" w:space="0" w:color="5B9BD4"/>
              <w:left w:val="nil" w:sz="6" w:space="0" w:color="auto"/>
              <w:bottom w:val="single" w:sz="4" w:space="0" w:color="5B9BD4"/>
              <w:right w:val="nil" w:sz="6" w:space="0" w:color="auto"/>
            </w:tcBorders>
          </w:tcPr>
          <w:p>
            <w:pPr/>
          </w:p>
        </w:tc>
      </w:tr>
      <w:tr>
        <w:trPr>
          <w:trHeight w:val="635" w:hRule="exact"/>
        </w:trPr>
        <w:tc>
          <w:tcPr>
            <w:tcW w:w="143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6"/>
              <w:ind w:left="108" w:right="106"/>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78" w:type="dxa"/>
            <w:tcBorders>
              <w:top w:val="single" w:sz="4" w:space="0" w:color="5B9BD4"/>
              <w:left w:val="nil" w:sz="6" w:space="0" w:color="auto"/>
              <w:bottom w:val="single" w:sz="4" w:space="0" w:color="5B9BD4"/>
              <w:right w:val="nil" w:sz="6" w:space="0" w:color="auto"/>
            </w:tcBorders>
          </w:tcPr>
          <w:p>
            <w:pPr/>
          </w:p>
        </w:tc>
        <w:tc>
          <w:tcPr>
            <w:tcW w:w="652" w:type="dxa"/>
            <w:tcBorders>
              <w:top w:val="single" w:sz="4" w:space="0" w:color="5B9BD4"/>
              <w:left w:val="nil" w:sz="6" w:space="0" w:color="auto"/>
              <w:bottom w:val="single" w:sz="4" w:space="0" w:color="5B9BD4"/>
              <w:right w:val="nil" w:sz="6" w:space="0" w:color="auto"/>
            </w:tcBorders>
            <w:shd w:val="clear" w:color="auto" w:fill="DEEAF6"/>
          </w:tcPr>
          <w:p>
            <w:pPr/>
          </w:p>
        </w:tc>
        <w:tc>
          <w:tcPr>
            <w:tcW w:w="659" w:type="dxa"/>
            <w:tcBorders>
              <w:top w:val="single" w:sz="4" w:space="0" w:color="5B9BD4"/>
              <w:left w:val="nil" w:sz="6" w:space="0" w:color="auto"/>
              <w:bottom w:val="single" w:sz="4" w:space="0" w:color="5B9BD4"/>
              <w:right w:val="nil" w:sz="6" w:space="0" w:color="auto"/>
            </w:tcBorders>
          </w:tcPr>
          <w:p>
            <w:pPr/>
          </w:p>
        </w:tc>
      </w:tr>
      <w:tr>
        <w:trPr>
          <w:trHeight w:val="946" w:hRule="exact"/>
        </w:trPr>
        <w:tc>
          <w:tcPr>
            <w:tcW w:w="143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9" w:lineRule="auto" w:before="5"/>
              <w:ind w:left="108" w:right="148"/>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．资本公积转 增资本（或股 本）</w:t>
            </w:r>
          </w:p>
        </w:tc>
        <w:tc>
          <w:tcPr>
            <w:tcW w:w="56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78" w:type="dxa"/>
            <w:tcBorders>
              <w:top w:val="single" w:sz="4" w:space="0" w:color="5B9BD4"/>
              <w:left w:val="nil" w:sz="6" w:space="0" w:color="auto"/>
              <w:bottom w:val="single" w:sz="4" w:space="0" w:color="5B9BD4"/>
              <w:right w:val="nil" w:sz="6" w:space="0" w:color="auto"/>
            </w:tcBorders>
          </w:tcPr>
          <w:p>
            <w:pPr/>
          </w:p>
        </w:tc>
        <w:tc>
          <w:tcPr>
            <w:tcW w:w="652" w:type="dxa"/>
            <w:tcBorders>
              <w:top w:val="single" w:sz="4" w:space="0" w:color="5B9BD4"/>
              <w:left w:val="nil" w:sz="6" w:space="0" w:color="auto"/>
              <w:bottom w:val="single" w:sz="4" w:space="0" w:color="5B9BD4"/>
              <w:right w:val="nil" w:sz="6" w:space="0" w:color="auto"/>
            </w:tcBorders>
            <w:shd w:val="clear" w:color="auto" w:fill="DEEAF6"/>
          </w:tcPr>
          <w:p>
            <w:pPr/>
          </w:p>
        </w:tc>
        <w:tc>
          <w:tcPr>
            <w:tcW w:w="659" w:type="dxa"/>
            <w:tcBorders>
              <w:top w:val="single" w:sz="4" w:space="0" w:color="5B9BD4"/>
              <w:left w:val="nil" w:sz="6" w:space="0" w:color="auto"/>
              <w:bottom w:val="single" w:sz="4" w:space="0" w:color="5B9BD4"/>
              <w:right w:val="nil" w:sz="6" w:space="0" w:color="auto"/>
            </w:tcBorders>
          </w:tcPr>
          <w:p>
            <w:pPr/>
          </w:p>
        </w:tc>
      </w:tr>
      <w:tr>
        <w:trPr>
          <w:trHeight w:val="946" w:hRule="exact"/>
        </w:trPr>
        <w:tc>
          <w:tcPr>
            <w:tcW w:w="143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9" w:lineRule="auto" w:before="5"/>
              <w:ind w:left="108" w:right="148"/>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．盈余公积转 增资本（或股 本）</w:t>
            </w:r>
          </w:p>
        </w:tc>
        <w:tc>
          <w:tcPr>
            <w:tcW w:w="56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78" w:type="dxa"/>
            <w:tcBorders>
              <w:top w:val="single" w:sz="4" w:space="0" w:color="5B9BD4"/>
              <w:left w:val="nil" w:sz="6" w:space="0" w:color="auto"/>
              <w:bottom w:val="single" w:sz="4" w:space="0" w:color="5B9BD4"/>
              <w:right w:val="nil" w:sz="6" w:space="0" w:color="auto"/>
            </w:tcBorders>
          </w:tcPr>
          <w:p>
            <w:pPr/>
          </w:p>
        </w:tc>
        <w:tc>
          <w:tcPr>
            <w:tcW w:w="652" w:type="dxa"/>
            <w:tcBorders>
              <w:top w:val="single" w:sz="4" w:space="0" w:color="5B9BD4"/>
              <w:left w:val="nil" w:sz="6" w:space="0" w:color="auto"/>
              <w:bottom w:val="single" w:sz="4" w:space="0" w:color="5B9BD4"/>
              <w:right w:val="nil" w:sz="6" w:space="0" w:color="auto"/>
            </w:tcBorders>
            <w:shd w:val="clear" w:color="auto" w:fill="DEEAF6"/>
          </w:tcPr>
          <w:p>
            <w:pPr/>
          </w:p>
        </w:tc>
        <w:tc>
          <w:tcPr>
            <w:tcW w:w="659" w:type="dxa"/>
            <w:tcBorders>
              <w:top w:val="single" w:sz="4" w:space="0" w:color="5B9BD4"/>
              <w:left w:val="nil" w:sz="6" w:space="0" w:color="auto"/>
              <w:bottom w:val="single" w:sz="4" w:space="0" w:color="5B9BD4"/>
              <w:right w:val="nil" w:sz="6" w:space="0" w:color="auto"/>
            </w:tcBorders>
          </w:tcPr>
          <w:p>
            <w:pPr/>
          </w:p>
        </w:tc>
      </w:tr>
      <w:tr>
        <w:trPr>
          <w:trHeight w:val="634" w:hRule="exact"/>
        </w:trPr>
        <w:tc>
          <w:tcPr>
            <w:tcW w:w="143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2" w:lineRule="auto" w:before="6"/>
              <w:ind w:left="108" w:right="148"/>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．盈余公积弥 补亏损</w:t>
            </w:r>
          </w:p>
        </w:tc>
        <w:tc>
          <w:tcPr>
            <w:tcW w:w="56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78" w:type="dxa"/>
            <w:tcBorders>
              <w:top w:val="single" w:sz="4" w:space="0" w:color="5B9BD4"/>
              <w:left w:val="nil" w:sz="6" w:space="0" w:color="auto"/>
              <w:bottom w:val="single" w:sz="4" w:space="0" w:color="5B9BD4"/>
              <w:right w:val="nil" w:sz="6" w:space="0" w:color="auto"/>
            </w:tcBorders>
          </w:tcPr>
          <w:p>
            <w:pPr/>
          </w:p>
        </w:tc>
        <w:tc>
          <w:tcPr>
            <w:tcW w:w="652" w:type="dxa"/>
            <w:tcBorders>
              <w:top w:val="single" w:sz="4" w:space="0" w:color="5B9BD4"/>
              <w:left w:val="nil" w:sz="6" w:space="0" w:color="auto"/>
              <w:bottom w:val="single" w:sz="4" w:space="0" w:color="5B9BD4"/>
              <w:right w:val="nil" w:sz="6" w:space="0" w:color="auto"/>
            </w:tcBorders>
            <w:shd w:val="clear" w:color="auto" w:fill="DEEAF6"/>
          </w:tcPr>
          <w:p>
            <w:pPr/>
          </w:p>
        </w:tc>
        <w:tc>
          <w:tcPr>
            <w:tcW w:w="659" w:type="dxa"/>
            <w:tcBorders>
              <w:top w:val="single" w:sz="4" w:space="0" w:color="5B9BD4"/>
              <w:left w:val="nil" w:sz="6" w:space="0" w:color="auto"/>
              <w:bottom w:val="single" w:sz="4" w:space="0" w:color="5B9BD4"/>
              <w:right w:val="nil" w:sz="6" w:space="0" w:color="auto"/>
            </w:tcBorders>
          </w:tcPr>
          <w:p>
            <w:pPr/>
          </w:p>
        </w:tc>
      </w:tr>
      <w:tr>
        <w:trPr>
          <w:trHeight w:val="322" w:hRule="exact"/>
        </w:trPr>
        <w:tc>
          <w:tcPr>
            <w:tcW w:w="143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56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78" w:type="dxa"/>
            <w:tcBorders>
              <w:top w:val="single" w:sz="4" w:space="0" w:color="5B9BD4"/>
              <w:left w:val="nil" w:sz="6" w:space="0" w:color="auto"/>
              <w:bottom w:val="single" w:sz="4" w:space="0" w:color="5B9BD4"/>
              <w:right w:val="nil" w:sz="6" w:space="0" w:color="auto"/>
            </w:tcBorders>
          </w:tcPr>
          <w:p>
            <w:pPr/>
          </w:p>
        </w:tc>
        <w:tc>
          <w:tcPr>
            <w:tcW w:w="652" w:type="dxa"/>
            <w:tcBorders>
              <w:top w:val="single" w:sz="4" w:space="0" w:color="5B9BD4"/>
              <w:left w:val="nil" w:sz="6" w:space="0" w:color="auto"/>
              <w:bottom w:val="single" w:sz="4" w:space="0" w:color="5B9BD4"/>
              <w:right w:val="nil" w:sz="6" w:space="0" w:color="auto"/>
            </w:tcBorders>
            <w:shd w:val="clear" w:color="auto" w:fill="DEEAF6"/>
          </w:tcPr>
          <w:p>
            <w:pPr/>
          </w:p>
        </w:tc>
        <w:tc>
          <w:tcPr>
            <w:tcW w:w="659" w:type="dxa"/>
            <w:tcBorders>
              <w:top w:val="single" w:sz="4" w:space="0" w:color="5B9BD4"/>
              <w:left w:val="nil" w:sz="6" w:space="0" w:color="auto"/>
              <w:bottom w:val="single" w:sz="4" w:space="0" w:color="5B9BD4"/>
              <w:right w:val="nil" w:sz="6" w:space="0" w:color="auto"/>
            </w:tcBorders>
          </w:tcPr>
          <w:p>
            <w:pPr/>
          </w:p>
        </w:tc>
      </w:tr>
      <w:tr>
        <w:trPr>
          <w:trHeight w:val="322" w:hRule="exact"/>
        </w:trPr>
        <w:tc>
          <w:tcPr>
            <w:tcW w:w="143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78" w:type="dxa"/>
            <w:tcBorders>
              <w:top w:val="single" w:sz="4" w:space="0" w:color="5B9BD4"/>
              <w:left w:val="nil" w:sz="6" w:space="0" w:color="auto"/>
              <w:bottom w:val="single" w:sz="4" w:space="0" w:color="5B9BD4"/>
              <w:right w:val="nil" w:sz="6" w:space="0" w:color="auto"/>
            </w:tcBorders>
          </w:tcPr>
          <w:p>
            <w:pPr/>
          </w:p>
        </w:tc>
        <w:tc>
          <w:tcPr>
            <w:tcW w:w="652" w:type="dxa"/>
            <w:tcBorders>
              <w:top w:val="single" w:sz="4" w:space="0" w:color="5B9BD4"/>
              <w:left w:val="nil" w:sz="6" w:space="0" w:color="auto"/>
              <w:bottom w:val="single" w:sz="4" w:space="0" w:color="5B9BD4"/>
              <w:right w:val="nil" w:sz="6" w:space="0" w:color="auto"/>
            </w:tcBorders>
            <w:shd w:val="clear" w:color="auto" w:fill="DEEAF6"/>
          </w:tcPr>
          <w:p>
            <w:pPr/>
          </w:p>
        </w:tc>
        <w:tc>
          <w:tcPr>
            <w:tcW w:w="659" w:type="dxa"/>
            <w:tcBorders>
              <w:top w:val="single" w:sz="4" w:space="0" w:color="5B9BD4"/>
              <w:left w:val="nil" w:sz="6" w:space="0" w:color="auto"/>
              <w:bottom w:val="single" w:sz="4" w:space="0" w:color="5B9BD4"/>
              <w:right w:val="nil" w:sz="6" w:space="0" w:color="auto"/>
            </w:tcBorders>
          </w:tcPr>
          <w:p>
            <w:pPr/>
          </w:p>
        </w:tc>
      </w:tr>
      <w:tr>
        <w:trPr>
          <w:trHeight w:val="322" w:hRule="exact"/>
        </w:trPr>
        <w:tc>
          <w:tcPr>
            <w:tcW w:w="143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．本期提取</w:t>
            </w:r>
          </w:p>
        </w:tc>
        <w:tc>
          <w:tcPr>
            <w:tcW w:w="56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78" w:type="dxa"/>
            <w:tcBorders>
              <w:top w:val="single" w:sz="4" w:space="0" w:color="5B9BD4"/>
              <w:left w:val="nil" w:sz="6" w:space="0" w:color="auto"/>
              <w:bottom w:val="single" w:sz="4" w:space="0" w:color="5B9BD4"/>
              <w:right w:val="nil" w:sz="6" w:space="0" w:color="auto"/>
            </w:tcBorders>
          </w:tcPr>
          <w:p>
            <w:pPr/>
          </w:p>
        </w:tc>
        <w:tc>
          <w:tcPr>
            <w:tcW w:w="652" w:type="dxa"/>
            <w:tcBorders>
              <w:top w:val="single" w:sz="4" w:space="0" w:color="5B9BD4"/>
              <w:left w:val="nil" w:sz="6" w:space="0" w:color="auto"/>
              <w:bottom w:val="single" w:sz="4" w:space="0" w:color="5B9BD4"/>
              <w:right w:val="nil" w:sz="6" w:space="0" w:color="auto"/>
            </w:tcBorders>
            <w:shd w:val="clear" w:color="auto" w:fill="DEEAF6"/>
          </w:tcPr>
          <w:p>
            <w:pPr/>
          </w:p>
        </w:tc>
        <w:tc>
          <w:tcPr>
            <w:tcW w:w="659" w:type="dxa"/>
            <w:tcBorders>
              <w:top w:val="single" w:sz="4" w:space="0" w:color="5B9BD4"/>
              <w:left w:val="nil" w:sz="6" w:space="0" w:color="auto"/>
              <w:bottom w:val="single" w:sz="4" w:space="0" w:color="5B9BD4"/>
              <w:right w:val="nil" w:sz="6" w:space="0" w:color="auto"/>
            </w:tcBorders>
          </w:tcPr>
          <w:p>
            <w:pPr/>
          </w:p>
        </w:tc>
      </w:tr>
      <w:tr>
        <w:trPr>
          <w:trHeight w:val="322" w:hRule="exact"/>
        </w:trPr>
        <w:tc>
          <w:tcPr>
            <w:tcW w:w="143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．本期使用</w:t>
            </w:r>
          </w:p>
        </w:tc>
        <w:tc>
          <w:tcPr>
            <w:tcW w:w="56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78" w:type="dxa"/>
            <w:tcBorders>
              <w:top w:val="single" w:sz="4" w:space="0" w:color="5B9BD4"/>
              <w:left w:val="nil" w:sz="6" w:space="0" w:color="auto"/>
              <w:bottom w:val="single" w:sz="4" w:space="0" w:color="5B9BD4"/>
              <w:right w:val="nil" w:sz="6" w:space="0" w:color="auto"/>
            </w:tcBorders>
          </w:tcPr>
          <w:p>
            <w:pPr/>
          </w:p>
        </w:tc>
        <w:tc>
          <w:tcPr>
            <w:tcW w:w="652" w:type="dxa"/>
            <w:tcBorders>
              <w:top w:val="single" w:sz="4" w:space="0" w:color="5B9BD4"/>
              <w:left w:val="nil" w:sz="6" w:space="0" w:color="auto"/>
              <w:bottom w:val="single" w:sz="4" w:space="0" w:color="5B9BD4"/>
              <w:right w:val="nil" w:sz="6" w:space="0" w:color="auto"/>
            </w:tcBorders>
            <w:shd w:val="clear" w:color="auto" w:fill="DEEAF6"/>
          </w:tcPr>
          <w:p>
            <w:pPr/>
          </w:p>
        </w:tc>
        <w:tc>
          <w:tcPr>
            <w:tcW w:w="659" w:type="dxa"/>
            <w:tcBorders>
              <w:top w:val="single" w:sz="4" w:space="0" w:color="5B9BD4"/>
              <w:left w:val="nil" w:sz="6" w:space="0" w:color="auto"/>
              <w:bottom w:val="single" w:sz="4" w:space="0" w:color="5B9BD4"/>
              <w:right w:val="nil" w:sz="6" w:space="0" w:color="auto"/>
            </w:tcBorders>
          </w:tcPr>
          <w:p>
            <w:pPr/>
          </w:p>
        </w:tc>
      </w:tr>
      <w:tr>
        <w:trPr>
          <w:trHeight w:val="322" w:hRule="exact"/>
        </w:trPr>
        <w:tc>
          <w:tcPr>
            <w:tcW w:w="143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78" w:type="dxa"/>
            <w:tcBorders>
              <w:top w:val="single" w:sz="4" w:space="0" w:color="5B9BD4"/>
              <w:left w:val="nil" w:sz="6" w:space="0" w:color="auto"/>
              <w:bottom w:val="single" w:sz="4" w:space="0" w:color="5B9BD4"/>
              <w:right w:val="nil" w:sz="6" w:space="0" w:color="auto"/>
            </w:tcBorders>
          </w:tcPr>
          <w:p>
            <w:pPr/>
          </w:p>
        </w:tc>
        <w:tc>
          <w:tcPr>
            <w:tcW w:w="652" w:type="dxa"/>
            <w:tcBorders>
              <w:top w:val="single" w:sz="4" w:space="0" w:color="5B9BD4"/>
              <w:left w:val="nil" w:sz="6" w:space="0" w:color="auto"/>
              <w:bottom w:val="single" w:sz="4" w:space="0" w:color="5B9BD4"/>
              <w:right w:val="nil" w:sz="6" w:space="0" w:color="auto"/>
            </w:tcBorders>
            <w:shd w:val="clear" w:color="auto" w:fill="DEEAF6"/>
          </w:tcPr>
          <w:p>
            <w:pPr/>
          </w:p>
        </w:tc>
        <w:tc>
          <w:tcPr>
            <w:tcW w:w="659" w:type="dxa"/>
            <w:tcBorders>
              <w:top w:val="single" w:sz="4" w:space="0" w:color="5B9BD4"/>
              <w:left w:val="nil" w:sz="6" w:space="0" w:color="auto"/>
              <w:bottom w:val="single" w:sz="4" w:space="0" w:color="5B9BD4"/>
              <w:right w:val="nil" w:sz="6" w:space="0" w:color="auto"/>
            </w:tcBorders>
          </w:tcPr>
          <w:p>
            <w:pPr/>
          </w:p>
        </w:tc>
      </w:tr>
      <w:tr>
        <w:trPr>
          <w:trHeight w:val="1571" w:hRule="exact"/>
        </w:trPr>
        <w:tc>
          <w:tcPr>
            <w:tcW w:w="143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108" w:right="106"/>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53" w:right="0"/>
              <w:jc w:val="left"/>
              <w:rPr>
                <w:rFonts w:ascii="Arial" w:hAnsi="Arial" w:cs="Arial" w:eastAsia="Arial" w:hint="default"/>
                <w:sz w:val="18"/>
                <w:szCs w:val="18"/>
              </w:rPr>
            </w:pPr>
            <w:r>
              <w:rPr>
                <w:rFonts w:ascii="Arial"/>
                <w:sz w:val="18"/>
              </w:rPr>
              <w:t>994</w:t>
            </w:r>
          </w:p>
          <w:p>
            <w:pPr>
              <w:pStyle w:val="TableParagraph"/>
              <w:spacing w:line="240" w:lineRule="auto" w:before="105"/>
              <w:ind w:left="202" w:right="0"/>
              <w:jc w:val="left"/>
              <w:rPr>
                <w:rFonts w:ascii="Arial" w:hAnsi="Arial" w:cs="Arial" w:eastAsia="Arial" w:hint="default"/>
                <w:sz w:val="18"/>
                <w:szCs w:val="18"/>
              </w:rPr>
            </w:pPr>
            <w:r>
              <w:rPr>
                <w:rFonts w:ascii="Arial"/>
                <w:sz w:val="18"/>
              </w:rPr>
              <w:t>,76</w:t>
            </w:r>
          </w:p>
          <w:p>
            <w:pPr>
              <w:pStyle w:val="TableParagraph"/>
              <w:spacing w:line="240" w:lineRule="auto" w:before="105"/>
              <w:ind w:left="202" w:right="0"/>
              <w:jc w:val="left"/>
              <w:rPr>
                <w:rFonts w:ascii="Arial" w:hAnsi="Arial" w:cs="Arial" w:eastAsia="Arial" w:hint="default"/>
                <w:sz w:val="18"/>
                <w:szCs w:val="18"/>
              </w:rPr>
            </w:pPr>
            <w:r>
              <w:rPr>
                <w:rFonts w:ascii="Arial"/>
                <w:sz w:val="18"/>
              </w:rPr>
              <w:t>6,2</w:t>
            </w:r>
          </w:p>
          <w:p>
            <w:pPr>
              <w:pStyle w:val="TableParagraph"/>
              <w:spacing w:line="240" w:lineRule="auto" w:before="105"/>
              <w:ind w:left="202" w:right="0"/>
              <w:jc w:val="left"/>
              <w:rPr>
                <w:rFonts w:ascii="Arial" w:hAnsi="Arial" w:cs="Arial" w:eastAsia="Arial" w:hint="default"/>
                <w:sz w:val="18"/>
                <w:szCs w:val="18"/>
              </w:rPr>
            </w:pPr>
            <w:r>
              <w:rPr>
                <w:rFonts w:ascii="Arial"/>
                <w:sz w:val="18"/>
              </w:rPr>
              <w:t>66.</w:t>
            </w:r>
          </w:p>
          <w:p>
            <w:pPr>
              <w:pStyle w:val="TableParagraph"/>
              <w:spacing w:line="240" w:lineRule="auto" w:before="105"/>
              <w:ind w:left="253" w:right="0"/>
              <w:jc w:val="left"/>
              <w:rPr>
                <w:rFonts w:ascii="Arial" w:hAnsi="Arial" w:cs="Arial" w:eastAsia="Arial" w:hint="default"/>
                <w:sz w:val="18"/>
                <w:szCs w:val="18"/>
              </w:rPr>
            </w:pPr>
            <w:r>
              <w:rPr>
                <w:rFonts w:ascii="Arial"/>
                <w:sz w:val="18"/>
              </w:rPr>
              <w:t>00</w:t>
            </w: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532" w:type="dxa"/>
            <w:tcBorders>
              <w:top w:val="single" w:sz="4" w:space="0" w:color="5B9BD4"/>
              <w:left w:val="nil" w:sz="6" w:space="0" w:color="auto"/>
              <w:bottom w:val="single" w:sz="4" w:space="0" w:color="5B9BD4"/>
              <w:right w:val="nil" w:sz="6" w:space="0" w:color="auto"/>
            </w:tcBorders>
          </w:tcPr>
          <w:p>
            <w:pPr/>
          </w:p>
        </w:tc>
        <w:tc>
          <w:tcPr>
            <w:tcW w:w="530"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06" w:right="0"/>
              <w:jc w:val="left"/>
              <w:rPr>
                <w:rFonts w:ascii="Arial" w:hAnsi="Arial" w:cs="Arial" w:eastAsia="Arial" w:hint="default"/>
                <w:sz w:val="18"/>
                <w:szCs w:val="18"/>
              </w:rPr>
            </w:pPr>
            <w:r>
              <w:rPr>
                <w:rFonts w:ascii="Arial"/>
                <w:sz w:val="18"/>
              </w:rPr>
              <w:t>1,49</w:t>
            </w:r>
          </w:p>
          <w:p>
            <w:pPr>
              <w:pStyle w:val="TableParagraph"/>
              <w:spacing w:line="240" w:lineRule="auto" w:before="105"/>
              <w:ind w:left="206" w:right="0"/>
              <w:jc w:val="left"/>
              <w:rPr>
                <w:rFonts w:ascii="Arial" w:hAnsi="Arial" w:cs="Arial" w:eastAsia="Arial" w:hint="default"/>
                <w:sz w:val="18"/>
                <w:szCs w:val="18"/>
              </w:rPr>
            </w:pPr>
            <w:r>
              <w:rPr>
                <w:rFonts w:ascii="Arial"/>
                <w:sz w:val="18"/>
              </w:rPr>
              <w:t>8,59</w:t>
            </w:r>
          </w:p>
          <w:p>
            <w:pPr>
              <w:pStyle w:val="TableParagraph"/>
              <w:spacing w:line="240" w:lineRule="auto" w:before="105"/>
              <w:ind w:left="206" w:right="0"/>
              <w:jc w:val="left"/>
              <w:rPr>
                <w:rFonts w:ascii="Arial" w:hAnsi="Arial" w:cs="Arial" w:eastAsia="Arial" w:hint="default"/>
                <w:sz w:val="18"/>
                <w:szCs w:val="18"/>
              </w:rPr>
            </w:pPr>
            <w:r>
              <w:rPr>
                <w:rFonts w:ascii="Arial"/>
                <w:sz w:val="18"/>
              </w:rPr>
              <w:t>5,44</w:t>
            </w:r>
          </w:p>
          <w:p>
            <w:pPr>
              <w:pStyle w:val="TableParagraph"/>
              <w:spacing w:line="240" w:lineRule="auto" w:before="105"/>
              <w:ind w:left="206" w:right="0"/>
              <w:jc w:val="left"/>
              <w:rPr>
                <w:rFonts w:ascii="Arial" w:hAnsi="Arial" w:cs="Arial" w:eastAsia="Arial" w:hint="default"/>
                <w:sz w:val="18"/>
                <w:szCs w:val="18"/>
              </w:rPr>
            </w:pPr>
            <w:r>
              <w:rPr>
                <w:rFonts w:ascii="Arial"/>
                <w:sz w:val="18"/>
              </w:rPr>
              <w:t>6.61</w:t>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147" w:right="0"/>
              <w:jc w:val="left"/>
              <w:rPr>
                <w:rFonts w:ascii="Arial" w:hAnsi="Arial" w:cs="Arial" w:eastAsia="Arial" w:hint="default"/>
                <w:sz w:val="18"/>
                <w:szCs w:val="18"/>
              </w:rPr>
            </w:pPr>
            <w:r>
              <w:rPr>
                <w:rFonts w:ascii="Arial"/>
                <w:sz w:val="18"/>
              </w:rPr>
              <w:t>-69,5</w:t>
            </w:r>
          </w:p>
          <w:p>
            <w:pPr>
              <w:pStyle w:val="TableParagraph"/>
              <w:spacing w:line="240" w:lineRule="auto" w:before="105"/>
              <w:ind w:left="107" w:right="0"/>
              <w:jc w:val="left"/>
              <w:rPr>
                <w:rFonts w:ascii="Arial" w:hAnsi="Arial" w:cs="Arial" w:eastAsia="Arial" w:hint="default"/>
                <w:sz w:val="18"/>
                <w:szCs w:val="18"/>
              </w:rPr>
            </w:pPr>
            <w:r>
              <w:rPr>
                <w:rFonts w:ascii="Arial"/>
                <w:sz w:val="18"/>
              </w:rPr>
              <w:t>77.58</w:t>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96" w:right="0"/>
              <w:jc w:val="center"/>
              <w:rPr>
                <w:rFonts w:ascii="Arial" w:hAnsi="Arial" w:cs="Arial" w:eastAsia="Arial" w:hint="default"/>
                <w:sz w:val="18"/>
                <w:szCs w:val="18"/>
              </w:rPr>
            </w:pPr>
            <w:r>
              <w:rPr>
                <w:rFonts w:ascii="Arial"/>
                <w:sz w:val="18"/>
              </w:rPr>
              <w:t>221,</w:t>
            </w:r>
          </w:p>
          <w:p>
            <w:pPr>
              <w:pStyle w:val="TableParagraph"/>
              <w:spacing w:line="240" w:lineRule="auto" w:before="105"/>
              <w:ind w:left="96" w:right="0"/>
              <w:jc w:val="center"/>
              <w:rPr>
                <w:rFonts w:ascii="Arial" w:hAnsi="Arial" w:cs="Arial" w:eastAsia="Arial" w:hint="default"/>
                <w:sz w:val="18"/>
                <w:szCs w:val="18"/>
              </w:rPr>
            </w:pPr>
            <w:r>
              <w:rPr>
                <w:rFonts w:ascii="Arial"/>
                <w:sz w:val="18"/>
              </w:rPr>
              <w:t>607,</w:t>
            </w:r>
          </w:p>
          <w:p>
            <w:pPr>
              <w:pStyle w:val="TableParagraph"/>
              <w:spacing w:line="240" w:lineRule="auto" w:before="105"/>
              <w:ind w:left="96" w:right="0"/>
              <w:jc w:val="center"/>
              <w:rPr>
                <w:rFonts w:ascii="Arial" w:hAnsi="Arial" w:cs="Arial" w:eastAsia="Arial" w:hint="default"/>
                <w:sz w:val="18"/>
                <w:szCs w:val="18"/>
              </w:rPr>
            </w:pPr>
            <w:r>
              <w:rPr>
                <w:rFonts w:ascii="Arial"/>
                <w:sz w:val="18"/>
              </w:rPr>
              <w:t>097.</w:t>
            </w:r>
          </w:p>
          <w:p>
            <w:pPr>
              <w:pStyle w:val="TableParagraph"/>
              <w:spacing w:line="240" w:lineRule="auto" w:before="105"/>
              <w:ind w:left="247" w:right="0"/>
              <w:jc w:val="center"/>
              <w:rPr>
                <w:rFonts w:ascii="Arial" w:hAnsi="Arial" w:cs="Arial" w:eastAsia="Arial" w:hint="default"/>
                <w:sz w:val="18"/>
                <w:szCs w:val="18"/>
              </w:rPr>
            </w:pPr>
            <w:r>
              <w:rPr>
                <w:rFonts w:ascii="Arial"/>
                <w:sz w:val="18"/>
              </w:rPr>
              <w:t>36</w:t>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78"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21" w:right="0"/>
              <w:jc w:val="left"/>
              <w:rPr>
                <w:rFonts w:ascii="Arial" w:hAnsi="Arial" w:cs="Arial" w:eastAsia="Arial" w:hint="default"/>
                <w:sz w:val="18"/>
                <w:szCs w:val="18"/>
              </w:rPr>
            </w:pPr>
            <w:r>
              <w:rPr>
                <w:rFonts w:ascii="Arial"/>
                <w:sz w:val="18"/>
              </w:rPr>
              <w:t>1,583</w:t>
            </w:r>
          </w:p>
          <w:p>
            <w:pPr>
              <w:pStyle w:val="TableParagraph"/>
              <w:spacing w:line="240" w:lineRule="auto" w:before="105"/>
              <w:ind w:left="171" w:right="0"/>
              <w:jc w:val="left"/>
              <w:rPr>
                <w:rFonts w:ascii="Arial" w:hAnsi="Arial" w:cs="Arial" w:eastAsia="Arial" w:hint="default"/>
                <w:sz w:val="18"/>
                <w:szCs w:val="18"/>
              </w:rPr>
            </w:pPr>
            <w:r>
              <w:rPr>
                <w:rFonts w:ascii="Arial"/>
                <w:sz w:val="18"/>
              </w:rPr>
              <w:t>,472,</w:t>
            </w:r>
          </w:p>
          <w:p>
            <w:pPr>
              <w:pStyle w:val="TableParagraph"/>
              <w:spacing w:line="240" w:lineRule="auto" w:before="105"/>
              <w:ind w:left="121" w:right="0"/>
              <w:jc w:val="left"/>
              <w:rPr>
                <w:rFonts w:ascii="Arial" w:hAnsi="Arial" w:cs="Arial" w:eastAsia="Arial" w:hint="default"/>
                <w:sz w:val="18"/>
                <w:szCs w:val="18"/>
              </w:rPr>
            </w:pPr>
            <w:r>
              <w:rPr>
                <w:rFonts w:ascii="Arial"/>
                <w:sz w:val="18"/>
              </w:rPr>
              <w:t>544.5</w:t>
            </w:r>
          </w:p>
          <w:p>
            <w:pPr>
              <w:pStyle w:val="TableParagraph"/>
              <w:spacing w:line="240" w:lineRule="auto" w:before="105"/>
              <w:ind w:right="105"/>
              <w:jc w:val="right"/>
              <w:rPr>
                <w:rFonts w:ascii="Arial" w:hAnsi="Arial" w:cs="Arial" w:eastAsia="Arial" w:hint="default"/>
                <w:sz w:val="18"/>
                <w:szCs w:val="18"/>
              </w:rPr>
            </w:pPr>
            <w:r>
              <w:rPr>
                <w:rFonts w:ascii="Arial"/>
                <w:w w:val="99"/>
                <w:sz w:val="18"/>
              </w:rPr>
              <w:t>5</w:t>
            </w:r>
            <w:r>
              <w:rPr>
                <w:rFonts w:ascii="Arial"/>
                <w:sz w:val="18"/>
              </w:rPr>
            </w:r>
          </w:p>
        </w:tc>
        <w:tc>
          <w:tcPr>
            <w:tcW w:w="65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94" w:right="0"/>
              <w:jc w:val="left"/>
              <w:rPr>
                <w:rFonts w:ascii="Arial" w:hAnsi="Arial" w:cs="Arial" w:eastAsia="Arial" w:hint="default"/>
                <w:sz w:val="18"/>
                <w:szCs w:val="18"/>
              </w:rPr>
            </w:pPr>
            <w:r>
              <w:rPr>
                <w:rFonts w:ascii="Arial"/>
                <w:sz w:val="18"/>
              </w:rPr>
              <w:t>26,9</w:t>
            </w:r>
          </w:p>
          <w:p>
            <w:pPr>
              <w:pStyle w:val="TableParagraph"/>
              <w:spacing w:line="240" w:lineRule="auto" w:before="105"/>
              <w:ind w:left="194" w:right="0"/>
              <w:jc w:val="left"/>
              <w:rPr>
                <w:rFonts w:ascii="Arial" w:hAnsi="Arial" w:cs="Arial" w:eastAsia="Arial" w:hint="default"/>
                <w:sz w:val="18"/>
                <w:szCs w:val="18"/>
              </w:rPr>
            </w:pPr>
            <w:r>
              <w:rPr>
                <w:rFonts w:ascii="Arial"/>
                <w:sz w:val="18"/>
              </w:rPr>
              <w:t>48,1</w:t>
            </w:r>
          </w:p>
          <w:p>
            <w:pPr>
              <w:pStyle w:val="TableParagraph"/>
              <w:spacing w:line="240" w:lineRule="auto" w:before="105"/>
              <w:ind w:left="194" w:right="0"/>
              <w:jc w:val="left"/>
              <w:rPr>
                <w:rFonts w:ascii="Arial" w:hAnsi="Arial" w:cs="Arial" w:eastAsia="Arial" w:hint="default"/>
                <w:sz w:val="18"/>
                <w:szCs w:val="18"/>
              </w:rPr>
            </w:pPr>
            <w:r>
              <w:rPr>
                <w:rFonts w:ascii="Arial"/>
                <w:sz w:val="18"/>
              </w:rPr>
              <w:t>15.3</w:t>
            </w:r>
          </w:p>
          <w:p>
            <w:pPr>
              <w:pStyle w:val="TableParagraph"/>
              <w:spacing w:line="240" w:lineRule="auto" w:before="105"/>
              <w:ind w:right="105"/>
              <w:jc w:val="right"/>
              <w:rPr>
                <w:rFonts w:ascii="Arial" w:hAnsi="Arial" w:cs="Arial" w:eastAsia="Arial" w:hint="default"/>
                <w:sz w:val="18"/>
                <w:szCs w:val="18"/>
              </w:rPr>
            </w:pPr>
            <w:r>
              <w:rPr>
                <w:rFonts w:ascii="Arial"/>
                <w:w w:val="99"/>
                <w:sz w:val="18"/>
              </w:rPr>
              <w:t>0</w:t>
            </w:r>
            <w:r>
              <w:rPr>
                <w:rFonts w:ascii="Arial"/>
                <w:sz w:val="18"/>
              </w:rPr>
            </w:r>
          </w:p>
        </w:tc>
        <w:tc>
          <w:tcPr>
            <w:tcW w:w="659"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01" w:right="0"/>
              <w:jc w:val="left"/>
              <w:rPr>
                <w:rFonts w:ascii="Arial" w:hAnsi="Arial" w:cs="Arial" w:eastAsia="Arial" w:hint="default"/>
                <w:sz w:val="18"/>
                <w:szCs w:val="18"/>
              </w:rPr>
            </w:pPr>
            <w:r>
              <w:rPr>
                <w:rFonts w:ascii="Arial"/>
                <w:sz w:val="18"/>
              </w:rPr>
              <w:t>4,32</w:t>
            </w:r>
          </w:p>
          <w:p>
            <w:pPr>
              <w:pStyle w:val="TableParagraph"/>
              <w:spacing w:line="240" w:lineRule="auto" w:before="105"/>
              <w:ind w:left="201" w:right="0"/>
              <w:jc w:val="left"/>
              <w:rPr>
                <w:rFonts w:ascii="Arial" w:hAnsi="Arial" w:cs="Arial" w:eastAsia="Arial" w:hint="default"/>
                <w:sz w:val="18"/>
                <w:szCs w:val="18"/>
              </w:rPr>
            </w:pPr>
            <w:r>
              <w:rPr>
                <w:rFonts w:ascii="Arial"/>
                <w:sz w:val="18"/>
              </w:rPr>
              <w:t>5,31</w:t>
            </w:r>
          </w:p>
          <w:p>
            <w:pPr>
              <w:pStyle w:val="TableParagraph"/>
              <w:spacing w:line="240" w:lineRule="auto" w:before="105"/>
              <w:ind w:left="201" w:right="0"/>
              <w:jc w:val="left"/>
              <w:rPr>
                <w:rFonts w:ascii="Arial" w:hAnsi="Arial" w:cs="Arial" w:eastAsia="Arial" w:hint="default"/>
                <w:sz w:val="18"/>
                <w:szCs w:val="18"/>
              </w:rPr>
            </w:pPr>
            <w:r>
              <w:rPr>
                <w:rFonts w:ascii="Arial"/>
                <w:sz w:val="18"/>
              </w:rPr>
              <w:t>9,89</w:t>
            </w:r>
          </w:p>
          <w:p>
            <w:pPr>
              <w:pStyle w:val="TableParagraph"/>
              <w:spacing w:line="240" w:lineRule="auto" w:before="105"/>
              <w:ind w:left="201" w:right="0"/>
              <w:jc w:val="left"/>
              <w:rPr>
                <w:rFonts w:ascii="Arial" w:hAnsi="Arial" w:cs="Arial" w:eastAsia="Arial" w:hint="default"/>
                <w:sz w:val="18"/>
                <w:szCs w:val="18"/>
              </w:rPr>
            </w:pPr>
            <w:r>
              <w:rPr>
                <w:rFonts w:ascii="Arial"/>
                <w:sz w:val="18"/>
              </w:rPr>
              <w:t>2.24</w:t>
            </w:r>
          </w:p>
        </w:tc>
      </w:tr>
    </w:tbl>
    <w:p>
      <w:pPr>
        <w:spacing w:after="0" w:line="240" w:lineRule="auto"/>
        <w:jc w:val="left"/>
        <w:rPr>
          <w:rFonts w:ascii="Arial" w:hAnsi="Arial" w:cs="Arial" w:eastAsia="Arial" w:hint="default"/>
          <w:sz w:val="18"/>
          <w:szCs w:val="18"/>
        </w:rPr>
        <w:sectPr>
          <w:pgSz w:w="11910" w:h="16840"/>
          <w:pgMar w:header="877" w:footer="979" w:top="1100" w:bottom="1160" w:left="920" w:right="0"/>
        </w:sectPr>
      </w:pPr>
    </w:p>
    <w:p>
      <w:pPr>
        <w:spacing w:line="240" w:lineRule="auto" w:before="2"/>
        <w:rPr>
          <w:rFonts w:ascii="Times New Roman" w:hAnsi="Times New Roman" w:cs="Times New Roman" w:eastAsia="Times New Roman" w:hint="default"/>
          <w:sz w:val="23"/>
          <w:szCs w:val="23"/>
        </w:rPr>
      </w:pPr>
    </w:p>
    <w:p>
      <w:pPr>
        <w:pStyle w:val="Heading5"/>
        <w:spacing w:line="240" w:lineRule="auto"/>
        <w:ind w:right="1513"/>
        <w:jc w:val="left"/>
        <w:rPr>
          <w:b w:val="0"/>
          <w:bCs w:val="0"/>
        </w:rPr>
      </w:pPr>
      <w:bookmarkStart w:name="8、母公司所有者权益变动表" w:id="267"/>
      <w:bookmarkEnd w:id="267"/>
      <w:r>
        <w:rPr>
          <w:b w:val="0"/>
          <w:bCs w:val="0"/>
        </w:rPr>
      </w:r>
      <w:r>
        <w:rPr>
          <w:rFonts w:ascii="Trebuchet MS" w:hAnsi="Trebuchet MS" w:cs="Trebuchet MS" w:eastAsia="Trebuchet MS" w:hint="default"/>
        </w:rPr>
        <w:t>8</w:t>
      </w:r>
      <w:r>
        <w:rPr/>
        <w:t>、母公司所有者权益变动表</w:t>
      </w:r>
      <w:r>
        <w:rPr>
          <w:b w:val="0"/>
          <w:bCs w:val="0"/>
        </w:rPr>
      </w:r>
    </w:p>
    <w:p>
      <w:pPr>
        <w:spacing w:line="240" w:lineRule="auto" w:before="5"/>
        <w:rPr>
          <w:rFonts w:ascii="宋体" w:hAnsi="宋体" w:cs="宋体" w:eastAsia="宋体" w:hint="default"/>
          <w:b/>
          <w:bCs/>
          <w:sz w:val="30"/>
          <w:szCs w:val="30"/>
        </w:rPr>
      </w:pPr>
    </w:p>
    <w:p>
      <w:pPr>
        <w:pStyle w:val="BodyText"/>
        <w:spacing w:line="240" w:lineRule="auto"/>
        <w:ind w:left="633" w:right="1513"/>
        <w:jc w:val="left"/>
      </w:pPr>
      <w:r>
        <w:rPr>
          <w:rFonts w:ascii="Arial" w:hAnsi="Arial" w:cs="Arial" w:eastAsia="Arial" w:hint="default"/>
        </w:rPr>
        <w:t>1</w:t>
      </w:r>
      <w:r>
        <w:rPr/>
        <w:t>、本期金额</w:t>
      </w:r>
    </w:p>
    <w:p>
      <w:pPr>
        <w:spacing w:line="240" w:lineRule="auto" w:before="3"/>
        <w:rPr>
          <w:rFonts w:ascii="宋体" w:hAnsi="宋体" w:cs="宋体" w:eastAsia="宋体" w:hint="default"/>
          <w:sz w:val="24"/>
          <w:szCs w:val="24"/>
        </w:rPr>
      </w:pPr>
    </w:p>
    <w:p>
      <w:pPr>
        <w:pStyle w:val="BodyText"/>
        <w:spacing w:line="240" w:lineRule="auto" w:before="18"/>
        <w:ind w:left="0" w:right="1130"/>
        <w:jc w:val="right"/>
      </w:pPr>
      <w:r>
        <w:rPr/>
        <w:pict>
          <v:group style="position:absolute;margin-left:157.699997pt;margin-top:53.603657pt;width:100.25pt;height:.5pt;mso-position-horizontal-relative:page;mso-position-vertical-relative:paragraph;z-index:-1051168" coordorigin="3154,1072" coordsize="2005,10">
            <v:group style="position:absolute;left:3159;top:1077;width:665;height:2" coordorigin="3159,1077" coordsize="665,2">
              <v:shape style="position:absolute;left:3159;top:1077;width:665;height:2" coordorigin="3159,1077" coordsize="665,0" path="m3159,1077l3824,1077e" filled="false" stroked="true" strokeweight=".48pt" strokecolor="#5b9bd4">
                <v:path arrowok="t"/>
              </v:shape>
            </v:group>
            <v:group style="position:absolute;left:3824;top:1077;width:10;height:2" coordorigin="3824,1077" coordsize="10,2">
              <v:shape style="position:absolute;left:3824;top:1077;width:10;height:2" coordorigin="3824,1077" coordsize="10,0" path="m3824,1077l3833,1077e" filled="false" stroked="true" strokeweight=".48pt" strokecolor="#5b9bd4">
                <v:path arrowok="t"/>
              </v:shape>
            </v:group>
            <v:group style="position:absolute;left:3833;top:1077;width:656;height:2" coordorigin="3833,1077" coordsize="656,2">
              <v:shape style="position:absolute;left:3833;top:1077;width:656;height:2" coordorigin="3833,1077" coordsize="656,0" path="m3833,1077l4488,1077e" filled="false" stroked="true" strokeweight=".48pt" strokecolor="#5b9bd4">
                <v:path arrowok="t"/>
              </v:shape>
            </v:group>
            <v:group style="position:absolute;left:4488;top:1077;width:10;height:2" coordorigin="4488,1077" coordsize="10,2">
              <v:shape style="position:absolute;left:4488;top:1077;width:10;height:2" coordorigin="4488,1077" coordsize="10,0" path="m4488,1077l4498,1077e" filled="false" stroked="true" strokeweight=".48pt" strokecolor="#5b9bd4">
                <v:path arrowok="t"/>
              </v:shape>
            </v:group>
            <v:group style="position:absolute;left:4498;top:1077;width:656;height:2" coordorigin="4498,1077" coordsize="656,2">
              <v:shape style="position:absolute;left:4498;top:1077;width:656;height:2" coordorigin="4498,1077" coordsize="656,0" path="m4498,1077l5154,1077e" filled="false" stroked="true" strokeweight=".48pt" strokecolor="#5b9bd4">
                <v:path arrowok="t"/>
              </v:shape>
            </v:group>
            <w10:wrap type="none"/>
          </v:group>
        </w:pict>
      </w:r>
      <w:r>
        <w:rPr/>
        <w:t>单位：元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7"/>
        <w:gridCol w:w="798"/>
        <w:gridCol w:w="676"/>
        <w:gridCol w:w="781"/>
      </w:tblGrid>
      <w:tr>
        <w:trPr>
          <w:trHeight w:val="322" w:hRule="exact"/>
        </w:trPr>
        <w:tc>
          <w:tcPr>
            <w:tcW w:w="1442"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2" w:hRule="exact"/>
        </w:trPr>
        <w:tc>
          <w:tcPr>
            <w:tcW w:w="1442" w:type="dxa"/>
            <w:vMerge/>
            <w:tcBorders>
              <w:left w:val="nil" w:sz="6" w:space="0" w:color="auto"/>
              <w:right w:val="nil" w:sz="6" w:space="0" w:color="auto"/>
            </w:tcBorders>
            <w:shd w:val="clear" w:color="auto" w:fill="DEEAF6"/>
          </w:tcPr>
          <w:p>
            <w:pPr/>
          </w:p>
        </w:tc>
        <w:tc>
          <w:tcPr>
            <w:tcW w:w="691" w:type="dxa"/>
            <w:tcBorders>
              <w:top w:val="single" w:sz="4" w:space="0" w:color="5B9BD4"/>
              <w:left w:val="nil" w:sz="6" w:space="0" w:color="auto"/>
              <w:bottom w:val="nil" w:sz="6" w:space="0" w:color="auto"/>
              <w:right w:val="nil" w:sz="6" w:space="0" w:color="auto"/>
            </w:tcBorders>
            <w:shd w:val="clear" w:color="auto" w:fill="DEEAF6"/>
          </w:tcPr>
          <w:p>
            <w:pPr/>
          </w:p>
        </w:tc>
        <w:tc>
          <w:tcPr>
            <w:tcW w:w="1995" w:type="dxa"/>
            <w:gridSpan w:val="3"/>
            <w:tcBorders>
              <w:top w:val="single" w:sz="4" w:space="0" w:color="5B9BD4"/>
              <w:left w:val="nil" w:sz="6" w:space="0" w:color="auto"/>
              <w:bottom w:val="nil" w:sz="6" w:space="0" w:color="auto"/>
              <w:right w:val="nil" w:sz="6" w:space="0" w:color="auto"/>
            </w:tcBorders>
            <w:shd w:val="clear" w:color="auto" w:fill="DEEAF6"/>
          </w:tcPr>
          <w:p>
            <w:pPr>
              <w:pStyle w:val="TableParagraph"/>
              <w:spacing w:line="240" w:lineRule="auto" w:before="6"/>
              <w:ind w:left="45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5B9BD4"/>
              <w:left w:val="nil" w:sz="6" w:space="0" w:color="auto"/>
              <w:bottom w:val="nil" w:sz="6" w:space="0" w:color="auto"/>
              <w:right w:val="nil" w:sz="6" w:space="0" w:color="auto"/>
            </w:tcBorders>
            <w:shd w:val="clear" w:color="auto" w:fill="DEEAF6"/>
          </w:tcPr>
          <w:p>
            <w:pPr/>
          </w:p>
        </w:tc>
        <w:tc>
          <w:tcPr>
            <w:tcW w:w="798" w:type="dxa"/>
            <w:tcBorders>
              <w:top w:val="single" w:sz="4" w:space="0" w:color="5B9BD4"/>
              <w:left w:val="nil" w:sz="6" w:space="0" w:color="auto"/>
              <w:bottom w:val="nil" w:sz="6" w:space="0" w:color="auto"/>
              <w:right w:val="nil" w:sz="6" w:space="0" w:color="auto"/>
            </w:tcBorders>
            <w:shd w:val="clear" w:color="auto" w:fill="DEEAF6"/>
          </w:tcPr>
          <w:p>
            <w:pPr/>
          </w:p>
        </w:tc>
        <w:tc>
          <w:tcPr>
            <w:tcW w:w="798" w:type="dxa"/>
            <w:tcBorders>
              <w:top w:val="single" w:sz="4" w:space="0" w:color="5B9BD4"/>
              <w:left w:val="nil" w:sz="6" w:space="0" w:color="auto"/>
              <w:bottom w:val="nil" w:sz="6" w:space="0" w:color="auto"/>
              <w:right w:val="nil" w:sz="6" w:space="0" w:color="auto"/>
            </w:tcBorders>
            <w:shd w:val="clear" w:color="auto" w:fill="DEEAF6"/>
          </w:tcPr>
          <w:p>
            <w:pPr/>
          </w:p>
        </w:tc>
        <w:tc>
          <w:tcPr>
            <w:tcW w:w="797" w:type="dxa"/>
            <w:tcBorders>
              <w:top w:val="single" w:sz="4" w:space="0" w:color="5B9BD4"/>
              <w:left w:val="nil" w:sz="6" w:space="0" w:color="auto"/>
              <w:bottom w:val="nil" w:sz="6" w:space="0" w:color="auto"/>
              <w:right w:val="nil" w:sz="6" w:space="0" w:color="auto"/>
            </w:tcBorders>
            <w:shd w:val="clear" w:color="auto" w:fill="DEEAF6"/>
          </w:tcPr>
          <w:p>
            <w:pPr/>
          </w:p>
        </w:tc>
        <w:tc>
          <w:tcPr>
            <w:tcW w:w="798" w:type="dxa"/>
            <w:tcBorders>
              <w:top w:val="single" w:sz="4" w:space="0" w:color="5B9BD4"/>
              <w:left w:val="nil" w:sz="6" w:space="0" w:color="auto"/>
              <w:bottom w:val="nil" w:sz="6" w:space="0" w:color="auto"/>
              <w:right w:val="nil" w:sz="6" w:space="0" w:color="auto"/>
            </w:tcBorders>
            <w:shd w:val="clear" w:color="auto" w:fill="DEEAF6"/>
          </w:tcPr>
          <w:p>
            <w:pPr/>
          </w:p>
        </w:tc>
        <w:tc>
          <w:tcPr>
            <w:tcW w:w="676"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11"/>
              <w:ind w:left="157" w:right="156"/>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11"/>
              <w:ind w:left="120" w:right="119"/>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317" w:hRule="exact"/>
        </w:trPr>
        <w:tc>
          <w:tcPr>
            <w:tcW w:w="1442" w:type="dxa"/>
            <w:vMerge/>
            <w:tcBorders>
              <w:left w:val="nil" w:sz="6" w:space="0" w:color="auto"/>
              <w:right w:val="nil" w:sz="6" w:space="0" w:color="auto"/>
            </w:tcBorders>
            <w:shd w:val="clear" w:color="auto" w:fill="DEEAF6"/>
          </w:tcPr>
          <w:p>
            <w:pPr/>
          </w:p>
        </w:tc>
        <w:tc>
          <w:tcPr>
            <w:tcW w:w="691"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76"/>
              <w:ind w:left="16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665"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81"/>
              <w:ind w:left="242" w:right="150"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81"/>
              <w:ind w:left="242" w:right="150"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nil" w:sz="6" w:space="0" w:color="auto"/>
              <w:left w:val="nil" w:sz="6" w:space="0" w:color="auto"/>
              <w:bottom w:val="nil" w:sz="6" w:space="0" w:color="auto"/>
              <w:right w:val="nil" w:sz="6" w:space="0" w:color="auto"/>
            </w:tcBorders>
            <w:shd w:val="clear" w:color="auto" w:fill="DEEAF6"/>
          </w:tcPr>
          <w:p>
            <w:pPr/>
          </w:p>
        </w:tc>
        <w:tc>
          <w:tcPr>
            <w:tcW w:w="797" w:type="dxa"/>
            <w:vMerge w:val="restart"/>
            <w:tcBorders>
              <w:top w:val="nil" w:sz="6" w:space="0" w:color="auto"/>
              <w:left w:val="nil" w:sz="6" w:space="0" w:color="auto"/>
              <w:right w:val="nil" w:sz="6" w:space="0" w:color="auto"/>
            </w:tcBorders>
            <w:shd w:val="clear" w:color="auto" w:fill="DEEAF6"/>
          </w:tcPr>
          <w:p>
            <w:pPr>
              <w:pStyle w:val="TableParagraph"/>
              <w:spacing w:line="156" w:lineRule="exact"/>
              <w:ind w:right="0"/>
              <w:jc w:val="center"/>
              <w:rPr>
                <w:rFonts w:ascii="宋体" w:hAnsi="宋体" w:cs="宋体" w:eastAsia="宋体" w:hint="default"/>
                <w:sz w:val="18"/>
                <w:szCs w:val="18"/>
              </w:rPr>
            </w:pPr>
            <w:r>
              <w:rPr>
                <w:rFonts w:ascii="宋体" w:hAnsi="宋体" w:cs="宋体" w:eastAsia="宋体" w:hint="default"/>
                <w:sz w:val="18"/>
                <w:szCs w:val="18"/>
              </w:rPr>
              <w:t>资本公</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积</w:t>
            </w:r>
          </w:p>
        </w:tc>
        <w:tc>
          <w:tcPr>
            <w:tcW w:w="798" w:type="dxa"/>
            <w:vMerge w:val="restart"/>
            <w:tcBorders>
              <w:top w:val="nil" w:sz="6" w:space="0" w:color="auto"/>
              <w:left w:val="nil" w:sz="6" w:space="0" w:color="auto"/>
              <w:right w:val="nil" w:sz="6" w:space="0" w:color="auto"/>
            </w:tcBorders>
            <w:shd w:val="clear" w:color="auto" w:fill="DEEAF6"/>
          </w:tcPr>
          <w:p>
            <w:pPr>
              <w:pStyle w:val="TableParagraph"/>
              <w:spacing w:line="156" w:lineRule="exact"/>
              <w:ind w:left="218" w:right="0" w:hanging="90"/>
              <w:jc w:val="left"/>
              <w:rPr>
                <w:rFonts w:ascii="宋体" w:hAnsi="宋体" w:cs="宋体" w:eastAsia="宋体" w:hint="default"/>
                <w:sz w:val="18"/>
                <w:szCs w:val="18"/>
              </w:rPr>
            </w:pPr>
            <w:r>
              <w:rPr>
                <w:rFonts w:ascii="宋体" w:hAnsi="宋体" w:cs="宋体" w:eastAsia="宋体" w:hint="default"/>
                <w:sz w:val="18"/>
                <w:szCs w:val="18"/>
              </w:rPr>
              <w:t>减：库</w:t>
            </w:r>
          </w:p>
          <w:p>
            <w:pPr>
              <w:pStyle w:val="TableParagraph"/>
              <w:spacing w:line="240" w:lineRule="auto" w:before="76"/>
              <w:ind w:left="218" w:right="0"/>
              <w:jc w:val="left"/>
              <w:rPr>
                <w:rFonts w:ascii="宋体" w:hAnsi="宋体" w:cs="宋体" w:eastAsia="宋体" w:hint="default"/>
                <w:sz w:val="18"/>
                <w:szCs w:val="18"/>
              </w:rPr>
            </w:pPr>
            <w:r>
              <w:rPr>
                <w:rFonts w:ascii="宋体" w:hAnsi="宋体" w:cs="宋体" w:eastAsia="宋体" w:hint="default"/>
                <w:sz w:val="18"/>
                <w:szCs w:val="18"/>
              </w:rPr>
              <w:t>存股</w:t>
            </w:r>
          </w:p>
        </w:tc>
        <w:tc>
          <w:tcPr>
            <w:tcW w:w="798" w:type="dxa"/>
            <w:vMerge w:val="restart"/>
            <w:tcBorders>
              <w:top w:val="nil" w:sz="6" w:space="0" w:color="auto"/>
              <w:left w:val="nil" w:sz="6" w:space="0" w:color="auto"/>
              <w:right w:val="nil" w:sz="6" w:space="0" w:color="auto"/>
            </w:tcBorders>
            <w:shd w:val="clear" w:color="auto" w:fill="DEEAF6"/>
          </w:tcPr>
          <w:p>
            <w:pPr>
              <w:pStyle w:val="TableParagraph"/>
              <w:spacing w:line="156" w:lineRule="exact"/>
              <w:ind w:left="128" w:right="0"/>
              <w:jc w:val="left"/>
              <w:rPr>
                <w:rFonts w:ascii="宋体" w:hAnsi="宋体" w:cs="宋体" w:eastAsia="宋体" w:hint="default"/>
                <w:sz w:val="18"/>
                <w:szCs w:val="18"/>
              </w:rPr>
            </w:pPr>
            <w:r>
              <w:rPr>
                <w:rFonts w:ascii="宋体" w:hAnsi="宋体" w:cs="宋体" w:eastAsia="宋体" w:hint="default"/>
                <w:sz w:val="18"/>
                <w:szCs w:val="18"/>
              </w:rPr>
              <w:t>其他综</w:t>
            </w:r>
          </w:p>
          <w:p>
            <w:pPr>
              <w:pStyle w:val="TableParagraph"/>
              <w:spacing w:line="240" w:lineRule="auto" w:before="76"/>
              <w:ind w:left="128"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797" w:type="dxa"/>
            <w:vMerge w:val="restart"/>
            <w:tcBorders>
              <w:top w:val="nil" w:sz="6" w:space="0" w:color="auto"/>
              <w:left w:val="nil" w:sz="6" w:space="0" w:color="auto"/>
              <w:right w:val="nil" w:sz="6" w:space="0" w:color="auto"/>
            </w:tcBorders>
            <w:shd w:val="clear" w:color="auto" w:fill="DEEAF6"/>
          </w:tcPr>
          <w:p>
            <w:pPr>
              <w:pStyle w:val="TableParagraph"/>
              <w:spacing w:line="156" w:lineRule="exact"/>
              <w:ind w:right="0"/>
              <w:jc w:val="center"/>
              <w:rPr>
                <w:rFonts w:ascii="宋体" w:hAnsi="宋体" w:cs="宋体" w:eastAsia="宋体" w:hint="default"/>
                <w:sz w:val="18"/>
                <w:szCs w:val="18"/>
              </w:rPr>
            </w:pPr>
            <w:r>
              <w:rPr>
                <w:rFonts w:ascii="宋体" w:hAnsi="宋体" w:cs="宋体" w:eastAsia="宋体" w:hint="default"/>
                <w:sz w:val="18"/>
                <w:szCs w:val="18"/>
              </w:rPr>
              <w:t>专项储</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798" w:type="dxa"/>
            <w:vMerge w:val="restart"/>
            <w:tcBorders>
              <w:top w:val="nil" w:sz="6" w:space="0" w:color="auto"/>
              <w:left w:val="nil" w:sz="6" w:space="0" w:color="auto"/>
              <w:right w:val="nil" w:sz="6" w:space="0" w:color="auto"/>
            </w:tcBorders>
            <w:shd w:val="clear" w:color="auto" w:fill="DEEAF6"/>
          </w:tcPr>
          <w:p>
            <w:pPr>
              <w:pStyle w:val="TableParagraph"/>
              <w:spacing w:line="156" w:lineRule="exact"/>
              <w:ind w:right="1"/>
              <w:jc w:val="center"/>
              <w:rPr>
                <w:rFonts w:ascii="宋体" w:hAnsi="宋体" w:cs="宋体" w:eastAsia="宋体" w:hint="default"/>
                <w:sz w:val="18"/>
                <w:szCs w:val="18"/>
              </w:rPr>
            </w:pPr>
            <w:r>
              <w:rPr>
                <w:rFonts w:ascii="宋体" w:hAnsi="宋体" w:cs="宋体" w:eastAsia="宋体" w:hint="default"/>
                <w:sz w:val="18"/>
                <w:szCs w:val="18"/>
              </w:rPr>
              <w:t>盈余公</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积</w:t>
            </w:r>
          </w:p>
        </w:tc>
        <w:tc>
          <w:tcPr>
            <w:tcW w:w="676" w:type="dxa"/>
            <w:vMerge/>
            <w:tcBorders>
              <w:left w:val="nil" w:sz="6" w:space="0" w:color="auto"/>
              <w:right w:val="nil" w:sz="6" w:space="0" w:color="auto"/>
            </w:tcBorders>
            <w:shd w:val="clear" w:color="auto" w:fill="DEEAF6"/>
          </w:tcPr>
          <w:p>
            <w:pPr/>
          </w:p>
        </w:tc>
        <w:tc>
          <w:tcPr>
            <w:tcW w:w="781" w:type="dxa"/>
            <w:vMerge/>
            <w:tcBorders>
              <w:left w:val="nil" w:sz="6" w:space="0" w:color="auto"/>
              <w:right w:val="nil" w:sz="6" w:space="0" w:color="auto"/>
            </w:tcBorders>
            <w:shd w:val="clear" w:color="auto" w:fill="DEEAF6"/>
          </w:tcPr>
          <w:p>
            <w:pPr/>
          </w:p>
        </w:tc>
      </w:tr>
      <w:tr>
        <w:trPr>
          <w:trHeight w:val="382" w:hRule="exact"/>
        </w:trPr>
        <w:tc>
          <w:tcPr>
            <w:tcW w:w="1442" w:type="dxa"/>
            <w:vMerge/>
            <w:tcBorders>
              <w:left w:val="nil" w:sz="6" w:space="0" w:color="auto"/>
              <w:bottom w:val="single" w:sz="4" w:space="0" w:color="5B9BD4"/>
              <w:right w:val="nil" w:sz="6" w:space="0" w:color="auto"/>
            </w:tcBorders>
            <w:shd w:val="clear" w:color="auto" w:fill="DEEAF6"/>
          </w:tcPr>
          <w:p>
            <w:pPr/>
          </w:p>
        </w:tc>
        <w:tc>
          <w:tcPr>
            <w:tcW w:w="691" w:type="dxa"/>
            <w:tcBorders>
              <w:top w:val="nil" w:sz="6" w:space="0" w:color="auto"/>
              <w:left w:val="nil" w:sz="6" w:space="0" w:color="auto"/>
              <w:bottom w:val="single" w:sz="4" w:space="0" w:color="5B9BD4"/>
              <w:right w:val="nil" w:sz="6" w:space="0" w:color="auto"/>
            </w:tcBorders>
            <w:shd w:val="clear" w:color="auto" w:fill="DEEAF6"/>
          </w:tcPr>
          <w:p>
            <w:pPr/>
          </w:p>
        </w:tc>
        <w:tc>
          <w:tcPr>
            <w:tcW w:w="665" w:type="dxa"/>
            <w:vMerge/>
            <w:tcBorders>
              <w:left w:val="nil" w:sz="6" w:space="0" w:color="auto"/>
              <w:bottom w:val="single" w:sz="4" w:space="0" w:color="5B9BD4"/>
              <w:right w:val="nil" w:sz="6" w:space="0" w:color="auto"/>
            </w:tcBorders>
            <w:shd w:val="clear" w:color="auto" w:fill="DEEAF6"/>
          </w:tcPr>
          <w:p>
            <w:pPr/>
          </w:p>
        </w:tc>
        <w:tc>
          <w:tcPr>
            <w:tcW w:w="665" w:type="dxa"/>
            <w:vMerge/>
            <w:tcBorders>
              <w:left w:val="nil" w:sz="6" w:space="0" w:color="auto"/>
              <w:bottom w:val="single" w:sz="4" w:space="0" w:color="5B9BD4"/>
              <w:right w:val="nil" w:sz="6" w:space="0" w:color="auto"/>
            </w:tcBorders>
            <w:shd w:val="clear" w:color="auto" w:fill="DEEAF6"/>
          </w:tcPr>
          <w:p>
            <w:pPr/>
          </w:p>
        </w:tc>
        <w:tc>
          <w:tcPr>
            <w:tcW w:w="665"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156" w:lineRule="exact"/>
              <w:ind w:left="19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nil" w:sz="6" w:space="0" w:color="auto"/>
              <w:bottom w:val="single" w:sz="4" w:space="0" w:color="5B9BD4"/>
              <w:right w:val="nil" w:sz="6" w:space="0" w:color="auto"/>
            </w:tcBorders>
            <w:shd w:val="clear" w:color="auto" w:fill="DEEAF6"/>
          </w:tcPr>
          <w:p>
            <w:pPr/>
          </w:p>
        </w:tc>
        <w:tc>
          <w:tcPr>
            <w:tcW w:w="798" w:type="dxa"/>
            <w:vMerge/>
            <w:tcBorders>
              <w:left w:val="nil" w:sz="6" w:space="0" w:color="auto"/>
              <w:bottom w:val="single" w:sz="4" w:space="0" w:color="5B9BD4"/>
              <w:right w:val="nil" w:sz="6" w:space="0" w:color="auto"/>
            </w:tcBorders>
            <w:shd w:val="clear" w:color="auto" w:fill="DEEAF6"/>
          </w:tcPr>
          <w:p>
            <w:pPr/>
          </w:p>
        </w:tc>
        <w:tc>
          <w:tcPr>
            <w:tcW w:w="798" w:type="dxa"/>
            <w:vMerge/>
            <w:tcBorders>
              <w:left w:val="nil" w:sz="6" w:space="0" w:color="auto"/>
              <w:bottom w:val="single" w:sz="4" w:space="0" w:color="5B9BD4"/>
              <w:right w:val="nil" w:sz="6" w:space="0" w:color="auto"/>
            </w:tcBorders>
            <w:shd w:val="clear" w:color="auto" w:fill="DEEAF6"/>
          </w:tcPr>
          <w:p>
            <w:pPr/>
          </w:p>
        </w:tc>
        <w:tc>
          <w:tcPr>
            <w:tcW w:w="797" w:type="dxa"/>
            <w:vMerge/>
            <w:tcBorders>
              <w:left w:val="nil" w:sz="6" w:space="0" w:color="auto"/>
              <w:bottom w:val="single" w:sz="4" w:space="0" w:color="5B9BD4"/>
              <w:right w:val="nil" w:sz="6" w:space="0" w:color="auto"/>
            </w:tcBorders>
            <w:shd w:val="clear" w:color="auto" w:fill="DEEAF6"/>
          </w:tcPr>
          <w:p>
            <w:pPr/>
          </w:p>
        </w:tc>
        <w:tc>
          <w:tcPr>
            <w:tcW w:w="798" w:type="dxa"/>
            <w:vMerge/>
            <w:tcBorders>
              <w:left w:val="nil" w:sz="6" w:space="0" w:color="auto"/>
              <w:bottom w:val="single" w:sz="4" w:space="0" w:color="5B9BD4"/>
              <w:right w:val="nil" w:sz="6" w:space="0" w:color="auto"/>
            </w:tcBorders>
            <w:shd w:val="clear" w:color="auto" w:fill="DEEAF6"/>
          </w:tcPr>
          <w:p>
            <w:pPr/>
          </w:p>
        </w:tc>
        <w:tc>
          <w:tcPr>
            <w:tcW w:w="676" w:type="dxa"/>
            <w:vMerge/>
            <w:tcBorders>
              <w:left w:val="nil" w:sz="6" w:space="0" w:color="auto"/>
              <w:bottom w:val="single" w:sz="4" w:space="0" w:color="5B9BD4"/>
              <w:right w:val="nil" w:sz="6" w:space="0" w:color="auto"/>
            </w:tcBorders>
            <w:shd w:val="clear" w:color="auto" w:fill="DEEAF6"/>
          </w:tcPr>
          <w:p>
            <w:pPr/>
          </w:p>
        </w:tc>
        <w:tc>
          <w:tcPr>
            <w:tcW w:w="781" w:type="dxa"/>
            <w:vMerge/>
            <w:tcBorders>
              <w:left w:val="nil" w:sz="6" w:space="0" w:color="auto"/>
              <w:bottom w:val="single" w:sz="4" w:space="0" w:color="5B9BD4"/>
              <w:right w:val="nil" w:sz="6" w:space="0" w:color="auto"/>
            </w:tcBorders>
            <w:shd w:val="clear" w:color="auto" w:fill="DEEAF6"/>
          </w:tcPr>
          <w:p>
            <w:pPr/>
          </w:p>
        </w:tc>
      </w:tr>
      <w:tr>
        <w:trPr>
          <w:trHeight w:val="1263"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08" w:right="106"/>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5B9BD4"/>
              <w:left w:val="nil" w:sz="6" w:space="0" w:color="auto"/>
              <w:bottom w:val="single" w:sz="4" w:space="0" w:color="5B9BD4"/>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4" w:right="0"/>
              <w:jc w:val="left"/>
              <w:rPr>
                <w:rFonts w:ascii="Arial" w:hAnsi="Arial" w:cs="Arial" w:eastAsia="Arial" w:hint="default"/>
                <w:sz w:val="18"/>
                <w:szCs w:val="18"/>
              </w:rPr>
            </w:pPr>
            <w:r>
              <w:rPr>
                <w:rFonts w:ascii="Arial"/>
                <w:sz w:val="18"/>
              </w:rPr>
              <w:t>994,7</w:t>
            </w:r>
          </w:p>
          <w:p>
            <w:pPr>
              <w:pStyle w:val="TableParagraph"/>
              <w:spacing w:line="240" w:lineRule="auto" w:before="105"/>
              <w:ind w:left="134" w:right="0"/>
              <w:jc w:val="left"/>
              <w:rPr>
                <w:rFonts w:ascii="Arial" w:hAnsi="Arial" w:cs="Arial" w:eastAsia="Arial" w:hint="default"/>
                <w:sz w:val="18"/>
                <w:szCs w:val="18"/>
              </w:rPr>
            </w:pPr>
            <w:r>
              <w:rPr>
                <w:rFonts w:ascii="Arial"/>
                <w:sz w:val="18"/>
              </w:rPr>
              <w:t>66,26</w:t>
            </w:r>
          </w:p>
          <w:p>
            <w:pPr>
              <w:pStyle w:val="TableParagraph"/>
              <w:spacing w:line="240" w:lineRule="auto" w:before="105"/>
              <w:ind w:left="234" w:right="0"/>
              <w:jc w:val="left"/>
              <w:rPr>
                <w:rFonts w:ascii="Arial" w:hAnsi="Arial" w:cs="Arial" w:eastAsia="Arial" w:hint="default"/>
                <w:sz w:val="18"/>
                <w:szCs w:val="18"/>
              </w:rPr>
            </w:pPr>
            <w:r>
              <w:rPr>
                <w:rFonts w:ascii="Arial"/>
                <w:sz w:val="18"/>
              </w:rPr>
              <w:t>6.00</w:t>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3" w:right="0"/>
              <w:jc w:val="center"/>
              <w:rPr>
                <w:rFonts w:ascii="Arial" w:hAnsi="Arial" w:cs="Arial" w:eastAsia="Arial" w:hint="default"/>
                <w:sz w:val="18"/>
                <w:szCs w:val="18"/>
              </w:rPr>
            </w:pPr>
            <w:r>
              <w:rPr>
                <w:rFonts w:ascii="Arial"/>
                <w:sz w:val="18"/>
              </w:rPr>
              <w:t>1,579,</w:t>
            </w:r>
          </w:p>
          <w:p>
            <w:pPr>
              <w:pStyle w:val="TableParagraph"/>
              <w:spacing w:line="240" w:lineRule="auto" w:before="105"/>
              <w:ind w:left="32" w:right="0"/>
              <w:jc w:val="center"/>
              <w:rPr>
                <w:rFonts w:ascii="Arial" w:hAnsi="Arial" w:cs="Arial" w:eastAsia="Arial" w:hint="default"/>
                <w:sz w:val="18"/>
                <w:szCs w:val="18"/>
              </w:rPr>
            </w:pPr>
            <w:r>
              <w:rPr>
                <w:rFonts w:ascii="Arial"/>
                <w:sz w:val="18"/>
              </w:rPr>
              <w:t>838,27</w:t>
            </w:r>
          </w:p>
          <w:p>
            <w:pPr>
              <w:pStyle w:val="TableParagraph"/>
              <w:spacing w:line="240" w:lineRule="auto" w:before="105"/>
              <w:ind w:left="231" w:right="0"/>
              <w:jc w:val="center"/>
              <w:rPr>
                <w:rFonts w:ascii="Arial" w:hAnsi="Arial" w:cs="Arial" w:eastAsia="Arial" w:hint="default"/>
                <w:sz w:val="18"/>
                <w:szCs w:val="18"/>
              </w:rPr>
            </w:pPr>
            <w:r>
              <w:rPr>
                <w:rFonts w:ascii="Arial"/>
                <w:sz w:val="18"/>
              </w:rPr>
              <w:t>3.23</w:t>
            </w: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0" w:right="0"/>
              <w:jc w:val="left"/>
              <w:rPr>
                <w:rFonts w:ascii="Arial" w:hAnsi="Arial" w:cs="Arial" w:eastAsia="Arial" w:hint="default"/>
                <w:sz w:val="18"/>
                <w:szCs w:val="18"/>
              </w:rPr>
            </w:pPr>
            <w:r>
              <w:rPr>
                <w:rFonts w:ascii="Arial"/>
                <w:sz w:val="18"/>
              </w:rPr>
              <w:t>221,60</w:t>
            </w:r>
          </w:p>
          <w:p>
            <w:pPr>
              <w:pStyle w:val="TableParagraph"/>
              <w:spacing w:line="240" w:lineRule="auto" w:before="105"/>
              <w:ind w:left="190" w:right="0"/>
              <w:jc w:val="left"/>
              <w:rPr>
                <w:rFonts w:ascii="Arial" w:hAnsi="Arial" w:cs="Arial" w:eastAsia="Arial" w:hint="default"/>
                <w:sz w:val="18"/>
                <w:szCs w:val="18"/>
              </w:rPr>
            </w:pPr>
            <w:r>
              <w:rPr>
                <w:rFonts w:ascii="Arial"/>
                <w:sz w:val="18"/>
              </w:rPr>
              <w:t>7,097.</w:t>
            </w:r>
          </w:p>
          <w:p>
            <w:pPr>
              <w:pStyle w:val="TableParagraph"/>
              <w:spacing w:line="240" w:lineRule="auto" w:before="105"/>
              <w:ind w:left="489" w:right="0"/>
              <w:jc w:val="left"/>
              <w:rPr>
                <w:rFonts w:ascii="Arial" w:hAnsi="Arial" w:cs="Arial" w:eastAsia="Arial" w:hint="default"/>
                <w:sz w:val="18"/>
                <w:szCs w:val="18"/>
              </w:rPr>
            </w:pPr>
            <w:r>
              <w:rPr>
                <w:rFonts w:ascii="Arial"/>
                <w:sz w:val="18"/>
              </w:rPr>
              <w:t>36</w:t>
            </w:r>
          </w:p>
        </w:tc>
        <w:tc>
          <w:tcPr>
            <w:tcW w:w="67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2"/>
              <w:ind w:left="118" w:right="0"/>
              <w:jc w:val="left"/>
              <w:rPr>
                <w:rFonts w:ascii="Arial" w:hAnsi="Arial" w:cs="Arial" w:eastAsia="Arial" w:hint="default"/>
                <w:sz w:val="18"/>
                <w:szCs w:val="18"/>
              </w:rPr>
            </w:pPr>
            <w:r>
              <w:rPr>
                <w:rFonts w:ascii="Arial"/>
                <w:sz w:val="18"/>
              </w:rPr>
              <w:t>1,215</w:t>
            </w:r>
          </w:p>
          <w:p>
            <w:pPr>
              <w:pStyle w:val="TableParagraph"/>
              <w:spacing w:line="240" w:lineRule="auto" w:before="105"/>
              <w:ind w:left="169" w:right="0"/>
              <w:jc w:val="left"/>
              <w:rPr>
                <w:rFonts w:ascii="Arial" w:hAnsi="Arial" w:cs="Arial" w:eastAsia="Arial" w:hint="default"/>
                <w:sz w:val="18"/>
                <w:szCs w:val="18"/>
              </w:rPr>
            </w:pPr>
            <w:r>
              <w:rPr>
                <w:rFonts w:ascii="Arial"/>
                <w:sz w:val="18"/>
              </w:rPr>
              <w:t>,787,</w:t>
            </w:r>
          </w:p>
          <w:p>
            <w:pPr>
              <w:pStyle w:val="TableParagraph"/>
              <w:spacing w:line="240" w:lineRule="auto" w:before="105"/>
              <w:ind w:left="118" w:right="0"/>
              <w:jc w:val="left"/>
              <w:rPr>
                <w:rFonts w:ascii="Arial" w:hAnsi="Arial" w:cs="Arial" w:eastAsia="Arial" w:hint="default"/>
                <w:sz w:val="18"/>
                <w:szCs w:val="18"/>
              </w:rPr>
            </w:pPr>
            <w:r>
              <w:rPr>
                <w:rFonts w:ascii="Arial"/>
                <w:sz w:val="18"/>
              </w:rPr>
              <w:t>577.3</w:t>
            </w:r>
          </w:p>
          <w:p>
            <w:pPr>
              <w:pStyle w:val="TableParagraph"/>
              <w:spacing w:line="240" w:lineRule="auto" w:before="105"/>
              <w:ind w:right="105"/>
              <w:jc w:val="right"/>
              <w:rPr>
                <w:rFonts w:ascii="Arial" w:hAnsi="Arial" w:cs="Arial" w:eastAsia="Arial" w:hint="default"/>
                <w:sz w:val="18"/>
                <w:szCs w:val="18"/>
              </w:rPr>
            </w:pPr>
            <w:r>
              <w:rPr>
                <w:rFonts w:ascii="Arial"/>
                <w:w w:val="99"/>
                <w:sz w:val="18"/>
              </w:rPr>
              <w:t>3</w:t>
            </w:r>
            <w:r>
              <w:rPr>
                <w:rFonts w:ascii="Arial"/>
                <w:sz w:val="18"/>
              </w:rPr>
            </w:r>
          </w:p>
        </w:tc>
        <w:tc>
          <w:tcPr>
            <w:tcW w:w="781" w:type="dxa"/>
            <w:tcBorders>
              <w:top w:val="single" w:sz="4" w:space="0" w:color="5B9BD4"/>
              <w:left w:val="nil" w:sz="6" w:space="0" w:color="auto"/>
              <w:bottom w:val="single" w:sz="4" w:space="0" w:color="5B9BD4"/>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7" w:right="0"/>
              <w:jc w:val="center"/>
              <w:rPr>
                <w:rFonts w:ascii="Arial" w:hAnsi="Arial" w:cs="Arial" w:eastAsia="Arial" w:hint="default"/>
                <w:sz w:val="18"/>
                <w:szCs w:val="18"/>
              </w:rPr>
            </w:pPr>
            <w:r>
              <w:rPr>
                <w:rFonts w:ascii="Arial"/>
                <w:sz w:val="18"/>
              </w:rPr>
              <w:t>4,011,</w:t>
            </w:r>
          </w:p>
          <w:p>
            <w:pPr>
              <w:pStyle w:val="TableParagraph"/>
              <w:spacing w:line="240" w:lineRule="auto" w:before="105"/>
              <w:ind w:left="16" w:right="0"/>
              <w:jc w:val="center"/>
              <w:rPr>
                <w:rFonts w:ascii="Arial" w:hAnsi="Arial" w:cs="Arial" w:eastAsia="Arial" w:hint="default"/>
                <w:sz w:val="18"/>
                <w:szCs w:val="18"/>
              </w:rPr>
            </w:pPr>
            <w:r>
              <w:rPr>
                <w:rFonts w:ascii="Arial"/>
                <w:sz w:val="18"/>
              </w:rPr>
              <w:t>999,21</w:t>
            </w:r>
          </w:p>
          <w:p>
            <w:pPr>
              <w:pStyle w:val="TableParagraph"/>
              <w:spacing w:line="240" w:lineRule="auto" w:before="105"/>
              <w:ind w:left="215" w:right="0"/>
              <w:jc w:val="center"/>
              <w:rPr>
                <w:rFonts w:ascii="Arial" w:hAnsi="Arial" w:cs="Arial" w:eastAsia="Arial" w:hint="default"/>
                <w:sz w:val="18"/>
                <w:szCs w:val="18"/>
              </w:rPr>
            </w:pPr>
            <w:r>
              <w:rPr>
                <w:rFonts w:ascii="Arial"/>
                <w:sz w:val="18"/>
              </w:rPr>
              <w:t>3.92</w:t>
            </w:r>
          </w:p>
        </w:tc>
      </w:tr>
      <w:tr>
        <w:trPr>
          <w:trHeight w:val="634"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106"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676" w:type="dxa"/>
            <w:tcBorders>
              <w:top w:val="single" w:sz="4" w:space="0" w:color="5B9BD4"/>
              <w:left w:val="nil" w:sz="6" w:space="0" w:color="auto"/>
              <w:bottom w:val="single" w:sz="4" w:space="0" w:color="5B9BD4"/>
              <w:right w:val="nil" w:sz="6" w:space="0" w:color="auto"/>
            </w:tcBorders>
            <w:shd w:val="clear" w:color="auto" w:fill="DEEAF6"/>
          </w:tcPr>
          <w:p>
            <w:pPr/>
          </w:p>
        </w:tc>
        <w:tc>
          <w:tcPr>
            <w:tcW w:w="781" w:type="dxa"/>
            <w:tcBorders>
              <w:top w:val="single" w:sz="4" w:space="0" w:color="5B9BD4"/>
              <w:left w:val="nil" w:sz="6" w:space="0" w:color="auto"/>
              <w:bottom w:val="single" w:sz="4" w:space="0" w:color="5B9BD4"/>
              <w:right w:val="nil" w:sz="6" w:space="0" w:color="auto"/>
            </w:tcBorders>
          </w:tcPr>
          <w:p>
            <w:pPr/>
          </w:p>
        </w:tc>
      </w:tr>
      <w:tr>
        <w:trPr>
          <w:trHeight w:val="634"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828"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91"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676" w:type="dxa"/>
            <w:tcBorders>
              <w:top w:val="single" w:sz="4" w:space="0" w:color="5B9BD4"/>
              <w:left w:val="nil" w:sz="6" w:space="0" w:color="auto"/>
              <w:bottom w:val="single" w:sz="4" w:space="0" w:color="5B9BD4"/>
              <w:right w:val="nil" w:sz="6" w:space="0" w:color="auto"/>
            </w:tcBorders>
            <w:shd w:val="clear" w:color="auto" w:fill="DEEAF6"/>
          </w:tcPr>
          <w:p>
            <w:pPr/>
          </w:p>
        </w:tc>
        <w:tc>
          <w:tcPr>
            <w:tcW w:w="781" w:type="dxa"/>
            <w:tcBorders>
              <w:top w:val="single" w:sz="4" w:space="0" w:color="5B9BD4"/>
              <w:left w:val="nil" w:sz="6" w:space="0" w:color="auto"/>
              <w:bottom w:val="single" w:sz="4" w:space="0" w:color="5B9BD4"/>
              <w:right w:val="nil" w:sz="6" w:space="0" w:color="auto"/>
            </w:tcBorders>
          </w:tcPr>
          <w:p>
            <w:pPr/>
          </w:p>
        </w:tc>
      </w:tr>
      <w:tr>
        <w:trPr>
          <w:trHeight w:val="322"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8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676" w:type="dxa"/>
            <w:tcBorders>
              <w:top w:val="single" w:sz="4" w:space="0" w:color="5B9BD4"/>
              <w:left w:val="nil" w:sz="6" w:space="0" w:color="auto"/>
              <w:bottom w:val="single" w:sz="4" w:space="0" w:color="5B9BD4"/>
              <w:right w:val="nil" w:sz="6" w:space="0" w:color="auto"/>
            </w:tcBorders>
            <w:shd w:val="clear" w:color="auto" w:fill="DEEAF6"/>
          </w:tcPr>
          <w:p>
            <w:pPr/>
          </w:p>
        </w:tc>
        <w:tc>
          <w:tcPr>
            <w:tcW w:w="781" w:type="dxa"/>
            <w:tcBorders>
              <w:top w:val="single" w:sz="4" w:space="0" w:color="5B9BD4"/>
              <w:left w:val="nil" w:sz="6" w:space="0" w:color="auto"/>
              <w:bottom w:val="single" w:sz="4" w:space="0" w:color="5B9BD4"/>
              <w:right w:val="nil" w:sz="6" w:space="0" w:color="auto"/>
            </w:tcBorders>
          </w:tcPr>
          <w:p>
            <w:pPr/>
          </w:p>
        </w:tc>
      </w:tr>
      <w:tr>
        <w:trPr>
          <w:trHeight w:val="1259"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
              <w:ind w:right="0"/>
              <w:jc w:val="left"/>
              <w:rPr>
                <w:rFonts w:ascii="宋体" w:hAnsi="宋体" w:cs="宋体" w:eastAsia="宋体" w:hint="default"/>
                <w:sz w:val="24"/>
                <w:szCs w:val="24"/>
              </w:rPr>
            </w:pPr>
          </w:p>
          <w:p>
            <w:pPr>
              <w:pStyle w:val="TableParagraph"/>
              <w:spacing w:line="316" w:lineRule="auto"/>
              <w:ind w:left="108" w:right="106"/>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34" w:right="0"/>
              <w:jc w:val="left"/>
              <w:rPr>
                <w:rFonts w:ascii="Arial" w:hAnsi="Arial" w:cs="Arial" w:eastAsia="Arial" w:hint="default"/>
                <w:sz w:val="18"/>
                <w:szCs w:val="18"/>
              </w:rPr>
            </w:pPr>
            <w:r>
              <w:rPr>
                <w:rFonts w:ascii="Arial"/>
                <w:sz w:val="18"/>
              </w:rPr>
              <w:t>994,7</w:t>
            </w:r>
          </w:p>
          <w:p>
            <w:pPr>
              <w:pStyle w:val="TableParagraph"/>
              <w:spacing w:line="240" w:lineRule="auto" w:before="105"/>
              <w:ind w:left="134" w:right="0"/>
              <w:jc w:val="left"/>
              <w:rPr>
                <w:rFonts w:ascii="Arial" w:hAnsi="Arial" w:cs="Arial" w:eastAsia="Arial" w:hint="default"/>
                <w:sz w:val="18"/>
                <w:szCs w:val="18"/>
              </w:rPr>
            </w:pPr>
            <w:r>
              <w:rPr>
                <w:rFonts w:ascii="Arial"/>
                <w:sz w:val="18"/>
              </w:rPr>
              <w:t>66,26</w:t>
            </w:r>
          </w:p>
          <w:p>
            <w:pPr>
              <w:pStyle w:val="TableParagraph"/>
              <w:spacing w:line="240" w:lineRule="auto" w:before="105"/>
              <w:ind w:left="234" w:right="0"/>
              <w:jc w:val="left"/>
              <w:rPr>
                <w:rFonts w:ascii="Arial" w:hAnsi="Arial" w:cs="Arial" w:eastAsia="Arial" w:hint="default"/>
                <w:sz w:val="18"/>
                <w:szCs w:val="18"/>
              </w:rPr>
            </w:pPr>
            <w:r>
              <w:rPr>
                <w:rFonts w:ascii="Arial"/>
                <w:sz w:val="18"/>
              </w:rPr>
              <w:t>6.00</w:t>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83" w:right="0"/>
              <w:jc w:val="center"/>
              <w:rPr>
                <w:rFonts w:ascii="Arial" w:hAnsi="Arial" w:cs="Arial" w:eastAsia="Arial" w:hint="default"/>
                <w:sz w:val="18"/>
                <w:szCs w:val="18"/>
              </w:rPr>
            </w:pPr>
            <w:r>
              <w:rPr>
                <w:rFonts w:ascii="Arial"/>
                <w:sz w:val="18"/>
              </w:rPr>
              <w:t>1,579,</w:t>
            </w:r>
          </w:p>
          <w:p>
            <w:pPr>
              <w:pStyle w:val="TableParagraph"/>
              <w:spacing w:line="240" w:lineRule="auto" w:before="105"/>
              <w:ind w:left="32" w:right="0"/>
              <w:jc w:val="center"/>
              <w:rPr>
                <w:rFonts w:ascii="Arial" w:hAnsi="Arial" w:cs="Arial" w:eastAsia="Arial" w:hint="default"/>
                <w:sz w:val="18"/>
                <w:szCs w:val="18"/>
              </w:rPr>
            </w:pPr>
            <w:r>
              <w:rPr>
                <w:rFonts w:ascii="Arial"/>
                <w:sz w:val="18"/>
              </w:rPr>
              <w:t>838,27</w:t>
            </w:r>
          </w:p>
          <w:p>
            <w:pPr>
              <w:pStyle w:val="TableParagraph"/>
              <w:spacing w:line="240" w:lineRule="auto" w:before="105"/>
              <w:ind w:left="231" w:right="0"/>
              <w:jc w:val="center"/>
              <w:rPr>
                <w:rFonts w:ascii="Arial" w:hAnsi="Arial" w:cs="Arial" w:eastAsia="Arial" w:hint="default"/>
                <w:sz w:val="18"/>
                <w:szCs w:val="18"/>
              </w:rPr>
            </w:pPr>
            <w:r>
              <w:rPr>
                <w:rFonts w:ascii="Arial"/>
                <w:sz w:val="18"/>
              </w:rPr>
              <w:t>3.23</w:t>
            </w: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40" w:right="0"/>
              <w:jc w:val="left"/>
              <w:rPr>
                <w:rFonts w:ascii="Arial" w:hAnsi="Arial" w:cs="Arial" w:eastAsia="Arial" w:hint="default"/>
                <w:sz w:val="18"/>
                <w:szCs w:val="18"/>
              </w:rPr>
            </w:pPr>
            <w:r>
              <w:rPr>
                <w:rFonts w:ascii="Arial"/>
                <w:sz w:val="18"/>
              </w:rPr>
              <w:t>221,60</w:t>
            </w:r>
          </w:p>
          <w:p>
            <w:pPr>
              <w:pStyle w:val="TableParagraph"/>
              <w:spacing w:line="240" w:lineRule="auto" w:before="105"/>
              <w:ind w:left="190" w:right="0"/>
              <w:jc w:val="left"/>
              <w:rPr>
                <w:rFonts w:ascii="Arial" w:hAnsi="Arial" w:cs="Arial" w:eastAsia="Arial" w:hint="default"/>
                <w:sz w:val="18"/>
                <w:szCs w:val="18"/>
              </w:rPr>
            </w:pPr>
            <w:r>
              <w:rPr>
                <w:rFonts w:ascii="Arial"/>
                <w:sz w:val="18"/>
              </w:rPr>
              <w:t>7,097.</w:t>
            </w:r>
          </w:p>
          <w:p>
            <w:pPr>
              <w:pStyle w:val="TableParagraph"/>
              <w:spacing w:line="240" w:lineRule="auto" w:before="105"/>
              <w:ind w:left="489" w:right="0"/>
              <w:jc w:val="left"/>
              <w:rPr>
                <w:rFonts w:ascii="Arial" w:hAnsi="Arial" w:cs="Arial" w:eastAsia="Arial" w:hint="default"/>
                <w:sz w:val="18"/>
                <w:szCs w:val="18"/>
              </w:rPr>
            </w:pPr>
            <w:r>
              <w:rPr>
                <w:rFonts w:ascii="Arial"/>
                <w:sz w:val="18"/>
              </w:rPr>
              <w:t>36</w:t>
            </w:r>
          </w:p>
        </w:tc>
        <w:tc>
          <w:tcPr>
            <w:tcW w:w="67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18" w:right="0"/>
              <w:jc w:val="left"/>
              <w:rPr>
                <w:rFonts w:ascii="Arial" w:hAnsi="Arial" w:cs="Arial" w:eastAsia="Arial" w:hint="default"/>
                <w:sz w:val="18"/>
                <w:szCs w:val="18"/>
              </w:rPr>
            </w:pPr>
            <w:r>
              <w:rPr>
                <w:rFonts w:ascii="Arial"/>
                <w:sz w:val="18"/>
              </w:rPr>
              <w:t>1,215</w:t>
            </w:r>
          </w:p>
          <w:p>
            <w:pPr>
              <w:pStyle w:val="TableParagraph"/>
              <w:spacing w:line="240" w:lineRule="auto" w:before="105"/>
              <w:ind w:left="169" w:right="0"/>
              <w:jc w:val="left"/>
              <w:rPr>
                <w:rFonts w:ascii="Arial" w:hAnsi="Arial" w:cs="Arial" w:eastAsia="Arial" w:hint="default"/>
                <w:sz w:val="18"/>
                <w:szCs w:val="18"/>
              </w:rPr>
            </w:pPr>
            <w:r>
              <w:rPr>
                <w:rFonts w:ascii="Arial"/>
                <w:sz w:val="18"/>
              </w:rPr>
              <w:t>,787,</w:t>
            </w:r>
          </w:p>
          <w:p>
            <w:pPr>
              <w:pStyle w:val="TableParagraph"/>
              <w:spacing w:line="240" w:lineRule="auto" w:before="105"/>
              <w:ind w:left="118" w:right="0"/>
              <w:jc w:val="left"/>
              <w:rPr>
                <w:rFonts w:ascii="Arial" w:hAnsi="Arial" w:cs="Arial" w:eastAsia="Arial" w:hint="default"/>
                <w:sz w:val="18"/>
                <w:szCs w:val="18"/>
              </w:rPr>
            </w:pPr>
            <w:r>
              <w:rPr>
                <w:rFonts w:ascii="Arial"/>
                <w:sz w:val="18"/>
              </w:rPr>
              <w:t>577.3</w:t>
            </w:r>
          </w:p>
          <w:p>
            <w:pPr>
              <w:pStyle w:val="TableParagraph"/>
              <w:spacing w:line="240" w:lineRule="auto" w:before="105"/>
              <w:ind w:right="105"/>
              <w:jc w:val="right"/>
              <w:rPr>
                <w:rFonts w:ascii="Arial" w:hAnsi="Arial" w:cs="Arial" w:eastAsia="Arial" w:hint="default"/>
                <w:sz w:val="18"/>
                <w:szCs w:val="18"/>
              </w:rPr>
            </w:pPr>
            <w:r>
              <w:rPr>
                <w:rFonts w:ascii="Arial"/>
                <w:w w:val="99"/>
                <w:sz w:val="18"/>
              </w:rPr>
              <w:t>3</w:t>
            </w:r>
            <w:r>
              <w:rPr>
                <w:rFonts w:ascii="Arial"/>
                <w:sz w:val="18"/>
              </w:rPr>
            </w:r>
          </w:p>
        </w:tc>
        <w:tc>
          <w:tcPr>
            <w:tcW w:w="781"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7" w:right="0"/>
              <w:jc w:val="center"/>
              <w:rPr>
                <w:rFonts w:ascii="Arial" w:hAnsi="Arial" w:cs="Arial" w:eastAsia="Arial" w:hint="default"/>
                <w:sz w:val="18"/>
                <w:szCs w:val="18"/>
              </w:rPr>
            </w:pPr>
            <w:r>
              <w:rPr>
                <w:rFonts w:ascii="Arial"/>
                <w:sz w:val="18"/>
              </w:rPr>
              <w:t>4,011,</w:t>
            </w:r>
          </w:p>
          <w:p>
            <w:pPr>
              <w:pStyle w:val="TableParagraph"/>
              <w:spacing w:line="240" w:lineRule="auto" w:before="105"/>
              <w:ind w:left="16" w:right="0"/>
              <w:jc w:val="center"/>
              <w:rPr>
                <w:rFonts w:ascii="Arial" w:hAnsi="Arial" w:cs="Arial" w:eastAsia="Arial" w:hint="default"/>
                <w:sz w:val="18"/>
                <w:szCs w:val="18"/>
              </w:rPr>
            </w:pPr>
            <w:r>
              <w:rPr>
                <w:rFonts w:ascii="Arial"/>
                <w:sz w:val="18"/>
              </w:rPr>
              <w:t>999,21</w:t>
            </w:r>
          </w:p>
          <w:p>
            <w:pPr>
              <w:pStyle w:val="TableParagraph"/>
              <w:spacing w:line="240" w:lineRule="auto" w:before="105"/>
              <w:ind w:left="215" w:right="0"/>
              <w:jc w:val="center"/>
              <w:rPr>
                <w:rFonts w:ascii="Arial" w:hAnsi="Arial" w:cs="Arial" w:eastAsia="Arial" w:hint="default"/>
                <w:sz w:val="18"/>
                <w:szCs w:val="18"/>
              </w:rPr>
            </w:pPr>
            <w:r>
              <w:rPr>
                <w:rFonts w:ascii="Arial"/>
                <w:sz w:val="18"/>
              </w:rPr>
              <w:t>3.92</w:t>
            </w:r>
          </w:p>
        </w:tc>
      </w:tr>
      <w:tr>
        <w:trPr>
          <w:trHeight w:val="946"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71"/>
              <w:jc w:val="both"/>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65" w:right="0"/>
              <w:jc w:val="center"/>
              <w:rPr>
                <w:rFonts w:ascii="Arial" w:hAnsi="Arial" w:cs="Arial" w:eastAsia="Arial" w:hint="default"/>
                <w:sz w:val="18"/>
                <w:szCs w:val="18"/>
              </w:rPr>
            </w:pPr>
            <w:r>
              <w:rPr>
                <w:rFonts w:ascii="Arial"/>
                <w:sz w:val="18"/>
              </w:rPr>
              <w:t>-3,38</w:t>
            </w:r>
          </w:p>
          <w:p>
            <w:pPr>
              <w:pStyle w:val="TableParagraph"/>
              <w:spacing w:line="240" w:lineRule="auto" w:before="105"/>
              <w:ind w:left="26" w:right="0"/>
              <w:jc w:val="center"/>
              <w:rPr>
                <w:rFonts w:ascii="Arial" w:hAnsi="Arial" w:cs="Arial" w:eastAsia="Arial" w:hint="default"/>
                <w:sz w:val="18"/>
                <w:szCs w:val="18"/>
              </w:rPr>
            </w:pPr>
            <w:r>
              <w:rPr>
                <w:rFonts w:ascii="Arial"/>
                <w:sz w:val="18"/>
              </w:rPr>
              <w:t>1,427</w:t>
            </w:r>
          </w:p>
          <w:p>
            <w:pPr>
              <w:pStyle w:val="TableParagraph"/>
              <w:spacing w:line="240" w:lineRule="auto" w:before="105"/>
              <w:ind w:left="225" w:right="0"/>
              <w:jc w:val="center"/>
              <w:rPr>
                <w:rFonts w:ascii="Arial" w:hAnsi="Arial" w:cs="Arial" w:eastAsia="Arial" w:hint="default"/>
                <w:sz w:val="18"/>
                <w:szCs w:val="18"/>
              </w:rPr>
            </w:pPr>
            <w:r>
              <w:rPr>
                <w:rFonts w:ascii="Arial"/>
                <w:sz w:val="18"/>
              </w:rPr>
              <w:t>.00</w:t>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80" w:right="0"/>
              <w:jc w:val="left"/>
              <w:rPr>
                <w:rFonts w:ascii="Arial" w:hAnsi="Arial" w:cs="Arial" w:eastAsia="Arial" w:hint="default"/>
                <w:sz w:val="18"/>
                <w:szCs w:val="18"/>
              </w:rPr>
            </w:pPr>
            <w:r>
              <w:rPr>
                <w:rFonts w:ascii="Arial"/>
                <w:sz w:val="18"/>
              </w:rPr>
              <w:t>-15,31</w:t>
            </w:r>
          </w:p>
          <w:p>
            <w:pPr>
              <w:pStyle w:val="TableParagraph"/>
              <w:spacing w:line="240" w:lineRule="auto" w:before="105"/>
              <w:ind w:left="190" w:right="0"/>
              <w:jc w:val="left"/>
              <w:rPr>
                <w:rFonts w:ascii="Arial" w:hAnsi="Arial" w:cs="Arial" w:eastAsia="Arial" w:hint="default"/>
                <w:sz w:val="18"/>
                <w:szCs w:val="18"/>
              </w:rPr>
            </w:pPr>
            <w:r>
              <w:rPr>
                <w:rFonts w:ascii="Arial"/>
                <w:sz w:val="18"/>
              </w:rPr>
              <w:t>0,597.</w:t>
            </w:r>
          </w:p>
          <w:p>
            <w:pPr>
              <w:pStyle w:val="TableParagraph"/>
              <w:spacing w:line="240" w:lineRule="auto" w:before="105"/>
              <w:ind w:left="489" w:right="0"/>
              <w:jc w:val="left"/>
              <w:rPr>
                <w:rFonts w:ascii="Arial" w:hAnsi="Arial" w:cs="Arial" w:eastAsia="Arial" w:hint="default"/>
                <w:sz w:val="18"/>
                <w:szCs w:val="18"/>
              </w:rPr>
            </w:pPr>
            <w:r>
              <w:rPr>
                <w:rFonts w:ascii="Arial"/>
                <w:sz w:val="18"/>
              </w:rPr>
              <w:t>34</w:t>
            </w: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90" w:right="0"/>
              <w:jc w:val="left"/>
              <w:rPr>
                <w:rFonts w:ascii="Arial" w:hAnsi="Arial" w:cs="Arial" w:eastAsia="Arial" w:hint="default"/>
                <w:sz w:val="18"/>
                <w:szCs w:val="18"/>
              </w:rPr>
            </w:pPr>
            <w:r>
              <w:rPr>
                <w:rFonts w:ascii="Arial"/>
                <w:sz w:val="18"/>
              </w:rPr>
              <w:t>4,238,</w:t>
            </w:r>
          </w:p>
          <w:p>
            <w:pPr>
              <w:pStyle w:val="TableParagraph"/>
              <w:spacing w:line="240" w:lineRule="auto" w:before="105"/>
              <w:ind w:left="140" w:right="0"/>
              <w:jc w:val="left"/>
              <w:rPr>
                <w:rFonts w:ascii="Arial" w:hAnsi="Arial" w:cs="Arial" w:eastAsia="Arial" w:hint="default"/>
                <w:sz w:val="18"/>
                <w:szCs w:val="18"/>
              </w:rPr>
            </w:pPr>
            <w:r>
              <w:rPr>
                <w:rFonts w:ascii="Arial"/>
                <w:sz w:val="18"/>
              </w:rPr>
              <w:t>250.04</w:t>
            </w:r>
          </w:p>
        </w:tc>
        <w:tc>
          <w:tcPr>
            <w:tcW w:w="67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0" w:right="0"/>
              <w:jc w:val="center"/>
              <w:rPr>
                <w:rFonts w:ascii="Arial" w:hAnsi="Arial" w:cs="Arial" w:eastAsia="Arial" w:hint="default"/>
                <w:sz w:val="18"/>
                <w:szCs w:val="18"/>
              </w:rPr>
            </w:pPr>
            <w:r>
              <w:rPr>
                <w:rFonts w:ascii="Arial"/>
                <w:sz w:val="18"/>
              </w:rPr>
              <w:t>38,14</w:t>
            </w:r>
          </w:p>
          <w:p>
            <w:pPr>
              <w:pStyle w:val="TableParagraph"/>
              <w:spacing w:line="240" w:lineRule="auto" w:before="105"/>
              <w:ind w:left="10" w:right="0"/>
              <w:jc w:val="center"/>
              <w:rPr>
                <w:rFonts w:ascii="Arial" w:hAnsi="Arial" w:cs="Arial" w:eastAsia="Arial" w:hint="default"/>
                <w:sz w:val="18"/>
                <w:szCs w:val="18"/>
              </w:rPr>
            </w:pPr>
            <w:r>
              <w:rPr>
                <w:rFonts w:ascii="Arial"/>
                <w:sz w:val="18"/>
              </w:rPr>
              <w:t>4,250</w:t>
            </w:r>
          </w:p>
          <w:p>
            <w:pPr>
              <w:pStyle w:val="TableParagraph"/>
              <w:spacing w:line="240" w:lineRule="auto" w:before="105"/>
              <w:ind w:left="209" w:right="0"/>
              <w:jc w:val="center"/>
              <w:rPr>
                <w:rFonts w:ascii="Arial" w:hAnsi="Arial" w:cs="Arial" w:eastAsia="Arial" w:hint="default"/>
                <w:sz w:val="18"/>
                <w:szCs w:val="18"/>
              </w:rPr>
            </w:pPr>
            <w:r>
              <w:rPr>
                <w:rFonts w:ascii="Arial"/>
                <w:sz w:val="18"/>
              </w:rPr>
              <w:t>.39</w:t>
            </w:r>
          </w:p>
        </w:tc>
        <w:tc>
          <w:tcPr>
            <w:tcW w:w="78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23,690</w:t>
            </w:r>
            <w:r>
              <w:rPr>
                <w:rFonts w:ascii="Arial"/>
                <w:sz w:val="18"/>
              </w:rPr>
            </w:r>
          </w:p>
          <w:p>
            <w:pPr>
              <w:pStyle w:val="TableParagraph"/>
              <w:spacing w:line="240" w:lineRule="auto" w:before="105"/>
              <w:ind w:right="104"/>
              <w:jc w:val="right"/>
              <w:rPr>
                <w:rFonts w:ascii="Arial" w:hAnsi="Arial" w:cs="Arial" w:eastAsia="Arial" w:hint="default"/>
                <w:sz w:val="18"/>
                <w:szCs w:val="18"/>
              </w:rPr>
            </w:pPr>
            <w:r>
              <w:rPr>
                <w:rFonts w:ascii="Arial"/>
                <w:w w:val="95"/>
                <w:sz w:val="18"/>
              </w:rPr>
              <w:t>,476.0</w:t>
            </w:r>
            <w:r>
              <w:rPr>
                <w:rFonts w:ascii="Arial"/>
                <w:sz w:val="18"/>
              </w:rPr>
            </w:r>
          </w:p>
          <w:p>
            <w:pPr>
              <w:pStyle w:val="TableParagraph"/>
              <w:spacing w:line="240" w:lineRule="auto" w:before="105"/>
              <w:ind w:right="105"/>
              <w:jc w:val="right"/>
              <w:rPr>
                <w:rFonts w:ascii="Arial" w:hAnsi="Arial" w:cs="Arial" w:eastAsia="Arial" w:hint="default"/>
                <w:sz w:val="18"/>
                <w:szCs w:val="18"/>
              </w:rPr>
            </w:pPr>
            <w:r>
              <w:rPr>
                <w:rFonts w:ascii="Arial"/>
                <w:w w:val="99"/>
                <w:sz w:val="18"/>
              </w:rPr>
              <w:t>9</w:t>
            </w:r>
            <w:r>
              <w:rPr>
                <w:rFonts w:ascii="Arial"/>
                <w:sz w:val="18"/>
              </w:rPr>
            </w:r>
          </w:p>
        </w:tc>
      </w:tr>
      <w:tr>
        <w:trPr>
          <w:trHeight w:val="946"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161"/>
              <w:ind w:left="108" w:right="106"/>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67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0" w:right="0"/>
              <w:jc w:val="center"/>
              <w:rPr>
                <w:rFonts w:ascii="Arial" w:hAnsi="Arial" w:cs="Arial" w:eastAsia="Arial" w:hint="default"/>
                <w:sz w:val="18"/>
                <w:szCs w:val="18"/>
              </w:rPr>
            </w:pPr>
            <w:r>
              <w:rPr>
                <w:rFonts w:ascii="Arial"/>
                <w:sz w:val="18"/>
              </w:rPr>
              <w:t>42,38</w:t>
            </w:r>
          </w:p>
          <w:p>
            <w:pPr>
              <w:pStyle w:val="TableParagraph"/>
              <w:spacing w:line="240" w:lineRule="auto" w:before="105"/>
              <w:ind w:left="10" w:right="0"/>
              <w:jc w:val="center"/>
              <w:rPr>
                <w:rFonts w:ascii="Arial" w:hAnsi="Arial" w:cs="Arial" w:eastAsia="Arial" w:hint="default"/>
                <w:sz w:val="18"/>
                <w:szCs w:val="18"/>
              </w:rPr>
            </w:pPr>
            <w:r>
              <w:rPr>
                <w:rFonts w:ascii="Arial"/>
                <w:sz w:val="18"/>
              </w:rPr>
              <w:t>2,500</w:t>
            </w:r>
          </w:p>
          <w:p>
            <w:pPr>
              <w:pStyle w:val="TableParagraph"/>
              <w:spacing w:line="240" w:lineRule="auto" w:before="105"/>
              <w:ind w:left="209" w:right="0"/>
              <w:jc w:val="center"/>
              <w:rPr>
                <w:rFonts w:ascii="Arial" w:hAnsi="Arial" w:cs="Arial" w:eastAsia="Arial" w:hint="default"/>
                <w:sz w:val="18"/>
                <w:szCs w:val="18"/>
              </w:rPr>
            </w:pPr>
            <w:r>
              <w:rPr>
                <w:rFonts w:ascii="Arial"/>
                <w:sz w:val="18"/>
              </w:rPr>
              <w:t>.43</w:t>
            </w:r>
          </w:p>
        </w:tc>
        <w:tc>
          <w:tcPr>
            <w:tcW w:w="78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42,382</w:t>
            </w:r>
            <w:r>
              <w:rPr>
                <w:rFonts w:ascii="Arial"/>
                <w:sz w:val="18"/>
              </w:rPr>
            </w:r>
          </w:p>
          <w:p>
            <w:pPr>
              <w:pStyle w:val="TableParagraph"/>
              <w:spacing w:line="240" w:lineRule="auto" w:before="105"/>
              <w:ind w:right="104"/>
              <w:jc w:val="right"/>
              <w:rPr>
                <w:rFonts w:ascii="Arial" w:hAnsi="Arial" w:cs="Arial" w:eastAsia="Arial" w:hint="default"/>
                <w:sz w:val="18"/>
                <w:szCs w:val="18"/>
              </w:rPr>
            </w:pPr>
            <w:r>
              <w:rPr>
                <w:rFonts w:ascii="Arial"/>
                <w:w w:val="95"/>
                <w:sz w:val="18"/>
              </w:rPr>
              <w:t>,500.4</w:t>
            </w:r>
            <w:r>
              <w:rPr>
                <w:rFonts w:ascii="Arial"/>
                <w:sz w:val="18"/>
              </w:rPr>
            </w:r>
          </w:p>
          <w:p>
            <w:pPr>
              <w:pStyle w:val="TableParagraph"/>
              <w:spacing w:line="240" w:lineRule="auto" w:before="105"/>
              <w:ind w:right="105"/>
              <w:jc w:val="right"/>
              <w:rPr>
                <w:rFonts w:ascii="Arial" w:hAnsi="Arial" w:cs="Arial" w:eastAsia="Arial" w:hint="default"/>
                <w:sz w:val="18"/>
                <w:szCs w:val="18"/>
              </w:rPr>
            </w:pPr>
            <w:r>
              <w:rPr>
                <w:rFonts w:ascii="Arial"/>
                <w:w w:val="99"/>
                <w:sz w:val="18"/>
              </w:rPr>
              <w:t>3</w:t>
            </w:r>
            <w:r>
              <w:rPr>
                <w:rFonts w:ascii="Arial"/>
                <w:sz w:val="18"/>
              </w:rPr>
            </w:r>
          </w:p>
        </w:tc>
      </w:tr>
      <w:tr>
        <w:trPr>
          <w:trHeight w:val="946"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108" w:right="106"/>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65" w:right="0"/>
              <w:jc w:val="center"/>
              <w:rPr>
                <w:rFonts w:ascii="Arial" w:hAnsi="Arial" w:cs="Arial" w:eastAsia="Arial" w:hint="default"/>
                <w:sz w:val="18"/>
                <w:szCs w:val="18"/>
              </w:rPr>
            </w:pPr>
            <w:r>
              <w:rPr>
                <w:rFonts w:ascii="Arial"/>
                <w:sz w:val="18"/>
              </w:rPr>
              <w:t>-3,38</w:t>
            </w:r>
          </w:p>
          <w:p>
            <w:pPr>
              <w:pStyle w:val="TableParagraph"/>
              <w:spacing w:line="240" w:lineRule="auto" w:before="105"/>
              <w:ind w:left="26" w:right="0"/>
              <w:jc w:val="center"/>
              <w:rPr>
                <w:rFonts w:ascii="Arial" w:hAnsi="Arial" w:cs="Arial" w:eastAsia="Arial" w:hint="default"/>
                <w:sz w:val="18"/>
                <w:szCs w:val="18"/>
              </w:rPr>
            </w:pPr>
            <w:r>
              <w:rPr>
                <w:rFonts w:ascii="Arial"/>
                <w:sz w:val="18"/>
              </w:rPr>
              <w:t>1,427</w:t>
            </w:r>
          </w:p>
          <w:p>
            <w:pPr>
              <w:pStyle w:val="TableParagraph"/>
              <w:spacing w:line="240" w:lineRule="auto" w:before="105"/>
              <w:ind w:left="225" w:right="0"/>
              <w:jc w:val="center"/>
              <w:rPr>
                <w:rFonts w:ascii="Arial" w:hAnsi="Arial" w:cs="Arial" w:eastAsia="Arial" w:hint="default"/>
                <w:sz w:val="18"/>
                <w:szCs w:val="18"/>
              </w:rPr>
            </w:pPr>
            <w:r>
              <w:rPr>
                <w:rFonts w:ascii="Arial"/>
                <w:sz w:val="18"/>
              </w:rPr>
              <w:t>.00</w:t>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80" w:right="0"/>
              <w:jc w:val="left"/>
              <w:rPr>
                <w:rFonts w:ascii="Arial" w:hAnsi="Arial" w:cs="Arial" w:eastAsia="Arial" w:hint="default"/>
                <w:sz w:val="18"/>
                <w:szCs w:val="18"/>
              </w:rPr>
            </w:pPr>
            <w:r>
              <w:rPr>
                <w:rFonts w:ascii="Arial"/>
                <w:sz w:val="18"/>
              </w:rPr>
              <w:t>-15,31</w:t>
            </w:r>
          </w:p>
          <w:p>
            <w:pPr>
              <w:pStyle w:val="TableParagraph"/>
              <w:spacing w:line="240" w:lineRule="auto" w:before="105"/>
              <w:ind w:left="190" w:right="0"/>
              <w:jc w:val="left"/>
              <w:rPr>
                <w:rFonts w:ascii="Arial" w:hAnsi="Arial" w:cs="Arial" w:eastAsia="Arial" w:hint="default"/>
                <w:sz w:val="18"/>
                <w:szCs w:val="18"/>
              </w:rPr>
            </w:pPr>
            <w:r>
              <w:rPr>
                <w:rFonts w:ascii="Arial"/>
                <w:sz w:val="18"/>
              </w:rPr>
              <w:t>0,597.</w:t>
            </w:r>
          </w:p>
          <w:p>
            <w:pPr>
              <w:pStyle w:val="TableParagraph"/>
              <w:spacing w:line="240" w:lineRule="auto" w:before="105"/>
              <w:ind w:left="489" w:right="0"/>
              <w:jc w:val="left"/>
              <w:rPr>
                <w:rFonts w:ascii="Arial" w:hAnsi="Arial" w:cs="Arial" w:eastAsia="Arial" w:hint="default"/>
                <w:sz w:val="18"/>
                <w:szCs w:val="18"/>
              </w:rPr>
            </w:pPr>
            <w:r>
              <w:rPr>
                <w:rFonts w:ascii="Arial"/>
                <w:sz w:val="18"/>
              </w:rPr>
              <w:t>34</w:t>
            </w: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676" w:type="dxa"/>
            <w:tcBorders>
              <w:top w:val="single" w:sz="4" w:space="0" w:color="5B9BD4"/>
              <w:left w:val="nil" w:sz="6" w:space="0" w:color="auto"/>
              <w:bottom w:val="single" w:sz="4" w:space="0" w:color="5B9BD4"/>
              <w:right w:val="nil" w:sz="6" w:space="0" w:color="auto"/>
            </w:tcBorders>
            <w:shd w:val="clear" w:color="auto" w:fill="DEEAF6"/>
          </w:tcPr>
          <w:p>
            <w:pPr/>
          </w:p>
        </w:tc>
        <w:tc>
          <w:tcPr>
            <w:tcW w:w="78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64" w:right="0"/>
              <w:jc w:val="left"/>
              <w:rPr>
                <w:rFonts w:ascii="Arial" w:hAnsi="Arial" w:cs="Arial" w:eastAsia="Arial" w:hint="default"/>
                <w:sz w:val="18"/>
                <w:szCs w:val="18"/>
              </w:rPr>
            </w:pPr>
            <w:r>
              <w:rPr>
                <w:rFonts w:ascii="Arial"/>
                <w:sz w:val="18"/>
              </w:rPr>
              <w:t>-18,69</w:t>
            </w:r>
          </w:p>
          <w:p>
            <w:pPr>
              <w:pStyle w:val="TableParagraph"/>
              <w:spacing w:line="240" w:lineRule="auto" w:before="105"/>
              <w:ind w:left="175" w:right="0"/>
              <w:jc w:val="left"/>
              <w:rPr>
                <w:rFonts w:ascii="Arial" w:hAnsi="Arial" w:cs="Arial" w:eastAsia="Arial" w:hint="default"/>
                <w:sz w:val="18"/>
                <w:szCs w:val="18"/>
              </w:rPr>
            </w:pPr>
            <w:r>
              <w:rPr>
                <w:rFonts w:ascii="Arial"/>
                <w:sz w:val="18"/>
              </w:rPr>
              <w:t>2,024.</w:t>
            </w:r>
          </w:p>
          <w:p>
            <w:pPr>
              <w:pStyle w:val="TableParagraph"/>
              <w:spacing w:line="240" w:lineRule="auto" w:before="105"/>
              <w:ind w:left="473" w:right="0"/>
              <w:jc w:val="left"/>
              <w:rPr>
                <w:rFonts w:ascii="Arial" w:hAnsi="Arial" w:cs="Arial" w:eastAsia="Arial" w:hint="default"/>
                <w:sz w:val="18"/>
                <w:szCs w:val="18"/>
              </w:rPr>
            </w:pPr>
            <w:r>
              <w:rPr>
                <w:rFonts w:ascii="Arial"/>
                <w:sz w:val="18"/>
              </w:rPr>
              <w:t>34</w:t>
            </w:r>
          </w:p>
        </w:tc>
      </w:tr>
      <w:tr>
        <w:trPr>
          <w:trHeight w:val="946"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2" w:lineRule="auto" w:before="161"/>
              <w:ind w:left="108" w:right="153"/>
              <w:jc w:val="left"/>
              <w:rPr>
                <w:rFonts w:ascii="宋体" w:hAnsi="宋体" w:cs="宋体" w:eastAsia="宋体" w:hint="default"/>
                <w:sz w:val="18"/>
                <w:szCs w:val="18"/>
              </w:rPr>
            </w:pPr>
            <w:r>
              <w:rPr>
                <w:rFonts w:ascii="Arial" w:hAnsi="Arial" w:cs="Arial" w:eastAsia="Arial" w:hint="default"/>
                <w:w w:val="95"/>
                <w:sz w:val="18"/>
                <w:szCs w:val="18"/>
              </w:rPr>
              <w:t>1</w:t>
            </w:r>
            <w:r>
              <w:rPr>
                <w:rFonts w:ascii="宋体" w:hAnsi="宋体" w:cs="宋体" w:eastAsia="宋体" w:hint="default"/>
                <w:w w:val="95"/>
                <w:sz w:val="18"/>
                <w:szCs w:val="18"/>
              </w:rPr>
              <w:t>．股东投入的</w:t>
            </w:r>
            <w:r>
              <w:rPr>
                <w:rFonts w:ascii="宋体" w:hAnsi="宋体" w:cs="宋体" w:eastAsia="宋体" w:hint="default"/>
                <w:spacing w:val="-28"/>
                <w:w w:val="95"/>
                <w:sz w:val="18"/>
                <w:szCs w:val="18"/>
              </w:rPr>
              <w:t> </w:t>
            </w:r>
            <w:r>
              <w:rPr>
                <w:rFonts w:ascii="宋体" w:hAnsi="宋体" w:cs="宋体" w:eastAsia="宋体" w:hint="default"/>
                <w:sz w:val="18"/>
                <w:szCs w:val="18"/>
              </w:rPr>
              <w:t>普通股</w:t>
            </w:r>
          </w:p>
        </w:tc>
        <w:tc>
          <w:tcPr>
            <w:tcW w:w="69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65" w:right="0"/>
              <w:jc w:val="center"/>
              <w:rPr>
                <w:rFonts w:ascii="Arial" w:hAnsi="Arial" w:cs="Arial" w:eastAsia="Arial" w:hint="default"/>
                <w:sz w:val="18"/>
                <w:szCs w:val="18"/>
              </w:rPr>
            </w:pPr>
            <w:r>
              <w:rPr>
                <w:rFonts w:ascii="Arial"/>
                <w:sz w:val="18"/>
              </w:rPr>
              <w:t>-3,38</w:t>
            </w:r>
          </w:p>
          <w:p>
            <w:pPr>
              <w:pStyle w:val="TableParagraph"/>
              <w:spacing w:line="240" w:lineRule="auto" w:before="105"/>
              <w:ind w:left="26" w:right="0"/>
              <w:jc w:val="center"/>
              <w:rPr>
                <w:rFonts w:ascii="Arial" w:hAnsi="Arial" w:cs="Arial" w:eastAsia="Arial" w:hint="default"/>
                <w:sz w:val="18"/>
                <w:szCs w:val="18"/>
              </w:rPr>
            </w:pPr>
            <w:r>
              <w:rPr>
                <w:rFonts w:ascii="Arial"/>
                <w:sz w:val="18"/>
              </w:rPr>
              <w:t>1,427</w:t>
            </w:r>
          </w:p>
          <w:p>
            <w:pPr>
              <w:pStyle w:val="TableParagraph"/>
              <w:spacing w:line="240" w:lineRule="auto" w:before="105"/>
              <w:ind w:left="225" w:right="0"/>
              <w:jc w:val="center"/>
              <w:rPr>
                <w:rFonts w:ascii="Arial" w:hAnsi="Arial" w:cs="Arial" w:eastAsia="Arial" w:hint="default"/>
                <w:sz w:val="18"/>
                <w:szCs w:val="18"/>
              </w:rPr>
            </w:pPr>
            <w:r>
              <w:rPr>
                <w:rFonts w:ascii="Arial"/>
                <w:sz w:val="18"/>
              </w:rPr>
              <w:t>.00</w:t>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80" w:right="0"/>
              <w:jc w:val="left"/>
              <w:rPr>
                <w:rFonts w:ascii="Arial" w:hAnsi="Arial" w:cs="Arial" w:eastAsia="Arial" w:hint="default"/>
                <w:sz w:val="18"/>
                <w:szCs w:val="18"/>
              </w:rPr>
            </w:pPr>
            <w:r>
              <w:rPr>
                <w:rFonts w:ascii="Arial"/>
                <w:sz w:val="18"/>
              </w:rPr>
              <w:t>-15,00</w:t>
            </w:r>
          </w:p>
          <w:p>
            <w:pPr>
              <w:pStyle w:val="TableParagraph"/>
              <w:spacing w:line="240" w:lineRule="auto" w:before="105"/>
              <w:ind w:left="190" w:right="0"/>
              <w:jc w:val="left"/>
              <w:rPr>
                <w:rFonts w:ascii="Arial" w:hAnsi="Arial" w:cs="Arial" w:eastAsia="Arial" w:hint="default"/>
                <w:sz w:val="18"/>
                <w:szCs w:val="18"/>
              </w:rPr>
            </w:pPr>
            <w:r>
              <w:rPr>
                <w:rFonts w:ascii="Arial"/>
                <w:sz w:val="18"/>
              </w:rPr>
              <w:t>1,346.</w:t>
            </w:r>
          </w:p>
          <w:p>
            <w:pPr>
              <w:pStyle w:val="TableParagraph"/>
              <w:spacing w:line="240" w:lineRule="auto" w:before="105"/>
              <w:ind w:left="489" w:right="0"/>
              <w:jc w:val="left"/>
              <w:rPr>
                <w:rFonts w:ascii="Arial" w:hAnsi="Arial" w:cs="Arial" w:eastAsia="Arial" w:hint="default"/>
                <w:sz w:val="18"/>
                <w:szCs w:val="18"/>
              </w:rPr>
            </w:pPr>
            <w:r>
              <w:rPr>
                <w:rFonts w:ascii="Arial"/>
                <w:sz w:val="18"/>
              </w:rPr>
              <w:t>19</w:t>
            </w: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676" w:type="dxa"/>
            <w:tcBorders>
              <w:top w:val="single" w:sz="4" w:space="0" w:color="5B9BD4"/>
              <w:left w:val="nil" w:sz="6" w:space="0" w:color="auto"/>
              <w:bottom w:val="single" w:sz="4" w:space="0" w:color="5B9BD4"/>
              <w:right w:val="nil" w:sz="6" w:space="0" w:color="auto"/>
            </w:tcBorders>
            <w:shd w:val="clear" w:color="auto" w:fill="DEEAF6"/>
          </w:tcPr>
          <w:p>
            <w:pPr/>
          </w:p>
        </w:tc>
        <w:tc>
          <w:tcPr>
            <w:tcW w:w="78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64" w:right="0"/>
              <w:jc w:val="left"/>
              <w:rPr>
                <w:rFonts w:ascii="Arial" w:hAnsi="Arial" w:cs="Arial" w:eastAsia="Arial" w:hint="default"/>
                <w:sz w:val="18"/>
                <w:szCs w:val="18"/>
              </w:rPr>
            </w:pPr>
            <w:r>
              <w:rPr>
                <w:rFonts w:ascii="Arial"/>
                <w:sz w:val="18"/>
              </w:rPr>
              <w:t>-18,38</w:t>
            </w:r>
          </w:p>
          <w:p>
            <w:pPr>
              <w:pStyle w:val="TableParagraph"/>
              <w:spacing w:line="240" w:lineRule="auto" w:before="105"/>
              <w:ind w:left="175" w:right="0"/>
              <w:jc w:val="left"/>
              <w:rPr>
                <w:rFonts w:ascii="Arial" w:hAnsi="Arial" w:cs="Arial" w:eastAsia="Arial" w:hint="default"/>
                <w:sz w:val="18"/>
                <w:szCs w:val="18"/>
              </w:rPr>
            </w:pPr>
            <w:r>
              <w:rPr>
                <w:rFonts w:ascii="Arial"/>
                <w:sz w:val="18"/>
              </w:rPr>
              <w:t>2,773.</w:t>
            </w:r>
          </w:p>
          <w:p>
            <w:pPr>
              <w:pStyle w:val="TableParagraph"/>
              <w:spacing w:line="240" w:lineRule="auto" w:before="105"/>
              <w:ind w:left="473" w:right="0"/>
              <w:jc w:val="left"/>
              <w:rPr>
                <w:rFonts w:ascii="Arial" w:hAnsi="Arial" w:cs="Arial" w:eastAsia="Arial" w:hint="default"/>
                <w:sz w:val="18"/>
                <w:szCs w:val="18"/>
              </w:rPr>
            </w:pPr>
            <w:r>
              <w:rPr>
                <w:rFonts w:ascii="Arial"/>
                <w:sz w:val="18"/>
              </w:rPr>
              <w:t>19</w:t>
            </w:r>
          </w:p>
        </w:tc>
      </w:tr>
      <w:tr>
        <w:trPr>
          <w:trHeight w:val="946"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9" w:lineRule="auto" w:before="5"/>
              <w:ind w:left="108" w:right="153"/>
              <w:jc w:val="left"/>
              <w:rPr>
                <w:rFonts w:ascii="宋体" w:hAnsi="宋体" w:cs="宋体" w:eastAsia="宋体" w:hint="default"/>
                <w:sz w:val="18"/>
                <w:szCs w:val="18"/>
              </w:rPr>
            </w:pPr>
            <w:r>
              <w:rPr>
                <w:rFonts w:ascii="Arial" w:hAnsi="Arial" w:cs="Arial" w:eastAsia="Arial" w:hint="default"/>
                <w:w w:val="95"/>
                <w:sz w:val="18"/>
                <w:szCs w:val="18"/>
              </w:rPr>
              <w:t>2</w:t>
            </w:r>
            <w:r>
              <w:rPr>
                <w:rFonts w:ascii="宋体" w:hAnsi="宋体" w:cs="宋体" w:eastAsia="宋体" w:hint="default"/>
                <w:w w:val="95"/>
                <w:sz w:val="18"/>
                <w:szCs w:val="18"/>
              </w:rPr>
              <w:t>．其他权益工</w:t>
            </w:r>
            <w:r>
              <w:rPr>
                <w:rFonts w:ascii="宋体" w:hAnsi="宋体" w:cs="宋体" w:eastAsia="宋体" w:hint="default"/>
                <w:spacing w:val="-28"/>
                <w:w w:val="95"/>
                <w:sz w:val="18"/>
                <w:szCs w:val="18"/>
              </w:rPr>
              <w:t> </w:t>
            </w:r>
            <w:r>
              <w:rPr>
                <w:rFonts w:ascii="宋体" w:hAnsi="宋体" w:cs="宋体" w:eastAsia="宋体" w:hint="default"/>
                <w:sz w:val="18"/>
                <w:szCs w:val="18"/>
              </w:rPr>
              <w:t>具持有者投入 资本</w:t>
            </w:r>
          </w:p>
        </w:tc>
        <w:tc>
          <w:tcPr>
            <w:tcW w:w="691"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676" w:type="dxa"/>
            <w:tcBorders>
              <w:top w:val="single" w:sz="4" w:space="0" w:color="5B9BD4"/>
              <w:left w:val="nil" w:sz="6" w:space="0" w:color="auto"/>
              <w:bottom w:val="single" w:sz="4" w:space="0" w:color="5B9BD4"/>
              <w:right w:val="nil" w:sz="6" w:space="0" w:color="auto"/>
            </w:tcBorders>
            <w:shd w:val="clear" w:color="auto" w:fill="DEEAF6"/>
          </w:tcPr>
          <w:p>
            <w:pPr/>
          </w:p>
        </w:tc>
        <w:tc>
          <w:tcPr>
            <w:tcW w:w="781" w:type="dxa"/>
            <w:tcBorders>
              <w:top w:val="single" w:sz="4" w:space="0" w:color="5B9BD4"/>
              <w:left w:val="nil" w:sz="6" w:space="0" w:color="auto"/>
              <w:bottom w:val="single" w:sz="4" w:space="0" w:color="5B9BD4"/>
              <w:right w:val="nil" w:sz="6" w:space="0" w:color="auto"/>
            </w:tcBorders>
          </w:tcPr>
          <w:p>
            <w:pPr/>
          </w:p>
        </w:tc>
      </w:tr>
      <w:tr>
        <w:trPr>
          <w:trHeight w:val="947"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9" w:lineRule="auto" w:before="6"/>
              <w:ind w:left="108" w:right="153"/>
              <w:jc w:val="left"/>
              <w:rPr>
                <w:rFonts w:ascii="宋体" w:hAnsi="宋体" w:cs="宋体" w:eastAsia="宋体" w:hint="default"/>
                <w:sz w:val="18"/>
                <w:szCs w:val="18"/>
              </w:rPr>
            </w:pPr>
            <w:r>
              <w:rPr>
                <w:rFonts w:ascii="Arial" w:hAnsi="Arial" w:cs="Arial" w:eastAsia="Arial" w:hint="default"/>
                <w:w w:val="95"/>
                <w:sz w:val="18"/>
                <w:szCs w:val="18"/>
              </w:rPr>
              <w:t>3</w:t>
            </w:r>
            <w:r>
              <w:rPr>
                <w:rFonts w:ascii="宋体" w:hAnsi="宋体" w:cs="宋体" w:eastAsia="宋体" w:hint="default"/>
                <w:w w:val="95"/>
                <w:sz w:val="18"/>
                <w:szCs w:val="18"/>
              </w:rPr>
              <w:t>．股份支付计</w:t>
            </w:r>
            <w:r>
              <w:rPr>
                <w:rFonts w:ascii="宋体" w:hAnsi="宋体" w:cs="宋体" w:eastAsia="宋体" w:hint="default"/>
                <w:spacing w:val="-28"/>
                <w:w w:val="95"/>
                <w:sz w:val="18"/>
                <w:szCs w:val="18"/>
              </w:rPr>
              <w:t> </w:t>
            </w:r>
            <w:r>
              <w:rPr>
                <w:rFonts w:ascii="宋体" w:hAnsi="宋体" w:cs="宋体" w:eastAsia="宋体" w:hint="default"/>
                <w:sz w:val="18"/>
                <w:szCs w:val="18"/>
              </w:rPr>
              <w:t>入所有者权益 的金额</w:t>
            </w:r>
          </w:p>
        </w:tc>
        <w:tc>
          <w:tcPr>
            <w:tcW w:w="691"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80" w:right="0"/>
              <w:jc w:val="left"/>
              <w:rPr>
                <w:rFonts w:ascii="Arial" w:hAnsi="Arial" w:cs="Arial" w:eastAsia="Arial" w:hint="default"/>
                <w:sz w:val="18"/>
                <w:szCs w:val="18"/>
              </w:rPr>
            </w:pPr>
            <w:r>
              <w:rPr>
                <w:rFonts w:ascii="Arial"/>
                <w:sz w:val="18"/>
              </w:rPr>
              <w:t>-309,2</w:t>
            </w:r>
          </w:p>
          <w:p>
            <w:pPr>
              <w:pStyle w:val="TableParagraph"/>
              <w:spacing w:line="240" w:lineRule="auto" w:before="105"/>
              <w:ind w:left="240" w:right="0"/>
              <w:jc w:val="left"/>
              <w:rPr>
                <w:rFonts w:ascii="Arial" w:hAnsi="Arial" w:cs="Arial" w:eastAsia="Arial" w:hint="default"/>
                <w:sz w:val="18"/>
                <w:szCs w:val="18"/>
              </w:rPr>
            </w:pPr>
            <w:r>
              <w:rPr>
                <w:rFonts w:ascii="Arial"/>
                <w:sz w:val="18"/>
              </w:rPr>
              <w:t>51.15</w:t>
            </w: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676" w:type="dxa"/>
            <w:tcBorders>
              <w:top w:val="single" w:sz="4" w:space="0" w:color="5B9BD4"/>
              <w:left w:val="nil" w:sz="6" w:space="0" w:color="auto"/>
              <w:bottom w:val="single" w:sz="4" w:space="0" w:color="5B9BD4"/>
              <w:right w:val="nil" w:sz="6" w:space="0" w:color="auto"/>
            </w:tcBorders>
            <w:shd w:val="clear" w:color="auto" w:fill="DEEAF6"/>
          </w:tcPr>
          <w:p>
            <w:pPr/>
          </w:p>
        </w:tc>
        <w:tc>
          <w:tcPr>
            <w:tcW w:w="781"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64" w:right="0"/>
              <w:jc w:val="left"/>
              <w:rPr>
                <w:rFonts w:ascii="Arial" w:hAnsi="Arial" w:cs="Arial" w:eastAsia="Arial" w:hint="default"/>
                <w:sz w:val="18"/>
                <w:szCs w:val="18"/>
              </w:rPr>
            </w:pPr>
            <w:r>
              <w:rPr>
                <w:rFonts w:ascii="Arial"/>
                <w:sz w:val="18"/>
              </w:rPr>
              <w:t>-309,2</w:t>
            </w:r>
          </w:p>
          <w:p>
            <w:pPr>
              <w:pStyle w:val="TableParagraph"/>
              <w:spacing w:line="240" w:lineRule="auto" w:before="105"/>
              <w:ind w:left="224" w:right="0"/>
              <w:jc w:val="left"/>
              <w:rPr>
                <w:rFonts w:ascii="Arial" w:hAnsi="Arial" w:cs="Arial" w:eastAsia="Arial" w:hint="default"/>
                <w:sz w:val="18"/>
                <w:szCs w:val="18"/>
              </w:rPr>
            </w:pPr>
            <w:r>
              <w:rPr>
                <w:rFonts w:ascii="Arial"/>
                <w:sz w:val="18"/>
              </w:rPr>
              <w:t>51.15</w:t>
            </w:r>
          </w:p>
        </w:tc>
      </w:tr>
      <w:tr>
        <w:trPr>
          <w:trHeight w:val="322"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691"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676" w:type="dxa"/>
            <w:tcBorders>
              <w:top w:val="single" w:sz="4" w:space="0" w:color="5B9BD4"/>
              <w:left w:val="nil" w:sz="6" w:space="0" w:color="auto"/>
              <w:bottom w:val="single" w:sz="4" w:space="0" w:color="5B9BD4"/>
              <w:right w:val="nil" w:sz="6" w:space="0" w:color="auto"/>
            </w:tcBorders>
            <w:shd w:val="clear" w:color="auto" w:fill="DEEAF6"/>
          </w:tcPr>
          <w:p>
            <w:pPr/>
          </w:p>
        </w:tc>
        <w:tc>
          <w:tcPr>
            <w:tcW w:w="781" w:type="dxa"/>
            <w:tcBorders>
              <w:top w:val="single" w:sz="4" w:space="0" w:color="5B9BD4"/>
              <w:left w:val="nil" w:sz="6" w:space="0" w:color="auto"/>
              <w:bottom w:val="single" w:sz="4" w:space="0" w:color="5B9BD4"/>
              <w:right w:val="nil" w:sz="6" w:space="0" w:color="auto"/>
            </w:tcBorders>
          </w:tcPr>
          <w:p>
            <w:pPr/>
          </w:p>
        </w:tc>
      </w:tr>
      <w:tr>
        <w:trPr>
          <w:trHeight w:val="635"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left="108"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90" w:right="0"/>
              <w:jc w:val="left"/>
              <w:rPr>
                <w:rFonts w:ascii="Arial" w:hAnsi="Arial" w:cs="Arial" w:eastAsia="Arial" w:hint="default"/>
                <w:sz w:val="18"/>
                <w:szCs w:val="18"/>
              </w:rPr>
            </w:pPr>
            <w:r>
              <w:rPr>
                <w:rFonts w:ascii="Arial"/>
                <w:sz w:val="18"/>
              </w:rPr>
              <w:t>4,238,</w:t>
            </w:r>
          </w:p>
          <w:p>
            <w:pPr>
              <w:pStyle w:val="TableParagraph"/>
              <w:spacing w:line="240" w:lineRule="auto" w:before="105"/>
              <w:ind w:left="140" w:right="0"/>
              <w:jc w:val="left"/>
              <w:rPr>
                <w:rFonts w:ascii="Arial" w:hAnsi="Arial" w:cs="Arial" w:eastAsia="Arial" w:hint="default"/>
                <w:sz w:val="18"/>
                <w:szCs w:val="18"/>
              </w:rPr>
            </w:pPr>
            <w:r>
              <w:rPr>
                <w:rFonts w:ascii="Arial"/>
                <w:sz w:val="18"/>
              </w:rPr>
              <w:t>250.04</w:t>
            </w:r>
          </w:p>
        </w:tc>
        <w:tc>
          <w:tcPr>
            <w:tcW w:w="67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58" w:right="0"/>
              <w:jc w:val="left"/>
              <w:rPr>
                <w:rFonts w:ascii="Arial" w:hAnsi="Arial" w:cs="Arial" w:eastAsia="Arial" w:hint="default"/>
                <w:sz w:val="18"/>
                <w:szCs w:val="18"/>
              </w:rPr>
            </w:pPr>
            <w:r>
              <w:rPr>
                <w:rFonts w:ascii="Arial"/>
                <w:sz w:val="18"/>
              </w:rPr>
              <w:t>-4,23</w:t>
            </w:r>
          </w:p>
          <w:p>
            <w:pPr>
              <w:pStyle w:val="TableParagraph"/>
              <w:spacing w:line="240" w:lineRule="auto" w:before="105"/>
              <w:ind w:left="118" w:right="0"/>
              <w:jc w:val="left"/>
              <w:rPr>
                <w:rFonts w:ascii="Arial" w:hAnsi="Arial" w:cs="Arial" w:eastAsia="Arial" w:hint="default"/>
                <w:sz w:val="18"/>
                <w:szCs w:val="18"/>
              </w:rPr>
            </w:pPr>
            <w:r>
              <w:rPr>
                <w:rFonts w:ascii="Arial"/>
                <w:sz w:val="18"/>
              </w:rPr>
              <w:t>8,250</w:t>
            </w:r>
          </w:p>
        </w:tc>
        <w:tc>
          <w:tcPr>
            <w:tcW w:w="781" w:type="dxa"/>
            <w:tcBorders>
              <w:top w:val="single" w:sz="4" w:space="0" w:color="5B9BD4"/>
              <w:left w:val="nil" w:sz="6" w:space="0" w:color="auto"/>
              <w:bottom w:val="single" w:sz="4" w:space="0" w:color="5B9BD4"/>
              <w:right w:val="nil" w:sz="6" w:space="0" w:color="auto"/>
            </w:tcBorders>
          </w:tcPr>
          <w:p>
            <w:pPr/>
          </w:p>
        </w:tc>
      </w:tr>
    </w:tbl>
    <w:p>
      <w:pPr>
        <w:spacing w:after="0"/>
        <w:sectPr>
          <w:pgSz w:w="11910" w:h="16840"/>
          <w:pgMar w:header="877" w:footer="979" w:top="1100" w:bottom="1160" w:left="920" w:right="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7"/>
        <w:gridCol w:w="798"/>
        <w:gridCol w:w="676"/>
        <w:gridCol w:w="781"/>
      </w:tblGrid>
      <w:tr>
        <w:trPr>
          <w:trHeight w:val="322"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
        </w:tc>
        <w:tc>
          <w:tcPr>
            <w:tcW w:w="691"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67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318" w:right="0"/>
              <w:jc w:val="left"/>
              <w:rPr>
                <w:rFonts w:ascii="Arial" w:hAnsi="Arial" w:cs="Arial" w:eastAsia="Arial" w:hint="default"/>
                <w:sz w:val="18"/>
                <w:szCs w:val="18"/>
              </w:rPr>
            </w:pPr>
            <w:r>
              <w:rPr>
                <w:rFonts w:ascii="Arial"/>
                <w:sz w:val="18"/>
              </w:rPr>
              <w:t>.04</w:t>
            </w:r>
          </w:p>
        </w:tc>
        <w:tc>
          <w:tcPr>
            <w:tcW w:w="781" w:type="dxa"/>
            <w:tcBorders>
              <w:top w:val="single" w:sz="4" w:space="0" w:color="5B9BD4"/>
              <w:left w:val="nil" w:sz="6" w:space="0" w:color="auto"/>
              <w:bottom w:val="single" w:sz="4" w:space="0" w:color="5B9BD4"/>
              <w:right w:val="nil" w:sz="6" w:space="0" w:color="auto"/>
            </w:tcBorders>
          </w:tcPr>
          <w:p>
            <w:pPr/>
          </w:p>
        </w:tc>
      </w:tr>
      <w:tr>
        <w:trPr>
          <w:trHeight w:val="946"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sz w:val="12"/>
                <w:szCs w:val="12"/>
              </w:rPr>
            </w:pPr>
          </w:p>
          <w:p>
            <w:pPr>
              <w:pStyle w:val="TableParagraph"/>
              <w:spacing w:line="302" w:lineRule="auto"/>
              <w:ind w:left="108" w:right="153"/>
              <w:jc w:val="left"/>
              <w:rPr>
                <w:rFonts w:ascii="宋体" w:hAnsi="宋体" w:cs="宋体" w:eastAsia="宋体" w:hint="default"/>
                <w:sz w:val="18"/>
                <w:szCs w:val="18"/>
              </w:rPr>
            </w:pPr>
            <w:r>
              <w:rPr>
                <w:rFonts w:ascii="Arial" w:hAnsi="Arial" w:cs="Arial" w:eastAsia="Arial" w:hint="default"/>
                <w:w w:val="95"/>
                <w:sz w:val="18"/>
                <w:szCs w:val="18"/>
              </w:rPr>
              <w:t>1</w:t>
            </w:r>
            <w:r>
              <w:rPr>
                <w:rFonts w:ascii="宋体" w:hAnsi="宋体" w:cs="宋体" w:eastAsia="宋体" w:hint="default"/>
                <w:w w:val="95"/>
                <w:sz w:val="18"/>
                <w:szCs w:val="18"/>
              </w:rPr>
              <w:t>．提取盈余公</w:t>
            </w:r>
            <w:r>
              <w:rPr>
                <w:rFonts w:ascii="宋体" w:hAnsi="宋体" w:cs="宋体" w:eastAsia="宋体" w:hint="default"/>
                <w:spacing w:val="-28"/>
                <w:w w:val="95"/>
                <w:sz w:val="18"/>
                <w:szCs w:val="18"/>
              </w:rPr>
              <w:t> </w:t>
            </w:r>
            <w:r>
              <w:rPr>
                <w:rFonts w:ascii="宋体" w:hAnsi="宋体" w:cs="宋体" w:eastAsia="宋体" w:hint="default"/>
                <w:sz w:val="18"/>
                <w:szCs w:val="18"/>
              </w:rPr>
              <w:t>积</w:t>
            </w:r>
          </w:p>
        </w:tc>
        <w:tc>
          <w:tcPr>
            <w:tcW w:w="691"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90" w:right="0"/>
              <w:jc w:val="left"/>
              <w:rPr>
                <w:rFonts w:ascii="Arial" w:hAnsi="Arial" w:cs="Arial" w:eastAsia="Arial" w:hint="default"/>
                <w:sz w:val="18"/>
                <w:szCs w:val="18"/>
              </w:rPr>
            </w:pPr>
            <w:r>
              <w:rPr>
                <w:rFonts w:ascii="Arial"/>
                <w:sz w:val="18"/>
              </w:rPr>
              <w:t>4,238,</w:t>
            </w:r>
          </w:p>
          <w:p>
            <w:pPr>
              <w:pStyle w:val="TableParagraph"/>
              <w:spacing w:line="240" w:lineRule="auto" w:before="105"/>
              <w:ind w:left="140" w:right="0"/>
              <w:jc w:val="left"/>
              <w:rPr>
                <w:rFonts w:ascii="Arial" w:hAnsi="Arial" w:cs="Arial" w:eastAsia="Arial" w:hint="default"/>
                <w:sz w:val="18"/>
                <w:szCs w:val="18"/>
              </w:rPr>
            </w:pPr>
            <w:r>
              <w:rPr>
                <w:rFonts w:ascii="Arial"/>
                <w:sz w:val="18"/>
              </w:rPr>
              <w:t>250.04</w:t>
            </w:r>
          </w:p>
        </w:tc>
        <w:tc>
          <w:tcPr>
            <w:tcW w:w="67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50" w:right="0"/>
              <w:jc w:val="center"/>
              <w:rPr>
                <w:rFonts w:ascii="Arial" w:hAnsi="Arial" w:cs="Arial" w:eastAsia="Arial" w:hint="default"/>
                <w:sz w:val="18"/>
                <w:szCs w:val="18"/>
              </w:rPr>
            </w:pPr>
            <w:r>
              <w:rPr>
                <w:rFonts w:ascii="Arial"/>
                <w:sz w:val="18"/>
              </w:rPr>
              <w:t>-4,23</w:t>
            </w:r>
          </w:p>
          <w:p>
            <w:pPr>
              <w:pStyle w:val="TableParagraph"/>
              <w:spacing w:line="240" w:lineRule="auto" w:before="105"/>
              <w:ind w:left="10" w:right="0"/>
              <w:jc w:val="center"/>
              <w:rPr>
                <w:rFonts w:ascii="Arial" w:hAnsi="Arial" w:cs="Arial" w:eastAsia="Arial" w:hint="default"/>
                <w:sz w:val="18"/>
                <w:szCs w:val="18"/>
              </w:rPr>
            </w:pPr>
            <w:r>
              <w:rPr>
                <w:rFonts w:ascii="Arial"/>
                <w:sz w:val="18"/>
              </w:rPr>
              <w:t>8,250</w:t>
            </w:r>
          </w:p>
          <w:p>
            <w:pPr>
              <w:pStyle w:val="TableParagraph"/>
              <w:spacing w:line="240" w:lineRule="auto" w:before="105"/>
              <w:ind w:left="209" w:right="0"/>
              <w:jc w:val="center"/>
              <w:rPr>
                <w:rFonts w:ascii="Arial" w:hAnsi="Arial" w:cs="Arial" w:eastAsia="Arial" w:hint="default"/>
                <w:sz w:val="18"/>
                <w:szCs w:val="18"/>
              </w:rPr>
            </w:pPr>
            <w:r>
              <w:rPr>
                <w:rFonts w:ascii="Arial"/>
                <w:sz w:val="18"/>
              </w:rPr>
              <w:t>.04</w:t>
            </w:r>
          </w:p>
        </w:tc>
        <w:tc>
          <w:tcPr>
            <w:tcW w:w="781" w:type="dxa"/>
            <w:tcBorders>
              <w:top w:val="single" w:sz="4" w:space="0" w:color="5B9BD4"/>
              <w:left w:val="nil" w:sz="6" w:space="0" w:color="auto"/>
              <w:bottom w:val="single" w:sz="4" w:space="0" w:color="5B9BD4"/>
              <w:right w:val="nil" w:sz="6" w:space="0" w:color="auto"/>
            </w:tcBorders>
          </w:tcPr>
          <w:p>
            <w:pPr/>
          </w:p>
        </w:tc>
      </w:tr>
      <w:tr>
        <w:trPr>
          <w:trHeight w:val="634"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2" w:lineRule="auto" w:before="6"/>
              <w:ind w:left="108" w:right="106"/>
              <w:jc w:val="left"/>
              <w:rPr>
                <w:rFonts w:ascii="宋体" w:hAnsi="宋体" w:cs="宋体" w:eastAsia="宋体" w:hint="default"/>
                <w:sz w:val="18"/>
                <w:szCs w:val="18"/>
              </w:rPr>
            </w:pPr>
            <w:r>
              <w:rPr>
                <w:rFonts w:ascii="Arial" w:hAnsi="Arial" w:cs="Arial" w:eastAsia="Arial" w:hint="default"/>
                <w:spacing w:val="-18"/>
                <w:sz w:val="18"/>
                <w:szCs w:val="18"/>
              </w:rPr>
              <w:t>2</w:t>
            </w:r>
            <w:r>
              <w:rPr>
                <w:rFonts w:ascii="宋体" w:hAnsi="宋体" w:cs="宋体" w:eastAsia="宋体" w:hint="default"/>
                <w:spacing w:val="-18"/>
                <w:sz w:val="18"/>
                <w:szCs w:val="18"/>
              </w:rPr>
              <w:t>．对所有者（或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股东）的分配</w:t>
            </w:r>
          </w:p>
        </w:tc>
        <w:tc>
          <w:tcPr>
            <w:tcW w:w="691"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676" w:type="dxa"/>
            <w:tcBorders>
              <w:top w:val="single" w:sz="4" w:space="0" w:color="5B9BD4"/>
              <w:left w:val="nil" w:sz="6" w:space="0" w:color="auto"/>
              <w:bottom w:val="single" w:sz="4" w:space="0" w:color="5B9BD4"/>
              <w:right w:val="nil" w:sz="6" w:space="0" w:color="auto"/>
            </w:tcBorders>
            <w:shd w:val="clear" w:color="auto" w:fill="DEEAF6"/>
          </w:tcPr>
          <w:p>
            <w:pPr/>
          </w:p>
        </w:tc>
        <w:tc>
          <w:tcPr>
            <w:tcW w:w="781" w:type="dxa"/>
            <w:tcBorders>
              <w:top w:val="single" w:sz="4" w:space="0" w:color="5B9BD4"/>
              <w:left w:val="nil" w:sz="6" w:space="0" w:color="auto"/>
              <w:bottom w:val="single" w:sz="4" w:space="0" w:color="5B9BD4"/>
              <w:right w:val="nil" w:sz="6" w:space="0" w:color="auto"/>
            </w:tcBorders>
          </w:tcPr>
          <w:p>
            <w:pPr/>
          </w:p>
        </w:tc>
      </w:tr>
      <w:tr>
        <w:trPr>
          <w:trHeight w:val="322"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w:t>
            </w:r>
          </w:p>
        </w:tc>
        <w:tc>
          <w:tcPr>
            <w:tcW w:w="691"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676" w:type="dxa"/>
            <w:tcBorders>
              <w:top w:val="single" w:sz="4" w:space="0" w:color="5B9BD4"/>
              <w:left w:val="nil" w:sz="6" w:space="0" w:color="auto"/>
              <w:bottom w:val="single" w:sz="4" w:space="0" w:color="5B9BD4"/>
              <w:right w:val="nil" w:sz="6" w:space="0" w:color="auto"/>
            </w:tcBorders>
            <w:shd w:val="clear" w:color="auto" w:fill="DEEAF6"/>
          </w:tcPr>
          <w:p>
            <w:pPr/>
          </w:p>
        </w:tc>
        <w:tc>
          <w:tcPr>
            <w:tcW w:w="781" w:type="dxa"/>
            <w:tcBorders>
              <w:top w:val="single" w:sz="4" w:space="0" w:color="5B9BD4"/>
              <w:left w:val="nil" w:sz="6" w:space="0" w:color="auto"/>
              <w:bottom w:val="single" w:sz="4" w:space="0" w:color="5B9BD4"/>
              <w:right w:val="nil" w:sz="6" w:space="0" w:color="auto"/>
            </w:tcBorders>
          </w:tcPr>
          <w:p>
            <w:pPr/>
          </w:p>
        </w:tc>
      </w:tr>
      <w:tr>
        <w:trPr>
          <w:trHeight w:val="634"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106"/>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676" w:type="dxa"/>
            <w:tcBorders>
              <w:top w:val="single" w:sz="4" w:space="0" w:color="5B9BD4"/>
              <w:left w:val="nil" w:sz="6" w:space="0" w:color="auto"/>
              <w:bottom w:val="single" w:sz="4" w:space="0" w:color="5B9BD4"/>
              <w:right w:val="nil" w:sz="6" w:space="0" w:color="auto"/>
            </w:tcBorders>
            <w:shd w:val="clear" w:color="auto" w:fill="DEEAF6"/>
          </w:tcPr>
          <w:p>
            <w:pPr/>
          </w:p>
        </w:tc>
        <w:tc>
          <w:tcPr>
            <w:tcW w:w="781" w:type="dxa"/>
            <w:tcBorders>
              <w:top w:val="single" w:sz="4" w:space="0" w:color="5B9BD4"/>
              <w:left w:val="nil" w:sz="6" w:space="0" w:color="auto"/>
              <w:bottom w:val="single" w:sz="4" w:space="0" w:color="5B9BD4"/>
              <w:right w:val="nil" w:sz="6" w:space="0" w:color="auto"/>
            </w:tcBorders>
          </w:tcPr>
          <w:p>
            <w:pPr/>
          </w:p>
        </w:tc>
      </w:tr>
      <w:tr>
        <w:trPr>
          <w:trHeight w:val="946"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9" w:lineRule="auto" w:before="5"/>
              <w:ind w:left="108" w:right="153"/>
              <w:jc w:val="left"/>
              <w:rPr>
                <w:rFonts w:ascii="宋体" w:hAnsi="宋体" w:cs="宋体" w:eastAsia="宋体" w:hint="default"/>
                <w:sz w:val="18"/>
                <w:szCs w:val="18"/>
              </w:rPr>
            </w:pPr>
            <w:r>
              <w:rPr>
                <w:rFonts w:ascii="Arial" w:hAnsi="Arial" w:cs="Arial" w:eastAsia="Arial" w:hint="default"/>
                <w:w w:val="95"/>
                <w:sz w:val="18"/>
                <w:szCs w:val="18"/>
              </w:rPr>
              <w:t>1</w:t>
            </w:r>
            <w:r>
              <w:rPr>
                <w:rFonts w:ascii="宋体" w:hAnsi="宋体" w:cs="宋体" w:eastAsia="宋体" w:hint="default"/>
                <w:w w:val="95"/>
                <w:sz w:val="18"/>
                <w:szCs w:val="18"/>
              </w:rPr>
              <w:t>．资本公积转</w:t>
            </w:r>
            <w:r>
              <w:rPr>
                <w:rFonts w:ascii="宋体" w:hAnsi="宋体" w:cs="宋体" w:eastAsia="宋体" w:hint="default"/>
                <w:spacing w:val="-28"/>
                <w:w w:val="95"/>
                <w:sz w:val="18"/>
                <w:szCs w:val="18"/>
              </w:rPr>
              <w:t> </w:t>
            </w:r>
            <w:r>
              <w:rPr>
                <w:rFonts w:ascii="宋体" w:hAnsi="宋体" w:cs="宋体" w:eastAsia="宋体" w:hint="default"/>
                <w:sz w:val="18"/>
                <w:szCs w:val="18"/>
              </w:rPr>
              <w:t>增资本（或股 本）</w:t>
            </w:r>
          </w:p>
        </w:tc>
        <w:tc>
          <w:tcPr>
            <w:tcW w:w="691"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676" w:type="dxa"/>
            <w:tcBorders>
              <w:top w:val="single" w:sz="4" w:space="0" w:color="5B9BD4"/>
              <w:left w:val="nil" w:sz="6" w:space="0" w:color="auto"/>
              <w:bottom w:val="single" w:sz="4" w:space="0" w:color="5B9BD4"/>
              <w:right w:val="nil" w:sz="6" w:space="0" w:color="auto"/>
            </w:tcBorders>
            <w:shd w:val="clear" w:color="auto" w:fill="DEEAF6"/>
          </w:tcPr>
          <w:p>
            <w:pPr/>
          </w:p>
        </w:tc>
        <w:tc>
          <w:tcPr>
            <w:tcW w:w="781" w:type="dxa"/>
            <w:tcBorders>
              <w:top w:val="single" w:sz="4" w:space="0" w:color="5B9BD4"/>
              <w:left w:val="nil" w:sz="6" w:space="0" w:color="auto"/>
              <w:bottom w:val="single" w:sz="4" w:space="0" w:color="5B9BD4"/>
              <w:right w:val="nil" w:sz="6" w:space="0" w:color="auto"/>
            </w:tcBorders>
          </w:tcPr>
          <w:p>
            <w:pPr/>
          </w:p>
        </w:tc>
      </w:tr>
      <w:tr>
        <w:trPr>
          <w:trHeight w:val="946"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9" w:lineRule="auto" w:before="5"/>
              <w:ind w:left="108" w:right="153"/>
              <w:jc w:val="left"/>
              <w:rPr>
                <w:rFonts w:ascii="宋体" w:hAnsi="宋体" w:cs="宋体" w:eastAsia="宋体" w:hint="default"/>
                <w:sz w:val="18"/>
                <w:szCs w:val="18"/>
              </w:rPr>
            </w:pPr>
            <w:r>
              <w:rPr>
                <w:rFonts w:ascii="Arial" w:hAnsi="Arial" w:cs="Arial" w:eastAsia="Arial" w:hint="default"/>
                <w:w w:val="95"/>
                <w:sz w:val="18"/>
                <w:szCs w:val="18"/>
              </w:rPr>
              <w:t>2</w:t>
            </w:r>
            <w:r>
              <w:rPr>
                <w:rFonts w:ascii="宋体" w:hAnsi="宋体" w:cs="宋体" w:eastAsia="宋体" w:hint="default"/>
                <w:w w:val="95"/>
                <w:sz w:val="18"/>
                <w:szCs w:val="18"/>
              </w:rPr>
              <w:t>．盈余公积转</w:t>
            </w:r>
            <w:r>
              <w:rPr>
                <w:rFonts w:ascii="宋体" w:hAnsi="宋体" w:cs="宋体" w:eastAsia="宋体" w:hint="default"/>
                <w:spacing w:val="-28"/>
                <w:w w:val="95"/>
                <w:sz w:val="18"/>
                <w:szCs w:val="18"/>
              </w:rPr>
              <w:t> </w:t>
            </w:r>
            <w:r>
              <w:rPr>
                <w:rFonts w:ascii="宋体" w:hAnsi="宋体" w:cs="宋体" w:eastAsia="宋体" w:hint="default"/>
                <w:sz w:val="18"/>
                <w:szCs w:val="18"/>
              </w:rPr>
              <w:t>增资本（或股 本）</w:t>
            </w:r>
          </w:p>
        </w:tc>
        <w:tc>
          <w:tcPr>
            <w:tcW w:w="691"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676" w:type="dxa"/>
            <w:tcBorders>
              <w:top w:val="single" w:sz="4" w:space="0" w:color="5B9BD4"/>
              <w:left w:val="nil" w:sz="6" w:space="0" w:color="auto"/>
              <w:bottom w:val="single" w:sz="4" w:space="0" w:color="5B9BD4"/>
              <w:right w:val="nil" w:sz="6" w:space="0" w:color="auto"/>
            </w:tcBorders>
            <w:shd w:val="clear" w:color="auto" w:fill="DEEAF6"/>
          </w:tcPr>
          <w:p>
            <w:pPr/>
          </w:p>
        </w:tc>
        <w:tc>
          <w:tcPr>
            <w:tcW w:w="781" w:type="dxa"/>
            <w:tcBorders>
              <w:top w:val="single" w:sz="4" w:space="0" w:color="5B9BD4"/>
              <w:left w:val="nil" w:sz="6" w:space="0" w:color="auto"/>
              <w:bottom w:val="single" w:sz="4" w:space="0" w:color="5B9BD4"/>
              <w:right w:val="nil" w:sz="6" w:space="0" w:color="auto"/>
            </w:tcBorders>
          </w:tcPr>
          <w:p>
            <w:pPr/>
          </w:p>
        </w:tc>
      </w:tr>
      <w:tr>
        <w:trPr>
          <w:trHeight w:val="634"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2" w:lineRule="auto" w:before="6"/>
              <w:ind w:left="108" w:right="153"/>
              <w:jc w:val="left"/>
              <w:rPr>
                <w:rFonts w:ascii="宋体" w:hAnsi="宋体" w:cs="宋体" w:eastAsia="宋体" w:hint="default"/>
                <w:sz w:val="18"/>
                <w:szCs w:val="18"/>
              </w:rPr>
            </w:pPr>
            <w:r>
              <w:rPr>
                <w:rFonts w:ascii="Arial" w:hAnsi="Arial" w:cs="Arial" w:eastAsia="Arial" w:hint="default"/>
                <w:w w:val="95"/>
                <w:sz w:val="18"/>
                <w:szCs w:val="18"/>
              </w:rPr>
              <w:t>3</w:t>
            </w:r>
            <w:r>
              <w:rPr>
                <w:rFonts w:ascii="宋体" w:hAnsi="宋体" w:cs="宋体" w:eastAsia="宋体" w:hint="default"/>
                <w:w w:val="95"/>
                <w:sz w:val="18"/>
                <w:szCs w:val="18"/>
              </w:rPr>
              <w:t>．盈余公积弥</w:t>
            </w:r>
            <w:r>
              <w:rPr>
                <w:rFonts w:ascii="宋体" w:hAnsi="宋体" w:cs="宋体" w:eastAsia="宋体" w:hint="default"/>
                <w:spacing w:val="-28"/>
                <w:w w:val="95"/>
                <w:sz w:val="18"/>
                <w:szCs w:val="18"/>
              </w:rPr>
              <w:t> </w:t>
            </w:r>
            <w:r>
              <w:rPr>
                <w:rFonts w:ascii="宋体" w:hAnsi="宋体" w:cs="宋体" w:eastAsia="宋体" w:hint="default"/>
                <w:sz w:val="18"/>
                <w:szCs w:val="18"/>
              </w:rPr>
              <w:t>补亏损</w:t>
            </w:r>
          </w:p>
        </w:tc>
        <w:tc>
          <w:tcPr>
            <w:tcW w:w="691"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676" w:type="dxa"/>
            <w:tcBorders>
              <w:top w:val="single" w:sz="4" w:space="0" w:color="5B9BD4"/>
              <w:left w:val="nil" w:sz="6" w:space="0" w:color="auto"/>
              <w:bottom w:val="single" w:sz="4" w:space="0" w:color="5B9BD4"/>
              <w:right w:val="nil" w:sz="6" w:space="0" w:color="auto"/>
            </w:tcBorders>
            <w:shd w:val="clear" w:color="auto" w:fill="DEEAF6"/>
          </w:tcPr>
          <w:p>
            <w:pPr/>
          </w:p>
        </w:tc>
        <w:tc>
          <w:tcPr>
            <w:tcW w:w="781" w:type="dxa"/>
            <w:tcBorders>
              <w:top w:val="single" w:sz="4" w:space="0" w:color="5B9BD4"/>
              <w:left w:val="nil" w:sz="6" w:space="0" w:color="auto"/>
              <w:bottom w:val="single" w:sz="4" w:space="0" w:color="5B9BD4"/>
              <w:right w:val="nil" w:sz="6" w:space="0" w:color="auto"/>
            </w:tcBorders>
          </w:tcPr>
          <w:p>
            <w:pPr/>
          </w:p>
        </w:tc>
      </w:tr>
      <w:tr>
        <w:trPr>
          <w:trHeight w:val="322"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691"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676" w:type="dxa"/>
            <w:tcBorders>
              <w:top w:val="single" w:sz="4" w:space="0" w:color="5B9BD4"/>
              <w:left w:val="nil" w:sz="6" w:space="0" w:color="auto"/>
              <w:bottom w:val="single" w:sz="4" w:space="0" w:color="5B9BD4"/>
              <w:right w:val="nil" w:sz="6" w:space="0" w:color="auto"/>
            </w:tcBorders>
            <w:shd w:val="clear" w:color="auto" w:fill="DEEAF6"/>
          </w:tcPr>
          <w:p>
            <w:pPr/>
          </w:p>
        </w:tc>
        <w:tc>
          <w:tcPr>
            <w:tcW w:w="781" w:type="dxa"/>
            <w:tcBorders>
              <w:top w:val="single" w:sz="4" w:space="0" w:color="5B9BD4"/>
              <w:left w:val="nil" w:sz="6" w:space="0" w:color="auto"/>
              <w:bottom w:val="single" w:sz="4" w:space="0" w:color="5B9BD4"/>
              <w:right w:val="nil" w:sz="6" w:space="0" w:color="auto"/>
            </w:tcBorders>
          </w:tcPr>
          <w:p>
            <w:pPr/>
          </w:p>
        </w:tc>
      </w:tr>
      <w:tr>
        <w:trPr>
          <w:trHeight w:val="322"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676" w:type="dxa"/>
            <w:tcBorders>
              <w:top w:val="single" w:sz="4" w:space="0" w:color="5B9BD4"/>
              <w:left w:val="nil" w:sz="6" w:space="0" w:color="auto"/>
              <w:bottom w:val="single" w:sz="4" w:space="0" w:color="5B9BD4"/>
              <w:right w:val="nil" w:sz="6" w:space="0" w:color="auto"/>
            </w:tcBorders>
            <w:shd w:val="clear" w:color="auto" w:fill="DEEAF6"/>
          </w:tcPr>
          <w:p>
            <w:pPr/>
          </w:p>
        </w:tc>
        <w:tc>
          <w:tcPr>
            <w:tcW w:w="781" w:type="dxa"/>
            <w:tcBorders>
              <w:top w:val="single" w:sz="4" w:space="0" w:color="5B9BD4"/>
              <w:left w:val="nil" w:sz="6" w:space="0" w:color="auto"/>
              <w:bottom w:val="single" w:sz="4" w:space="0" w:color="5B9BD4"/>
              <w:right w:val="nil" w:sz="6" w:space="0" w:color="auto"/>
            </w:tcBorders>
          </w:tcPr>
          <w:p>
            <w:pPr/>
          </w:p>
        </w:tc>
      </w:tr>
      <w:tr>
        <w:trPr>
          <w:trHeight w:val="322"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．本期提取</w:t>
            </w:r>
          </w:p>
        </w:tc>
        <w:tc>
          <w:tcPr>
            <w:tcW w:w="691"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676" w:type="dxa"/>
            <w:tcBorders>
              <w:top w:val="single" w:sz="4" w:space="0" w:color="5B9BD4"/>
              <w:left w:val="nil" w:sz="6" w:space="0" w:color="auto"/>
              <w:bottom w:val="single" w:sz="4" w:space="0" w:color="5B9BD4"/>
              <w:right w:val="nil" w:sz="6" w:space="0" w:color="auto"/>
            </w:tcBorders>
            <w:shd w:val="clear" w:color="auto" w:fill="DEEAF6"/>
          </w:tcPr>
          <w:p>
            <w:pPr/>
          </w:p>
        </w:tc>
        <w:tc>
          <w:tcPr>
            <w:tcW w:w="781" w:type="dxa"/>
            <w:tcBorders>
              <w:top w:val="single" w:sz="4" w:space="0" w:color="5B9BD4"/>
              <w:left w:val="nil" w:sz="6" w:space="0" w:color="auto"/>
              <w:bottom w:val="single" w:sz="4" w:space="0" w:color="5B9BD4"/>
              <w:right w:val="nil" w:sz="6" w:space="0" w:color="auto"/>
            </w:tcBorders>
          </w:tcPr>
          <w:p>
            <w:pPr/>
          </w:p>
        </w:tc>
      </w:tr>
      <w:tr>
        <w:trPr>
          <w:trHeight w:val="322"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．本期使用</w:t>
            </w:r>
          </w:p>
        </w:tc>
        <w:tc>
          <w:tcPr>
            <w:tcW w:w="691"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676" w:type="dxa"/>
            <w:tcBorders>
              <w:top w:val="single" w:sz="4" w:space="0" w:color="5B9BD4"/>
              <w:left w:val="nil" w:sz="6" w:space="0" w:color="auto"/>
              <w:bottom w:val="single" w:sz="4" w:space="0" w:color="5B9BD4"/>
              <w:right w:val="nil" w:sz="6" w:space="0" w:color="auto"/>
            </w:tcBorders>
            <w:shd w:val="clear" w:color="auto" w:fill="DEEAF6"/>
          </w:tcPr>
          <w:p>
            <w:pPr/>
          </w:p>
        </w:tc>
        <w:tc>
          <w:tcPr>
            <w:tcW w:w="781" w:type="dxa"/>
            <w:tcBorders>
              <w:top w:val="single" w:sz="4" w:space="0" w:color="5B9BD4"/>
              <w:left w:val="nil" w:sz="6" w:space="0" w:color="auto"/>
              <w:bottom w:val="single" w:sz="4" w:space="0" w:color="5B9BD4"/>
              <w:right w:val="nil" w:sz="6" w:space="0" w:color="auto"/>
            </w:tcBorders>
          </w:tcPr>
          <w:p>
            <w:pPr/>
          </w:p>
        </w:tc>
      </w:tr>
      <w:tr>
        <w:trPr>
          <w:trHeight w:val="323"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676" w:type="dxa"/>
            <w:tcBorders>
              <w:top w:val="single" w:sz="4" w:space="0" w:color="5B9BD4"/>
              <w:left w:val="nil" w:sz="6" w:space="0" w:color="auto"/>
              <w:bottom w:val="single" w:sz="4" w:space="0" w:color="5B9BD4"/>
              <w:right w:val="nil" w:sz="6" w:space="0" w:color="auto"/>
            </w:tcBorders>
            <w:shd w:val="clear" w:color="auto" w:fill="DEEAF6"/>
          </w:tcPr>
          <w:p>
            <w:pPr/>
          </w:p>
        </w:tc>
        <w:tc>
          <w:tcPr>
            <w:tcW w:w="781" w:type="dxa"/>
            <w:tcBorders>
              <w:top w:val="single" w:sz="4" w:space="0" w:color="5B9BD4"/>
              <w:left w:val="nil" w:sz="6" w:space="0" w:color="auto"/>
              <w:bottom w:val="single" w:sz="4" w:space="0" w:color="5B9BD4"/>
              <w:right w:val="nil" w:sz="6" w:space="0" w:color="auto"/>
            </w:tcBorders>
          </w:tcPr>
          <w:p>
            <w:pPr/>
          </w:p>
        </w:tc>
      </w:tr>
      <w:tr>
        <w:trPr>
          <w:trHeight w:val="1258"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
              <w:ind w:right="0"/>
              <w:jc w:val="left"/>
              <w:rPr>
                <w:rFonts w:ascii="宋体" w:hAnsi="宋体" w:cs="宋体" w:eastAsia="宋体" w:hint="default"/>
                <w:sz w:val="24"/>
                <w:szCs w:val="24"/>
              </w:rPr>
            </w:pPr>
          </w:p>
          <w:p>
            <w:pPr>
              <w:pStyle w:val="TableParagraph"/>
              <w:spacing w:line="316" w:lineRule="auto"/>
              <w:ind w:left="108" w:right="106"/>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34" w:right="0"/>
              <w:jc w:val="left"/>
              <w:rPr>
                <w:rFonts w:ascii="Arial" w:hAnsi="Arial" w:cs="Arial" w:eastAsia="Arial" w:hint="default"/>
                <w:sz w:val="18"/>
                <w:szCs w:val="18"/>
              </w:rPr>
            </w:pPr>
            <w:r>
              <w:rPr>
                <w:rFonts w:ascii="Arial"/>
                <w:sz w:val="18"/>
              </w:rPr>
              <w:t>991,3</w:t>
            </w:r>
          </w:p>
          <w:p>
            <w:pPr>
              <w:pStyle w:val="TableParagraph"/>
              <w:spacing w:line="240" w:lineRule="auto" w:before="105"/>
              <w:ind w:left="134" w:right="0"/>
              <w:jc w:val="left"/>
              <w:rPr>
                <w:rFonts w:ascii="Arial" w:hAnsi="Arial" w:cs="Arial" w:eastAsia="Arial" w:hint="default"/>
                <w:sz w:val="18"/>
                <w:szCs w:val="18"/>
              </w:rPr>
            </w:pPr>
            <w:r>
              <w:rPr>
                <w:rFonts w:ascii="Arial"/>
                <w:sz w:val="18"/>
              </w:rPr>
              <w:t>84,83</w:t>
            </w:r>
          </w:p>
          <w:p>
            <w:pPr>
              <w:pStyle w:val="TableParagraph"/>
              <w:spacing w:line="240" w:lineRule="auto" w:before="105"/>
              <w:ind w:left="234" w:right="0"/>
              <w:jc w:val="left"/>
              <w:rPr>
                <w:rFonts w:ascii="Arial" w:hAnsi="Arial" w:cs="Arial" w:eastAsia="Arial" w:hint="default"/>
                <w:sz w:val="18"/>
                <w:szCs w:val="18"/>
              </w:rPr>
            </w:pPr>
            <w:r>
              <w:rPr>
                <w:rFonts w:ascii="Arial"/>
                <w:sz w:val="18"/>
              </w:rPr>
              <w:t>9.00</w:t>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83" w:right="0"/>
              <w:jc w:val="center"/>
              <w:rPr>
                <w:rFonts w:ascii="Arial" w:hAnsi="Arial" w:cs="Arial" w:eastAsia="Arial" w:hint="default"/>
                <w:sz w:val="18"/>
                <w:szCs w:val="18"/>
              </w:rPr>
            </w:pPr>
            <w:r>
              <w:rPr>
                <w:rFonts w:ascii="Arial"/>
                <w:sz w:val="18"/>
              </w:rPr>
              <w:t>1,564,</w:t>
            </w:r>
          </w:p>
          <w:p>
            <w:pPr>
              <w:pStyle w:val="TableParagraph"/>
              <w:spacing w:line="240" w:lineRule="auto" w:before="105"/>
              <w:ind w:left="32" w:right="0"/>
              <w:jc w:val="center"/>
              <w:rPr>
                <w:rFonts w:ascii="Arial" w:hAnsi="Arial" w:cs="Arial" w:eastAsia="Arial" w:hint="default"/>
                <w:sz w:val="18"/>
                <w:szCs w:val="18"/>
              </w:rPr>
            </w:pPr>
            <w:r>
              <w:rPr>
                <w:rFonts w:ascii="Arial"/>
                <w:sz w:val="18"/>
              </w:rPr>
              <w:t>527,67</w:t>
            </w:r>
          </w:p>
          <w:p>
            <w:pPr>
              <w:pStyle w:val="TableParagraph"/>
              <w:spacing w:line="240" w:lineRule="auto" w:before="105"/>
              <w:ind w:left="231" w:right="0"/>
              <w:jc w:val="center"/>
              <w:rPr>
                <w:rFonts w:ascii="Arial" w:hAnsi="Arial" w:cs="Arial" w:eastAsia="Arial" w:hint="default"/>
                <w:sz w:val="18"/>
                <w:szCs w:val="18"/>
              </w:rPr>
            </w:pPr>
            <w:r>
              <w:rPr>
                <w:rFonts w:ascii="Arial"/>
                <w:sz w:val="18"/>
              </w:rPr>
              <w:t>5.89</w:t>
            </w: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40" w:right="0"/>
              <w:jc w:val="left"/>
              <w:rPr>
                <w:rFonts w:ascii="Arial" w:hAnsi="Arial" w:cs="Arial" w:eastAsia="Arial" w:hint="default"/>
                <w:sz w:val="18"/>
                <w:szCs w:val="18"/>
              </w:rPr>
            </w:pPr>
            <w:r>
              <w:rPr>
                <w:rFonts w:ascii="Arial"/>
                <w:sz w:val="18"/>
              </w:rPr>
              <w:t>225,84</w:t>
            </w:r>
          </w:p>
          <w:p>
            <w:pPr>
              <w:pStyle w:val="TableParagraph"/>
              <w:spacing w:line="240" w:lineRule="auto" w:before="105"/>
              <w:ind w:left="190" w:right="0"/>
              <w:jc w:val="left"/>
              <w:rPr>
                <w:rFonts w:ascii="Arial" w:hAnsi="Arial" w:cs="Arial" w:eastAsia="Arial" w:hint="default"/>
                <w:sz w:val="18"/>
                <w:szCs w:val="18"/>
              </w:rPr>
            </w:pPr>
            <w:r>
              <w:rPr>
                <w:rFonts w:ascii="Arial"/>
                <w:sz w:val="18"/>
              </w:rPr>
              <w:t>5,347.</w:t>
            </w:r>
          </w:p>
          <w:p>
            <w:pPr>
              <w:pStyle w:val="TableParagraph"/>
              <w:spacing w:line="240" w:lineRule="auto" w:before="105"/>
              <w:ind w:left="489" w:right="0"/>
              <w:jc w:val="left"/>
              <w:rPr>
                <w:rFonts w:ascii="Arial" w:hAnsi="Arial" w:cs="Arial" w:eastAsia="Arial" w:hint="default"/>
                <w:sz w:val="18"/>
                <w:szCs w:val="18"/>
              </w:rPr>
            </w:pPr>
            <w:r>
              <w:rPr>
                <w:rFonts w:ascii="Arial"/>
                <w:sz w:val="18"/>
              </w:rPr>
              <w:t>40</w:t>
            </w:r>
          </w:p>
        </w:tc>
        <w:tc>
          <w:tcPr>
            <w:tcW w:w="67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18" w:right="0"/>
              <w:jc w:val="left"/>
              <w:rPr>
                <w:rFonts w:ascii="Arial" w:hAnsi="Arial" w:cs="Arial" w:eastAsia="Arial" w:hint="default"/>
                <w:sz w:val="18"/>
                <w:szCs w:val="18"/>
              </w:rPr>
            </w:pPr>
            <w:r>
              <w:rPr>
                <w:rFonts w:ascii="Arial"/>
                <w:sz w:val="18"/>
              </w:rPr>
              <w:t>1,253</w:t>
            </w:r>
          </w:p>
          <w:p>
            <w:pPr>
              <w:pStyle w:val="TableParagraph"/>
              <w:spacing w:line="240" w:lineRule="auto" w:before="105"/>
              <w:ind w:left="169" w:right="0"/>
              <w:jc w:val="left"/>
              <w:rPr>
                <w:rFonts w:ascii="Arial" w:hAnsi="Arial" w:cs="Arial" w:eastAsia="Arial" w:hint="default"/>
                <w:sz w:val="18"/>
                <w:szCs w:val="18"/>
              </w:rPr>
            </w:pPr>
            <w:r>
              <w:rPr>
                <w:rFonts w:ascii="Arial"/>
                <w:sz w:val="18"/>
              </w:rPr>
              <w:t>,931,</w:t>
            </w:r>
          </w:p>
          <w:p>
            <w:pPr>
              <w:pStyle w:val="TableParagraph"/>
              <w:spacing w:line="240" w:lineRule="auto" w:before="105"/>
              <w:ind w:left="118" w:right="0"/>
              <w:jc w:val="left"/>
              <w:rPr>
                <w:rFonts w:ascii="Arial" w:hAnsi="Arial" w:cs="Arial" w:eastAsia="Arial" w:hint="default"/>
                <w:sz w:val="18"/>
                <w:szCs w:val="18"/>
              </w:rPr>
            </w:pPr>
            <w:r>
              <w:rPr>
                <w:rFonts w:ascii="Arial"/>
                <w:sz w:val="18"/>
              </w:rPr>
              <w:t>827.7</w:t>
            </w:r>
          </w:p>
          <w:p>
            <w:pPr>
              <w:pStyle w:val="TableParagraph"/>
              <w:spacing w:line="240" w:lineRule="auto" w:before="105"/>
              <w:ind w:right="105"/>
              <w:jc w:val="right"/>
              <w:rPr>
                <w:rFonts w:ascii="Arial" w:hAnsi="Arial" w:cs="Arial" w:eastAsia="Arial" w:hint="default"/>
                <w:sz w:val="18"/>
                <w:szCs w:val="18"/>
              </w:rPr>
            </w:pPr>
            <w:r>
              <w:rPr>
                <w:rFonts w:ascii="Arial"/>
                <w:w w:val="99"/>
                <w:sz w:val="18"/>
              </w:rPr>
              <w:t>2</w:t>
            </w:r>
            <w:r>
              <w:rPr>
                <w:rFonts w:ascii="Arial"/>
                <w:sz w:val="18"/>
              </w:rPr>
            </w:r>
          </w:p>
        </w:tc>
        <w:tc>
          <w:tcPr>
            <w:tcW w:w="781"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7" w:right="0"/>
              <w:jc w:val="center"/>
              <w:rPr>
                <w:rFonts w:ascii="Arial" w:hAnsi="Arial" w:cs="Arial" w:eastAsia="Arial" w:hint="default"/>
                <w:sz w:val="18"/>
                <w:szCs w:val="18"/>
              </w:rPr>
            </w:pPr>
            <w:r>
              <w:rPr>
                <w:rFonts w:ascii="Arial"/>
                <w:sz w:val="18"/>
              </w:rPr>
              <w:t>4,035,</w:t>
            </w:r>
          </w:p>
          <w:p>
            <w:pPr>
              <w:pStyle w:val="TableParagraph"/>
              <w:spacing w:line="240" w:lineRule="auto" w:before="105"/>
              <w:ind w:left="16" w:right="0"/>
              <w:jc w:val="center"/>
              <w:rPr>
                <w:rFonts w:ascii="Arial" w:hAnsi="Arial" w:cs="Arial" w:eastAsia="Arial" w:hint="default"/>
                <w:sz w:val="18"/>
                <w:szCs w:val="18"/>
              </w:rPr>
            </w:pPr>
            <w:r>
              <w:rPr>
                <w:rFonts w:ascii="Arial"/>
                <w:sz w:val="18"/>
              </w:rPr>
              <w:t>689,69</w:t>
            </w:r>
          </w:p>
          <w:p>
            <w:pPr>
              <w:pStyle w:val="TableParagraph"/>
              <w:spacing w:line="240" w:lineRule="auto" w:before="105"/>
              <w:ind w:left="215" w:right="0"/>
              <w:jc w:val="center"/>
              <w:rPr>
                <w:rFonts w:ascii="Arial" w:hAnsi="Arial" w:cs="Arial" w:eastAsia="Arial" w:hint="default"/>
                <w:sz w:val="18"/>
                <w:szCs w:val="18"/>
              </w:rPr>
            </w:pPr>
            <w:r>
              <w:rPr>
                <w:rFonts w:ascii="Arial"/>
                <w:sz w:val="18"/>
              </w:rPr>
              <w:t>0.01</w:t>
            </w:r>
          </w:p>
        </w:tc>
      </w:tr>
    </w:tbl>
    <w:p>
      <w:pPr>
        <w:spacing w:line="240" w:lineRule="auto" w:before="0"/>
        <w:rPr>
          <w:rFonts w:ascii="宋体" w:hAnsi="宋体" w:cs="宋体" w:eastAsia="宋体" w:hint="default"/>
          <w:sz w:val="15"/>
          <w:szCs w:val="15"/>
        </w:rPr>
      </w:pPr>
    </w:p>
    <w:p>
      <w:pPr>
        <w:pStyle w:val="BodyText"/>
        <w:spacing w:line="240" w:lineRule="auto" w:before="18"/>
        <w:ind w:left="634" w:right="1513"/>
        <w:jc w:val="left"/>
      </w:pPr>
      <w:r>
        <w:rPr>
          <w:rFonts w:ascii="Arial" w:hAnsi="Arial" w:cs="Arial" w:eastAsia="Arial" w:hint="default"/>
        </w:rPr>
        <w:t>2</w:t>
      </w:r>
      <w:r>
        <w:rPr/>
        <w:t>、上期金额</w:t>
      </w:r>
    </w:p>
    <w:p>
      <w:pPr>
        <w:spacing w:line="240" w:lineRule="auto" w:before="2"/>
        <w:rPr>
          <w:rFonts w:ascii="宋体" w:hAnsi="宋体" w:cs="宋体" w:eastAsia="宋体" w:hint="default"/>
          <w:sz w:val="24"/>
          <w:szCs w:val="24"/>
        </w:rPr>
      </w:pPr>
    </w:p>
    <w:p>
      <w:pPr>
        <w:pStyle w:val="BodyText"/>
        <w:spacing w:line="240" w:lineRule="auto" w:before="18"/>
        <w:ind w:left="0" w:right="1130"/>
        <w:jc w:val="right"/>
      </w:pPr>
      <w:r>
        <w:rPr/>
        <w:pict>
          <v:group style="position:absolute;margin-left:157.699997pt;margin-top:53.60368pt;width:100.25pt;height:.5pt;mso-position-horizontal-relative:page;mso-position-vertical-relative:paragraph;z-index:-1051144" coordorigin="3154,1072" coordsize="2005,10">
            <v:group style="position:absolute;left:3159;top:1077;width:665;height:2" coordorigin="3159,1077" coordsize="665,2">
              <v:shape style="position:absolute;left:3159;top:1077;width:665;height:2" coordorigin="3159,1077" coordsize="665,0" path="m3159,1077l3824,1077e" filled="false" stroked="true" strokeweight=".48pt" strokecolor="#5b9bd4">
                <v:path arrowok="t"/>
              </v:shape>
            </v:group>
            <v:group style="position:absolute;left:3824;top:1077;width:10;height:2" coordorigin="3824,1077" coordsize="10,2">
              <v:shape style="position:absolute;left:3824;top:1077;width:10;height:2" coordorigin="3824,1077" coordsize="10,0" path="m3824,1077l3833,1077e" filled="false" stroked="true" strokeweight=".48pt" strokecolor="#5b9bd4">
                <v:path arrowok="t"/>
              </v:shape>
            </v:group>
            <v:group style="position:absolute;left:3833;top:1077;width:656;height:2" coordorigin="3833,1077" coordsize="656,2">
              <v:shape style="position:absolute;left:3833;top:1077;width:656;height:2" coordorigin="3833,1077" coordsize="656,0" path="m3833,1077l4488,1077e" filled="false" stroked="true" strokeweight=".48pt" strokecolor="#5b9bd4">
                <v:path arrowok="t"/>
              </v:shape>
            </v:group>
            <v:group style="position:absolute;left:4488;top:1077;width:10;height:2" coordorigin="4488,1077" coordsize="10,2">
              <v:shape style="position:absolute;left:4488;top:1077;width:10;height:2" coordorigin="4488,1077" coordsize="10,0" path="m4488,1077l4498,1077e" filled="false" stroked="true" strokeweight=".48pt" strokecolor="#5b9bd4">
                <v:path arrowok="t"/>
              </v:shape>
            </v:group>
            <v:group style="position:absolute;left:4498;top:1077;width:656;height:2" coordorigin="4498,1077" coordsize="656,2">
              <v:shape style="position:absolute;left:4498;top:1077;width:656;height:2" coordorigin="4498,1077" coordsize="656,0" path="m4498,1077l5154,1077e" filled="false" stroked="true" strokeweight=".48pt" strokecolor="#5b9bd4">
                <v:path arrowok="t"/>
              </v:shape>
            </v:group>
            <w10:wrap type="none"/>
          </v:group>
        </w:pict>
      </w:r>
      <w:r>
        <w:rPr/>
        <w:t>单位：元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7"/>
        <w:gridCol w:w="798"/>
        <w:gridCol w:w="676"/>
        <w:gridCol w:w="781"/>
      </w:tblGrid>
      <w:tr>
        <w:trPr>
          <w:trHeight w:val="322" w:hRule="exact"/>
        </w:trPr>
        <w:tc>
          <w:tcPr>
            <w:tcW w:w="1442"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2" w:hRule="exact"/>
        </w:trPr>
        <w:tc>
          <w:tcPr>
            <w:tcW w:w="1442" w:type="dxa"/>
            <w:vMerge/>
            <w:tcBorders>
              <w:left w:val="nil" w:sz="6" w:space="0" w:color="auto"/>
              <w:right w:val="nil" w:sz="6" w:space="0" w:color="auto"/>
            </w:tcBorders>
            <w:shd w:val="clear" w:color="auto" w:fill="DEEAF6"/>
          </w:tcPr>
          <w:p>
            <w:pPr/>
          </w:p>
        </w:tc>
        <w:tc>
          <w:tcPr>
            <w:tcW w:w="691" w:type="dxa"/>
            <w:tcBorders>
              <w:top w:val="single" w:sz="4" w:space="0" w:color="5B9BD4"/>
              <w:left w:val="nil" w:sz="6" w:space="0" w:color="auto"/>
              <w:bottom w:val="nil" w:sz="6" w:space="0" w:color="auto"/>
              <w:right w:val="nil" w:sz="6" w:space="0" w:color="auto"/>
            </w:tcBorders>
            <w:shd w:val="clear" w:color="auto" w:fill="DEEAF6"/>
          </w:tcPr>
          <w:p>
            <w:pPr/>
          </w:p>
        </w:tc>
        <w:tc>
          <w:tcPr>
            <w:tcW w:w="1995" w:type="dxa"/>
            <w:gridSpan w:val="3"/>
            <w:tcBorders>
              <w:top w:val="single" w:sz="4" w:space="0" w:color="5B9BD4"/>
              <w:left w:val="nil" w:sz="6" w:space="0" w:color="auto"/>
              <w:bottom w:val="nil" w:sz="6" w:space="0" w:color="auto"/>
              <w:right w:val="nil" w:sz="6" w:space="0" w:color="auto"/>
            </w:tcBorders>
            <w:shd w:val="clear" w:color="auto" w:fill="DEEAF6"/>
          </w:tcPr>
          <w:p>
            <w:pPr>
              <w:pStyle w:val="TableParagraph"/>
              <w:spacing w:line="240" w:lineRule="auto" w:before="6"/>
              <w:ind w:left="45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5B9BD4"/>
              <w:left w:val="nil" w:sz="6" w:space="0" w:color="auto"/>
              <w:bottom w:val="nil" w:sz="6" w:space="0" w:color="auto"/>
              <w:right w:val="nil" w:sz="6" w:space="0" w:color="auto"/>
            </w:tcBorders>
            <w:shd w:val="clear" w:color="auto" w:fill="DEEAF6"/>
          </w:tcPr>
          <w:p>
            <w:pPr/>
          </w:p>
        </w:tc>
        <w:tc>
          <w:tcPr>
            <w:tcW w:w="798" w:type="dxa"/>
            <w:tcBorders>
              <w:top w:val="single" w:sz="4" w:space="0" w:color="5B9BD4"/>
              <w:left w:val="nil" w:sz="6" w:space="0" w:color="auto"/>
              <w:bottom w:val="nil" w:sz="6" w:space="0" w:color="auto"/>
              <w:right w:val="nil" w:sz="6" w:space="0" w:color="auto"/>
            </w:tcBorders>
            <w:shd w:val="clear" w:color="auto" w:fill="DEEAF6"/>
          </w:tcPr>
          <w:p>
            <w:pPr/>
          </w:p>
        </w:tc>
        <w:tc>
          <w:tcPr>
            <w:tcW w:w="798" w:type="dxa"/>
            <w:tcBorders>
              <w:top w:val="single" w:sz="4" w:space="0" w:color="5B9BD4"/>
              <w:left w:val="nil" w:sz="6" w:space="0" w:color="auto"/>
              <w:bottom w:val="nil" w:sz="6" w:space="0" w:color="auto"/>
              <w:right w:val="nil" w:sz="6" w:space="0" w:color="auto"/>
            </w:tcBorders>
            <w:shd w:val="clear" w:color="auto" w:fill="DEEAF6"/>
          </w:tcPr>
          <w:p>
            <w:pPr/>
          </w:p>
        </w:tc>
        <w:tc>
          <w:tcPr>
            <w:tcW w:w="797" w:type="dxa"/>
            <w:tcBorders>
              <w:top w:val="single" w:sz="4" w:space="0" w:color="5B9BD4"/>
              <w:left w:val="nil" w:sz="6" w:space="0" w:color="auto"/>
              <w:bottom w:val="nil" w:sz="6" w:space="0" w:color="auto"/>
              <w:right w:val="nil" w:sz="6" w:space="0" w:color="auto"/>
            </w:tcBorders>
            <w:shd w:val="clear" w:color="auto" w:fill="DEEAF6"/>
          </w:tcPr>
          <w:p>
            <w:pPr/>
          </w:p>
        </w:tc>
        <w:tc>
          <w:tcPr>
            <w:tcW w:w="798" w:type="dxa"/>
            <w:tcBorders>
              <w:top w:val="single" w:sz="4" w:space="0" w:color="5B9BD4"/>
              <w:left w:val="nil" w:sz="6" w:space="0" w:color="auto"/>
              <w:bottom w:val="nil" w:sz="6" w:space="0" w:color="auto"/>
              <w:right w:val="nil" w:sz="6" w:space="0" w:color="auto"/>
            </w:tcBorders>
            <w:shd w:val="clear" w:color="auto" w:fill="DEEAF6"/>
          </w:tcPr>
          <w:p>
            <w:pPr/>
          </w:p>
        </w:tc>
        <w:tc>
          <w:tcPr>
            <w:tcW w:w="676"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11"/>
              <w:ind w:left="157" w:right="156"/>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11"/>
              <w:ind w:left="120" w:right="119"/>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317" w:hRule="exact"/>
        </w:trPr>
        <w:tc>
          <w:tcPr>
            <w:tcW w:w="1442" w:type="dxa"/>
            <w:vMerge/>
            <w:tcBorders>
              <w:left w:val="nil" w:sz="6" w:space="0" w:color="auto"/>
              <w:right w:val="nil" w:sz="6" w:space="0" w:color="auto"/>
            </w:tcBorders>
            <w:shd w:val="clear" w:color="auto" w:fill="DEEAF6"/>
          </w:tcPr>
          <w:p>
            <w:pPr/>
          </w:p>
        </w:tc>
        <w:tc>
          <w:tcPr>
            <w:tcW w:w="691"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76"/>
              <w:ind w:left="16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665"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81"/>
              <w:ind w:left="242" w:right="150"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vMerge w:val="restart"/>
            <w:tcBorders>
              <w:top w:val="nil" w:sz="6" w:space="0" w:color="auto"/>
              <w:left w:val="nil" w:sz="6" w:space="0" w:color="auto"/>
              <w:right w:val="nil" w:sz="6" w:space="0" w:color="auto"/>
            </w:tcBorders>
            <w:shd w:val="clear" w:color="auto" w:fill="DEEAF6"/>
          </w:tcPr>
          <w:p>
            <w:pPr>
              <w:pStyle w:val="TableParagraph"/>
              <w:spacing w:line="316" w:lineRule="auto" w:before="81"/>
              <w:ind w:left="242" w:right="150"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nil" w:sz="6" w:space="0" w:color="auto"/>
              <w:left w:val="nil" w:sz="6" w:space="0" w:color="auto"/>
              <w:bottom w:val="nil" w:sz="6" w:space="0" w:color="auto"/>
              <w:right w:val="nil" w:sz="6" w:space="0" w:color="auto"/>
            </w:tcBorders>
            <w:shd w:val="clear" w:color="auto" w:fill="DEEAF6"/>
          </w:tcPr>
          <w:p>
            <w:pPr/>
          </w:p>
        </w:tc>
        <w:tc>
          <w:tcPr>
            <w:tcW w:w="797" w:type="dxa"/>
            <w:vMerge w:val="restart"/>
            <w:tcBorders>
              <w:top w:val="nil" w:sz="6" w:space="0" w:color="auto"/>
              <w:left w:val="nil" w:sz="6" w:space="0" w:color="auto"/>
              <w:right w:val="nil" w:sz="6" w:space="0" w:color="auto"/>
            </w:tcBorders>
            <w:shd w:val="clear" w:color="auto" w:fill="DEEAF6"/>
          </w:tcPr>
          <w:p>
            <w:pPr>
              <w:pStyle w:val="TableParagraph"/>
              <w:spacing w:line="156" w:lineRule="exact"/>
              <w:ind w:right="0"/>
              <w:jc w:val="center"/>
              <w:rPr>
                <w:rFonts w:ascii="宋体" w:hAnsi="宋体" w:cs="宋体" w:eastAsia="宋体" w:hint="default"/>
                <w:sz w:val="18"/>
                <w:szCs w:val="18"/>
              </w:rPr>
            </w:pPr>
            <w:r>
              <w:rPr>
                <w:rFonts w:ascii="宋体" w:hAnsi="宋体" w:cs="宋体" w:eastAsia="宋体" w:hint="default"/>
                <w:sz w:val="18"/>
                <w:szCs w:val="18"/>
              </w:rPr>
              <w:t>资本公</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积</w:t>
            </w:r>
          </w:p>
        </w:tc>
        <w:tc>
          <w:tcPr>
            <w:tcW w:w="798" w:type="dxa"/>
            <w:vMerge w:val="restart"/>
            <w:tcBorders>
              <w:top w:val="nil" w:sz="6" w:space="0" w:color="auto"/>
              <w:left w:val="nil" w:sz="6" w:space="0" w:color="auto"/>
              <w:right w:val="nil" w:sz="6" w:space="0" w:color="auto"/>
            </w:tcBorders>
            <w:shd w:val="clear" w:color="auto" w:fill="DEEAF6"/>
          </w:tcPr>
          <w:p>
            <w:pPr>
              <w:pStyle w:val="TableParagraph"/>
              <w:spacing w:line="156" w:lineRule="exact"/>
              <w:ind w:left="218" w:right="0" w:hanging="90"/>
              <w:jc w:val="left"/>
              <w:rPr>
                <w:rFonts w:ascii="宋体" w:hAnsi="宋体" w:cs="宋体" w:eastAsia="宋体" w:hint="default"/>
                <w:sz w:val="18"/>
                <w:szCs w:val="18"/>
              </w:rPr>
            </w:pPr>
            <w:r>
              <w:rPr>
                <w:rFonts w:ascii="宋体" w:hAnsi="宋体" w:cs="宋体" w:eastAsia="宋体" w:hint="default"/>
                <w:sz w:val="18"/>
                <w:szCs w:val="18"/>
              </w:rPr>
              <w:t>减：库</w:t>
            </w:r>
          </w:p>
          <w:p>
            <w:pPr>
              <w:pStyle w:val="TableParagraph"/>
              <w:spacing w:line="240" w:lineRule="auto" w:before="76"/>
              <w:ind w:left="218" w:right="0"/>
              <w:jc w:val="left"/>
              <w:rPr>
                <w:rFonts w:ascii="宋体" w:hAnsi="宋体" w:cs="宋体" w:eastAsia="宋体" w:hint="default"/>
                <w:sz w:val="18"/>
                <w:szCs w:val="18"/>
              </w:rPr>
            </w:pPr>
            <w:r>
              <w:rPr>
                <w:rFonts w:ascii="宋体" w:hAnsi="宋体" w:cs="宋体" w:eastAsia="宋体" w:hint="default"/>
                <w:sz w:val="18"/>
                <w:szCs w:val="18"/>
              </w:rPr>
              <w:t>存股</w:t>
            </w:r>
          </w:p>
        </w:tc>
        <w:tc>
          <w:tcPr>
            <w:tcW w:w="798" w:type="dxa"/>
            <w:vMerge w:val="restart"/>
            <w:tcBorders>
              <w:top w:val="nil" w:sz="6" w:space="0" w:color="auto"/>
              <w:left w:val="nil" w:sz="6" w:space="0" w:color="auto"/>
              <w:right w:val="nil" w:sz="6" w:space="0" w:color="auto"/>
            </w:tcBorders>
            <w:shd w:val="clear" w:color="auto" w:fill="DEEAF6"/>
          </w:tcPr>
          <w:p>
            <w:pPr>
              <w:pStyle w:val="TableParagraph"/>
              <w:spacing w:line="156" w:lineRule="exact"/>
              <w:ind w:left="128" w:right="0"/>
              <w:jc w:val="left"/>
              <w:rPr>
                <w:rFonts w:ascii="宋体" w:hAnsi="宋体" w:cs="宋体" w:eastAsia="宋体" w:hint="default"/>
                <w:sz w:val="18"/>
                <w:szCs w:val="18"/>
              </w:rPr>
            </w:pPr>
            <w:r>
              <w:rPr>
                <w:rFonts w:ascii="宋体" w:hAnsi="宋体" w:cs="宋体" w:eastAsia="宋体" w:hint="default"/>
                <w:sz w:val="18"/>
                <w:szCs w:val="18"/>
              </w:rPr>
              <w:t>其他综</w:t>
            </w:r>
          </w:p>
          <w:p>
            <w:pPr>
              <w:pStyle w:val="TableParagraph"/>
              <w:spacing w:line="240" w:lineRule="auto" w:before="76"/>
              <w:ind w:left="128"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797" w:type="dxa"/>
            <w:vMerge w:val="restart"/>
            <w:tcBorders>
              <w:top w:val="nil" w:sz="6" w:space="0" w:color="auto"/>
              <w:left w:val="nil" w:sz="6" w:space="0" w:color="auto"/>
              <w:right w:val="nil" w:sz="6" w:space="0" w:color="auto"/>
            </w:tcBorders>
            <w:shd w:val="clear" w:color="auto" w:fill="DEEAF6"/>
          </w:tcPr>
          <w:p>
            <w:pPr>
              <w:pStyle w:val="TableParagraph"/>
              <w:spacing w:line="156" w:lineRule="exact"/>
              <w:ind w:right="0"/>
              <w:jc w:val="center"/>
              <w:rPr>
                <w:rFonts w:ascii="宋体" w:hAnsi="宋体" w:cs="宋体" w:eastAsia="宋体" w:hint="default"/>
                <w:sz w:val="18"/>
                <w:szCs w:val="18"/>
              </w:rPr>
            </w:pPr>
            <w:r>
              <w:rPr>
                <w:rFonts w:ascii="宋体" w:hAnsi="宋体" w:cs="宋体" w:eastAsia="宋体" w:hint="default"/>
                <w:sz w:val="18"/>
                <w:szCs w:val="18"/>
              </w:rPr>
              <w:t>专项储</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798" w:type="dxa"/>
            <w:vMerge w:val="restart"/>
            <w:tcBorders>
              <w:top w:val="nil" w:sz="6" w:space="0" w:color="auto"/>
              <w:left w:val="nil" w:sz="6" w:space="0" w:color="auto"/>
              <w:right w:val="nil" w:sz="6" w:space="0" w:color="auto"/>
            </w:tcBorders>
            <w:shd w:val="clear" w:color="auto" w:fill="DEEAF6"/>
          </w:tcPr>
          <w:p>
            <w:pPr>
              <w:pStyle w:val="TableParagraph"/>
              <w:spacing w:line="156" w:lineRule="exact"/>
              <w:ind w:right="1"/>
              <w:jc w:val="center"/>
              <w:rPr>
                <w:rFonts w:ascii="宋体" w:hAnsi="宋体" w:cs="宋体" w:eastAsia="宋体" w:hint="default"/>
                <w:sz w:val="18"/>
                <w:szCs w:val="18"/>
              </w:rPr>
            </w:pPr>
            <w:r>
              <w:rPr>
                <w:rFonts w:ascii="宋体" w:hAnsi="宋体" w:cs="宋体" w:eastAsia="宋体" w:hint="default"/>
                <w:sz w:val="18"/>
                <w:szCs w:val="18"/>
              </w:rPr>
              <w:t>盈余公</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积</w:t>
            </w:r>
          </w:p>
        </w:tc>
        <w:tc>
          <w:tcPr>
            <w:tcW w:w="676" w:type="dxa"/>
            <w:vMerge/>
            <w:tcBorders>
              <w:left w:val="nil" w:sz="6" w:space="0" w:color="auto"/>
              <w:right w:val="nil" w:sz="6" w:space="0" w:color="auto"/>
            </w:tcBorders>
            <w:shd w:val="clear" w:color="auto" w:fill="DEEAF6"/>
          </w:tcPr>
          <w:p>
            <w:pPr/>
          </w:p>
        </w:tc>
        <w:tc>
          <w:tcPr>
            <w:tcW w:w="781" w:type="dxa"/>
            <w:vMerge/>
            <w:tcBorders>
              <w:left w:val="nil" w:sz="6" w:space="0" w:color="auto"/>
              <w:right w:val="nil" w:sz="6" w:space="0" w:color="auto"/>
            </w:tcBorders>
            <w:shd w:val="clear" w:color="auto" w:fill="DEEAF6"/>
          </w:tcPr>
          <w:p>
            <w:pPr/>
          </w:p>
        </w:tc>
      </w:tr>
      <w:tr>
        <w:trPr>
          <w:trHeight w:val="382" w:hRule="exact"/>
        </w:trPr>
        <w:tc>
          <w:tcPr>
            <w:tcW w:w="1442" w:type="dxa"/>
            <w:vMerge/>
            <w:tcBorders>
              <w:left w:val="nil" w:sz="6" w:space="0" w:color="auto"/>
              <w:bottom w:val="single" w:sz="4" w:space="0" w:color="5B9BD4"/>
              <w:right w:val="nil" w:sz="6" w:space="0" w:color="auto"/>
            </w:tcBorders>
            <w:shd w:val="clear" w:color="auto" w:fill="DEEAF6"/>
          </w:tcPr>
          <w:p>
            <w:pPr/>
          </w:p>
        </w:tc>
        <w:tc>
          <w:tcPr>
            <w:tcW w:w="691" w:type="dxa"/>
            <w:tcBorders>
              <w:top w:val="nil" w:sz="6" w:space="0" w:color="auto"/>
              <w:left w:val="nil" w:sz="6" w:space="0" w:color="auto"/>
              <w:bottom w:val="single" w:sz="4" w:space="0" w:color="5B9BD4"/>
              <w:right w:val="nil" w:sz="6" w:space="0" w:color="auto"/>
            </w:tcBorders>
            <w:shd w:val="clear" w:color="auto" w:fill="DEEAF6"/>
          </w:tcPr>
          <w:p>
            <w:pPr/>
          </w:p>
        </w:tc>
        <w:tc>
          <w:tcPr>
            <w:tcW w:w="665" w:type="dxa"/>
            <w:vMerge/>
            <w:tcBorders>
              <w:left w:val="nil" w:sz="6" w:space="0" w:color="auto"/>
              <w:bottom w:val="single" w:sz="4" w:space="0" w:color="5B9BD4"/>
              <w:right w:val="nil" w:sz="6" w:space="0" w:color="auto"/>
            </w:tcBorders>
            <w:shd w:val="clear" w:color="auto" w:fill="DEEAF6"/>
          </w:tcPr>
          <w:p>
            <w:pPr/>
          </w:p>
        </w:tc>
        <w:tc>
          <w:tcPr>
            <w:tcW w:w="665" w:type="dxa"/>
            <w:vMerge/>
            <w:tcBorders>
              <w:left w:val="nil" w:sz="6" w:space="0" w:color="auto"/>
              <w:bottom w:val="single" w:sz="4" w:space="0" w:color="5B9BD4"/>
              <w:right w:val="nil" w:sz="6" w:space="0" w:color="auto"/>
            </w:tcBorders>
            <w:shd w:val="clear" w:color="auto" w:fill="DEEAF6"/>
          </w:tcPr>
          <w:p>
            <w:pPr/>
          </w:p>
        </w:tc>
        <w:tc>
          <w:tcPr>
            <w:tcW w:w="665"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156" w:lineRule="exact"/>
              <w:ind w:left="15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nil" w:sz="6" w:space="0" w:color="auto"/>
              <w:bottom w:val="single" w:sz="4" w:space="0" w:color="5B9BD4"/>
              <w:right w:val="nil" w:sz="6" w:space="0" w:color="auto"/>
            </w:tcBorders>
            <w:shd w:val="clear" w:color="auto" w:fill="DEEAF6"/>
          </w:tcPr>
          <w:p>
            <w:pPr/>
          </w:p>
        </w:tc>
        <w:tc>
          <w:tcPr>
            <w:tcW w:w="798" w:type="dxa"/>
            <w:vMerge/>
            <w:tcBorders>
              <w:left w:val="nil" w:sz="6" w:space="0" w:color="auto"/>
              <w:bottom w:val="single" w:sz="4" w:space="0" w:color="5B9BD4"/>
              <w:right w:val="nil" w:sz="6" w:space="0" w:color="auto"/>
            </w:tcBorders>
            <w:shd w:val="clear" w:color="auto" w:fill="DEEAF6"/>
          </w:tcPr>
          <w:p>
            <w:pPr/>
          </w:p>
        </w:tc>
        <w:tc>
          <w:tcPr>
            <w:tcW w:w="798" w:type="dxa"/>
            <w:vMerge/>
            <w:tcBorders>
              <w:left w:val="nil" w:sz="6" w:space="0" w:color="auto"/>
              <w:bottom w:val="single" w:sz="4" w:space="0" w:color="5B9BD4"/>
              <w:right w:val="nil" w:sz="6" w:space="0" w:color="auto"/>
            </w:tcBorders>
            <w:shd w:val="clear" w:color="auto" w:fill="DEEAF6"/>
          </w:tcPr>
          <w:p>
            <w:pPr/>
          </w:p>
        </w:tc>
        <w:tc>
          <w:tcPr>
            <w:tcW w:w="797" w:type="dxa"/>
            <w:vMerge/>
            <w:tcBorders>
              <w:left w:val="nil" w:sz="6" w:space="0" w:color="auto"/>
              <w:bottom w:val="single" w:sz="4" w:space="0" w:color="5B9BD4"/>
              <w:right w:val="nil" w:sz="6" w:space="0" w:color="auto"/>
            </w:tcBorders>
            <w:shd w:val="clear" w:color="auto" w:fill="DEEAF6"/>
          </w:tcPr>
          <w:p>
            <w:pPr/>
          </w:p>
        </w:tc>
        <w:tc>
          <w:tcPr>
            <w:tcW w:w="798" w:type="dxa"/>
            <w:vMerge/>
            <w:tcBorders>
              <w:left w:val="nil" w:sz="6" w:space="0" w:color="auto"/>
              <w:bottom w:val="single" w:sz="4" w:space="0" w:color="5B9BD4"/>
              <w:right w:val="nil" w:sz="6" w:space="0" w:color="auto"/>
            </w:tcBorders>
            <w:shd w:val="clear" w:color="auto" w:fill="DEEAF6"/>
          </w:tcPr>
          <w:p>
            <w:pPr/>
          </w:p>
        </w:tc>
        <w:tc>
          <w:tcPr>
            <w:tcW w:w="676" w:type="dxa"/>
            <w:vMerge/>
            <w:tcBorders>
              <w:left w:val="nil" w:sz="6" w:space="0" w:color="auto"/>
              <w:bottom w:val="single" w:sz="4" w:space="0" w:color="5B9BD4"/>
              <w:right w:val="nil" w:sz="6" w:space="0" w:color="auto"/>
            </w:tcBorders>
            <w:shd w:val="clear" w:color="auto" w:fill="DEEAF6"/>
          </w:tcPr>
          <w:p>
            <w:pPr/>
          </w:p>
        </w:tc>
        <w:tc>
          <w:tcPr>
            <w:tcW w:w="781" w:type="dxa"/>
            <w:vMerge/>
            <w:tcBorders>
              <w:left w:val="nil" w:sz="6" w:space="0" w:color="auto"/>
              <w:bottom w:val="single" w:sz="4" w:space="0" w:color="5B9BD4"/>
              <w:right w:val="nil" w:sz="6" w:space="0" w:color="auto"/>
            </w:tcBorders>
            <w:shd w:val="clear" w:color="auto" w:fill="DEEAF6"/>
          </w:tcPr>
          <w:p>
            <w:pPr/>
          </w:p>
        </w:tc>
      </w:tr>
      <w:tr>
        <w:trPr>
          <w:trHeight w:val="1263"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08" w:right="106"/>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5B9BD4"/>
              <w:left w:val="nil" w:sz="6" w:space="0" w:color="auto"/>
              <w:bottom w:val="single" w:sz="4" w:space="0" w:color="5B9BD4"/>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4" w:right="0"/>
              <w:jc w:val="left"/>
              <w:rPr>
                <w:rFonts w:ascii="Arial" w:hAnsi="Arial" w:cs="Arial" w:eastAsia="Arial" w:hint="default"/>
                <w:sz w:val="18"/>
                <w:szCs w:val="18"/>
              </w:rPr>
            </w:pPr>
            <w:r>
              <w:rPr>
                <w:rFonts w:ascii="Arial"/>
                <w:sz w:val="18"/>
              </w:rPr>
              <w:t>999,1</w:t>
            </w:r>
          </w:p>
          <w:p>
            <w:pPr>
              <w:pStyle w:val="TableParagraph"/>
              <w:spacing w:line="240" w:lineRule="auto" w:before="105"/>
              <w:ind w:left="134" w:right="0"/>
              <w:jc w:val="left"/>
              <w:rPr>
                <w:rFonts w:ascii="Arial" w:hAnsi="Arial" w:cs="Arial" w:eastAsia="Arial" w:hint="default"/>
                <w:sz w:val="18"/>
                <w:szCs w:val="18"/>
              </w:rPr>
            </w:pPr>
            <w:r>
              <w:rPr>
                <w:rFonts w:ascii="Arial"/>
                <w:sz w:val="18"/>
              </w:rPr>
              <w:t>00,00</w:t>
            </w:r>
          </w:p>
          <w:p>
            <w:pPr>
              <w:pStyle w:val="TableParagraph"/>
              <w:spacing w:line="240" w:lineRule="auto" w:before="105"/>
              <w:ind w:left="234" w:right="0"/>
              <w:jc w:val="left"/>
              <w:rPr>
                <w:rFonts w:ascii="Arial" w:hAnsi="Arial" w:cs="Arial" w:eastAsia="Arial" w:hint="default"/>
                <w:sz w:val="18"/>
                <w:szCs w:val="18"/>
              </w:rPr>
            </w:pPr>
            <w:r>
              <w:rPr>
                <w:rFonts w:ascii="Arial"/>
                <w:sz w:val="18"/>
              </w:rPr>
              <w:t>0.00</w:t>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3" w:right="0"/>
              <w:jc w:val="center"/>
              <w:rPr>
                <w:rFonts w:ascii="Arial" w:hAnsi="Arial" w:cs="Arial" w:eastAsia="Arial" w:hint="default"/>
                <w:sz w:val="18"/>
                <w:szCs w:val="18"/>
              </w:rPr>
            </w:pPr>
            <w:r>
              <w:rPr>
                <w:rFonts w:ascii="Arial"/>
                <w:sz w:val="18"/>
              </w:rPr>
              <w:t>1,722,</w:t>
            </w:r>
          </w:p>
          <w:p>
            <w:pPr>
              <w:pStyle w:val="TableParagraph"/>
              <w:spacing w:line="240" w:lineRule="auto" w:before="105"/>
              <w:ind w:left="32" w:right="0"/>
              <w:jc w:val="center"/>
              <w:rPr>
                <w:rFonts w:ascii="Arial" w:hAnsi="Arial" w:cs="Arial" w:eastAsia="Arial" w:hint="default"/>
                <w:sz w:val="18"/>
                <w:szCs w:val="18"/>
              </w:rPr>
            </w:pPr>
            <w:r>
              <w:rPr>
                <w:rFonts w:ascii="Arial"/>
                <w:sz w:val="18"/>
              </w:rPr>
              <w:t>763,12</w:t>
            </w:r>
          </w:p>
          <w:p>
            <w:pPr>
              <w:pStyle w:val="TableParagraph"/>
              <w:spacing w:line="240" w:lineRule="auto" w:before="105"/>
              <w:ind w:left="231" w:right="0"/>
              <w:jc w:val="center"/>
              <w:rPr>
                <w:rFonts w:ascii="Arial" w:hAnsi="Arial" w:cs="Arial" w:eastAsia="Arial" w:hint="default"/>
                <w:sz w:val="18"/>
                <w:szCs w:val="18"/>
              </w:rPr>
            </w:pPr>
            <w:r>
              <w:rPr>
                <w:rFonts w:ascii="Arial"/>
                <w:sz w:val="18"/>
              </w:rPr>
              <w:t>9.00</w:t>
            </w: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0" w:right="0"/>
              <w:jc w:val="left"/>
              <w:rPr>
                <w:rFonts w:ascii="Arial" w:hAnsi="Arial" w:cs="Arial" w:eastAsia="Arial" w:hint="default"/>
                <w:sz w:val="18"/>
                <w:szCs w:val="18"/>
              </w:rPr>
            </w:pPr>
            <w:r>
              <w:rPr>
                <w:rFonts w:ascii="Arial"/>
                <w:sz w:val="18"/>
              </w:rPr>
              <w:t>185,82</w:t>
            </w:r>
          </w:p>
          <w:p>
            <w:pPr>
              <w:pStyle w:val="TableParagraph"/>
              <w:spacing w:line="240" w:lineRule="auto" w:before="105"/>
              <w:ind w:left="190" w:right="0"/>
              <w:jc w:val="left"/>
              <w:rPr>
                <w:rFonts w:ascii="Arial" w:hAnsi="Arial" w:cs="Arial" w:eastAsia="Arial" w:hint="default"/>
                <w:sz w:val="18"/>
                <w:szCs w:val="18"/>
              </w:rPr>
            </w:pPr>
            <w:r>
              <w:rPr>
                <w:rFonts w:ascii="Arial"/>
                <w:sz w:val="18"/>
              </w:rPr>
              <w:t>8,622.</w:t>
            </w:r>
          </w:p>
          <w:p>
            <w:pPr>
              <w:pStyle w:val="TableParagraph"/>
              <w:spacing w:line="240" w:lineRule="auto" w:before="105"/>
              <w:ind w:left="489" w:right="0"/>
              <w:jc w:val="left"/>
              <w:rPr>
                <w:rFonts w:ascii="Arial" w:hAnsi="Arial" w:cs="Arial" w:eastAsia="Arial" w:hint="default"/>
                <w:sz w:val="18"/>
                <w:szCs w:val="18"/>
              </w:rPr>
            </w:pPr>
            <w:r>
              <w:rPr>
                <w:rFonts w:ascii="Arial"/>
                <w:sz w:val="18"/>
              </w:rPr>
              <w:t>98</w:t>
            </w:r>
          </w:p>
        </w:tc>
        <w:tc>
          <w:tcPr>
            <w:tcW w:w="67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2"/>
              <w:ind w:left="118" w:right="0"/>
              <w:jc w:val="left"/>
              <w:rPr>
                <w:rFonts w:ascii="Arial" w:hAnsi="Arial" w:cs="Arial" w:eastAsia="Arial" w:hint="default"/>
                <w:sz w:val="18"/>
                <w:szCs w:val="18"/>
              </w:rPr>
            </w:pPr>
            <w:r>
              <w:rPr>
                <w:rFonts w:ascii="Arial"/>
                <w:sz w:val="18"/>
              </w:rPr>
              <w:t>1,041</w:t>
            </w:r>
          </w:p>
          <w:p>
            <w:pPr>
              <w:pStyle w:val="TableParagraph"/>
              <w:spacing w:line="240" w:lineRule="auto" w:before="105"/>
              <w:ind w:left="169" w:right="0"/>
              <w:jc w:val="left"/>
              <w:rPr>
                <w:rFonts w:ascii="Arial" w:hAnsi="Arial" w:cs="Arial" w:eastAsia="Arial" w:hint="default"/>
                <w:sz w:val="18"/>
                <w:szCs w:val="18"/>
              </w:rPr>
            </w:pPr>
            <w:r>
              <w:rPr>
                <w:rFonts w:ascii="Arial"/>
                <w:sz w:val="18"/>
              </w:rPr>
              <w:t>,771,</w:t>
            </w:r>
          </w:p>
          <w:p>
            <w:pPr>
              <w:pStyle w:val="TableParagraph"/>
              <w:spacing w:line="240" w:lineRule="auto" w:before="105"/>
              <w:ind w:left="118" w:right="0"/>
              <w:jc w:val="left"/>
              <w:rPr>
                <w:rFonts w:ascii="Arial" w:hAnsi="Arial" w:cs="Arial" w:eastAsia="Arial" w:hint="default"/>
                <w:sz w:val="18"/>
                <w:szCs w:val="18"/>
              </w:rPr>
            </w:pPr>
            <w:r>
              <w:rPr>
                <w:rFonts w:ascii="Arial"/>
                <w:sz w:val="18"/>
              </w:rPr>
              <w:t>307.8</w:t>
            </w:r>
          </w:p>
          <w:p>
            <w:pPr>
              <w:pStyle w:val="TableParagraph"/>
              <w:spacing w:line="240" w:lineRule="auto" w:before="105"/>
              <w:ind w:right="105"/>
              <w:jc w:val="right"/>
              <w:rPr>
                <w:rFonts w:ascii="Arial" w:hAnsi="Arial" w:cs="Arial" w:eastAsia="Arial" w:hint="default"/>
                <w:sz w:val="18"/>
                <w:szCs w:val="18"/>
              </w:rPr>
            </w:pPr>
            <w:r>
              <w:rPr>
                <w:rFonts w:ascii="Arial"/>
                <w:w w:val="99"/>
                <w:sz w:val="18"/>
              </w:rPr>
              <w:t>8</w:t>
            </w:r>
            <w:r>
              <w:rPr>
                <w:rFonts w:ascii="Arial"/>
                <w:sz w:val="18"/>
              </w:rPr>
            </w:r>
          </w:p>
        </w:tc>
        <w:tc>
          <w:tcPr>
            <w:tcW w:w="781" w:type="dxa"/>
            <w:tcBorders>
              <w:top w:val="single" w:sz="4" w:space="0" w:color="5B9BD4"/>
              <w:left w:val="nil" w:sz="6" w:space="0" w:color="auto"/>
              <w:bottom w:val="single" w:sz="4" w:space="0" w:color="5B9BD4"/>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7" w:right="0"/>
              <w:jc w:val="center"/>
              <w:rPr>
                <w:rFonts w:ascii="Arial" w:hAnsi="Arial" w:cs="Arial" w:eastAsia="Arial" w:hint="default"/>
                <w:sz w:val="18"/>
                <w:szCs w:val="18"/>
              </w:rPr>
            </w:pPr>
            <w:r>
              <w:rPr>
                <w:rFonts w:ascii="Arial"/>
                <w:sz w:val="18"/>
              </w:rPr>
              <w:t>3,949,</w:t>
            </w:r>
          </w:p>
          <w:p>
            <w:pPr>
              <w:pStyle w:val="TableParagraph"/>
              <w:spacing w:line="240" w:lineRule="auto" w:before="105"/>
              <w:ind w:left="16" w:right="0"/>
              <w:jc w:val="center"/>
              <w:rPr>
                <w:rFonts w:ascii="Arial" w:hAnsi="Arial" w:cs="Arial" w:eastAsia="Arial" w:hint="default"/>
                <w:sz w:val="18"/>
                <w:szCs w:val="18"/>
              </w:rPr>
            </w:pPr>
            <w:r>
              <w:rPr>
                <w:rFonts w:ascii="Arial"/>
                <w:sz w:val="18"/>
              </w:rPr>
              <w:t>463,05</w:t>
            </w:r>
          </w:p>
          <w:p>
            <w:pPr>
              <w:pStyle w:val="TableParagraph"/>
              <w:spacing w:line="240" w:lineRule="auto" w:before="105"/>
              <w:ind w:left="215" w:right="0"/>
              <w:jc w:val="center"/>
              <w:rPr>
                <w:rFonts w:ascii="Arial" w:hAnsi="Arial" w:cs="Arial" w:eastAsia="Arial" w:hint="default"/>
                <w:sz w:val="18"/>
                <w:szCs w:val="18"/>
              </w:rPr>
            </w:pPr>
            <w:r>
              <w:rPr>
                <w:rFonts w:ascii="Arial"/>
                <w:sz w:val="18"/>
              </w:rPr>
              <w:t>9.86</w:t>
            </w:r>
          </w:p>
        </w:tc>
      </w:tr>
      <w:tr>
        <w:trPr>
          <w:trHeight w:val="635"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6"/>
              <w:ind w:left="108" w:right="106"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676" w:type="dxa"/>
            <w:tcBorders>
              <w:top w:val="single" w:sz="4" w:space="0" w:color="5B9BD4"/>
              <w:left w:val="nil" w:sz="6" w:space="0" w:color="auto"/>
              <w:bottom w:val="single" w:sz="4" w:space="0" w:color="5B9BD4"/>
              <w:right w:val="nil" w:sz="6" w:space="0" w:color="auto"/>
            </w:tcBorders>
            <w:shd w:val="clear" w:color="auto" w:fill="DEEAF6"/>
          </w:tcPr>
          <w:p>
            <w:pPr/>
          </w:p>
        </w:tc>
        <w:tc>
          <w:tcPr>
            <w:tcW w:w="781" w:type="dxa"/>
            <w:tcBorders>
              <w:top w:val="single" w:sz="4" w:space="0" w:color="5B9BD4"/>
              <w:left w:val="nil" w:sz="6" w:space="0" w:color="auto"/>
              <w:bottom w:val="single" w:sz="4" w:space="0" w:color="5B9BD4"/>
              <w:right w:val="nil" w:sz="6" w:space="0" w:color="auto"/>
            </w:tcBorders>
          </w:tcPr>
          <w:p>
            <w:pPr/>
          </w:p>
        </w:tc>
      </w:tr>
      <w:tr>
        <w:trPr>
          <w:trHeight w:val="634"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828"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91"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676" w:type="dxa"/>
            <w:tcBorders>
              <w:top w:val="single" w:sz="4" w:space="0" w:color="5B9BD4"/>
              <w:left w:val="nil" w:sz="6" w:space="0" w:color="auto"/>
              <w:bottom w:val="single" w:sz="4" w:space="0" w:color="5B9BD4"/>
              <w:right w:val="nil" w:sz="6" w:space="0" w:color="auto"/>
            </w:tcBorders>
            <w:shd w:val="clear" w:color="auto" w:fill="DEEAF6"/>
          </w:tcPr>
          <w:p>
            <w:pPr/>
          </w:p>
        </w:tc>
        <w:tc>
          <w:tcPr>
            <w:tcW w:w="781" w:type="dxa"/>
            <w:tcBorders>
              <w:top w:val="single" w:sz="4" w:space="0" w:color="5B9BD4"/>
              <w:left w:val="nil" w:sz="6" w:space="0" w:color="auto"/>
              <w:bottom w:val="single" w:sz="4" w:space="0" w:color="5B9BD4"/>
              <w:right w:val="nil" w:sz="6" w:space="0" w:color="auto"/>
            </w:tcBorders>
          </w:tcPr>
          <w:p>
            <w:pPr/>
          </w:p>
        </w:tc>
      </w:tr>
      <w:tr>
        <w:trPr>
          <w:trHeight w:val="323"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8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676" w:type="dxa"/>
            <w:tcBorders>
              <w:top w:val="single" w:sz="4" w:space="0" w:color="5B9BD4"/>
              <w:left w:val="nil" w:sz="6" w:space="0" w:color="auto"/>
              <w:bottom w:val="single" w:sz="4" w:space="0" w:color="5B9BD4"/>
              <w:right w:val="nil" w:sz="6" w:space="0" w:color="auto"/>
            </w:tcBorders>
            <w:shd w:val="clear" w:color="auto" w:fill="DEEAF6"/>
          </w:tcPr>
          <w:p>
            <w:pPr/>
          </w:p>
        </w:tc>
        <w:tc>
          <w:tcPr>
            <w:tcW w:w="781" w:type="dxa"/>
            <w:tcBorders>
              <w:top w:val="single" w:sz="4" w:space="0" w:color="5B9BD4"/>
              <w:left w:val="nil" w:sz="6" w:space="0" w:color="auto"/>
              <w:bottom w:val="single" w:sz="4" w:space="0" w:color="5B9BD4"/>
              <w:right w:val="nil" w:sz="6" w:space="0" w:color="auto"/>
            </w:tcBorders>
          </w:tcPr>
          <w:p>
            <w:pPr/>
          </w:p>
        </w:tc>
      </w:tr>
    </w:tbl>
    <w:p>
      <w:pPr>
        <w:spacing w:after="0"/>
        <w:sectPr>
          <w:pgSz w:w="11910" w:h="16840"/>
          <w:pgMar w:header="877" w:footer="979" w:top="1100" w:bottom="116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7"/>
        <w:gridCol w:w="798"/>
        <w:gridCol w:w="676"/>
        <w:gridCol w:w="781"/>
      </w:tblGrid>
      <w:tr>
        <w:trPr>
          <w:trHeight w:val="1258"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108" w:right="106"/>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34" w:right="0"/>
              <w:jc w:val="left"/>
              <w:rPr>
                <w:rFonts w:ascii="Arial" w:hAnsi="Arial" w:cs="Arial" w:eastAsia="Arial" w:hint="default"/>
                <w:sz w:val="18"/>
                <w:szCs w:val="18"/>
              </w:rPr>
            </w:pPr>
            <w:r>
              <w:rPr>
                <w:rFonts w:ascii="Arial"/>
                <w:sz w:val="18"/>
              </w:rPr>
              <w:t>999,1</w:t>
            </w:r>
          </w:p>
          <w:p>
            <w:pPr>
              <w:pStyle w:val="TableParagraph"/>
              <w:spacing w:line="240" w:lineRule="auto" w:before="105"/>
              <w:ind w:left="134" w:right="0"/>
              <w:jc w:val="left"/>
              <w:rPr>
                <w:rFonts w:ascii="Arial" w:hAnsi="Arial" w:cs="Arial" w:eastAsia="Arial" w:hint="default"/>
                <w:sz w:val="18"/>
                <w:szCs w:val="18"/>
              </w:rPr>
            </w:pPr>
            <w:r>
              <w:rPr>
                <w:rFonts w:ascii="Arial"/>
                <w:sz w:val="18"/>
              </w:rPr>
              <w:t>00,00</w:t>
            </w:r>
          </w:p>
          <w:p>
            <w:pPr>
              <w:pStyle w:val="TableParagraph"/>
              <w:spacing w:line="240" w:lineRule="auto" w:before="105"/>
              <w:ind w:left="234" w:right="0"/>
              <w:jc w:val="left"/>
              <w:rPr>
                <w:rFonts w:ascii="Arial" w:hAnsi="Arial" w:cs="Arial" w:eastAsia="Arial" w:hint="default"/>
                <w:sz w:val="18"/>
                <w:szCs w:val="18"/>
              </w:rPr>
            </w:pPr>
            <w:r>
              <w:rPr>
                <w:rFonts w:ascii="Arial"/>
                <w:sz w:val="18"/>
              </w:rPr>
              <w:t>0.00</w:t>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83" w:right="0"/>
              <w:jc w:val="center"/>
              <w:rPr>
                <w:rFonts w:ascii="Arial" w:hAnsi="Arial" w:cs="Arial" w:eastAsia="Arial" w:hint="default"/>
                <w:sz w:val="18"/>
                <w:szCs w:val="18"/>
              </w:rPr>
            </w:pPr>
            <w:r>
              <w:rPr>
                <w:rFonts w:ascii="Arial"/>
                <w:sz w:val="18"/>
              </w:rPr>
              <w:t>1,722,</w:t>
            </w:r>
          </w:p>
          <w:p>
            <w:pPr>
              <w:pStyle w:val="TableParagraph"/>
              <w:spacing w:line="240" w:lineRule="auto" w:before="105"/>
              <w:ind w:left="32" w:right="0"/>
              <w:jc w:val="center"/>
              <w:rPr>
                <w:rFonts w:ascii="Arial" w:hAnsi="Arial" w:cs="Arial" w:eastAsia="Arial" w:hint="default"/>
                <w:sz w:val="18"/>
                <w:szCs w:val="18"/>
              </w:rPr>
            </w:pPr>
            <w:r>
              <w:rPr>
                <w:rFonts w:ascii="Arial"/>
                <w:sz w:val="18"/>
              </w:rPr>
              <w:t>763,12</w:t>
            </w:r>
          </w:p>
          <w:p>
            <w:pPr>
              <w:pStyle w:val="TableParagraph"/>
              <w:spacing w:line="240" w:lineRule="auto" w:before="105"/>
              <w:ind w:left="231" w:right="0"/>
              <w:jc w:val="center"/>
              <w:rPr>
                <w:rFonts w:ascii="Arial" w:hAnsi="Arial" w:cs="Arial" w:eastAsia="Arial" w:hint="default"/>
                <w:sz w:val="18"/>
                <w:szCs w:val="18"/>
              </w:rPr>
            </w:pPr>
            <w:r>
              <w:rPr>
                <w:rFonts w:ascii="Arial"/>
                <w:sz w:val="18"/>
              </w:rPr>
              <w:t>9.00</w:t>
            </w: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40" w:right="0"/>
              <w:jc w:val="left"/>
              <w:rPr>
                <w:rFonts w:ascii="Arial" w:hAnsi="Arial" w:cs="Arial" w:eastAsia="Arial" w:hint="default"/>
                <w:sz w:val="18"/>
                <w:szCs w:val="18"/>
              </w:rPr>
            </w:pPr>
            <w:r>
              <w:rPr>
                <w:rFonts w:ascii="Arial"/>
                <w:sz w:val="18"/>
              </w:rPr>
              <w:t>185,82</w:t>
            </w:r>
          </w:p>
          <w:p>
            <w:pPr>
              <w:pStyle w:val="TableParagraph"/>
              <w:spacing w:line="240" w:lineRule="auto" w:before="105"/>
              <w:ind w:left="190" w:right="0"/>
              <w:jc w:val="left"/>
              <w:rPr>
                <w:rFonts w:ascii="Arial" w:hAnsi="Arial" w:cs="Arial" w:eastAsia="Arial" w:hint="default"/>
                <w:sz w:val="18"/>
                <w:szCs w:val="18"/>
              </w:rPr>
            </w:pPr>
            <w:r>
              <w:rPr>
                <w:rFonts w:ascii="Arial"/>
                <w:sz w:val="18"/>
              </w:rPr>
              <w:t>8,622.</w:t>
            </w:r>
          </w:p>
          <w:p>
            <w:pPr>
              <w:pStyle w:val="TableParagraph"/>
              <w:spacing w:line="240" w:lineRule="auto" w:before="105"/>
              <w:ind w:left="489" w:right="0"/>
              <w:jc w:val="left"/>
              <w:rPr>
                <w:rFonts w:ascii="Arial" w:hAnsi="Arial" w:cs="Arial" w:eastAsia="Arial" w:hint="default"/>
                <w:sz w:val="18"/>
                <w:szCs w:val="18"/>
              </w:rPr>
            </w:pPr>
            <w:r>
              <w:rPr>
                <w:rFonts w:ascii="Arial"/>
                <w:sz w:val="18"/>
              </w:rPr>
              <w:t>98</w:t>
            </w:r>
          </w:p>
        </w:tc>
        <w:tc>
          <w:tcPr>
            <w:tcW w:w="67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18" w:right="0"/>
              <w:jc w:val="left"/>
              <w:rPr>
                <w:rFonts w:ascii="Arial" w:hAnsi="Arial" w:cs="Arial" w:eastAsia="Arial" w:hint="default"/>
                <w:sz w:val="18"/>
                <w:szCs w:val="18"/>
              </w:rPr>
            </w:pPr>
            <w:r>
              <w:rPr>
                <w:rFonts w:ascii="Arial"/>
                <w:sz w:val="18"/>
              </w:rPr>
              <w:t>1,041</w:t>
            </w:r>
          </w:p>
          <w:p>
            <w:pPr>
              <w:pStyle w:val="TableParagraph"/>
              <w:spacing w:line="240" w:lineRule="auto" w:before="105"/>
              <w:ind w:left="169" w:right="0"/>
              <w:jc w:val="left"/>
              <w:rPr>
                <w:rFonts w:ascii="Arial" w:hAnsi="Arial" w:cs="Arial" w:eastAsia="Arial" w:hint="default"/>
                <w:sz w:val="18"/>
                <w:szCs w:val="18"/>
              </w:rPr>
            </w:pPr>
            <w:r>
              <w:rPr>
                <w:rFonts w:ascii="Arial"/>
                <w:sz w:val="18"/>
              </w:rPr>
              <w:t>,771,</w:t>
            </w:r>
          </w:p>
          <w:p>
            <w:pPr>
              <w:pStyle w:val="TableParagraph"/>
              <w:spacing w:line="240" w:lineRule="auto" w:before="105"/>
              <w:ind w:left="118" w:right="0"/>
              <w:jc w:val="left"/>
              <w:rPr>
                <w:rFonts w:ascii="Arial" w:hAnsi="Arial" w:cs="Arial" w:eastAsia="Arial" w:hint="default"/>
                <w:sz w:val="18"/>
                <w:szCs w:val="18"/>
              </w:rPr>
            </w:pPr>
            <w:r>
              <w:rPr>
                <w:rFonts w:ascii="Arial"/>
                <w:sz w:val="18"/>
              </w:rPr>
              <w:t>307.8</w:t>
            </w:r>
          </w:p>
          <w:p>
            <w:pPr>
              <w:pStyle w:val="TableParagraph"/>
              <w:spacing w:line="240" w:lineRule="auto" w:before="105"/>
              <w:ind w:right="105"/>
              <w:jc w:val="right"/>
              <w:rPr>
                <w:rFonts w:ascii="Arial" w:hAnsi="Arial" w:cs="Arial" w:eastAsia="Arial" w:hint="default"/>
                <w:sz w:val="18"/>
                <w:szCs w:val="18"/>
              </w:rPr>
            </w:pPr>
            <w:r>
              <w:rPr>
                <w:rFonts w:ascii="Arial"/>
                <w:w w:val="99"/>
                <w:sz w:val="18"/>
              </w:rPr>
              <w:t>8</w:t>
            </w:r>
            <w:r>
              <w:rPr>
                <w:rFonts w:ascii="Arial"/>
                <w:sz w:val="18"/>
              </w:rPr>
            </w:r>
          </w:p>
        </w:tc>
        <w:tc>
          <w:tcPr>
            <w:tcW w:w="781"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67" w:right="0"/>
              <w:jc w:val="center"/>
              <w:rPr>
                <w:rFonts w:ascii="Arial" w:hAnsi="Arial" w:cs="Arial" w:eastAsia="Arial" w:hint="default"/>
                <w:sz w:val="18"/>
                <w:szCs w:val="18"/>
              </w:rPr>
            </w:pPr>
            <w:r>
              <w:rPr>
                <w:rFonts w:ascii="Arial"/>
                <w:sz w:val="18"/>
              </w:rPr>
              <w:t>3,949,</w:t>
            </w:r>
          </w:p>
          <w:p>
            <w:pPr>
              <w:pStyle w:val="TableParagraph"/>
              <w:spacing w:line="240" w:lineRule="auto" w:before="105"/>
              <w:ind w:left="16" w:right="0"/>
              <w:jc w:val="center"/>
              <w:rPr>
                <w:rFonts w:ascii="Arial" w:hAnsi="Arial" w:cs="Arial" w:eastAsia="Arial" w:hint="default"/>
                <w:sz w:val="18"/>
                <w:szCs w:val="18"/>
              </w:rPr>
            </w:pPr>
            <w:r>
              <w:rPr>
                <w:rFonts w:ascii="Arial"/>
                <w:sz w:val="18"/>
              </w:rPr>
              <w:t>463,05</w:t>
            </w:r>
          </w:p>
          <w:p>
            <w:pPr>
              <w:pStyle w:val="TableParagraph"/>
              <w:spacing w:line="240" w:lineRule="auto" w:before="105"/>
              <w:ind w:left="215" w:right="0"/>
              <w:jc w:val="center"/>
              <w:rPr>
                <w:rFonts w:ascii="Arial" w:hAnsi="Arial" w:cs="Arial" w:eastAsia="Arial" w:hint="default"/>
                <w:sz w:val="18"/>
                <w:szCs w:val="18"/>
              </w:rPr>
            </w:pPr>
            <w:r>
              <w:rPr>
                <w:rFonts w:ascii="Arial"/>
                <w:sz w:val="18"/>
              </w:rPr>
              <w:t>9.86</w:t>
            </w:r>
          </w:p>
        </w:tc>
      </w:tr>
      <w:tr>
        <w:trPr>
          <w:trHeight w:val="947"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71"/>
              <w:jc w:val="both"/>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5B9BD4"/>
              <w:left w:val="nil" w:sz="6" w:space="0" w:color="auto"/>
              <w:bottom w:val="single" w:sz="4" w:space="0" w:color="5B9BD4"/>
              <w:right w:val="nil" w:sz="6" w:space="0" w:color="auto"/>
            </w:tcBorders>
          </w:tcPr>
          <w:p>
            <w:pPr>
              <w:pStyle w:val="TableParagraph"/>
              <w:spacing w:line="240" w:lineRule="auto" w:before="48"/>
              <w:ind w:left="65" w:right="0"/>
              <w:jc w:val="center"/>
              <w:rPr>
                <w:rFonts w:ascii="Arial" w:hAnsi="Arial" w:cs="Arial" w:eastAsia="Arial" w:hint="default"/>
                <w:sz w:val="18"/>
                <w:szCs w:val="18"/>
              </w:rPr>
            </w:pPr>
            <w:r>
              <w:rPr>
                <w:rFonts w:ascii="Arial"/>
                <w:sz w:val="18"/>
              </w:rPr>
              <w:t>-4,33</w:t>
            </w:r>
          </w:p>
          <w:p>
            <w:pPr>
              <w:pStyle w:val="TableParagraph"/>
              <w:spacing w:line="240" w:lineRule="auto" w:before="105"/>
              <w:ind w:left="26" w:right="0"/>
              <w:jc w:val="center"/>
              <w:rPr>
                <w:rFonts w:ascii="Arial" w:hAnsi="Arial" w:cs="Arial" w:eastAsia="Arial" w:hint="default"/>
                <w:sz w:val="18"/>
                <w:szCs w:val="18"/>
              </w:rPr>
            </w:pPr>
            <w:r>
              <w:rPr>
                <w:rFonts w:ascii="Arial"/>
                <w:sz w:val="18"/>
              </w:rPr>
              <w:t>3,734</w:t>
            </w:r>
          </w:p>
          <w:p>
            <w:pPr>
              <w:pStyle w:val="TableParagraph"/>
              <w:spacing w:line="240" w:lineRule="auto" w:before="105"/>
              <w:ind w:left="225" w:right="0"/>
              <w:jc w:val="center"/>
              <w:rPr>
                <w:rFonts w:ascii="Arial" w:hAnsi="Arial" w:cs="Arial" w:eastAsia="Arial" w:hint="default"/>
                <w:sz w:val="18"/>
                <w:szCs w:val="18"/>
              </w:rPr>
            </w:pPr>
            <w:r>
              <w:rPr>
                <w:rFonts w:ascii="Arial"/>
                <w:sz w:val="18"/>
              </w:rPr>
              <w:t>.00</w:t>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Style w:val="TableParagraph"/>
              <w:spacing w:line="240" w:lineRule="auto" w:before="48"/>
              <w:ind w:left="180" w:right="0"/>
              <w:jc w:val="left"/>
              <w:rPr>
                <w:rFonts w:ascii="Arial" w:hAnsi="Arial" w:cs="Arial" w:eastAsia="Arial" w:hint="default"/>
                <w:sz w:val="18"/>
                <w:szCs w:val="18"/>
              </w:rPr>
            </w:pPr>
            <w:r>
              <w:rPr>
                <w:rFonts w:ascii="Arial"/>
                <w:sz w:val="18"/>
              </w:rPr>
              <w:t>-142,9</w:t>
            </w:r>
          </w:p>
          <w:p>
            <w:pPr>
              <w:pStyle w:val="TableParagraph"/>
              <w:spacing w:line="240" w:lineRule="auto" w:before="105"/>
              <w:ind w:left="140" w:right="0"/>
              <w:jc w:val="left"/>
              <w:rPr>
                <w:rFonts w:ascii="Arial" w:hAnsi="Arial" w:cs="Arial" w:eastAsia="Arial" w:hint="default"/>
                <w:sz w:val="18"/>
                <w:szCs w:val="18"/>
              </w:rPr>
            </w:pPr>
            <w:r>
              <w:rPr>
                <w:rFonts w:ascii="Arial"/>
                <w:sz w:val="18"/>
              </w:rPr>
              <w:t>24,855</w:t>
            </w:r>
          </w:p>
          <w:p>
            <w:pPr>
              <w:pStyle w:val="TableParagraph"/>
              <w:spacing w:line="240" w:lineRule="auto" w:before="105"/>
              <w:ind w:left="439" w:right="0"/>
              <w:jc w:val="left"/>
              <w:rPr>
                <w:rFonts w:ascii="Arial" w:hAnsi="Arial" w:cs="Arial" w:eastAsia="Arial" w:hint="default"/>
                <w:sz w:val="18"/>
                <w:szCs w:val="18"/>
              </w:rPr>
            </w:pPr>
            <w:r>
              <w:rPr>
                <w:rFonts w:ascii="Arial"/>
                <w:sz w:val="18"/>
              </w:rPr>
              <w:t>.77</w:t>
            </w: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Style w:val="TableParagraph"/>
              <w:spacing w:line="240" w:lineRule="auto" w:before="48"/>
              <w:ind w:right="107"/>
              <w:jc w:val="right"/>
              <w:rPr>
                <w:rFonts w:ascii="Arial" w:hAnsi="Arial" w:cs="Arial" w:eastAsia="Arial" w:hint="default"/>
                <w:sz w:val="18"/>
                <w:szCs w:val="18"/>
              </w:rPr>
            </w:pPr>
            <w:r>
              <w:rPr>
                <w:rFonts w:ascii="Arial"/>
                <w:w w:val="95"/>
                <w:sz w:val="18"/>
              </w:rPr>
              <w:t>35,778</w:t>
            </w:r>
            <w:r>
              <w:rPr>
                <w:rFonts w:ascii="Arial"/>
                <w:sz w:val="18"/>
              </w:rPr>
            </w:r>
          </w:p>
          <w:p>
            <w:pPr>
              <w:pStyle w:val="TableParagraph"/>
              <w:spacing w:line="240" w:lineRule="auto" w:before="105"/>
              <w:ind w:right="106"/>
              <w:jc w:val="right"/>
              <w:rPr>
                <w:rFonts w:ascii="Arial" w:hAnsi="Arial" w:cs="Arial" w:eastAsia="Arial" w:hint="default"/>
                <w:sz w:val="18"/>
                <w:szCs w:val="18"/>
              </w:rPr>
            </w:pPr>
            <w:r>
              <w:rPr>
                <w:rFonts w:ascii="Arial"/>
                <w:w w:val="95"/>
                <w:sz w:val="18"/>
              </w:rPr>
              <w:t>,474.3</w:t>
            </w:r>
            <w:r>
              <w:rPr>
                <w:rFonts w:ascii="Arial"/>
                <w:sz w:val="18"/>
              </w:rPr>
            </w:r>
          </w:p>
          <w:p>
            <w:pPr>
              <w:pStyle w:val="TableParagraph"/>
              <w:spacing w:line="240" w:lineRule="auto" w:before="105"/>
              <w:ind w:right="107"/>
              <w:jc w:val="right"/>
              <w:rPr>
                <w:rFonts w:ascii="Arial" w:hAnsi="Arial" w:cs="Arial" w:eastAsia="Arial" w:hint="default"/>
                <w:sz w:val="18"/>
                <w:szCs w:val="18"/>
              </w:rPr>
            </w:pPr>
            <w:r>
              <w:rPr>
                <w:rFonts w:ascii="Arial"/>
                <w:w w:val="99"/>
                <w:sz w:val="18"/>
              </w:rPr>
              <w:t>8</w:t>
            </w:r>
            <w:r>
              <w:rPr>
                <w:rFonts w:ascii="Arial"/>
                <w:sz w:val="18"/>
              </w:rPr>
            </w:r>
          </w:p>
        </w:tc>
        <w:tc>
          <w:tcPr>
            <w:tcW w:w="67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8"/>
              <w:ind w:left="118" w:right="0"/>
              <w:jc w:val="left"/>
              <w:rPr>
                <w:rFonts w:ascii="Arial" w:hAnsi="Arial" w:cs="Arial" w:eastAsia="Arial" w:hint="default"/>
                <w:sz w:val="18"/>
                <w:szCs w:val="18"/>
              </w:rPr>
            </w:pPr>
            <w:r>
              <w:rPr>
                <w:rFonts w:ascii="Arial"/>
                <w:sz w:val="18"/>
              </w:rPr>
              <w:t>174,0</w:t>
            </w:r>
          </w:p>
          <w:p>
            <w:pPr>
              <w:pStyle w:val="TableParagraph"/>
              <w:spacing w:line="240" w:lineRule="auto" w:before="105"/>
              <w:ind w:left="118" w:right="0"/>
              <w:jc w:val="left"/>
              <w:rPr>
                <w:rFonts w:ascii="Arial" w:hAnsi="Arial" w:cs="Arial" w:eastAsia="Arial" w:hint="default"/>
                <w:sz w:val="18"/>
                <w:szCs w:val="18"/>
              </w:rPr>
            </w:pPr>
            <w:r>
              <w:rPr>
                <w:rFonts w:ascii="Arial"/>
                <w:sz w:val="18"/>
              </w:rPr>
              <w:t>16,26</w:t>
            </w:r>
          </w:p>
          <w:p>
            <w:pPr>
              <w:pStyle w:val="TableParagraph"/>
              <w:spacing w:line="240" w:lineRule="auto" w:before="105"/>
              <w:ind w:left="218" w:right="0"/>
              <w:jc w:val="left"/>
              <w:rPr>
                <w:rFonts w:ascii="Arial" w:hAnsi="Arial" w:cs="Arial" w:eastAsia="Arial" w:hint="default"/>
                <w:sz w:val="18"/>
                <w:szCs w:val="18"/>
              </w:rPr>
            </w:pPr>
            <w:r>
              <w:rPr>
                <w:rFonts w:ascii="Arial"/>
                <w:sz w:val="18"/>
              </w:rPr>
              <w:t>9.45</w:t>
            </w:r>
          </w:p>
        </w:tc>
        <w:tc>
          <w:tcPr>
            <w:tcW w:w="781" w:type="dxa"/>
            <w:tcBorders>
              <w:top w:val="single" w:sz="4" w:space="0" w:color="5B9BD4"/>
              <w:left w:val="nil" w:sz="6" w:space="0" w:color="auto"/>
              <w:bottom w:val="single" w:sz="4" w:space="0" w:color="5B9BD4"/>
              <w:right w:val="nil" w:sz="6" w:space="0" w:color="auto"/>
            </w:tcBorders>
          </w:tcPr>
          <w:p>
            <w:pPr>
              <w:pStyle w:val="TableParagraph"/>
              <w:spacing w:line="240" w:lineRule="auto" w:before="48"/>
              <w:ind w:right="105"/>
              <w:jc w:val="right"/>
              <w:rPr>
                <w:rFonts w:ascii="Arial" w:hAnsi="Arial" w:cs="Arial" w:eastAsia="Arial" w:hint="default"/>
                <w:sz w:val="18"/>
                <w:szCs w:val="18"/>
              </w:rPr>
            </w:pPr>
            <w:r>
              <w:rPr>
                <w:rFonts w:ascii="Arial"/>
                <w:w w:val="95"/>
                <w:sz w:val="18"/>
              </w:rPr>
              <w:t>62,536</w:t>
            </w:r>
            <w:r>
              <w:rPr>
                <w:rFonts w:ascii="Arial"/>
                <w:sz w:val="18"/>
              </w:rPr>
            </w:r>
          </w:p>
          <w:p>
            <w:pPr>
              <w:pStyle w:val="TableParagraph"/>
              <w:spacing w:line="240" w:lineRule="auto" w:before="105"/>
              <w:ind w:right="104"/>
              <w:jc w:val="right"/>
              <w:rPr>
                <w:rFonts w:ascii="Arial" w:hAnsi="Arial" w:cs="Arial" w:eastAsia="Arial" w:hint="default"/>
                <w:sz w:val="18"/>
                <w:szCs w:val="18"/>
              </w:rPr>
            </w:pPr>
            <w:r>
              <w:rPr>
                <w:rFonts w:ascii="Arial"/>
                <w:w w:val="95"/>
                <w:sz w:val="18"/>
              </w:rPr>
              <w:t>,154.0</w:t>
            </w:r>
            <w:r>
              <w:rPr>
                <w:rFonts w:ascii="Arial"/>
                <w:sz w:val="18"/>
              </w:rPr>
            </w:r>
          </w:p>
          <w:p>
            <w:pPr>
              <w:pStyle w:val="TableParagraph"/>
              <w:spacing w:line="240" w:lineRule="auto" w:before="105"/>
              <w:ind w:right="105"/>
              <w:jc w:val="right"/>
              <w:rPr>
                <w:rFonts w:ascii="Arial" w:hAnsi="Arial" w:cs="Arial" w:eastAsia="Arial" w:hint="default"/>
                <w:sz w:val="18"/>
                <w:szCs w:val="18"/>
              </w:rPr>
            </w:pPr>
            <w:r>
              <w:rPr>
                <w:rFonts w:ascii="Arial"/>
                <w:w w:val="99"/>
                <w:sz w:val="18"/>
              </w:rPr>
              <w:t>6</w:t>
            </w:r>
            <w:r>
              <w:rPr>
                <w:rFonts w:ascii="Arial"/>
                <w:sz w:val="18"/>
              </w:rPr>
            </w:r>
          </w:p>
        </w:tc>
      </w:tr>
      <w:tr>
        <w:trPr>
          <w:trHeight w:val="946"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161"/>
              <w:ind w:left="108" w:right="106"/>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67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18" w:right="0"/>
              <w:jc w:val="left"/>
              <w:rPr>
                <w:rFonts w:ascii="Arial" w:hAnsi="Arial" w:cs="Arial" w:eastAsia="Arial" w:hint="default"/>
                <w:sz w:val="18"/>
                <w:szCs w:val="18"/>
              </w:rPr>
            </w:pPr>
            <w:r>
              <w:rPr>
                <w:rFonts w:ascii="Arial"/>
                <w:sz w:val="18"/>
              </w:rPr>
              <w:t>357,7</w:t>
            </w:r>
          </w:p>
          <w:p>
            <w:pPr>
              <w:pStyle w:val="TableParagraph"/>
              <w:spacing w:line="240" w:lineRule="auto" w:before="105"/>
              <w:ind w:left="118" w:right="0"/>
              <w:jc w:val="left"/>
              <w:rPr>
                <w:rFonts w:ascii="Arial" w:hAnsi="Arial" w:cs="Arial" w:eastAsia="Arial" w:hint="default"/>
                <w:sz w:val="18"/>
                <w:szCs w:val="18"/>
              </w:rPr>
            </w:pPr>
            <w:r>
              <w:rPr>
                <w:rFonts w:ascii="Arial"/>
                <w:sz w:val="18"/>
              </w:rPr>
              <w:t>84,74</w:t>
            </w:r>
          </w:p>
          <w:p>
            <w:pPr>
              <w:pStyle w:val="TableParagraph"/>
              <w:spacing w:line="240" w:lineRule="auto" w:before="105"/>
              <w:ind w:left="218" w:right="0"/>
              <w:jc w:val="left"/>
              <w:rPr>
                <w:rFonts w:ascii="Arial" w:hAnsi="Arial" w:cs="Arial" w:eastAsia="Arial" w:hint="default"/>
                <w:sz w:val="18"/>
                <w:szCs w:val="18"/>
              </w:rPr>
            </w:pPr>
            <w:r>
              <w:rPr>
                <w:rFonts w:ascii="Arial"/>
                <w:sz w:val="18"/>
              </w:rPr>
              <w:t>3.83</w:t>
            </w:r>
          </w:p>
        </w:tc>
        <w:tc>
          <w:tcPr>
            <w:tcW w:w="78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24" w:right="0"/>
              <w:jc w:val="left"/>
              <w:rPr>
                <w:rFonts w:ascii="Arial" w:hAnsi="Arial" w:cs="Arial" w:eastAsia="Arial" w:hint="default"/>
                <w:sz w:val="18"/>
                <w:szCs w:val="18"/>
              </w:rPr>
            </w:pPr>
            <w:r>
              <w:rPr>
                <w:rFonts w:ascii="Arial"/>
                <w:sz w:val="18"/>
              </w:rPr>
              <w:t>357,78</w:t>
            </w:r>
          </w:p>
          <w:p>
            <w:pPr>
              <w:pStyle w:val="TableParagraph"/>
              <w:spacing w:line="240" w:lineRule="auto" w:before="105"/>
              <w:ind w:left="175" w:right="0"/>
              <w:jc w:val="left"/>
              <w:rPr>
                <w:rFonts w:ascii="Arial" w:hAnsi="Arial" w:cs="Arial" w:eastAsia="Arial" w:hint="default"/>
                <w:sz w:val="18"/>
                <w:szCs w:val="18"/>
              </w:rPr>
            </w:pPr>
            <w:r>
              <w:rPr>
                <w:rFonts w:ascii="Arial"/>
                <w:sz w:val="18"/>
              </w:rPr>
              <w:t>4,743.</w:t>
            </w:r>
          </w:p>
          <w:p>
            <w:pPr>
              <w:pStyle w:val="TableParagraph"/>
              <w:spacing w:line="240" w:lineRule="auto" w:before="105"/>
              <w:ind w:left="473" w:right="0"/>
              <w:jc w:val="left"/>
              <w:rPr>
                <w:rFonts w:ascii="Arial" w:hAnsi="Arial" w:cs="Arial" w:eastAsia="Arial" w:hint="default"/>
                <w:sz w:val="18"/>
                <w:szCs w:val="18"/>
              </w:rPr>
            </w:pPr>
            <w:r>
              <w:rPr>
                <w:rFonts w:ascii="Arial"/>
                <w:sz w:val="18"/>
              </w:rPr>
              <w:t>83</w:t>
            </w:r>
          </w:p>
        </w:tc>
      </w:tr>
      <w:tr>
        <w:trPr>
          <w:trHeight w:val="946"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161"/>
              <w:ind w:left="108" w:right="106"/>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65" w:right="0"/>
              <w:jc w:val="center"/>
              <w:rPr>
                <w:rFonts w:ascii="Arial" w:hAnsi="Arial" w:cs="Arial" w:eastAsia="Arial" w:hint="default"/>
                <w:sz w:val="18"/>
                <w:szCs w:val="18"/>
              </w:rPr>
            </w:pPr>
            <w:r>
              <w:rPr>
                <w:rFonts w:ascii="Arial"/>
                <w:sz w:val="18"/>
              </w:rPr>
              <w:t>-4,33</w:t>
            </w:r>
          </w:p>
          <w:p>
            <w:pPr>
              <w:pStyle w:val="TableParagraph"/>
              <w:spacing w:line="240" w:lineRule="auto" w:before="105"/>
              <w:ind w:left="26" w:right="0"/>
              <w:jc w:val="center"/>
              <w:rPr>
                <w:rFonts w:ascii="Arial" w:hAnsi="Arial" w:cs="Arial" w:eastAsia="Arial" w:hint="default"/>
                <w:sz w:val="18"/>
                <w:szCs w:val="18"/>
              </w:rPr>
            </w:pPr>
            <w:r>
              <w:rPr>
                <w:rFonts w:ascii="Arial"/>
                <w:sz w:val="18"/>
              </w:rPr>
              <w:t>3,734</w:t>
            </w:r>
          </w:p>
          <w:p>
            <w:pPr>
              <w:pStyle w:val="TableParagraph"/>
              <w:spacing w:line="240" w:lineRule="auto" w:before="105"/>
              <w:ind w:left="225" w:right="0"/>
              <w:jc w:val="center"/>
              <w:rPr>
                <w:rFonts w:ascii="Arial" w:hAnsi="Arial" w:cs="Arial" w:eastAsia="Arial" w:hint="default"/>
                <w:sz w:val="18"/>
                <w:szCs w:val="18"/>
              </w:rPr>
            </w:pPr>
            <w:r>
              <w:rPr>
                <w:rFonts w:ascii="Arial"/>
                <w:sz w:val="18"/>
              </w:rPr>
              <w:t>.00</w:t>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80" w:right="0"/>
              <w:jc w:val="left"/>
              <w:rPr>
                <w:rFonts w:ascii="Arial" w:hAnsi="Arial" w:cs="Arial" w:eastAsia="Arial" w:hint="default"/>
                <w:sz w:val="18"/>
                <w:szCs w:val="18"/>
              </w:rPr>
            </w:pPr>
            <w:r>
              <w:rPr>
                <w:rFonts w:ascii="Arial"/>
                <w:sz w:val="18"/>
              </w:rPr>
              <w:t>-142,9</w:t>
            </w:r>
          </w:p>
          <w:p>
            <w:pPr>
              <w:pStyle w:val="TableParagraph"/>
              <w:spacing w:line="240" w:lineRule="auto" w:before="105"/>
              <w:ind w:left="140" w:right="0"/>
              <w:jc w:val="left"/>
              <w:rPr>
                <w:rFonts w:ascii="Arial" w:hAnsi="Arial" w:cs="Arial" w:eastAsia="Arial" w:hint="default"/>
                <w:sz w:val="18"/>
                <w:szCs w:val="18"/>
              </w:rPr>
            </w:pPr>
            <w:r>
              <w:rPr>
                <w:rFonts w:ascii="Arial"/>
                <w:sz w:val="18"/>
              </w:rPr>
              <w:t>24,855</w:t>
            </w:r>
          </w:p>
          <w:p>
            <w:pPr>
              <w:pStyle w:val="TableParagraph"/>
              <w:spacing w:line="240" w:lineRule="auto" w:before="105"/>
              <w:ind w:left="439" w:right="0"/>
              <w:jc w:val="left"/>
              <w:rPr>
                <w:rFonts w:ascii="Arial" w:hAnsi="Arial" w:cs="Arial" w:eastAsia="Arial" w:hint="default"/>
                <w:sz w:val="18"/>
                <w:szCs w:val="18"/>
              </w:rPr>
            </w:pPr>
            <w:r>
              <w:rPr>
                <w:rFonts w:ascii="Arial"/>
                <w:sz w:val="18"/>
              </w:rPr>
              <w:t>.77</w:t>
            </w: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676" w:type="dxa"/>
            <w:tcBorders>
              <w:top w:val="single" w:sz="4" w:space="0" w:color="5B9BD4"/>
              <w:left w:val="nil" w:sz="6" w:space="0" w:color="auto"/>
              <w:bottom w:val="single" w:sz="4" w:space="0" w:color="5B9BD4"/>
              <w:right w:val="nil" w:sz="6" w:space="0" w:color="auto"/>
            </w:tcBorders>
            <w:shd w:val="clear" w:color="auto" w:fill="DEEAF6"/>
          </w:tcPr>
          <w:p>
            <w:pPr/>
          </w:p>
        </w:tc>
        <w:tc>
          <w:tcPr>
            <w:tcW w:w="78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64" w:right="0"/>
              <w:jc w:val="left"/>
              <w:rPr>
                <w:rFonts w:ascii="Arial" w:hAnsi="Arial" w:cs="Arial" w:eastAsia="Arial" w:hint="default"/>
                <w:sz w:val="18"/>
                <w:szCs w:val="18"/>
              </w:rPr>
            </w:pPr>
            <w:r>
              <w:rPr>
                <w:rFonts w:ascii="Arial"/>
                <w:sz w:val="18"/>
              </w:rPr>
              <w:t>-147,2</w:t>
            </w:r>
          </w:p>
          <w:p>
            <w:pPr>
              <w:pStyle w:val="TableParagraph"/>
              <w:spacing w:line="240" w:lineRule="auto" w:before="105"/>
              <w:ind w:left="124" w:right="0"/>
              <w:jc w:val="left"/>
              <w:rPr>
                <w:rFonts w:ascii="Arial" w:hAnsi="Arial" w:cs="Arial" w:eastAsia="Arial" w:hint="default"/>
                <w:sz w:val="18"/>
                <w:szCs w:val="18"/>
              </w:rPr>
            </w:pPr>
            <w:r>
              <w:rPr>
                <w:rFonts w:ascii="Arial"/>
                <w:sz w:val="18"/>
              </w:rPr>
              <w:t>58,589</w:t>
            </w:r>
          </w:p>
          <w:p>
            <w:pPr>
              <w:pStyle w:val="TableParagraph"/>
              <w:spacing w:line="240" w:lineRule="auto" w:before="105"/>
              <w:ind w:left="423" w:right="0"/>
              <w:jc w:val="left"/>
              <w:rPr>
                <w:rFonts w:ascii="Arial" w:hAnsi="Arial" w:cs="Arial" w:eastAsia="Arial" w:hint="default"/>
                <w:sz w:val="18"/>
                <w:szCs w:val="18"/>
              </w:rPr>
            </w:pPr>
            <w:r>
              <w:rPr>
                <w:rFonts w:ascii="Arial"/>
                <w:sz w:val="18"/>
              </w:rPr>
              <w:t>.77</w:t>
            </w:r>
          </w:p>
        </w:tc>
      </w:tr>
      <w:tr>
        <w:trPr>
          <w:trHeight w:val="946"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02" w:lineRule="auto"/>
              <w:ind w:left="108" w:right="153"/>
              <w:jc w:val="left"/>
              <w:rPr>
                <w:rFonts w:ascii="宋体" w:hAnsi="宋体" w:cs="宋体" w:eastAsia="宋体" w:hint="default"/>
                <w:sz w:val="18"/>
                <w:szCs w:val="18"/>
              </w:rPr>
            </w:pPr>
            <w:r>
              <w:rPr>
                <w:rFonts w:ascii="Arial" w:hAnsi="Arial" w:cs="Arial" w:eastAsia="Arial" w:hint="default"/>
                <w:w w:val="95"/>
                <w:sz w:val="18"/>
                <w:szCs w:val="18"/>
              </w:rPr>
              <w:t>1</w:t>
            </w:r>
            <w:r>
              <w:rPr>
                <w:rFonts w:ascii="宋体" w:hAnsi="宋体" w:cs="宋体" w:eastAsia="宋体" w:hint="default"/>
                <w:w w:val="95"/>
                <w:sz w:val="18"/>
                <w:szCs w:val="18"/>
              </w:rPr>
              <w:t>．股东投入的</w:t>
            </w:r>
            <w:r>
              <w:rPr>
                <w:rFonts w:ascii="宋体" w:hAnsi="宋体" w:cs="宋体" w:eastAsia="宋体" w:hint="default"/>
                <w:spacing w:val="-28"/>
                <w:w w:val="95"/>
                <w:sz w:val="18"/>
                <w:szCs w:val="18"/>
              </w:rPr>
              <w:t> </w:t>
            </w:r>
            <w:r>
              <w:rPr>
                <w:rFonts w:ascii="宋体" w:hAnsi="宋体" w:cs="宋体" w:eastAsia="宋体" w:hint="default"/>
                <w:sz w:val="18"/>
                <w:szCs w:val="18"/>
              </w:rPr>
              <w:t>普通股</w:t>
            </w:r>
          </w:p>
        </w:tc>
        <w:tc>
          <w:tcPr>
            <w:tcW w:w="69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65" w:right="0"/>
              <w:jc w:val="center"/>
              <w:rPr>
                <w:rFonts w:ascii="Arial" w:hAnsi="Arial" w:cs="Arial" w:eastAsia="Arial" w:hint="default"/>
                <w:sz w:val="18"/>
                <w:szCs w:val="18"/>
              </w:rPr>
            </w:pPr>
            <w:r>
              <w:rPr>
                <w:rFonts w:ascii="Arial"/>
                <w:sz w:val="18"/>
              </w:rPr>
              <w:t>-4,33</w:t>
            </w:r>
          </w:p>
          <w:p>
            <w:pPr>
              <w:pStyle w:val="TableParagraph"/>
              <w:spacing w:line="240" w:lineRule="auto" w:before="105"/>
              <w:ind w:left="26" w:right="0"/>
              <w:jc w:val="center"/>
              <w:rPr>
                <w:rFonts w:ascii="Arial" w:hAnsi="Arial" w:cs="Arial" w:eastAsia="Arial" w:hint="default"/>
                <w:sz w:val="18"/>
                <w:szCs w:val="18"/>
              </w:rPr>
            </w:pPr>
            <w:r>
              <w:rPr>
                <w:rFonts w:ascii="Arial"/>
                <w:sz w:val="18"/>
              </w:rPr>
              <w:t>3,734</w:t>
            </w:r>
          </w:p>
          <w:p>
            <w:pPr>
              <w:pStyle w:val="TableParagraph"/>
              <w:spacing w:line="240" w:lineRule="auto" w:before="105"/>
              <w:ind w:left="225" w:right="0"/>
              <w:jc w:val="center"/>
              <w:rPr>
                <w:rFonts w:ascii="Arial" w:hAnsi="Arial" w:cs="Arial" w:eastAsia="Arial" w:hint="default"/>
                <w:sz w:val="18"/>
                <w:szCs w:val="18"/>
              </w:rPr>
            </w:pPr>
            <w:r>
              <w:rPr>
                <w:rFonts w:ascii="Arial"/>
                <w:sz w:val="18"/>
              </w:rPr>
              <w:t>.00</w:t>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80" w:right="0"/>
              <w:jc w:val="left"/>
              <w:rPr>
                <w:rFonts w:ascii="Arial" w:hAnsi="Arial" w:cs="Arial" w:eastAsia="Arial" w:hint="default"/>
                <w:sz w:val="18"/>
                <w:szCs w:val="18"/>
              </w:rPr>
            </w:pPr>
            <w:r>
              <w:rPr>
                <w:rFonts w:ascii="Arial"/>
                <w:sz w:val="18"/>
              </w:rPr>
              <w:t>-24,44</w:t>
            </w:r>
          </w:p>
          <w:p>
            <w:pPr>
              <w:pStyle w:val="TableParagraph"/>
              <w:spacing w:line="240" w:lineRule="auto" w:before="105"/>
              <w:ind w:left="190" w:right="0"/>
              <w:jc w:val="left"/>
              <w:rPr>
                <w:rFonts w:ascii="Arial" w:hAnsi="Arial" w:cs="Arial" w:eastAsia="Arial" w:hint="default"/>
                <w:sz w:val="18"/>
                <w:szCs w:val="18"/>
              </w:rPr>
            </w:pPr>
            <w:r>
              <w:rPr>
                <w:rFonts w:ascii="Arial"/>
                <w:sz w:val="18"/>
              </w:rPr>
              <w:t>0,484.</w:t>
            </w:r>
          </w:p>
          <w:p>
            <w:pPr>
              <w:pStyle w:val="TableParagraph"/>
              <w:spacing w:line="240" w:lineRule="auto" w:before="105"/>
              <w:ind w:left="489" w:right="0"/>
              <w:jc w:val="left"/>
              <w:rPr>
                <w:rFonts w:ascii="Arial" w:hAnsi="Arial" w:cs="Arial" w:eastAsia="Arial" w:hint="default"/>
                <w:sz w:val="18"/>
                <w:szCs w:val="18"/>
              </w:rPr>
            </w:pPr>
            <w:r>
              <w:rPr>
                <w:rFonts w:ascii="Arial"/>
                <w:sz w:val="18"/>
              </w:rPr>
              <w:t>30</w:t>
            </w: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676" w:type="dxa"/>
            <w:tcBorders>
              <w:top w:val="single" w:sz="4" w:space="0" w:color="5B9BD4"/>
              <w:left w:val="nil" w:sz="6" w:space="0" w:color="auto"/>
              <w:bottom w:val="single" w:sz="4" w:space="0" w:color="5B9BD4"/>
              <w:right w:val="nil" w:sz="6" w:space="0" w:color="auto"/>
            </w:tcBorders>
            <w:shd w:val="clear" w:color="auto" w:fill="DEEAF6"/>
          </w:tcPr>
          <w:p>
            <w:pPr/>
          </w:p>
        </w:tc>
        <w:tc>
          <w:tcPr>
            <w:tcW w:w="78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64" w:right="0"/>
              <w:jc w:val="left"/>
              <w:rPr>
                <w:rFonts w:ascii="Arial" w:hAnsi="Arial" w:cs="Arial" w:eastAsia="Arial" w:hint="default"/>
                <w:sz w:val="18"/>
                <w:szCs w:val="18"/>
              </w:rPr>
            </w:pPr>
            <w:r>
              <w:rPr>
                <w:rFonts w:ascii="Arial"/>
                <w:sz w:val="18"/>
              </w:rPr>
              <w:t>-28,77</w:t>
            </w:r>
          </w:p>
          <w:p>
            <w:pPr>
              <w:pStyle w:val="TableParagraph"/>
              <w:spacing w:line="240" w:lineRule="auto" w:before="105"/>
              <w:ind w:left="175" w:right="0"/>
              <w:jc w:val="left"/>
              <w:rPr>
                <w:rFonts w:ascii="Arial" w:hAnsi="Arial" w:cs="Arial" w:eastAsia="Arial" w:hint="default"/>
                <w:sz w:val="18"/>
                <w:szCs w:val="18"/>
              </w:rPr>
            </w:pPr>
            <w:r>
              <w:rPr>
                <w:rFonts w:ascii="Arial"/>
                <w:sz w:val="18"/>
              </w:rPr>
              <w:t>4,218.</w:t>
            </w:r>
          </w:p>
          <w:p>
            <w:pPr>
              <w:pStyle w:val="TableParagraph"/>
              <w:spacing w:line="240" w:lineRule="auto" w:before="105"/>
              <w:ind w:left="473" w:right="0"/>
              <w:jc w:val="left"/>
              <w:rPr>
                <w:rFonts w:ascii="Arial" w:hAnsi="Arial" w:cs="Arial" w:eastAsia="Arial" w:hint="default"/>
                <w:sz w:val="18"/>
                <w:szCs w:val="18"/>
              </w:rPr>
            </w:pPr>
            <w:r>
              <w:rPr>
                <w:rFonts w:ascii="Arial"/>
                <w:sz w:val="18"/>
              </w:rPr>
              <w:t>30</w:t>
            </w:r>
          </w:p>
        </w:tc>
      </w:tr>
      <w:tr>
        <w:trPr>
          <w:trHeight w:val="946"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9" w:lineRule="auto" w:before="5"/>
              <w:ind w:left="108" w:right="153"/>
              <w:jc w:val="left"/>
              <w:rPr>
                <w:rFonts w:ascii="宋体" w:hAnsi="宋体" w:cs="宋体" w:eastAsia="宋体" w:hint="default"/>
                <w:sz w:val="18"/>
                <w:szCs w:val="18"/>
              </w:rPr>
            </w:pPr>
            <w:r>
              <w:rPr>
                <w:rFonts w:ascii="Arial" w:hAnsi="Arial" w:cs="Arial" w:eastAsia="Arial" w:hint="default"/>
                <w:w w:val="95"/>
                <w:sz w:val="18"/>
                <w:szCs w:val="18"/>
              </w:rPr>
              <w:t>2</w:t>
            </w:r>
            <w:r>
              <w:rPr>
                <w:rFonts w:ascii="宋体" w:hAnsi="宋体" w:cs="宋体" w:eastAsia="宋体" w:hint="default"/>
                <w:w w:val="95"/>
                <w:sz w:val="18"/>
                <w:szCs w:val="18"/>
              </w:rPr>
              <w:t>．其他权益工</w:t>
            </w:r>
            <w:r>
              <w:rPr>
                <w:rFonts w:ascii="宋体" w:hAnsi="宋体" w:cs="宋体" w:eastAsia="宋体" w:hint="default"/>
                <w:spacing w:val="-28"/>
                <w:w w:val="95"/>
                <w:sz w:val="18"/>
                <w:szCs w:val="18"/>
              </w:rPr>
              <w:t> </w:t>
            </w:r>
            <w:r>
              <w:rPr>
                <w:rFonts w:ascii="宋体" w:hAnsi="宋体" w:cs="宋体" w:eastAsia="宋体" w:hint="default"/>
                <w:sz w:val="18"/>
                <w:szCs w:val="18"/>
              </w:rPr>
              <w:t>具持有者投入 资本</w:t>
            </w:r>
          </w:p>
        </w:tc>
        <w:tc>
          <w:tcPr>
            <w:tcW w:w="691"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676" w:type="dxa"/>
            <w:tcBorders>
              <w:top w:val="single" w:sz="4" w:space="0" w:color="5B9BD4"/>
              <w:left w:val="nil" w:sz="6" w:space="0" w:color="auto"/>
              <w:bottom w:val="single" w:sz="4" w:space="0" w:color="5B9BD4"/>
              <w:right w:val="nil" w:sz="6" w:space="0" w:color="auto"/>
            </w:tcBorders>
            <w:shd w:val="clear" w:color="auto" w:fill="DEEAF6"/>
          </w:tcPr>
          <w:p>
            <w:pPr/>
          </w:p>
        </w:tc>
        <w:tc>
          <w:tcPr>
            <w:tcW w:w="781" w:type="dxa"/>
            <w:tcBorders>
              <w:top w:val="single" w:sz="4" w:space="0" w:color="5B9BD4"/>
              <w:left w:val="nil" w:sz="6" w:space="0" w:color="auto"/>
              <w:bottom w:val="single" w:sz="4" w:space="0" w:color="5B9BD4"/>
              <w:right w:val="nil" w:sz="6" w:space="0" w:color="auto"/>
            </w:tcBorders>
          </w:tcPr>
          <w:p>
            <w:pPr/>
          </w:p>
        </w:tc>
      </w:tr>
      <w:tr>
        <w:trPr>
          <w:trHeight w:val="946"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9" w:lineRule="auto" w:before="5"/>
              <w:ind w:left="108" w:right="153"/>
              <w:jc w:val="left"/>
              <w:rPr>
                <w:rFonts w:ascii="宋体" w:hAnsi="宋体" w:cs="宋体" w:eastAsia="宋体" w:hint="default"/>
                <w:sz w:val="18"/>
                <w:szCs w:val="18"/>
              </w:rPr>
            </w:pPr>
            <w:r>
              <w:rPr>
                <w:rFonts w:ascii="Arial" w:hAnsi="Arial" w:cs="Arial" w:eastAsia="Arial" w:hint="default"/>
                <w:w w:val="95"/>
                <w:sz w:val="18"/>
                <w:szCs w:val="18"/>
              </w:rPr>
              <w:t>3</w:t>
            </w:r>
            <w:r>
              <w:rPr>
                <w:rFonts w:ascii="宋体" w:hAnsi="宋体" w:cs="宋体" w:eastAsia="宋体" w:hint="default"/>
                <w:w w:val="95"/>
                <w:sz w:val="18"/>
                <w:szCs w:val="18"/>
              </w:rPr>
              <w:t>．股份支付计</w:t>
            </w:r>
            <w:r>
              <w:rPr>
                <w:rFonts w:ascii="宋体" w:hAnsi="宋体" w:cs="宋体" w:eastAsia="宋体" w:hint="default"/>
                <w:spacing w:val="-28"/>
                <w:w w:val="95"/>
                <w:sz w:val="18"/>
                <w:szCs w:val="18"/>
              </w:rPr>
              <w:t> </w:t>
            </w:r>
            <w:r>
              <w:rPr>
                <w:rFonts w:ascii="宋体" w:hAnsi="宋体" w:cs="宋体" w:eastAsia="宋体" w:hint="default"/>
                <w:sz w:val="18"/>
                <w:szCs w:val="18"/>
              </w:rPr>
              <w:t>入所有者权益 的金额</w:t>
            </w:r>
          </w:p>
        </w:tc>
        <w:tc>
          <w:tcPr>
            <w:tcW w:w="691"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80" w:right="0"/>
              <w:jc w:val="left"/>
              <w:rPr>
                <w:rFonts w:ascii="Arial" w:hAnsi="Arial" w:cs="Arial" w:eastAsia="Arial" w:hint="default"/>
                <w:sz w:val="18"/>
                <w:szCs w:val="18"/>
              </w:rPr>
            </w:pPr>
            <w:r>
              <w:rPr>
                <w:rFonts w:ascii="Arial"/>
                <w:sz w:val="18"/>
              </w:rPr>
              <w:t>-23,87</w:t>
            </w:r>
          </w:p>
          <w:p>
            <w:pPr>
              <w:pStyle w:val="TableParagraph"/>
              <w:spacing w:line="240" w:lineRule="auto" w:before="105"/>
              <w:ind w:left="190" w:right="0"/>
              <w:jc w:val="left"/>
              <w:rPr>
                <w:rFonts w:ascii="Arial" w:hAnsi="Arial" w:cs="Arial" w:eastAsia="Arial" w:hint="default"/>
                <w:sz w:val="18"/>
                <w:szCs w:val="18"/>
              </w:rPr>
            </w:pPr>
            <w:r>
              <w:rPr>
                <w:rFonts w:ascii="Arial"/>
                <w:sz w:val="18"/>
              </w:rPr>
              <w:t>4,353.</w:t>
            </w:r>
          </w:p>
          <w:p>
            <w:pPr>
              <w:pStyle w:val="TableParagraph"/>
              <w:spacing w:line="240" w:lineRule="auto" w:before="105"/>
              <w:ind w:left="489" w:right="0"/>
              <w:jc w:val="left"/>
              <w:rPr>
                <w:rFonts w:ascii="Arial" w:hAnsi="Arial" w:cs="Arial" w:eastAsia="Arial" w:hint="default"/>
                <w:sz w:val="18"/>
                <w:szCs w:val="18"/>
              </w:rPr>
            </w:pPr>
            <w:r>
              <w:rPr>
                <w:rFonts w:ascii="Arial"/>
                <w:sz w:val="18"/>
              </w:rPr>
              <w:t>37</w:t>
            </w: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676" w:type="dxa"/>
            <w:tcBorders>
              <w:top w:val="single" w:sz="4" w:space="0" w:color="5B9BD4"/>
              <w:left w:val="nil" w:sz="6" w:space="0" w:color="auto"/>
              <w:bottom w:val="single" w:sz="4" w:space="0" w:color="5B9BD4"/>
              <w:right w:val="nil" w:sz="6" w:space="0" w:color="auto"/>
            </w:tcBorders>
            <w:shd w:val="clear" w:color="auto" w:fill="DEEAF6"/>
          </w:tcPr>
          <w:p>
            <w:pPr/>
          </w:p>
        </w:tc>
        <w:tc>
          <w:tcPr>
            <w:tcW w:w="78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64" w:right="0"/>
              <w:jc w:val="left"/>
              <w:rPr>
                <w:rFonts w:ascii="Arial" w:hAnsi="Arial" w:cs="Arial" w:eastAsia="Arial" w:hint="default"/>
                <w:sz w:val="18"/>
                <w:szCs w:val="18"/>
              </w:rPr>
            </w:pPr>
            <w:r>
              <w:rPr>
                <w:rFonts w:ascii="Arial"/>
                <w:sz w:val="18"/>
              </w:rPr>
              <w:t>-23,87</w:t>
            </w:r>
          </w:p>
          <w:p>
            <w:pPr>
              <w:pStyle w:val="TableParagraph"/>
              <w:spacing w:line="240" w:lineRule="auto" w:before="105"/>
              <w:ind w:left="175" w:right="0"/>
              <w:jc w:val="left"/>
              <w:rPr>
                <w:rFonts w:ascii="Arial" w:hAnsi="Arial" w:cs="Arial" w:eastAsia="Arial" w:hint="default"/>
                <w:sz w:val="18"/>
                <w:szCs w:val="18"/>
              </w:rPr>
            </w:pPr>
            <w:r>
              <w:rPr>
                <w:rFonts w:ascii="Arial"/>
                <w:sz w:val="18"/>
              </w:rPr>
              <w:t>4,353.</w:t>
            </w:r>
          </w:p>
          <w:p>
            <w:pPr>
              <w:pStyle w:val="TableParagraph"/>
              <w:spacing w:line="240" w:lineRule="auto" w:before="105"/>
              <w:ind w:left="473" w:right="0"/>
              <w:jc w:val="left"/>
              <w:rPr>
                <w:rFonts w:ascii="Arial" w:hAnsi="Arial" w:cs="Arial" w:eastAsia="Arial" w:hint="default"/>
                <w:sz w:val="18"/>
                <w:szCs w:val="18"/>
              </w:rPr>
            </w:pPr>
            <w:r>
              <w:rPr>
                <w:rFonts w:ascii="Arial"/>
                <w:sz w:val="18"/>
              </w:rPr>
              <w:t>37</w:t>
            </w:r>
          </w:p>
        </w:tc>
      </w:tr>
      <w:tr>
        <w:trPr>
          <w:trHeight w:val="947"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108"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691"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Style w:val="TableParagraph"/>
              <w:spacing w:line="240" w:lineRule="auto" w:before="48"/>
              <w:ind w:left="180" w:right="0"/>
              <w:jc w:val="left"/>
              <w:rPr>
                <w:rFonts w:ascii="Arial" w:hAnsi="Arial" w:cs="Arial" w:eastAsia="Arial" w:hint="default"/>
                <w:sz w:val="18"/>
                <w:szCs w:val="18"/>
              </w:rPr>
            </w:pPr>
            <w:r>
              <w:rPr>
                <w:rFonts w:ascii="Arial"/>
                <w:sz w:val="18"/>
              </w:rPr>
              <w:t>-94,61</w:t>
            </w:r>
          </w:p>
          <w:p>
            <w:pPr>
              <w:pStyle w:val="TableParagraph"/>
              <w:spacing w:line="240" w:lineRule="auto" w:before="105"/>
              <w:ind w:left="190" w:right="0"/>
              <w:jc w:val="left"/>
              <w:rPr>
                <w:rFonts w:ascii="Arial" w:hAnsi="Arial" w:cs="Arial" w:eastAsia="Arial" w:hint="default"/>
                <w:sz w:val="18"/>
                <w:szCs w:val="18"/>
              </w:rPr>
            </w:pPr>
            <w:r>
              <w:rPr>
                <w:rFonts w:ascii="Arial"/>
                <w:sz w:val="18"/>
              </w:rPr>
              <w:t>0,018.</w:t>
            </w:r>
          </w:p>
          <w:p>
            <w:pPr>
              <w:pStyle w:val="TableParagraph"/>
              <w:spacing w:line="240" w:lineRule="auto" w:before="105"/>
              <w:ind w:left="489" w:right="0"/>
              <w:jc w:val="left"/>
              <w:rPr>
                <w:rFonts w:ascii="Arial" w:hAnsi="Arial" w:cs="Arial" w:eastAsia="Arial" w:hint="default"/>
                <w:sz w:val="18"/>
                <w:szCs w:val="18"/>
              </w:rPr>
            </w:pPr>
            <w:r>
              <w:rPr>
                <w:rFonts w:ascii="Arial"/>
                <w:sz w:val="18"/>
              </w:rPr>
              <w:t>10</w:t>
            </w: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676" w:type="dxa"/>
            <w:tcBorders>
              <w:top w:val="single" w:sz="4" w:space="0" w:color="5B9BD4"/>
              <w:left w:val="nil" w:sz="6" w:space="0" w:color="auto"/>
              <w:bottom w:val="single" w:sz="4" w:space="0" w:color="5B9BD4"/>
              <w:right w:val="nil" w:sz="6" w:space="0" w:color="auto"/>
            </w:tcBorders>
            <w:shd w:val="clear" w:color="auto" w:fill="DEEAF6"/>
          </w:tcPr>
          <w:p>
            <w:pPr/>
          </w:p>
        </w:tc>
        <w:tc>
          <w:tcPr>
            <w:tcW w:w="781" w:type="dxa"/>
            <w:tcBorders>
              <w:top w:val="single" w:sz="4" w:space="0" w:color="5B9BD4"/>
              <w:left w:val="nil" w:sz="6" w:space="0" w:color="auto"/>
              <w:bottom w:val="single" w:sz="4" w:space="0" w:color="5B9BD4"/>
              <w:right w:val="nil" w:sz="6" w:space="0" w:color="auto"/>
            </w:tcBorders>
          </w:tcPr>
          <w:p>
            <w:pPr>
              <w:pStyle w:val="TableParagraph"/>
              <w:spacing w:line="240" w:lineRule="auto" w:before="48"/>
              <w:ind w:left="164" w:right="0"/>
              <w:jc w:val="left"/>
              <w:rPr>
                <w:rFonts w:ascii="Arial" w:hAnsi="Arial" w:cs="Arial" w:eastAsia="Arial" w:hint="default"/>
                <w:sz w:val="18"/>
                <w:szCs w:val="18"/>
              </w:rPr>
            </w:pPr>
            <w:r>
              <w:rPr>
                <w:rFonts w:ascii="Arial"/>
                <w:sz w:val="18"/>
              </w:rPr>
              <w:t>-94,61</w:t>
            </w:r>
          </w:p>
          <w:p>
            <w:pPr>
              <w:pStyle w:val="TableParagraph"/>
              <w:spacing w:line="240" w:lineRule="auto" w:before="105"/>
              <w:ind w:left="175" w:right="0"/>
              <w:jc w:val="left"/>
              <w:rPr>
                <w:rFonts w:ascii="Arial" w:hAnsi="Arial" w:cs="Arial" w:eastAsia="Arial" w:hint="default"/>
                <w:sz w:val="18"/>
                <w:szCs w:val="18"/>
              </w:rPr>
            </w:pPr>
            <w:r>
              <w:rPr>
                <w:rFonts w:ascii="Arial"/>
                <w:sz w:val="18"/>
              </w:rPr>
              <w:t>0,018.</w:t>
            </w:r>
          </w:p>
          <w:p>
            <w:pPr>
              <w:pStyle w:val="TableParagraph"/>
              <w:spacing w:line="240" w:lineRule="auto" w:before="105"/>
              <w:ind w:left="473" w:right="0"/>
              <w:jc w:val="left"/>
              <w:rPr>
                <w:rFonts w:ascii="Arial" w:hAnsi="Arial" w:cs="Arial" w:eastAsia="Arial" w:hint="default"/>
                <w:sz w:val="18"/>
                <w:szCs w:val="18"/>
              </w:rPr>
            </w:pPr>
            <w:r>
              <w:rPr>
                <w:rFonts w:ascii="Arial"/>
                <w:sz w:val="18"/>
              </w:rPr>
              <w:t>10</w:t>
            </w:r>
          </w:p>
        </w:tc>
      </w:tr>
      <w:tr>
        <w:trPr>
          <w:trHeight w:val="946"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8"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35,778</w:t>
            </w:r>
            <w:r>
              <w:rPr>
                <w:rFonts w:ascii="Arial"/>
                <w:sz w:val="18"/>
              </w:rPr>
            </w:r>
          </w:p>
          <w:p>
            <w:pPr>
              <w:pStyle w:val="TableParagraph"/>
              <w:spacing w:line="240" w:lineRule="auto" w:before="105"/>
              <w:ind w:right="106"/>
              <w:jc w:val="right"/>
              <w:rPr>
                <w:rFonts w:ascii="Arial" w:hAnsi="Arial" w:cs="Arial" w:eastAsia="Arial" w:hint="default"/>
                <w:sz w:val="18"/>
                <w:szCs w:val="18"/>
              </w:rPr>
            </w:pPr>
            <w:r>
              <w:rPr>
                <w:rFonts w:ascii="Arial"/>
                <w:w w:val="95"/>
                <w:sz w:val="18"/>
              </w:rPr>
              <w:t>,474.3</w:t>
            </w:r>
            <w:r>
              <w:rPr>
                <w:rFonts w:ascii="Arial"/>
                <w:sz w:val="18"/>
              </w:rPr>
            </w:r>
          </w:p>
          <w:p>
            <w:pPr>
              <w:pStyle w:val="TableParagraph"/>
              <w:spacing w:line="240" w:lineRule="auto" w:before="105"/>
              <w:ind w:right="107"/>
              <w:jc w:val="right"/>
              <w:rPr>
                <w:rFonts w:ascii="Arial" w:hAnsi="Arial" w:cs="Arial" w:eastAsia="Arial" w:hint="default"/>
                <w:sz w:val="18"/>
                <w:szCs w:val="18"/>
              </w:rPr>
            </w:pPr>
            <w:r>
              <w:rPr>
                <w:rFonts w:ascii="Arial"/>
                <w:w w:val="99"/>
                <w:sz w:val="18"/>
              </w:rPr>
              <w:t>8</w:t>
            </w:r>
            <w:r>
              <w:rPr>
                <w:rFonts w:ascii="Arial"/>
                <w:sz w:val="18"/>
              </w:rPr>
            </w:r>
          </w:p>
        </w:tc>
        <w:tc>
          <w:tcPr>
            <w:tcW w:w="67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58" w:right="0"/>
              <w:jc w:val="left"/>
              <w:rPr>
                <w:rFonts w:ascii="Arial" w:hAnsi="Arial" w:cs="Arial" w:eastAsia="Arial" w:hint="default"/>
                <w:sz w:val="18"/>
                <w:szCs w:val="18"/>
              </w:rPr>
            </w:pPr>
            <w:r>
              <w:rPr>
                <w:rFonts w:ascii="Arial"/>
                <w:sz w:val="18"/>
              </w:rPr>
              <w:t>-183,</w:t>
            </w:r>
          </w:p>
          <w:p>
            <w:pPr>
              <w:pStyle w:val="TableParagraph"/>
              <w:spacing w:line="240" w:lineRule="auto" w:before="105"/>
              <w:ind w:left="118" w:right="0"/>
              <w:jc w:val="left"/>
              <w:rPr>
                <w:rFonts w:ascii="Arial" w:hAnsi="Arial" w:cs="Arial" w:eastAsia="Arial" w:hint="default"/>
                <w:sz w:val="18"/>
                <w:szCs w:val="18"/>
              </w:rPr>
            </w:pPr>
            <w:r>
              <w:rPr>
                <w:rFonts w:ascii="Arial"/>
                <w:sz w:val="18"/>
              </w:rPr>
              <w:t>768,4</w:t>
            </w:r>
          </w:p>
          <w:p>
            <w:pPr>
              <w:pStyle w:val="TableParagraph"/>
              <w:spacing w:line="240" w:lineRule="auto" w:before="105"/>
              <w:ind w:left="118" w:right="0"/>
              <w:jc w:val="left"/>
              <w:rPr>
                <w:rFonts w:ascii="Arial" w:hAnsi="Arial" w:cs="Arial" w:eastAsia="Arial" w:hint="default"/>
                <w:sz w:val="18"/>
                <w:szCs w:val="18"/>
              </w:rPr>
            </w:pPr>
            <w:r>
              <w:rPr>
                <w:rFonts w:ascii="Arial"/>
                <w:sz w:val="18"/>
              </w:rPr>
              <w:t>74.38</w:t>
            </w:r>
          </w:p>
        </w:tc>
        <w:tc>
          <w:tcPr>
            <w:tcW w:w="78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64" w:right="0"/>
              <w:jc w:val="left"/>
              <w:rPr>
                <w:rFonts w:ascii="Arial" w:hAnsi="Arial" w:cs="Arial" w:eastAsia="Arial" w:hint="default"/>
                <w:sz w:val="18"/>
                <w:szCs w:val="18"/>
              </w:rPr>
            </w:pPr>
            <w:r>
              <w:rPr>
                <w:rFonts w:ascii="Arial"/>
                <w:sz w:val="18"/>
              </w:rPr>
              <w:t>-147,9</w:t>
            </w:r>
          </w:p>
          <w:p>
            <w:pPr>
              <w:pStyle w:val="TableParagraph"/>
              <w:spacing w:line="240" w:lineRule="auto" w:before="105"/>
              <w:ind w:left="124" w:right="0"/>
              <w:jc w:val="left"/>
              <w:rPr>
                <w:rFonts w:ascii="Arial" w:hAnsi="Arial" w:cs="Arial" w:eastAsia="Arial" w:hint="default"/>
                <w:sz w:val="18"/>
                <w:szCs w:val="18"/>
              </w:rPr>
            </w:pPr>
            <w:r>
              <w:rPr>
                <w:rFonts w:ascii="Arial"/>
                <w:sz w:val="18"/>
              </w:rPr>
              <w:t>90,000</w:t>
            </w:r>
          </w:p>
          <w:p>
            <w:pPr>
              <w:pStyle w:val="TableParagraph"/>
              <w:spacing w:line="240" w:lineRule="auto" w:before="105"/>
              <w:ind w:left="423" w:right="0"/>
              <w:jc w:val="left"/>
              <w:rPr>
                <w:rFonts w:ascii="Arial" w:hAnsi="Arial" w:cs="Arial" w:eastAsia="Arial" w:hint="default"/>
                <w:sz w:val="18"/>
                <w:szCs w:val="18"/>
              </w:rPr>
            </w:pPr>
            <w:r>
              <w:rPr>
                <w:rFonts w:ascii="Arial"/>
                <w:sz w:val="18"/>
              </w:rPr>
              <w:t>.00</w:t>
            </w:r>
          </w:p>
        </w:tc>
      </w:tr>
      <w:tr>
        <w:trPr>
          <w:trHeight w:val="946"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2" w:lineRule="auto" w:before="161"/>
              <w:ind w:left="108" w:right="153"/>
              <w:jc w:val="left"/>
              <w:rPr>
                <w:rFonts w:ascii="宋体" w:hAnsi="宋体" w:cs="宋体" w:eastAsia="宋体" w:hint="default"/>
                <w:sz w:val="18"/>
                <w:szCs w:val="18"/>
              </w:rPr>
            </w:pPr>
            <w:r>
              <w:rPr>
                <w:rFonts w:ascii="Arial" w:hAnsi="Arial" w:cs="Arial" w:eastAsia="Arial" w:hint="default"/>
                <w:w w:val="95"/>
                <w:sz w:val="18"/>
                <w:szCs w:val="18"/>
              </w:rPr>
              <w:t>1</w:t>
            </w:r>
            <w:r>
              <w:rPr>
                <w:rFonts w:ascii="宋体" w:hAnsi="宋体" w:cs="宋体" w:eastAsia="宋体" w:hint="default"/>
                <w:w w:val="95"/>
                <w:sz w:val="18"/>
                <w:szCs w:val="18"/>
              </w:rPr>
              <w:t>．提取盈余公</w:t>
            </w:r>
            <w:r>
              <w:rPr>
                <w:rFonts w:ascii="宋体" w:hAnsi="宋体" w:cs="宋体" w:eastAsia="宋体" w:hint="default"/>
                <w:spacing w:val="-28"/>
                <w:w w:val="95"/>
                <w:sz w:val="18"/>
                <w:szCs w:val="18"/>
              </w:rPr>
              <w:t> </w:t>
            </w:r>
            <w:r>
              <w:rPr>
                <w:rFonts w:ascii="宋体" w:hAnsi="宋体" w:cs="宋体" w:eastAsia="宋体" w:hint="default"/>
                <w:sz w:val="18"/>
                <w:szCs w:val="18"/>
              </w:rPr>
              <w:t>积</w:t>
            </w:r>
          </w:p>
        </w:tc>
        <w:tc>
          <w:tcPr>
            <w:tcW w:w="691"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35,778</w:t>
            </w:r>
            <w:r>
              <w:rPr>
                <w:rFonts w:ascii="Arial"/>
                <w:sz w:val="18"/>
              </w:rPr>
            </w:r>
          </w:p>
          <w:p>
            <w:pPr>
              <w:pStyle w:val="TableParagraph"/>
              <w:spacing w:line="240" w:lineRule="auto" w:before="105"/>
              <w:ind w:right="106"/>
              <w:jc w:val="right"/>
              <w:rPr>
                <w:rFonts w:ascii="Arial" w:hAnsi="Arial" w:cs="Arial" w:eastAsia="Arial" w:hint="default"/>
                <w:sz w:val="18"/>
                <w:szCs w:val="18"/>
              </w:rPr>
            </w:pPr>
            <w:r>
              <w:rPr>
                <w:rFonts w:ascii="Arial"/>
                <w:w w:val="95"/>
                <w:sz w:val="18"/>
              </w:rPr>
              <w:t>,474.3</w:t>
            </w:r>
            <w:r>
              <w:rPr>
                <w:rFonts w:ascii="Arial"/>
                <w:sz w:val="18"/>
              </w:rPr>
            </w:r>
          </w:p>
          <w:p>
            <w:pPr>
              <w:pStyle w:val="TableParagraph"/>
              <w:spacing w:line="240" w:lineRule="auto" w:before="105"/>
              <w:ind w:right="107"/>
              <w:jc w:val="right"/>
              <w:rPr>
                <w:rFonts w:ascii="Arial" w:hAnsi="Arial" w:cs="Arial" w:eastAsia="Arial" w:hint="default"/>
                <w:sz w:val="18"/>
                <w:szCs w:val="18"/>
              </w:rPr>
            </w:pPr>
            <w:r>
              <w:rPr>
                <w:rFonts w:ascii="Arial"/>
                <w:w w:val="99"/>
                <w:sz w:val="18"/>
              </w:rPr>
              <w:t>8</w:t>
            </w:r>
            <w:r>
              <w:rPr>
                <w:rFonts w:ascii="Arial"/>
                <w:sz w:val="18"/>
              </w:rPr>
            </w:r>
          </w:p>
        </w:tc>
        <w:tc>
          <w:tcPr>
            <w:tcW w:w="67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0" w:right="0"/>
              <w:jc w:val="center"/>
              <w:rPr>
                <w:rFonts w:ascii="Arial" w:hAnsi="Arial" w:cs="Arial" w:eastAsia="Arial" w:hint="default"/>
                <w:sz w:val="18"/>
                <w:szCs w:val="18"/>
              </w:rPr>
            </w:pPr>
            <w:r>
              <w:rPr>
                <w:rFonts w:ascii="Arial"/>
                <w:sz w:val="18"/>
              </w:rPr>
              <w:t>35,77</w:t>
            </w:r>
          </w:p>
          <w:p>
            <w:pPr>
              <w:pStyle w:val="TableParagraph"/>
              <w:spacing w:line="240" w:lineRule="auto" w:before="105"/>
              <w:ind w:left="10" w:right="0"/>
              <w:jc w:val="center"/>
              <w:rPr>
                <w:rFonts w:ascii="Arial" w:hAnsi="Arial" w:cs="Arial" w:eastAsia="Arial" w:hint="default"/>
                <w:sz w:val="18"/>
                <w:szCs w:val="18"/>
              </w:rPr>
            </w:pPr>
            <w:r>
              <w:rPr>
                <w:rFonts w:ascii="Arial"/>
                <w:sz w:val="18"/>
              </w:rPr>
              <w:t>8,474</w:t>
            </w:r>
          </w:p>
          <w:p>
            <w:pPr>
              <w:pStyle w:val="TableParagraph"/>
              <w:spacing w:line="240" w:lineRule="auto" w:before="105"/>
              <w:ind w:left="209" w:right="0"/>
              <w:jc w:val="center"/>
              <w:rPr>
                <w:rFonts w:ascii="Arial" w:hAnsi="Arial" w:cs="Arial" w:eastAsia="Arial" w:hint="default"/>
                <w:sz w:val="18"/>
                <w:szCs w:val="18"/>
              </w:rPr>
            </w:pPr>
            <w:r>
              <w:rPr>
                <w:rFonts w:ascii="Arial"/>
                <w:sz w:val="18"/>
              </w:rPr>
              <w:t>.38</w:t>
            </w:r>
          </w:p>
        </w:tc>
        <w:tc>
          <w:tcPr>
            <w:tcW w:w="781" w:type="dxa"/>
            <w:tcBorders>
              <w:top w:val="single" w:sz="4" w:space="0" w:color="5B9BD4"/>
              <w:left w:val="nil" w:sz="6" w:space="0" w:color="auto"/>
              <w:bottom w:val="single" w:sz="4" w:space="0" w:color="5B9BD4"/>
              <w:right w:val="nil" w:sz="6" w:space="0" w:color="auto"/>
            </w:tcBorders>
          </w:tcPr>
          <w:p>
            <w:pPr/>
          </w:p>
        </w:tc>
      </w:tr>
      <w:tr>
        <w:trPr>
          <w:trHeight w:val="946"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02" w:lineRule="auto"/>
              <w:ind w:left="108" w:right="106"/>
              <w:jc w:val="left"/>
              <w:rPr>
                <w:rFonts w:ascii="宋体" w:hAnsi="宋体" w:cs="宋体" w:eastAsia="宋体" w:hint="default"/>
                <w:sz w:val="18"/>
                <w:szCs w:val="18"/>
              </w:rPr>
            </w:pPr>
            <w:r>
              <w:rPr>
                <w:rFonts w:ascii="Arial" w:hAnsi="Arial" w:cs="Arial" w:eastAsia="Arial" w:hint="default"/>
                <w:spacing w:val="-18"/>
                <w:sz w:val="18"/>
                <w:szCs w:val="18"/>
              </w:rPr>
              <w:t>2</w:t>
            </w:r>
            <w:r>
              <w:rPr>
                <w:rFonts w:ascii="宋体" w:hAnsi="宋体" w:cs="宋体" w:eastAsia="宋体" w:hint="default"/>
                <w:spacing w:val="-18"/>
                <w:sz w:val="18"/>
                <w:szCs w:val="18"/>
              </w:rPr>
              <w:t>．对所有者（或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股东）的分配</w:t>
            </w:r>
          </w:p>
        </w:tc>
        <w:tc>
          <w:tcPr>
            <w:tcW w:w="691"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67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58" w:right="0"/>
              <w:jc w:val="left"/>
              <w:rPr>
                <w:rFonts w:ascii="Arial" w:hAnsi="Arial" w:cs="Arial" w:eastAsia="Arial" w:hint="default"/>
                <w:sz w:val="18"/>
                <w:szCs w:val="18"/>
              </w:rPr>
            </w:pPr>
            <w:r>
              <w:rPr>
                <w:rFonts w:ascii="Arial"/>
                <w:sz w:val="18"/>
              </w:rPr>
              <w:t>-147,</w:t>
            </w:r>
          </w:p>
          <w:p>
            <w:pPr>
              <w:pStyle w:val="TableParagraph"/>
              <w:spacing w:line="240" w:lineRule="auto" w:before="105"/>
              <w:ind w:left="118" w:right="0"/>
              <w:jc w:val="left"/>
              <w:rPr>
                <w:rFonts w:ascii="Arial" w:hAnsi="Arial" w:cs="Arial" w:eastAsia="Arial" w:hint="default"/>
                <w:sz w:val="18"/>
                <w:szCs w:val="18"/>
              </w:rPr>
            </w:pPr>
            <w:r>
              <w:rPr>
                <w:rFonts w:ascii="Arial"/>
                <w:sz w:val="18"/>
              </w:rPr>
              <w:t>990,0</w:t>
            </w:r>
          </w:p>
          <w:p>
            <w:pPr>
              <w:pStyle w:val="TableParagraph"/>
              <w:spacing w:line="240" w:lineRule="auto" w:before="105"/>
              <w:ind w:left="118" w:right="0"/>
              <w:jc w:val="left"/>
              <w:rPr>
                <w:rFonts w:ascii="Arial" w:hAnsi="Arial" w:cs="Arial" w:eastAsia="Arial" w:hint="default"/>
                <w:sz w:val="18"/>
                <w:szCs w:val="18"/>
              </w:rPr>
            </w:pPr>
            <w:r>
              <w:rPr>
                <w:rFonts w:ascii="Arial"/>
                <w:sz w:val="18"/>
              </w:rPr>
              <w:t>00.00</w:t>
            </w:r>
          </w:p>
        </w:tc>
        <w:tc>
          <w:tcPr>
            <w:tcW w:w="78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64" w:right="0"/>
              <w:jc w:val="left"/>
              <w:rPr>
                <w:rFonts w:ascii="Arial" w:hAnsi="Arial" w:cs="Arial" w:eastAsia="Arial" w:hint="default"/>
                <w:sz w:val="18"/>
                <w:szCs w:val="18"/>
              </w:rPr>
            </w:pPr>
            <w:r>
              <w:rPr>
                <w:rFonts w:ascii="Arial"/>
                <w:sz w:val="18"/>
              </w:rPr>
              <w:t>-147,9</w:t>
            </w:r>
          </w:p>
          <w:p>
            <w:pPr>
              <w:pStyle w:val="TableParagraph"/>
              <w:spacing w:line="240" w:lineRule="auto" w:before="105"/>
              <w:ind w:left="124" w:right="0"/>
              <w:jc w:val="left"/>
              <w:rPr>
                <w:rFonts w:ascii="Arial" w:hAnsi="Arial" w:cs="Arial" w:eastAsia="Arial" w:hint="default"/>
                <w:sz w:val="18"/>
                <w:szCs w:val="18"/>
              </w:rPr>
            </w:pPr>
            <w:r>
              <w:rPr>
                <w:rFonts w:ascii="Arial"/>
                <w:sz w:val="18"/>
              </w:rPr>
              <w:t>90,000</w:t>
            </w:r>
          </w:p>
          <w:p>
            <w:pPr>
              <w:pStyle w:val="TableParagraph"/>
              <w:spacing w:line="240" w:lineRule="auto" w:before="105"/>
              <w:ind w:left="423" w:right="0"/>
              <w:jc w:val="left"/>
              <w:rPr>
                <w:rFonts w:ascii="Arial" w:hAnsi="Arial" w:cs="Arial" w:eastAsia="Arial" w:hint="default"/>
                <w:sz w:val="18"/>
                <w:szCs w:val="18"/>
              </w:rPr>
            </w:pPr>
            <w:r>
              <w:rPr>
                <w:rFonts w:ascii="Arial"/>
                <w:sz w:val="18"/>
              </w:rPr>
              <w:t>.00</w:t>
            </w:r>
          </w:p>
        </w:tc>
      </w:tr>
      <w:tr>
        <w:trPr>
          <w:trHeight w:val="322"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w:t>
            </w:r>
          </w:p>
        </w:tc>
        <w:tc>
          <w:tcPr>
            <w:tcW w:w="691"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676" w:type="dxa"/>
            <w:tcBorders>
              <w:top w:val="single" w:sz="4" w:space="0" w:color="5B9BD4"/>
              <w:left w:val="nil" w:sz="6" w:space="0" w:color="auto"/>
              <w:bottom w:val="single" w:sz="4" w:space="0" w:color="5B9BD4"/>
              <w:right w:val="nil" w:sz="6" w:space="0" w:color="auto"/>
            </w:tcBorders>
            <w:shd w:val="clear" w:color="auto" w:fill="DEEAF6"/>
          </w:tcPr>
          <w:p>
            <w:pPr/>
          </w:p>
        </w:tc>
        <w:tc>
          <w:tcPr>
            <w:tcW w:w="781" w:type="dxa"/>
            <w:tcBorders>
              <w:top w:val="single" w:sz="4" w:space="0" w:color="5B9BD4"/>
              <w:left w:val="nil" w:sz="6" w:space="0" w:color="auto"/>
              <w:bottom w:val="single" w:sz="4" w:space="0" w:color="5B9BD4"/>
              <w:right w:val="nil" w:sz="6" w:space="0" w:color="auto"/>
            </w:tcBorders>
          </w:tcPr>
          <w:p>
            <w:pPr/>
          </w:p>
        </w:tc>
      </w:tr>
      <w:tr>
        <w:trPr>
          <w:trHeight w:val="634"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06"/>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676" w:type="dxa"/>
            <w:tcBorders>
              <w:top w:val="single" w:sz="4" w:space="0" w:color="5B9BD4"/>
              <w:left w:val="nil" w:sz="6" w:space="0" w:color="auto"/>
              <w:bottom w:val="single" w:sz="4" w:space="0" w:color="5B9BD4"/>
              <w:right w:val="nil" w:sz="6" w:space="0" w:color="auto"/>
            </w:tcBorders>
            <w:shd w:val="clear" w:color="auto" w:fill="DEEAF6"/>
          </w:tcPr>
          <w:p>
            <w:pPr/>
          </w:p>
        </w:tc>
        <w:tc>
          <w:tcPr>
            <w:tcW w:w="781" w:type="dxa"/>
            <w:tcBorders>
              <w:top w:val="single" w:sz="4" w:space="0" w:color="5B9BD4"/>
              <w:left w:val="nil" w:sz="6" w:space="0" w:color="auto"/>
              <w:bottom w:val="single" w:sz="4" w:space="0" w:color="5B9BD4"/>
              <w:right w:val="nil" w:sz="6" w:space="0" w:color="auto"/>
            </w:tcBorders>
          </w:tcPr>
          <w:p>
            <w:pPr/>
          </w:p>
        </w:tc>
      </w:tr>
      <w:tr>
        <w:trPr>
          <w:trHeight w:val="947"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9" w:lineRule="auto" w:before="6"/>
              <w:ind w:left="108" w:right="153"/>
              <w:jc w:val="left"/>
              <w:rPr>
                <w:rFonts w:ascii="宋体" w:hAnsi="宋体" w:cs="宋体" w:eastAsia="宋体" w:hint="default"/>
                <w:sz w:val="18"/>
                <w:szCs w:val="18"/>
              </w:rPr>
            </w:pPr>
            <w:r>
              <w:rPr>
                <w:rFonts w:ascii="Arial" w:hAnsi="Arial" w:cs="Arial" w:eastAsia="Arial" w:hint="default"/>
                <w:w w:val="95"/>
                <w:sz w:val="18"/>
                <w:szCs w:val="18"/>
              </w:rPr>
              <w:t>1</w:t>
            </w:r>
            <w:r>
              <w:rPr>
                <w:rFonts w:ascii="宋体" w:hAnsi="宋体" w:cs="宋体" w:eastAsia="宋体" w:hint="default"/>
                <w:w w:val="95"/>
                <w:sz w:val="18"/>
                <w:szCs w:val="18"/>
              </w:rPr>
              <w:t>．资本公积转</w:t>
            </w:r>
            <w:r>
              <w:rPr>
                <w:rFonts w:ascii="宋体" w:hAnsi="宋体" w:cs="宋体" w:eastAsia="宋体" w:hint="default"/>
                <w:spacing w:val="-28"/>
                <w:w w:val="95"/>
                <w:sz w:val="18"/>
                <w:szCs w:val="18"/>
              </w:rPr>
              <w:t> </w:t>
            </w:r>
            <w:r>
              <w:rPr>
                <w:rFonts w:ascii="宋体" w:hAnsi="宋体" w:cs="宋体" w:eastAsia="宋体" w:hint="default"/>
                <w:sz w:val="18"/>
                <w:szCs w:val="18"/>
              </w:rPr>
              <w:t>增资本（或股 本）</w:t>
            </w:r>
          </w:p>
        </w:tc>
        <w:tc>
          <w:tcPr>
            <w:tcW w:w="691"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676" w:type="dxa"/>
            <w:tcBorders>
              <w:top w:val="single" w:sz="4" w:space="0" w:color="5B9BD4"/>
              <w:left w:val="nil" w:sz="6" w:space="0" w:color="auto"/>
              <w:bottom w:val="single" w:sz="4" w:space="0" w:color="5B9BD4"/>
              <w:right w:val="nil" w:sz="6" w:space="0" w:color="auto"/>
            </w:tcBorders>
            <w:shd w:val="clear" w:color="auto" w:fill="DEEAF6"/>
          </w:tcPr>
          <w:p>
            <w:pPr/>
          </w:p>
        </w:tc>
        <w:tc>
          <w:tcPr>
            <w:tcW w:w="781" w:type="dxa"/>
            <w:tcBorders>
              <w:top w:val="single" w:sz="4" w:space="0" w:color="5B9BD4"/>
              <w:left w:val="nil" w:sz="6" w:space="0" w:color="auto"/>
              <w:bottom w:val="single" w:sz="4" w:space="0" w:color="5B9BD4"/>
              <w:right w:val="nil" w:sz="6" w:space="0" w:color="auto"/>
            </w:tcBorders>
          </w:tcPr>
          <w:p>
            <w:pPr/>
          </w:p>
        </w:tc>
      </w:tr>
      <w:tr>
        <w:trPr>
          <w:trHeight w:val="946"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9" w:lineRule="auto" w:before="5"/>
              <w:ind w:left="108" w:right="153"/>
              <w:jc w:val="left"/>
              <w:rPr>
                <w:rFonts w:ascii="宋体" w:hAnsi="宋体" w:cs="宋体" w:eastAsia="宋体" w:hint="default"/>
                <w:sz w:val="18"/>
                <w:szCs w:val="18"/>
              </w:rPr>
            </w:pPr>
            <w:r>
              <w:rPr>
                <w:rFonts w:ascii="Arial" w:hAnsi="Arial" w:cs="Arial" w:eastAsia="Arial" w:hint="default"/>
                <w:w w:val="95"/>
                <w:sz w:val="18"/>
                <w:szCs w:val="18"/>
              </w:rPr>
              <w:t>2</w:t>
            </w:r>
            <w:r>
              <w:rPr>
                <w:rFonts w:ascii="宋体" w:hAnsi="宋体" w:cs="宋体" w:eastAsia="宋体" w:hint="default"/>
                <w:w w:val="95"/>
                <w:sz w:val="18"/>
                <w:szCs w:val="18"/>
              </w:rPr>
              <w:t>．盈余公积转</w:t>
            </w:r>
            <w:r>
              <w:rPr>
                <w:rFonts w:ascii="宋体" w:hAnsi="宋体" w:cs="宋体" w:eastAsia="宋体" w:hint="default"/>
                <w:spacing w:val="-28"/>
                <w:w w:val="95"/>
                <w:sz w:val="18"/>
                <w:szCs w:val="18"/>
              </w:rPr>
              <w:t> </w:t>
            </w:r>
            <w:r>
              <w:rPr>
                <w:rFonts w:ascii="宋体" w:hAnsi="宋体" w:cs="宋体" w:eastAsia="宋体" w:hint="default"/>
                <w:sz w:val="18"/>
                <w:szCs w:val="18"/>
              </w:rPr>
              <w:t>增资本（或股 本）</w:t>
            </w:r>
          </w:p>
        </w:tc>
        <w:tc>
          <w:tcPr>
            <w:tcW w:w="691"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676" w:type="dxa"/>
            <w:tcBorders>
              <w:top w:val="single" w:sz="4" w:space="0" w:color="5B9BD4"/>
              <w:left w:val="nil" w:sz="6" w:space="0" w:color="auto"/>
              <w:bottom w:val="single" w:sz="4" w:space="0" w:color="5B9BD4"/>
              <w:right w:val="nil" w:sz="6" w:space="0" w:color="auto"/>
            </w:tcBorders>
            <w:shd w:val="clear" w:color="auto" w:fill="DEEAF6"/>
          </w:tcPr>
          <w:p>
            <w:pPr/>
          </w:p>
        </w:tc>
        <w:tc>
          <w:tcPr>
            <w:tcW w:w="781" w:type="dxa"/>
            <w:tcBorders>
              <w:top w:val="single" w:sz="4" w:space="0" w:color="5B9BD4"/>
              <w:left w:val="nil" w:sz="6" w:space="0" w:color="auto"/>
              <w:bottom w:val="single" w:sz="4" w:space="0" w:color="5B9BD4"/>
              <w:right w:val="nil" w:sz="6" w:space="0" w:color="auto"/>
            </w:tcBorders>
          </w:tcPr>
          <w:p>
            <w:pPr/>
          </w:p>
        </w:tc>
      </w:tr>
      <w:tr>
        <w:trPr>
          <w:trHeight w:val="323"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．盈余公积弥</w:t>
            </w:r>
          </w:p>
        </w:tc>
        <w:tc>
          <w:tcPr>
            <w:tcW w:w="691"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676" w:type="dxa"/>
            <w:tcBorders>
              <w:top w:val="single" w:sz="4" w:space="0" w:color="5B9BD4"/>
              <w:left w:val="nil" w:sz="6" w:space="0" w:color="auto"/>
              <w:bottom w:val="single" w:sz="4" w:space="0" w:color="5B9BD4"/>
              <w:right w:val="nil" w:sz="6" w:space="0" w:color="auto"/>
            </w:tcBorders>
            <w:shd w:val="clear" w:color="auto" w:fill="DEEAF6"/>
          </w:tcPr>
          <w:p>
            <w:pPr/>
          </w:p>
        </w:tc>
        <w:tc>
          <w:tcPr>
            <w:tcW w:w="781" w:type="dxa"/>
            <w:tcBorders>
              <w:top w:val="single" w:sz="4" w:space="0" w:color="5B9BD4"/>
              <w:left w:val="nil" w:sz="6" w:space="0" w:color="auto"/>
              <w:bottom w:val="single" w:sz="4" w:space="0" w:color="5B9BD4"/>
              <w:right w:val="nil" w:sz="6" w:space="0" w:color="auto"/>
            </w:tcBorders>
          </w:tcPr>
          <w:p>
            <w:pPr/>
          </w:p>
        </w:tc>
      </w:tr>
    </w:tbl>
    <w:p>
      <w:pPr>
        <w:spacing w:after="0"/>
        <w:sectPr>
          <w:pgSz w:w="11910" w:h="16840"/>
          <w:pgMar w:header="877" w:footer="979" w:top="1100" w:bottom="116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7"/>
        <w:gridCol w:w="798"/>
        <w:gridCol w:w="676"/>
        <w:gridCol w:w="781"/>
      </w:tblGrid>
      <w:tr>
        <w:trPr>
          <w:trHeight w:val="322"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补亏损</w:t>
            </w:r>
          </w:p>
        </w:tc>
        <w:tc>
          <w:tcPr>
            <w:tcW w:w="691"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676" w:type="dxa"/>
            <w:tcBorders>
              <w:top w:val="single" w:sz="4" w:space="0" w:color="5B9BD4"/>
              <w:left w:val="nil" w:sz="6" w:space="0" w:color="auto"/>
              <w:bottom w:val="single" w:sz="4" w:space="0" w:color="5B9BD4"/>
              <w:right w:val="nil" w:sz="6" w:space="0" w:color="auto"/>
            </w:tcBorders>
            <w:shd w:val="clear" w:color="auto" w:fill="DEEAF6"/>
          </w:tcPr>
          <w:p>
            <w:pPr/>
          </w:p>
        </w:tc>
        <w:tc>
          <w:tcPr>
            <w:tcW w:w="781" w:type="dxa"/>
            <w:tcBorders>
              <w:top w:val="single" w:sz="4" w:space="0" w:color="5B9BD4"/>
              <w:left w:val="nil" w:sz="6" w:space="0" w:color="auto"/>
              <w:bottom w:val="single" w:sz="4" w:space="0" w:color="5B9BD4"/>
              <w:right w:val="nil" w:sz="6" w:space="0" w:color="auto"/>
            </w:tcBorders>
          </w:tcPr>
          <w:p>
            <w:pPr/>
          </w:p>
        </w:tc>
      </w:tr>
      <w:tr>
        <w:trPr>
          <w:trHeight w:val="322"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691"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676" w:type="dxa"/>
            <w:tcBorders>
              <w:top w:val="single" w:sz="4" w:space="0" w:color="5B9BD4"/>
              <w:left w:val="nil" w:sz="6" w:space="0" w:color="auto"/>
              <w:bottom w:val="single" w:sz="4" w:space="0" w:color="5B9BD4"/>
              <w:right w:val="nil" w:sz="6" w:space="0" w:color="auto"/>
            </w:tcBorders>
            <w:shd w:val="clear" w:color="auto" w:fill="DEEAF6"/>
          </w:tcPr>
          <w:p>
            <w:pPr/>
          </w:p>
        </w:tc>
        <w:tc>
          <w:tcPr>
            <w:tcW w:w="781" w:type="dxa"/>
            <w:tcBorders>
              <w:top w:val="single" w:sz="4" w:space="0" w:color="5B9BD4"/>
              <w:left w:val="nil" w:sz="6" w:space="0" w:color="auto"/>
              <w:bottom w:val="single" w:sz="4" w:space="0" w:color="5B9BD4"/>
              <w:right w:val="nil" w:sz="6" w:space="0" w:color="auto"/>
            </w:tcBorders>
          </w:tcPr>
          <w:p>
            <w:pPr/>
          </w:p>
        </w:tc>
      </w:tr>
      <w:tr>
        <w:trPr>
          <w:trHeight w:val="322"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676" w:type="dxa"/>
            <w:tcBorders>
              <w:top w:val="single" w:sz="4" w:space="0" w:color="5B9BD4"/>
              <w:left w:val="nil" w:sz="6" w:space="0" w:color="auto"/>
              <w:bottom w:val="single" w:sz="4" w:space="0" w:color="5B9BD4"/>
              <w:right w:val="nil" w:sz="6" w:space="0" w:color="auto"/>
            </w:tcBorders>
            <w:shd w:val="clear" w:color="auto" w:fill="DEEAF6"/>
          </w:tcPr>
          <w:p>
            <w:pPr/>
          </w:p>
        </w:tc>
        <w:tc>
          <w:tcPr>
            <w:tcW w:w="781" w:type="dxa"/>
            <w:tcBorders>
              <w:top w:val="single" w:sz="4" w:space="0" w:color="5B9BD4"/>
              <w:left w:val="nil" w:sz="6" w:space="0" w:color="auto"/>
              <w:bottom w:val="single" w:sz="4" w:space="0" w:color="5B9BD4"/>
              <w:right w:val="nil" w:sz="6" w:space="0" w:color="auto"/>
            </w:tcBorders>
          </w:tcPr>
          <w:p>
            <w:pPr/>
          </w:p>
        </w:tc>
      </w:tr>
      <w:tr>
        <w:trPr>
          <w:trHeight w:val="322"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．本期提取</w:t>
            </w:r>
          </w:p>
        </w:tc>
        <w:tc>
          <w:tcPr>
            <w:tcW w:w="691"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676" w:type="dxa"/>
            <w:tcBorders>
              <w:top w:val="single" w:sz="4" w:space="0" w:color="5B9BD4"/>
              <w:left w:val="nil" w:sz="6" w:space="0" w:color="auto"/>
              <w:bottom w:val="single" w:sz="4" w:space="0" w:color="5B9BD4"/>
              <w:right w:val="nil" w:sz="6" w:space="0" w:color="auto"/>
            </w:tcBorders>
            <w:shd w:val="clear" w:color="auto" w:fill="DEEAF6"/>
          </w:tcPr>
          <w:p>
            <w:pPr/>
          </w:p>
        </w:tc>
        <w:tc>
          <w:tcPr>
            <w:tcW w:w="781" w:type="dxa"/>
            <w:tcBorders>
              <w:top w:val="single" w:sz="4" w:space="0" w:color="5B9BD4"/>
              <w:left w:val="nil" w:sz="6" w:space="0" w:color="auto"/>
              <w:bottom w:val="single" w:sz="4" w:space="0" w:color="5B9BD4"/>
              <w:right w:val="nil" w:sz="6" w:space="0" w:color="auto"/>
            </w:tcBorders>
          </w:tcPr>
          <w:p>
            <w:pPr/>
          </w:p>
        </w:tc>
      </w:tr>
      <w:tr>
        <w:trPr>
          <w:trHeight w:val="323"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．本期使用</w:t>
            </w:r>
          </w:p>
        </w:tc>
        <w:tc>
          <w:tcPr>
            <w:tcW w:w="691"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676" w:type="dxa"/>
            <w:tcBorders>
              <w:top w:val="single" w:sz="4" w:space="0" w:color="5B9BD4"/>
              <w:left w:val="nil" w:sz="6" w:space="0" w:color="auto"/>
              <w:bottom w:val="single" w:sz="4" w:space="0" w:color="5B9BD4"/>
              <w:right w:val="nil" w:sz="6" w:space="0" w:color="auto"/>
            </w:tcBorders>
            <w:shd w:val="clear" w:color="auto" w:fill="DEEAF6"/>
          </w:tcPr>
          <w:p>
            <w:pPr/>
          </w:p>
        </w:tc>
        <w:tc>
          <w:tcPr>
            <w:tcW w:w="781" w:type="dxa"/>
            <w:tcBorders>
              <w:top w:val="single" w:sz="4" w:space="0" w:color="5B9BD4"/>
              <w:left w:val="nil" w:sz="6" w:space="0" w:color="auto"/>
              <w:bottom w:val="single" w:sz="4" w:space="0" w:color="5B9BD4"/>
              <w:right w:val="nil" w:sz="6" w:space="0" w:color="auto"/>
            </w:tcBorders>
          </w:tcPr>
          <w:p>
            <w:pPr/>
          </w:p>
        </w:tc>
      </w:tr>
      <w:tr>
        <w:trPr>
          <w:trHeight w:val="322"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676" w:type="dxa"/>
            <w:tcBorders>
              <w:top w:val="single" w:sz="4" w:space="0" w:color="5B9BD4"/>
              <w:left w:val="nil" w:sz="6" w:space="0" w:color="auto"/>
              <w:bottom w:val="single" w:sz="4" w:space="0" w:color="5B9BD4"/>
              <w:right w:val="nil" w:sz="6" w:space="0" w:color="auto"/>
            </w:tcBorders>
            <w:shd w:val="clear" w:color="auto" w:fill="DEEAF6"/>
          </w:tcPr>
          <w:p>
            <w:pPr/>
          </w:p>
        </w:tc>
        <w:tc>
          <w:tcPr>
            <w:tcW w:w="781" w:type="dxa"/>
            <w:tcBorders>
              <w:top w:val="single" w:sz="4" w:space="0" w:color="5B9BD4"/>
              <w:left w:val="nil" w:sz="6" w:space="0" w:color="auto"/>
              <w:bottom w:val="single" w:sz="4" w:space="0" w:color="5B9BD4"/>
              <w:right w:val="nil" w:sz="6" w:space="0" w:color="auto"/>
            </w:tcBorders>
          </w:tcPr>
          <w:p>
            <w:pPr/>
          </w:p>
        </w:tc>
      </w:tr>
      <w:tr>
        <w:trPr>
          <w:trHeight w:val="1259" w:hRule="exact"/>
        </w:trPr>
        <w:tc>
          <w:tcPr>
            <w:tcW w:w="144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108" w:right="106"/>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34" w:right="0"/>
              <w:jc w:val="left"/>
              <w:rPr>
                <w:rFonts w:ascii="Arial" w:hAnsi="Arial" w:cs="Arial" w:eastAsia="Arial" w:hint="default"/>
                <w:sz w:val="18"/>
                <w:szCs w:val="18"/>
              </w:rPr>
            </w:pPr>
            <w:r>
              <w:rPr>
                <w:rFonts w:ascii="Arial"/>
                <w:sz w:val="18"/>
              </w:rPr>
              <w:t>994,7</w:t>
            </w:r>
          </w:p>
          <w:p>
            <w:pPr>
              <w:pStyle w:val="TableParagraph"/>
              <w:spacing w:line="240" w:lineRule="auto" w:before="105"/>
              <w:ind w:left="134" w:right="0"/>
              <w:jc w:val="left"/>
              <w:rPr>
                <w:rFonts w:ascii="Arial" w:hAnsi="Arial" w:cs="Arial" w:eastAsia="Arial" w:hint="default"/>
                <w:sz w:val="18"/>
                <w:szCs w:val="18"/>
              </w:rPr>
            </w:pPr>
            <w:r>
              <w:rPr>
                <w:rFonts w:ascii="Arial"/>
                <w:sz w:val="18"/>
              </w:rPr>
              <w:t>66,26</w:t>
            </w:r>
          </w:p>
          <w:p>
            <w:pPr>
              <w:pStyle w:val="TableParagraph"/>
              <w:spacing w:line="240" w:lineRule="auto" w:before="105"/>
              <w:ind w:left="234" w:right="0"/>
              <w:jc w:val="left"/>
              <w:rPr>
                <w:rFonts w:ascii="Arial" w:hAnsi="Arial" w:cs="Arial" w:eastAsia="Arial" w:hint="default"/>
                <w:sz w:val="18"/>
                <w:szCs w:val="18"/>
              </w:rPr>
            </w:pPr>
            <w:r>
              <w:rPr>
                <w:rFonts w:ascii="Arial"/>
                <w:sz w:val="18"/>
              </w:rPr>
              <w:t>6.00</w:t>
            </w: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665" w:type="dxa"/>
            <w:tcBorders>
              <w:top w:val="single" w:sz="4" w:space="0" w:color="5B9BD4"/>
              <w:left w:val="nil" w:sz="6" w:space="0" w:color="auto"/>
              <w:bottom w:val="single" w:sz="4" w:space="0" w:color="5B9BD4"/>
              <w:right w:val="nil" w:sz="6" w:space="0" w:color="auto"/>
            </w:tcBorders>
          </w:tcPr>
          <w:p>
            <w:pPr/>
          </w:p>
        </w:tc>
        <w:tc>
          <w:tcPr>
            <w:tcW w:w="665"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83" w:right="0"/>
              <w:jc w:val="center"/>
              <w:rPr>
                <w:rFonts w:ascii="Arial" w:hAnsi="Arial" w:cs="Arial" w:eastAsia="Arial" w:hint="default"/>
                <w:sz w:val="18"/>
                <w:szCs w:val="18"/>
              </w:rPr>
            </w:pPr>
            <w:r>
              <w:rPr>
                <w:rFonts w:ascii="Arial"/>
                <w:sz w:val="18"/>
              </w:rPr>
              <w:t>1,579,</w:t>
            </w:r>
          </w:p>
          <w:p>
            <w:pPr>
              <w:pStyle w:val="TableParagraph"/>
              <w:spacing w:line="240" w:lineRule="auto" w:before="105"/>
              <w:ind w:left="32" w:right="0"/>
              <w:jc w:val="center"/>
              <w:rPr>
                <w:rFonts w:ascii="Arial" w:hAnsi="Arial" w:cs="Arial" w:eastAsia="Arial" w:hint="default"/>
                <w:sz w:val="18"/>
                <w:szCs w:val="18"/>
              </w:rPr>
            </w:pPr>
            <w:r>
              <w:rPr>
                <w:rFonts w:ascii="Arial"/>
                <w:sz w:val="18"/>
              </w:rPr>
              <w:t>838,27</w:t>
            </w:r>
          </w:p>
          <w:p>
            <w:pPr>
              <w:pStyle w:val="TableParagraph"/>
              <w:spacing w:line="240" w:lineRule="auto" w:before="105"/>
              <w:ind w:left="231" w:right="0"/>
              <w:jc w:val="center"/>
              <w:rPr>
                <w:rFonts w:ascii="Arial" w:hAnsi="Arial" w:cs="Arial" w:eastAsia="Arial" w:hint="default"/>
                <w:sz w:val="18"/>
                <w:szCs w:val="18"/>
              </w:rPr>
            </w:pPr>
            <w:r>
              <w:rPr>
                <w:rFonts w:ascii="Arial"/>
                <w:sz w:val="18"/>
              </w:rPr>
              <w:t>3.23</w:t>
            </w: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7"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40" w:right="0"/>
              <w:jc w:val="left"/>
              <w:rPr>
                <w:rFonts w:ascii="Arial" w:hAnsi="Arial" w:cs="Arial" w:eastAsia="Arial" w:hint="default"/>
                <w:sz w:val="18"/>
                <w:szCs w:val="18"/>
              </w:rPr>
            </w:pPr>
            <w:r>
              <w:rPr>
                <w:rFonts w:ascii="Arial"/>
                <w:sz w:val="18"/>
              </w:rPr>
              <w:t>221,60</w:t>
            </w:r>
          </w:p>
          <w:p>
            <w:pPr>
              <w:pStyle w:val="TableParagraph"/>
              <w:spacing w:line="240" w:lineRule="auto" w:before="105"/>
              <w:ind w:left="190" w:right="0"/>
              <w:jc w:val="left"/>
              <w:rPr>
                <w:rFonts w:ascii="Arial" w:hAnsi="Arial" w:cs="Arial" w:eastAsia="Arial" w:hint="default"/>
                <w:sz w:val="18"/>
                <w:szCs w:val="18"/>
              </w:rPr>
            </w:pPr>
            <w:r>
              <w:rPr>
                <w:rFonts w:ascii="Arial"/>
                <w:sz w:val="18"/>
              </w:rPr>
              <w:t>7,097.</w:t>
            </w:r>
          </w:p>
          <w:p>
            <w:pPr>
              <w:pStyle w:val="TableParagraph"/>
              <w:spacing w:line="240" w:lineRule="auto" w:before="105"/>
              <w:ind w:left="489" w:right="0"/>
              <w:jc w:val="left"/>
              <w:rPr>
                <w:rFonts w:ascii="Arial" w:hAnsi="Arial" w:cs="Arial" w:eastAsia="Arial" w:hint="default"/>
                <w:sz w:val="18"/>
                <w:szCs w:val="18"/>
              </w:rPr>
            </w:pPr>
            <w:r>
              <w:rPr>
                <w:rFonts w:ascii="Arial"/>
                <w:sz w:val="18"/>
              </w:rPr>
              <w:t>36</w:t>
            </w:r>
          </w:p>
        </w:tc>
        <w:tc>
          <w:tcPr>
            <w:tcW w:w="67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18" w:right="0"/>
              <w:jc w:val="left"/>
              <w:rPr>
                <w:rFonts w:ascii="Arial" w:hAnsi="Arial" w:cs="Arial" w:eastAsia="Arial" w:hint="default"/>
                <w:sz w:val="18"/>
                <w:szCs w:val="18"/>
              </w:rPr>
            </w:pPr>
            <w:r>
              <w:rPr>
                <w:rFonts w:ascii="Arial"/>
                <w:sz w:val="18"/>
              </w:rPr>
              <w:t>1,215</w:t>
            </w:r>
          </w:p>
          <w:p>
            <w:pPr>
              <w:pStyle w:val="TableParagraph"/>
              <w:spacing w:line="240" w:lineRule="auto" w:before="105"/>
              <w:ind w:left="169" w:right="0"/>
              <w:jc w:val="left"/>
              <w:rPr>
                <w:rFonts w:ascii="Arial" w:hAnsi="Arial" w:cs="Arial" w:eastAsia="Arial" w:hint="default"/>
                <w:sz w:val="18"/>
                <w:szCs w:val="18"/>
              </w:rPr>
            </w:pPr>
            <w:r>
              <w:rPr>
                <w:rFonts w:ascii="Arial"/>
                <w:sz w:val="18"/>
              </w:rPr>
              <w:t>,787,</w:t>
            </w:r>
          </w:p>
          <w:p>
            <w:pPr>
              <w:pStyle w:val="TableParagraph"/>
              <w:spacing w:line="240" w:lineRule="auto" w:before="105"/>
              <w:ind w:left="118" w:right="0"/>
              <w:jc w:val="left"/>
              <w:rPr>
                <w:rFonts w:ascii="Arial" w:hAnsi="Arial" w:cs="Arial" w:eastAsia="Arial" w:hint="default"/>
                <w:sz w:val="18"/>
                <w:szCs w:val="18"/>
              </w:rPr>
            </w:pPr>
            <w:r>
              <w:rPr>
                <w:rFonts w:ascii="Arial"/>
                <w:sz w:val="18"/>
              </w:rPr>
              <w:t>577.3</w:t>
            </w:r>
          </w:p>
          <w:p>
            <w:pPr>
              <w:pStyle w:val="TableParagraph"/>
              <w:spacing w:line="240" w:lineRule="auto" w:before="105"/>
              <w:ind w:right="105"/>
              <w:jc w:val="right"/>
              <w:rPr>
                <w:rFonts w:ascii="Arial" w:hAnsi="Arial" w:cs="Arial" w:eastAsia="Arial" w:hint="default"/>
                <w:sz w:val="18"/>
                <w:szCs w:val="18"/>
              </w:rPr>
            </w:pPr>
            <w:r>
              <w:rPr>
                <w:rFonts w:ascii="Arial"/>
                <w:w w:val="99"/>
                <w:sz w:val="18"/>
              </w:rPr>
              <w:t>3</w:t>
            </w:r>
            <w:r>
              <w:rPr>
                <w:rFonts w:ascii="Arial"/>
                <w:sz w:val="18"/>
              </w:rPr>
            </w:r>
          </w:p>
        </w:tc>
        <w:tc>
          <w:tcPr>
            <w:tcW w:w="781"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67" w:right="0"/>
              <w:jc w:val="center"/>
              <w:rPr>
                <w:rFonts w:ascii="Arial" w:hAnsi="Arial" w:cs="Arial" w:eastAsia="Arial" w:hint="default"/>
                <w:sz w:val="18"/>
                <w:szCs w:val="18"/>
              </w:rPr>
            </w:pPr>
            <w:r>
              <w:rPr>
                <w:rFonts w:ascii="Arial"/>
                <w:sz w:val="18"/>
              </w:rPr>
              <w:t>4,011,</w:t>
            </w:r>
          </w:p>
          <w:p>
            <w:pPr>
              <w:pStyle w:val="TableParagraph"/>
              <w:spacing w:line="240" w:lineRule="auto" w:before="105"/>
              <w:ind w:left="16" w:right="0"/>
              <w:jc w:val="center"/>
              <w:rPr>
                <w:rFonts w:ascii="Arial" w:hAnsi="Arial" w:cs="Arial" w:eastAsia="Arial" w:hint="default"/>
                <w:sz w:val="18"/>
                <w:szCs w:val="18"/>
              </w:rPr>
            </w:pPr>
            <w:r>
              <w:rPr>
                <w:rFonts w:ascii="Arial"/>
                <w:sz w:val="18"/>
              </w:rPr>
              <w:t>999,21</w:t>
            </w:r>
          </w:p>
          <w:p>
            <w:pPr>
              <w:pStyle w:val="TableParagraph"/>
              <w:spacing w:line="240" w:lineRule="auto" w:before="105"/>
              <w:ind w:left="215" w:right="0"/>
              <w:jc w:val="center"/>
              <w:rPr>
                <w:rFonts w:ascii="Arial" w:hAnsi="Arial" w:cs="Arial" w:eastAsia="Arial" w:hint="default"/>
                <w:sz w:val="18"/>
                <w:szCs w:val="18"/>
              </w:rPr>
            </w:pPr>
            <w:r>
              <w:rPr>
                <w:rFonts w:ascii="Arial"/>
                <w:sz w:val="18"/>
              </w:rPr>
              <w:t>3.92</w:t>
            </w:r>
          </w:p>
        </w:tc>
      </w:tr>
    </w:tbl>
    <w:p>
      <w:pPr>
        <w:spacing w:line="240" w:lineRule="auto" w:before="1"/>
        <w:rPr>
          <w:rFonts w:ascii="Times New Roman" w:hAnsi="Times New Roman" w:cs="Times New Roman" w:eastAsia="Times New Roman" w:hint="default"/>
          <w:sz w:val="8"/>
          <w:szCs w:val="8"/>
        </w:rPr>
      </w:pPr>
    </w:p>
    <w:p>
      <w:pPr>
        <w:pStyle w:val="Heading2"/>
        <w:spacing w:line="240" w:lineRule="auto" w:before="26"/>
        <w:ind w:left="103" w:right="8733"/>
        <w:jc w:val="center"/>
        <w:rPr>
          <w:rFonts w:ascii="宋体" w:hAnsi="宋体" w:cs="宋体" w:eastAsia="宋体" w:hint="default"/>
          <w:b w:val="0"/>
          <w:bCs w:val="0"/>
        </w:rPr>
      </w:pPr>
      <w:bookmarkStart w:name="三、公司基本情况" w:id="268"/>
      <w:bookmarkEnd w:id="268"/>
      <w:r>
        <w:rPr>
          <w:b w:val="0"/>
          <w:bCs w:val="0"/>
        </w:rPr>
      </w:r>
      <w:bookmarkStart w:name="_bookmark76" w:id="269"/>
      <w:bookmarkEnd w:id="269"/>
      <w:r>
        <w:rPr>
          <w:b w:val="0"/>
          <w:bCs w:val="0"/>
        </w:rPr>
      </w:r>
      <w:r>
        <w:rPr>
          <w:rFonts w:ascii="宋体" w:hAnsi="宋体" w:cs="宋体" w:eastAsia="宋体" w:hint="default"/>
        </w:rPr>
        <w:t>三、公司基本情况</w:t>
      </w:r>
      <w:r>
        <w:rPr>
          <w:rFonts w:ascii="宋体" w:hAnsi="宋体" w:cs="宋体" w:eastAsia="宋体" w:hint="default"/>
          <w:b w:val="0"/>
          <w:bCs w:val="0"/>
        </w:rPr>
      </w:r>
    </w:p>
    <w:p>
      <w:pPr>
        <w:spacing w:line="240" w:lineRule="auto" w:before="0"/>
        <w:rPr>
          <w:rFonts w:ascii="宋体" w:hAnsi="宋体" w:cs="宋体" w:eastAsia="宋体" w:hint="default"/>
          <w:b/>
          <w:bCs/>
          <w:sz w:val="25"/>
          <w:szCs w:val="25"/>
        </w:rPr>
      </w:pPr>
    </w:p>
    <w:p>
      <w:pPr>
        <w:pStyle w:val="Heading5"/>
        <w:spacing w:line="240" w:lineRule="auto" w:before="0"/>
        <w:ind w:left="633" w:right="1513"/>
        <w:jc w:val="left"/>
        <w:rPr>
          <w:rFonts w:ascii="Microsoft JhengHei" w:hAnsi="Microsoft JhengHei" w:cs="Microsoft JhengHei" w:eastAsia="Microsoft JhengHei" w:hint="default"/>
          <w:b w:val="0"/>
          <w:bCs w:val="0"/>
        </w:rPr>
      </w:pPr>
      <w:r>
        <w:rPr>
          <w:rFonts w:ascii="Trebuchet MS" w:hAnsi="Trebuchet MS" w:cs="Trebuchet MS" w:eastAsia="Trebuchet MS" w:hint="default"/>
        </w:rPr>
        <w:t>1</w:t>
      </w:r>
      <w:r>
        <w:rPr>
          <w:rFonts w:ascii="Microsoft JhengHei" w:hAnsi="Microsoft JhengHei" w:cs="Microsoft JhengHei" w:eastAsia="Microsoft JhengHei" w:hint="default"/>
        </w:rPr>
        <w:t>、历史沿革</w:t>
      </w:r>
      <w:r>
        <w:rPr>
          <w:rFonts w:ascii="Microsoft JhengHei" w:hAnsi="Microsoft JhengHei" w:cs="Microsoft JhengHei" w:eastAsia="Microsoft JhengHei" w:hint="default"/>
          <w:b w:val="0"/>
          <w:bCs w:val="0"/>
        </w:rPr>
      </w:r>
    </w:p>
    <w:p>
      <w:pPr>
        <w:spacing w:line="240" w:lineRule="auto" w:before="12"/>
        <w:rPr>
          <w:rFonts w:ascii="Microsoft JhengHei" w:hAnsi="Microsoft JhengHei" w:cs="Microsoft JhengHei" w:eastAsia="Microsoft JhengHei" w:hint="default"/>
          <w:b/>
          <w:bCs/>
          <w:sz w:val="18"/>
          <w:szCs w:val="18"/>
        </w:rPr>
      </w:pPr>
    </w:p>
    <w:p>
      <w:pPr>
        <w:pStyle w:val="BodyText"/>
        <w:spacing w:line="408" w:lineRule="auto"/>
        <w:ind w:left="213" w:right="1030" w:firstLine="420"/>
        <w:jc w:val="both"/>
      </w:pPr>
      <w:r>
        <w:rPr/>
        <w:t>深圳市爱施德股份有限公司（以下简称“本公司”或“公司”）前身为深圳市爱施德实业有限公司， 成立于</w:t>
      </w:r>
      <w:r>
        <w:rPr>
          <w:rFonts w:ascii="Arial" w:hAnsi="Arial" w:cs="Arial" w:eastAsia="Arial" w:hint="default"/>
        </w:rPr>
        <w:t>1998</w:t>
      </w:r>
      <w:r>
        <w:rPr/>
        <w:t>年</w:t>
      </w:r>
      <w:r>
        <w:rPr>
          <w:rFonts w:ascii="Arial" w:hAnsi="Arial" w:cs="Arial" w:eastAsia="Arial" w:hint="default"/>
        </w:rPr>
        <w:t>6</w:t>
      </w:r>
      <w:r>
        <w:rPr/>
        <w:t>月</w:t>
      </w:r>
      <w:r>
        <w:rPr>
          <w:rFonts w:ascii="Arial" w:hAnsi="Arial" w:cs="Arial" w:eastAsia="Arial" w:hint="default"/>
        </w:rPr>
        <w:t>8</w:t>
      </w:r>
      <w:r>
        <w:rPr/>
        <w:t>日。企业法人营业执照注册号为</w:t>
      </w:r>
      <w:r>
        <w:rPr>
          <w:rFonts w:ascii="Arial" w:hAnsi="Arial" w:cs="Arial" w:eastAsia="Arial" w:hint="default"/>
        </w:rPr>
        <w:t>440301102941368</w:t>
      </w:r>
      <w:r>
        <w:rPr/>
        <w:t>，法定代表人黄文辉。</w:t>
      </w:r>
    </w:p>
    <w:p>
      <w:pPr>
        <w:pStyle w:val="BodyText"/>
        <w:spacing w:line="388" w:lineRule="auto" w:before="170"/>
        <w:ind w:left="213" w:right="1129" w:firstLine="420"/>
        <w:jc w:val="both"/>
      </w:pPr>
      <w:r>
        <w:rPr>
          <w:rFonts w:ascii="Arial" w:hAnsi="Arial" w:cs="Arial" w:eastAsia="Arial" w:hint="default"/>
        </w:rPr>
        <w:t>2007</w:t>
      </w:r>
      <w:r>
        <w:rPr/>
        <w:t>年</w:t>
      </w:r>
      <w:r>
        <w:rPr>
          <w:rFonts w:ascii="Arial" w:hAnsi="Arial" w:cs="Arial" w:eastAsia="Arial" w:hint="default"/>
        </w:rPr>
        <w:t>10</w:t>
      </w:r>
      <w:r>
        <w:rPr/>
        <w:t>月</w:t>
      </w:r>
      <w:r>
        <w:rPr>
          <w:rFonts w:ascii="Arial" w:hAnsi="Arial" w:cs="Arial" w:eastAsia="Arial" w:hint="default"/>
        </w:rPr>
        <w:t>11</w:t>
      </w:r>
      <w:r>
        <w:rPr/>
        <w:t>日，根据公司股东会决议和有关协议、章程的规定，深圳市爱施德实业有限公司整体</w:t>
      </w:r>
      <w:r>
        <w:rPr>
          <w:spacing w:val="2"/>
        </w:rPr>
        <w:t> </w:t>
      </w:r>
      <w:r>
        <w:rPr/>
        <w:t>变</w:t>
      </w:r>
      <w:r>
        <w:rPr>
          <w:spacing w:val="-79"/>
        </w:rPr>
        <w:t> </w:t>
      </w:r>
      <w:r>
        <w:rPr/>
        <w:t>更</w:t>
      </w:r>
      <w:r>
        <w:rPr>
          <w:spacing w:val="-79"/>
        </w:rPr>
        <w:t> </w:t>
      </w:r>
      <w:r>
        <w:rPr/>
        <w:t>为</w:t>
      </w:r>
      <w:r>
        <w:rPr>
          <w:spacing w:val="-80"/>
        </w:rPr>
        <w:t> </w:t>
      </w:r>
      <w:r>
        <w:rPr/>
        <w:t>深</w:t>
      </w:r>
      <w:r>
        <w:rPr>
          <w:spacing w:val="-79"/>
        </w:rPr>
        <w:t> </w:t>
      </w:r>
      <w:r>
        <w:rPr/>
        <w:t>圳</w:t>
      </w:r>
      <w:r>
        <w:rPr>
          <w:spacing w:val="-80"/>
        </w:rPr>
        <w:t> </w:t>
      </w:r>
      <w:r>
        <w:rPr/>
        <w:t>市</w:t>
      </w:r>
      <w:r>
        <w:rPr>
          <w:spacing w:val="-79"/>
        </w:rPr>
        <w:t> </w:t>
      </w:r>
      <w:r>
        <w:rPr/>
        <w:t>爱</w:t>
      </w:r>
      <w:r>
        <w:rPr>
          <w:spacing w:val="-79"/>
        </w:rPr>
        <w:t> </w:t>
      </w:r>
      <w:r>
        <w:rPr/>
        <w:t>施</w:t>
      </w:r>
      <w:r>
        <w:rPr>
          <w:spacing w:val="-80"/>
        </w:rPr>
        <w:t> </w:t>
      </w:r>
      <w:r>
        <w:rPr/>
        <w:t>德</w:t>
      </w:r>
      <w:r>
        <w:rPr>
          <w:spacing w:val="-79"/>
        </w:rPr>
        <w:t> </w:t>
      </w:r>
      <w:r>
        <w:rPr/>
        <w:t>实</w:t>
      </w:r>
      <w:r>
        <w:rPr>
          <w:spacing w:val="-80"/>
        </w:rPr>
        <w:t> </w:t>
      </w:r>
      <w:r>
        <w:rPr/>
        <w:t>业</w:t>
      </w:r>
      <w:r>
        <w:rPr>
          <w:spacing w:val="-79"/>
        </w:rPr>
        <w:t> </w:t>
      </w:r>
      <w:r>
        <w:rPr/>
        <w:t>股</w:t>
      </w:r>
      <w:r>
        <w:rPr>
          <w:spacing w:val="-79"/>
        </w:rPr>
        <w:t> </w:t>
      </w:r>
      <w:r>
        <w:rPr/>
        <w:t>份</w:t>
      </w:r>
      <w:r>
        <w:rPr>
          <w:spacing w:val="-80"/>
        </w:rPr>
        <w:t> </w:t>
      </w:r>
      <w:r>
        <w:rPr/>
        <w:t>有</w:t>
      </w:r>
      <w:r>
        <w:rPr>
          <w:spacing w:val="-79"/>
        </w:rPr>
        <w:t> </w:t>
      </w:r>
      <w:r>
        <w:rPr/>
        <w:t>限</w:t>
      </w:r>
      <w:r>
        <w:rPr>
          <w:spacing w:val="-80"/>
        </w:rPr>
        <w:t> </w:t>
      </w:r>
      <w:r>
        <w:rPr/>
        <w:t>公</w:t>
      </w:r>
      <w:r>
        <w:rPr>
          <w:spacing w:val="-79"/>
        </w:rPr>
        <w:t> </w:t>
      </w:r>
      <w:r>
        <w:rPr/>
        <w:t>司</w:t>
      </w:r>
      <w:r>
        <w:rPr>
          <w:spacing w:val="-79"/>
        </w:rPr>
        <w:t> </w:t>
      </w:r>
      <w:r>
        <w:rPr/>
        <w:t>，</w:t>
      </w:r>
      <w:r>
        <w:rPr>
          <w:spacing w:val="-80"/>
        </w:rPr>
        <w:t> </w:t>
      </w:r>
      <w:r>
        <w:rPr/>
        <w:t>以</w:t>
      </w:r>
      <w:r>
        <w:rPr>
          <w:spacing w:val="-79"/>
        </w:rPr>
        <w:t> </w:t>
      </w:r>
      <w:r>
        <w:rPr/>
        <w:t>原</w:t>
      </w:r>
      <w:r>
        <w:rPr>
          <w:spacing w:val="-80"/>
        </w:rPr>
        <w:t> </w:t>
      </w:r>
      <w:r>
        <w:rPr/>
        <w:t>有</w:t>
      </w:r>
      <w:r>
        <w:rPr>
          <w:spacing w:val="-79"/>
        </w:rPr>
        <w:t> </w:t>
      </w:r>
      <w:r>
        <w:rPr/>
        <w:t>限</w:t>
      </w:r>
      <w:r>
        <w:rPr>
          <w:spacing w:val="-79"/>
        </w:rPr>
        <w:t> </w:t>
      </w:r>
      <w:r>
        <w:rPr/>
        <w:t>公</w:t>
      </w:r>
      <w:r>
        <w:rPr>
          <w:spacing w:val="-80"/>
        </w:rPr>
        <w:t> </w:t>
      </w:r>
      <w:r>
        <w:rPr/>
        <w:t>司</w:t>
      </w:r>
      <w:r>
        <w:rPr>
          <w:spacing w:val="-79"/>
        </w:rPr>
        <w:t> </w:t>
      </w:r>
      <w:r>
        <w:rPr/>
        <w:t>截</w:t>
      </w:r>
      <w:r>
        <w:rPr>
          <w:spacing w:val="-80"/>
        </w:rPr>
        <w:t> </w:t>
      </w:r>
      <w:r>
        <w:rPr/>
        <w:t>至</w:t>
      </w:r>
      <w:r>
        <w:rPr>
          <w:spacing w:val="-72"/>
        </w:rPr>
        <w:t> </w:t>
      </w:r>
      <w:r>
        <w:rPr>
          <w:rFonts w:ascii="Arial" w:hAnsi="Arial" w:cs="Arial" w:eastAsia="Arial" w:hint="default"/>
        </w:rPr>
        <w:t>2007</w:t>
      </w:r>
      <w:r>
        <w:rPr>
          <w:rFonts w:ascii="Arial" w:hAnsi="Arial" w:cs="Arial" w:eastAsia="Arial" w:hint="default"/>
          <w:spacing w:val="-33"/>
        </w:rPr>
        <w:t> </w:t>
      </w:r>
      <w:r>
        <w:rPr/>
        <w:t>年</w:t>
      </w:r>
      <w:r>
        <w:rPr>
          <w:spacing w:val="-79"/>
        </w:rPr>
        <w:t> </w:t>
      </w:r>
      <w:r>
        <w:rPr>
          <w:rFonts w:ascii="Arial" w:hAnsi="Arial" w:cs="Arial" w:eastAsia="Arial" w:hint="default"/>
        </w:rPr>
        <w:t>7</w:t>
      </w:r>
      <w:r>
        <w:rPr>
          <w:rFonts w:ascii="Arial" w:hAnsi="Arial" w:cs="Arial" w:eastAsia="Arial" w:hint="default"/>
          <w:spacing w:val="-33"/>
        </w:rPr>
        <w:t> </w:t>
      </w:r>
      <w:r>
        <w:rPr/>
        <w:t>月</w:t>
      </w:r>
      <w:r>
        <w:rPr>
          <w:spacing w:val="-79"/>
        </w:rPr>
        <w:t> </w:t>
      </w:r>
      <w:r>
        <w:rPr>
          <w:rFonts w:ascii="Arial" w:hAnsi="Arial" w:cs="Arial" w:eastAsia="Arial" w:hint="default"/>
        </w:rPr>
        <w:t>31</w:t>
      </w:r>
      <w:r>
        <w:rPr>
          <w:rFonts w:ascii="Arial" w:hAnsi="Arial" w:cs="Arial" w:eastAsia="Arial" w:hint="default"/>
          <w:spacing w:val="-33"/>
        </w:rPr>
        <w:t> </w:t>
      </w:r>
      <w:r>
        <w:rPr/>
        <w:t>日</w:t>
      </w:r>
      <w:r>
        <w:rPr>
          <w:spacing w:val="-79"/>
        </w:rPr>
        <w:t> </w:t>
      </w:r>
      <w:r>
        <w:rPr/>
        <w:t>止</w:t>
      </w:r>
      <w:r>
        <w:rPr>
          <w:spacing w:val="-80"/>
        </w:rPr>
        <w:t> </w:t>
      </w:r>
      <w:r>
        <w:rPr/>
        <w:t>经</w:t>
      </w:r>
      <w:r>
        <w:rPr>
          <w:spacing w:val="-80"/>
        </w:rPr>
        <w:t> </w:t>
      </w:r>
      <w:r>
        <w:rPr/>
        <w:t>审</w:t>
      </w:r>
      <w:r>
        <w:rPr>
          <w:spacing w:val="-79"/>
        </w:rPr>
        <w:t> </w:t>
      </w:r>
      <w:r>
        <w:rPr/>
        <w:t>计</w:t>
      </w:r>
      <w:r>
        <w:rPr>
          <w:spacing w:val="-79"/>
        </w:rPr>
        <w:t> </w:t>
      </w:r>
      <w:r>
        <w:rPr/>
        <w:t>的</w:t>
      </w:r>
      <w:r>
        <w:rPr>
          <w:spacing w:val="-80"/>
        </w:rPr>
        <w:t> </w:t>
      </w:r>
      <w:r>
        <w:rPr/>
        <w:t>净</w:t>
      </w:r>
      <w:r>
        <w:rPr>
          <w:spacing w:val="-80"/>
        </w:rPr>
        <w:t> </w:t>
      </w:r>
      <w:r>
        <w:rPr/>
        <w:t>资</w:t>
      </w:r>
      <w:r>
        <w:rPr>
          <w:spacing w:val="-80"/>
        </w:rPr>
        <w:t> </w:t>
      </w:r>
      <w:r>
        <w:rPr/>
        <w:t>产</w:t>
      </w:r>
      <w:r>
        <w:rPr/>
        <w:t> </w:t>
      </w:r>
      <w:r>
        <w:rPr>
          <w:rFonts w:ascii="Arial" w:hAnsi="Arial" w:cs="Arial" w:eastAsia="Arial" w:hint="default"/>
        </w:rPr>
        <w:t>171,564,919.78</w:t>
      </w:r>
      <w:r>
        <w:rPr/>
        <w:t>元折为股份有限公司每股面值为人民币</w:t>
      </w:r>
      <w:r>
        <w:rPr>
          <w:rFonts w:ascii="Arial" w:hAnsi="Arial" w:cs="Arial" w:eastAsia="Arial" w:hint="default"/>
        </w:rPr>
        <w:t>1</w:t>
      </w:r>
      <w:r>
        <w:rPr/>
        <w:t>元的普通股</w:t>
      </w:r>
      <w:r>
        <w:rPr>
          <w:rFonts w:ascii="Arial" w:hAnsi="Arial" w:cs="Arial" w:eastAsia="Arial" w:hint="default"/>
        </w:rPr>
        <w:t>10,000</w:t>
      </w:r>
      <w:r>
        <w:rPr/>
        <w:t>万股，即股本</w:t>
      </w:r>
      <w:r>
        <w:rPr>
          <w:rFonts w:ascii="Arial" w:hAnsi="Arial" w:cs="Arial" w:eastAsia="Arial" w:hint="default"/>
        </w:rPr>
        <w:t>10,000</w:t>
      </w:r>
      <w:r>
        <w:rPr/>
        <w:t>万元，余</w:t>
      </w:r>
      <w:r>
        <w:rPr>
          <w:spacing w:val="-53"/>
        </w:rPr>
        <w:t> </w:t>
      </w:r>
      <w:r>
        <w:rPr>
          <w:spacing w:val="-53"/>
        </w:rPr>
      </w:r>
      <w:r>
        <w:rPr>
          <w:spacing w:val="-2"/>
        </w:rPr>
        <w:t>额</w:t>
      </w:r>
      <w:r>
        <w:rPr>
          <w:rFonts w:ascii="Arial" w:hAnsi="Arial" w:cs="Arial" w:eastAsia="Arial" w:hint="default"/>
          <w:spacing w:val="-2"/>
        </w:rPr>
        <w:t>71,564,919.78</w:t>
      </w:r>
      <w:r>
        <w:rPr>
          <w:spacing w:val="-2"/>
        </w:rPr>
        <w:t>元计入资本公积，各股东持股比例不变。整体变更后，深圳市神州通投资集团有限公司持</w:t>
      </w:r>
      <w:r>
        <w:rPr/>
        <w:t> </w:t>
      </w:r>
      <w:r>
        <w:rPr>
          <w:spacing w:val="-3"/>
        </w:rPr>
        <w:t>有本公司股份为</w:t>
      </w:r>
      <w:r>
        <w:rPr>
          <w:rFonts w:ascii="Arial" w:hAnsi="Arial" w:cs="Arial" w:eastAsia="Arial" w:hint="default"/>
          <w:spacing w:val="-3"/>
        </w:rPr>
        <w:t>7,500</w:t>
      </w:r>
      <w:r>
        <w:rPr>
          <w:spacing w:val="-3"/>
        </w:rPr>
        <w:t>万股，持股比例</w:t>
      </w:r>
      <w:r>
        <w:rPr>
          <w:rFonts w:ascii="Arial" w:hAnsi="Arial" w:cs="Arial" w:eastAsia="Arial" w:hint="default"/>
          <w:spacing w:val="-3"/>
        </w:rPr>
        <w:t>75%</w:t>
      </w:r>
      <w:r>
        <w:rPr>
          <w:spacing w:val="-3"/>
        </w:rPr>
        <w:t>；深圳市全球星投资管理有限公司（原名“深圳市全球星实业有</w:t>
      </w:r>
      <w:r>
        <w:rPr>
          <w:spacing w:val="-87"/>
        </w:rPr>
        <w:t> </w:t>
      </w:r>
      <w:r>
        <w:rPr>
          <w:spacing w:val="-87"/>
        </w:rPr>
      </w:r>
      <w:r>
        <w:rPr/>
        <w:t>限公司”）持有本公司股份为</w:t>
      </w:r>
      <w:r>
        <w:rPr>
          <w:rFonts w:ascii="Arial" w:hAnsi="Arial" w:cs="Arial" w:eastAsia="Arial" w:hint="default"/>
        </w:rPr>
        <w:t>2,500</w:t>
      </w:r>
      <w:r>
        <w:rPr/>
        <w:t>万股，持股比例</w:t>
      </w:r>
      <w:r>
        <w:rPr>
          <w:rFonts w:ascii="Arial" w:hAnsi="Arial" w:cs="Arial" w:eastAsia="Arial" w:hint="default"/>
        </w:rPr>
        <w:t>25%</w:t>
      </w:r>
      <w:r>
        <w:rPr/>
        <w:t>。</w:t>
      </w:r>
    </w:p>
    <w:p>
      <w:pPr>
        <w:spacing w:line="240" w:lineRule="auto" w:before="6"/>
        <w:rPr>
          <w:rFonts w:ascii="宋体" w:hAnsi="宋体" w:cs="宋体" w:eastAsia="宋体" w:hint="default"/>
          <w:sz w:val="14"/>
          <w:szCs w:val="14"/>
        </w:rPr>
      </w:pPr>
    </w:p>
    <w:p>
      <w:pPr>
        <w:pStyle w:val="BodyText"/>
        <w:spacing w:line="388" w:lineRule="auto"/>
        <w:ind w:left="213" w:right="1129" w:firstLine="420"/>
        <w:jc w:val="both"/>
      </w:pPr>
      <w:r>
        <w:rPr>
          <w:spacing w:val="6"/>
        </w:rPr>
        <w:t>根据</w:t>
      </w:r>
      <w:r>
        <w:rPr>
          <w:rFonts w:ascii="Arial" w:hAnsi="Arial" w:cs="Arial" w:eastAsia="Arial" w:hint="default"/>
          <w:spacing w:val="6"/>
        </w:rPr>
        <w:t>2007</w:t>
      </w:r>
      <w:r>
        <w:rPr>
          <w:spacing w:val="6"/>
        </w:rPr>
        <w:t>年</w:t>
      </w:r>
      <w:r>
        <w:rPr>
          <w:rFonts w:ascii="Arial" w:hAnsi="Arial" w:cs="Arial" w:eastAsia="Arial" w:hint="default"/>
          <w:spacing w:val="6"/>
        </w:rPr>
        <w:t>12</w:t>
      </w:r>
      <w:r>
        <w:rPr>
          <w:spacing w:val="6"/>
        </w:rPr>
        <w:t>月</w:t>
      </w:r>
      <w:r>
        <w:rPr>
          <w:rFonts w:ascii="Arial" w:hAnsi="Arial" w:cs="Arial" w:eastAsia="Arial" w:hint="default"/>
          <w:spacing w:val="6"/>
        </w:rPr>
        <w:t>11</w:t>
      </w:r>
      <w:r>
        <w:rPr>
          <w:spacing w:val="6"/>
        </w:rPr>
        <w:t>日公司临时股东大会决议和修改后的章程规定，公司申请增加注册资本人民币</w:t>
      </w:r>
      <w:r>
        <w:rPr/>
        <w:t> </w:t>
      </w:r>
      <w:r>
        <w:rPr>
          <w:rFonts w:ascii="Arial" w:hAnsi="Arial" w:cs="Arial" w:eastAsia="Arial" w:hint="default"/>
          <w:spacing w:val="-1"/>
        </w:rPr>
        <w:t>1,000</w:t>
      </w:r>
      <w:r>
        <w:rPr>
          <w:spacing w:val="-1"/>
        </w:rPr>
        <w:t>万元，由黄绍武、黄文辉等</w:t>
      </w:r>
      <w:r>
        <w:rPr>
          <w:rFonts w:ascii="Arial" w:hAnsi="Arial" w:cs="Arial" w:eastAsia="Arial" w:hint="default"/>
          <w:spacing w:val="-1"/>
        </w:rPr>
        <w:t>92</w:t>
      </w:r>
      <w:r>
        <w:rPr>
          <w:spacing w:val="-1"/>
        </w:rPr>
        <w:t>人认购公司普通股股份</w:t>
      </w:r>
      <w:r>
        <w:rPr>
          <w:rFonts w:ascii="Arial" w:hAnsi="Arial" w:cs="Arial" w:eastAsia="Arial" w:hint="default"/>
          <w:spacing w:val="-1"/>
        </w:rPr>
        <w:t>1,000</w:t>
      </w:r>
      <w:r>
        <w:rPr>
          <w:spacing w:val="-1"/>
        </w:rPr>
        <w:t>万股，面值为每股人民币</w:t>
      </w:r>
      <w:r>
        <w:rPr>
          <w:rFonts w:ascii="Arial" w:hAnsi="Arial" w:cs="Arial" w:eastAsia="Arial" w:hint="default"/>
          <w:spacing w:val="-1"/>
        </w:rPr>
        <w:t>1.00</w:t>
      </w:r>
      <w:r>
        <w:rPr>
          <w:spacing w:val="-1"/>
        </w:rPr>
        <w:t>元，认购价</w:t>
      </w:r>
      <w:r>
        <w:rPr>
          <w:spacing w:val="-93"/>
        </w:rPr>
        <w:t> </w:t>
      </w:r>
      <w:r>
        <w:rPr>
          <w:spacing w:val="-93"/>
        </w:rPr>
      </w:r>
      <w:r>
        <w:rPr>
          <w:spacing w:val="-1"/>
        </w:rPr>
        <w:t>格为每股人民币</w:t>
      </w:r>
      <w:r>
        <w:rPr>
          <w:rFonts w:ascii="Arial" w:hAnsi="Arial" w:cs="Arial" w:eastAsia="Arial" w:hint="default"/>
          <w:spacing w:val="-1"/>
        </w:rPr>
        <w:t>2.12</w:t>
      </w:r>
      <w:r>
        <w:rPr>
          <w:spacing w:val="-1"/>
        </w:rPr>
        <w:t>元。认购后公司注册资本为人民币</w:t>
      </w:r>
      <w:r>
        <w:rPr>
          <w:rFonts w:ascii="Arial" w:hAnsi="Arial" w:cs="Arial" w:eastAsia="Arial" w:hint="default"/>
          <w:spacing w:val="-1"/>
        </w:rPr>
        <w:t>11,000</w:t>
      </w:r>
      <w:r>
        <w:rPr>
          <w:spacing w:val="-1"/>
        </w:rPr>
        <w:t>万元，股本为人民币</w:t>
      </w:r>
      <w:r>
        <w:rPr>
          <w:rFonts w:ascii="Arial" w:hAnsi="Arial" w:cs="Arial" w:eastAsia="Arial" w:hint="default"/>
          <w:spacing w:val="-1"/>
        </w:rPr>
        <w:t>11,000</w:t>
      </w:r>
      <w:r>
        <w:rPr>
          <w:spacing w:val="-1"/>
        </w:rPr>
        <w:t>万元，其中：深</w:t>
      </w:r>
      <w:r>
        <w:rPr>
          <w:spacing w:val="-93"/>
        </w:rPr>
        <w:t> </w:t>
      </w:r>
      <w:r>
        <w:rPr>
          <w:spacing w:val="-93"/>
        </w:rPr>
      </w:r>
      <w:r>
        <w:rPr>
          <w:w w:val="95"/>
        </w:rPr>
        <w:t>圳市神州通投资集团有限公司持有本公司股份为</w:t>
      </w:r>
      <w:r>
        <w:rPr>
          <w:rFonts w:ascii="Arial" w:hAnsi="Arial" w:cs="Arial" w:eastAsia="Arial" w:hint="default"/>
          <w:w w:val="95"/>
        </w:rPr>
        <w:t>7,500</w:t>
      </w:r>
      <w:r>
        <w:rPr>
          <w:w w:val="95"/>
        </w:rPr>
        <w:t>万股，持股比例</w:t>
      </w:r>
      <w:r>
        <w:rPr>
          <w:rFonts w:ascii="Arial" w:hAnsi="Arial" w:cs="Arial" w:eastAsia="Arial" w:hint="default"/>
          <w:w w:val="95"/>
        </w:rPr>
        <w:t>68.1818%</w:t>
      </w:r>
      <w:r>
        <w:rPr>
          <w:w w:val="95"/>
        </w:rPr>
        <w:t>；深圳市全球星投资管理</w:t>
      </w:r>
      <w:r>
        <w:rPr>
          <w:spacing w:val="61"/>
          <w:w w:val="95"/>
        </w:rPr>
        <w:t> </w:t>
      </w:r>
      <w:r>
        <w:rPr>
          <w:spacing w:val="61"/>
          <w:w w:val="95"/>
        </w:rPr>
      </w:r>
      <w:r>
        <w:rPr>
          <w:spacing w:val="3"/>
        </w:rPr>
        <w:t>有限公司持有本公司股份为</w:t>
      </w:r>
      <w:r>
        <w:rPr>
          <w:rFonts w:ascii="Arial" w:hAnsi="Arial" w:cs="Arial" w:eastAsia="Arial" w:hint="default"/>
          <w:spacing w:val="3"/>
        </w:rPr>
        <w:t>2,500</w:t>
      </w:r>
      <w:r>
        <w:rPr>
          <w:spacing w:val="3"/>
        </w:rPr>
        <w:t>万股，持股比例</w:t>
      </w:r>
      <w:r>
        <w:rPr>
          <w:rFonts w:ascii="Arial" w:hAnsi="Arial" w:cs="Arial" w:eastAsia="Arial" w:hint="default"/>
          <w:spacing w:val="3"/>
        </w:rPr>
        <w:t>22.7272%</w:t>
      </w:r>
      <w:r>
        <w:rPr>
          <w:spacing w:val="3"/>
        </w:rPr>
        <w:t>；黄绍武、黄文辉等</w:t>
      </w:r>
      <w:r>
        <w:rPr>
          <w:rFonts w:ascii="Arial" w:hAnsi="Arial" w:cs="Arial" w:eastAsia="Arial" w:hint="default"/>
          <w:spacing w:val="3"/>
        </w:rPr>
        <w:t>92</w:t>
      </w:r>
      <w:r>
        <w:rPr>
          <w:spacing w:val="3"/>
        </w:rPr>
        <w:t>人持有本公司股份为</w:t>
      </w:r>
      <w:r>
        <w:rPr/>
        <w:t> </w:t>
      </w:r>
      <w:r>
        <w:rPr>
          <w:rFonts w:ascii="Arial" w:hAnsi="Arial" w:cs="Arial" w:eastAsia="Arial" w:hint="default"/>
        </w:rPr>
        <w:t>1,000</w:t>
      </w:r>
      <w:r>
        <w:rPr/>
        <w:t>万股，持股比例</w:t>
      </w:r>
      <w:r>
        <w:rPr>
          <w:rFonts w:ascii="Arial" w:hAnsi="Arial" w:cs="Arial" w:eastAsia="Arial" w:hint="default"/>
        </w:rPr>
        <w:t>9.0910%</w:t>
      </w:r>
      <w:r>
        <w:rPr/>
        <w:t>。</w:t>
      </w:r>
    </w:p>
    <w:p>
      <w:pPr>
        <w:spacing w:line="240" w:lineRule="auto" w:before="6"/>
        <w:rPr>
          <w:rFonts w:ascii="宋体" w:hAnsi="宋体" w:cs="宋体" w:eastAsia="宋体" w:hint="default"/>
          <w:sz w:val="14"/>
          <w:szCs w:val="14"/>
        </w:rPr>
      </w:pPr>
    </w:p>
    <w:p>
      <w:pPr>
        <w:pStyle w:val="BodyText"/>
        <w:spacing w:line="388" w:lineRule="auto"/>
        <w:ind w:left="213" w:right="1130" w:firstLine="420"/>
        <w:jc w:val="both"/>
      </w:pPr>
      <w:r>
        <w:rPr>
          <w:spacing w:val="-1"/>
        </w:rPr>
        <w:t>根据</w:t>
      </w:r>
      <w:r>
        <w:rPr>
          <w:rFonts w:ascii="Arial" w:hAnsi="Arial" w:cs="Arial" w:eastAsia="Arial" w:hint="default"/>
          <w:spacing w:val="-1"/>
        </w:rPr>
        <w:t>2008</w:t>
      </w:r>
      <w:r>
        <w:rPr>
          <w:spacing w:val="-1"/>
        </w:rPr>
        <w:t>年</w:t>
      </w:r>
      <w:r>
        <w:rPr>
          <w:rFonts w:ascii="Arial" w:hAnsi="Arial" w:cs="Arial" w:eastAsia="Arial" w:hint="default"/>
          <w:spacing w:val="-1"/>
        </w:rPr>
        <w:t>4</w:t>
      </w:r>
      <w:r>
        <w:rPr>
          <w:spacing w:val="-1"/>
        </w:rPr>
        <w:t>月</w:t>
      </w:r>
      <w:r>
        <w:rPr>
          <w:rFonts w:ascii="Arial" w:hAnsi="Arial" w:cs="Arial" w:eastAsia="Arial" w:hint="default"/>
          <w:spacing w:val="-1"/>
        </w:rPr>
        <w:t>22</w:t>
      </w:r>
      <w:r>
        <w:rPr>
          <w:spacing w:val="-1"/>
        </w:rPr>
        <w:t>日召开的</w:t>
      </w:r>
      <w:r>
        <w:rPr>
          <w:rFonts w:ascii="Arial" w:hAnsi="Arial" w:cs="Arial" w:eastAsia="Arial" w:hint="default"/>
          <w:spacing w:val="-1"/>
        </w:rPr>
        <w:t>2008</w:t>
      </w:r>
      <w:r>
        <w:rPr>
          <w:spacing w:val="-1"/>
        </w:rPr>
        <w:t>年第一次临时股东大会决议，本公司名称由“深圳市爱施德实业股份</w:t>
      </w:r>
      <w:r>
        <w:rPr/>
        <w:t> 有限公司”变更为“深圳市爱施德股份有限公司”；经营范围增加“零售连锁；供应链管理”。</w:t>
      </w:r>
    </w:p>
    <w:p>
      <w:pPr>
        <w:spacing w:line="240" w:lineRule="auto" w:before="10"/>
        <w:rPr>
          <w:rFonts w:ascii="宋体" w:hAnsi="宋体" w:cs="宋体" w:eastAsia="宋体" w:hint="default"/>
          <w:sz w:val="16"/>
          <w:szCs w:val="16"/>
        </w:rPr>
      </w:pPr>
    </w:p>
    <w:p>
      <w:pPr>
        <w:pStyle w:val="BodyText"/>
        <w:spacing w:line="388" w:lineRule="auto"/>
        <w:ind w:left="213" w:right="1130" w:firstLine="420"/>
        <w:jc w:val="both"/>
      </w:pPr>
      <w:r>
        <w:rPr>
          <w:w w:val="95"/>
        </w:rPr>
        <w:t>根据</w:t>
      </w:r>
      <w:r>
        <w:rPr>
          <w:rFonts w:ascii="Arial" w:hAnsi="Arial" w:cs="Arial" w:eastAsia="Arial" w:hint="default"/>
          <w:w w:val="95"/>
        </w:rPr>
        <w:t>2008</w:t>
      </w:r>
      <w:r>
        <w:rPr>
          <w:w w:val="95"/>
        </w:rPr>
        <w:t>年</w:t>
      </w:r>
      <w:r>
        <w:rPr>
          <w:rFonts w:ascii="Arial" w:hAnsi="Arial" w:cs="Arial" w:eastAsia="Arial" w:hint="default"/>
          <w:w w:val="95"/>
        </w:rPr>
        <w:t>6</w:t>
      </w:r>
      <w:r>
        <w:rPr>
          <w:w w:val="95"/>
        </w:rPr>
        <w:t>月</w:t>
      </w:r>
      <w:r>
        <w:rPr>
          <w:rFonts w:ascii="Arial" w:hAnsi="Arial" w:cs="Arial" w:eastAsia="Arial" w:hint="default"/>
          <w:w w:val="95"/>
        </w:rPr>
        <w:t>23</w:t>
      </w:r>
      <w:r>
        <w:rPr>
          <w:w w:val="95"/>
        </w:rPr>
        <w:t>日召开的第二次临时股东大会决议，公司申请新增注册资本人民币</w:t>
      </w:r>
      <w:r>
        <w:rPr>
          <w:rFonts w:ascii="Arial" w:hAnsi="Arial" w:cs="Arial" w:eastAsia="Arial" w:hint="default"/>
          <w:w w:val="95"/>
        </w:rPr>
        <w:t>23,100</w:t>
      </w:r>
      <w:r>
        <w:rPr>
          <w:w w:val="95"/>
        </w:rPr>
        <w:t>万元，以</w:t>
      </w:r>
      <w:r>
        <w:rPr>
          <w:spacing w:val="-73"/>
          <w:w w:val="95"/>
        </w:rPr>
        <w:t> </w:t>
      </w:r>
      <w:r>
        <w:rPr>
          <w:spacing w:val="-73"/>
          <w:w w:val="95"/>
        </w:rPr>
      </w:r>
      <w:r>
        <w:rPr>
          <w:rFonts w:ascii="Arial" w:hAnsi="Arial" w:cs="Arial" w:eastAsia="Arial" w:hint="default"/>
          <w:spacing w:val="-1"/>
        </w:rPr>
        <w:t>2008</w:t>
      </w:r>
      <w:r>
        <w:rPr>
          <w:spacing w:val="-1"/>
        </w:rPr>
        <w:t>年</w:t>
      </w:r>
      <w:r>
        <w:rPr>
          <w:rFonts w:ascii="Arial" w:hAnsi="Arial" w:cs="Arial" w:eastAsia="Arial" w:hint="default"/>
          <w:spacing w:val="-1"/>
        </w:rPr>
        <w:t>5</w:t>
      </w:r>
      <w:r>
        <w:rPr>
          <w:spacing w:val="-1"/>
        </w:rPr>
        <w:t>月</w:t>
      </w:r>
      <w:r>
        <w:rPr>
          <w:rFonts w:ascii="Arial" w:hAnsi="Arial" w:cs="Arial" w:eastAsia="Arial" w:hint="default"/>
          <w:spacing w:val="-1"/>
        </w:rPr>
        <w:t>31</w:t>
      </w:r>
      <w:r>
        <w:rPr>
          <w:spacing w:val="-1"/>
        </w:rPr>
        <w:t>日总股本</w:t>
      </w:r>
      <w:r>
        <w:rPr>
          <w:rFonts w:ascii="Arial" w:hAnsi="Arial" w:cs="Arial" w:eastAsia="Arial" w:hint="default"/>
          <w:spacing w:val="-1"/>
        </w:rPr>
        <w:t>11,000</w:t>
      </w:r>
      <w:r>
        <w:rPr>
          <w:spacing w:val="-1"/>
        </w:rPr>
        <w:t>万股为基数，向全体股东以未分配利润按每</w:t>
      </w:r>
      <w:r>
        <w:rPr>
          <w:rFonts w:ascii="Arial" w:hAnsi="Arial" w:cs="Arial" w:eastAsia="Arial" w:hint="default"/>
          <w:spacing w:val="-1"/>
        </w:rPr>
        <w:t>10</w:t>
      </w:r>
      <w:r>
        <w:rPr>
          <w:spacing w:val="-1"/>
        </w:rPr>
        <w:t>股送红股</w:t>
      </w:r>
      <w:r>
        <w:rPr>
          <w:rFonts w:ascii="Arial" w:hAnsi="Arial" w:cs="Arial" w:eastAsia="Arial" w:hint="default"/>
          <w:spacing w:val="-1"/>
        </w:rPr>
        <w:t>13.5</w:t>
      </w:r>
      <w:r>
        <w:rPr>
          <w:spacing w:val="-1"/>
        </w:rPr>
        <w:t>股，以资本公积</w:t>
      </w:r>
    </w:p>
    <w:p>
      <w:pPr>
        <w:spacing w:after="0" w:line="388" w:lineRule="auto"/>
        <w:jc w:val="both"/>
        <w:sectPr>
          <w:pgSz w:w="11910" w:h="16840"/>
          <w:pgMar w:header="877" w:footer="979" w:top="1100" w:bottom="1160" w:left="920" w:right="0"/>
        </w:sectPr>
      </w:pPr>
    </w:p>
    <w:p>
      <w:pPr>
        <w:spacing w:line="240" w:lineRule="auto" w:before="7"/>
        <w:rPr>
          <w:rFonts w:ascii="宋体" w:hAnsi="宋体" w:cs="宋体" w:eastAsia="宋体" w:hint="default"/>
          <w:sz w:val="27"/>
          <w:szCs w:val="27"/>
        </w:rPr>
      </w:pPr>
    </w:p>
    <w:p>
      <w:pPr>
        <w:pStyle w:val="BodyText"/>
        <w:spacing w:line="388" w:lineRule="auto" w:before="18"/>
        <w:ind w:right="1128"/>
        <w:jc w:val="both"/>
      </w:pPr>
      <w:r>
        <w:rPr>
          <w:spacing w:val="-1"/>
        </w:rPr>
        <w:t>金按每</w:t>
      </w:r>
      <w:r>
        <w:rPr>
          <w:rFonts w:ascii="Arial" w:hAnsi="Arial" w:cs="Arial" w:eastAsia="Arial" w:hint="default"/>
          <w:spacing w:val="-1"/>
        </w:rPr>
        <w:t>10</w:t>
      </w:r>
      <w:r>
        <w:rPr>
          <w:spacing w:val="-1"/>
        </w:rPr>
        <w:t>股转增</w:t>
      </w:r>
      <w:r>
        <w:rPr>
          <w:rFonts w:ascii="Arial" w:hAnsi="Arial" w:cs="Arial" w:eastAsia="Arial" w:hint="default"/>
          <w:spacing w:val="-1"/>
        </w:rPr>
        <w:t>7.5</w:t>
      </w:r>
      <w:r>
        <w:rPr>
          <w:spacing w:val="-1"/>
        </w:rPr>
        <w:t>股，共计转增股份</w:t>
      </w:r>
      <w:r>
        <w:rPr>
          <w:rFonts w:ascii="Arial" w:hAnsi="Arial" w:cs="Arial" w:eastAsia="Arial" w:hint="default"/>
          <w:spacing w:val="-1"/>
        </w:rPr>
        <w:t>23,100</w:t>
      </w:r>
      <w:r>
        <w:rPr>
          <w:spacing w:val="-1"/>
        </w:rPr>
        <w:t>万股，其中：由资本公积转增股本</w:t>
      </w:r>
      <w:r>
        <w:rPr>
          <w:rFonts w:ascii="Arial" w:hAnsi="Arial" w:cs="Arial" w:eastAsia="Arial" w:hint="default"/>
          <w:spacing w:val="-1"/>
        </w:rPr>
        <w:t>8,250</w:t>
      </w:r>
      <w:r>
        <w:rPr>
          <w:spacing w:val="-1"/>
        </w:rPr>
        <w:t>万元，由未分配利润</w:t>
      </w:r>
      <w:r>
        <w:rPr>
          <w:spacing w:val="-92"/>
        </w:rPr>
        <w:t> </w:t>
      </w:r>
      <w:r>
        <w:rPr>
          <w:spacing w:val="-92"/>
        </w:rPr>
      </w:r>
      <w:r>
        <w:rPr>
          <w:spacing w:val="-1"/>
        </w:rPr>
        <w:t>转增股本</w:t>
      </w:r>
      <w:r>
        <w:rPr>
          <w:rFonts w:ascii="Arial" w:hAnsi="Arial" w:cs="Arial" w:eastAsia="Arial" w:hint="default"/>
          <w:spacing w:val="-1"/>
        </w:rPr>
        <w:t>14,850</w:t>
      </w:r>
      <w:r>
        <w:rPr>
          <w:spacing w:val="-1"/>
        </w:rPr>
        <w:t>万元。此次增资后公司注册资本为人民币</w:t>
      </w:r>
      <w:r>
        <w:rPr>
          <w:rFonts w:ascii="Arial" w:hAnsi="Arial" w:cs="Arial" w:eastAsia="Arial" w:hint="default"/>
          <w:spacing w:val="-1"/>
        </w:rPr>
        <w:t>34,100</w:t>
      </w:r>
      <w:r>
        <w:rPr>
          <w:spacing w:val="-1"/>
        </w:rPr>
        <w:t>万元，其中深圳市神州通投资集团有限公</w:t>
      </w:r>
      <w:r>
        <w:rPr/>
        <w:t> 司持有本公司股份为</w:t>
      </w:r>
      <w:r>
        <w:rPr>
          <w:rFonts w:ascii="Arial" w:hAnsi="Arial" w:cs="Arial" w:eastAsia="Arial" w:hint="default"/>
        </w:rPr>
        <w:t>23,250</w:t>
      </w:r>
      <w:r>
        <w:rPr/>
        <w:t>万股，持股比例为</w:t>
      </w:r>
      <w:r>
        <w:rPr>
          <w:rFonts w:ascii="Arial" w:hAnsi="Arial" w:cs="Arial" w:eastAsia="Arial" w:hint="default"/>
        </w:rPr>
        <w:t>68.1818%</w:t>
      </w:r>
      <w:r>
        <w:rPr/>
        <w:t>；深圳市全球星投资管理有限公司持有本公司股</w:t>
      </w:r>
      <w:r>
        <w:rPr>
          <w:spacing w:val="-49"/>
        </w:rPr>
        <w:t> </w:t>
      </w:r>
      <w:r>
        <w:rPr>
          <w:spacing w:val="-49"/>
        </w:rPr>
      </w:r>
      <w:r>
        <w:rPr/>
        <w:t>份为</w:t>
      </w:r>
      <w:r>
        <w:rPr>
          <w:rFonts w:ascii="Arial" w:hAnsi="Arial" w:cs="Arial" w:eastAsia="Arial" w:hint="default"/>
        </w:rPr>
        <w:t>7,750</w:t>
      </w:r>
      <w:r>
        <w:rPr/>
        <w:t>万股，持股比例为</w:t>
      </w:r>
      <w:r>
        <w:rPr>
          <w:rFonts w:ascii="Arial" w:hAnsi="Arial" w:cs="Arial" w:eastAsia="Arial" w:hint="default"/>
        </w:rPr>
        <w:t>22.7272%</w:t>
      </w:r>
      <w:r>
        <w:rPr/>
        <w:t>；黄绍武、黄文辉等</w:t>
      </w:r>
      <w:r>
        <w:rPr>
          <w:rFonts w:ascii="Arial" w:hAnsi="Arial" w:cs="Arial" w:eastAsia="Arial" w:hint="default"/>
        </w:rPr>
        <w:t>92</w:t>
      </w:r>
      <w:r>
        <w:rPr/>
        <w:t>人持有本公司股份为</w:t>
      </w:r>
      <w:r>
        <w:rPr>
          <w:rFonts w:ascii="Arial" w:hAnsi="Arial" w:cs="Arial" w:eastAsia="Arial" w:hint="default"/>
        </w:rPr>
        <w:t>3,100</w:t>
      </w:r>
      <w:r>
        <w:rPr/>
        <w:t>万股，持股比例</w:t>
      </w:r>
      <w:r>
        <w:rPr>
          <w:spacing w:val="-58"/>
        </w:rPr>
        <w:t> </w:t>
      </w:r>
      <w:r>
        <w:rPr/>
        <w:t>为</w:t>
      </w:r>
      <w:r>
        <w:rPr>
          <w:rFonts w:ascii="Arial" w:hAnsi="Arial" w:cs="Arial" w:eastAsia="Arial" w:hint="default"/>
        </w:rPr>
        <w:t>9.0910%</w:t>
      </w:r>
      <w:r>
        <w:rPr/>
        <w:t>。</w:t>
      </w:r>
    </w:p>
    <w:p>
      <w:pPr>
        <w:spacing w:line="240" w:lineRule="auto" w:before="6"/>
        <w:rPr>
          <w:rFonts w:ascii="宋体" w:hAnsi="宋体" w:cs="宋体" w:eastAsia="宋体" w:hint="default"/>
          <w:sz w:val="14"/>
          <w:szCs w:val="14"/>
        </w:rPr>
      </w:pPr>
    </w:p>
    <w:p>
      <w:pPr>
        <w:pStyle w:val="BodyText"/>
        <w:spacing w:line="388" w:lineRule="auto"/>
        <w:ind w:left="154" w:right="1130" w:firstLine="420"/>
        <w:jc w:val="both"/>
      </w:pPr>
      <w:r>
        <w:rPr>
          <w:spacing w:val="-1"/>
          <w:w w:val="95"/>
        </w:rPr>
        <w:t>根据</w:t>
      </w:r>
      <w:r>
        <w:rPr>
          <w:rFonts w:ascii="Arial" w:hAnsi="Arial" w:cs="Arial" w:eastAsia="Arial" w:hint="default"/>
          <w:spacing w:val="-1"/>
          <w:w w:val="95"/>
        </w:rPr>
        <w:t>2009</w:t>
      </w:r>
      <w:r>
        <w:rPr>
          <w:spacing w:val="-1"/>
          <w:w w:val="95"/>
        </w:rPr>
        <w:t>年</w:t>
      </w:r>
      <w:r>
        <w:rPr>
          <w:rFonts w:ascii="Arial" w:hAnsi="Arial" w:cs="Arial" w:eastAsia="Arial" w:hint="default"/>
          <w:spacing w:val="-1"/>
          <w:w w:val="95"/>
        </w:rPr>
        <w:t>8</w:t>
      </w:r>
      <w:r>
        <w:rPr>
          <w:spacing w:val="-1"/>
          <w:w w:val="95"/>
        </w:rPr>
        <w:t>月</w:t>
      </w:r>
      <w:r>
        <w:rPr>
          <w:rFonts w:ascii="Arial" w:hAnsi="Arial" w:cs="Arial" w:eastAsia="Arial" w:hint="default"/>
          <w:spacing w:val="-1"/>
          <w:w w:val="95"/>
        </w:rPr>
        <w:t>18</w:t>
      </w:r>
      <w:r>
        <w:rPr>
          <w:spacing w:val="-1"/>
          <w:w w:val="95"/>
        </w:rPr>
        <w:t>日召开的</w:t>
      </w:r>
      <w:r>
        <w:rPr>
          <w:rFonts w:ascii="Arial" w:hAnsi="Arial" w:cs="Arial" w:eastAsia="Arial" w:hint="default"/>
          <w:spacing w:val="-1"/>
          <w:w w:val="95"/>
        </w:rPr>
        <w:t>2009</w:t>
      </w:r>
      <w:r>
        <w:rPr>
          <w:spacing w:val="-1"/>
          <w:w w:val="95"/>
        </w:rPr>
        <w:t>年第一次临时股东大会决议，公司申请增加注册资本人民币</w:t>
      </w:r>
      <w:r>
        <w:rPr>
          <w:rFonts w:ascii="Arial" w:hAnsi="Arial" w:cs="Arial" w:eastAsia="Arial" w:hint="default"/>
          <w:spacing w:val="-1"/>
          <w:w w:val="95"/>
        </w:rPr>
        <w:t>10,230</w:t>
      </w:r>
      <w:r>
        <w:rPr>
          <w:spacing w:val="-1"/>
          <w:w w:val="95"/>
        </w:rPr>
        <w:t>万</w:t>
      </w:r>
      <w:r>
        <w:rPr>
          <w:spacing w:val="-65"/>
          <w:w w:val="95"/>
        </w:rPr>
        <w:t> </w:t>
      </w:r>
      <w:r>
        <w:rPr/>
        <w:t>元，以</w:t>
      </w:r>
      <w:r>
        <w:rPr>
          <w:rFonts w:ascii="Arial" w:hAnsi="Arial" w:cs="Arial" w:eastAsia="Arial" w:hint="default"/>
        </w:rPr>
        <w:t>2009</w:t>
      </w:r>
      <w:r>
        <w:rPr/>
        <w:t>年</w:t>
      </w:r>
      <w:r>
        <w:rPr>
          <w:rFonts w:ascii="Arial" w:hAnsi="Arial" w:cs="Arial" w:eastAsia="Arial" w:hint="default"/>
        </w:rPr>
        <w:t>6</w:t>
      </w:r>
      <w:r>
        <w:rPr/>
        <w:t>月</w:t>
      </w:r>
      <w:r>
        <w:rPr>
          <w:rFonts w:ascii="Arial" w:hAnsi="Arial" w:cs="Arial" w:eastAsia="Arial" w:hint="default"/>
        </w:rPr>
        <w:t>30</w:t>
      </w:r>
      <w:r>
        <w:rPr/>
        <w:t>日总股本</w:t>
      </w:r>
      <w:r>
        <w:rPr>
          <w:rFonts w:ascii="Arial" w:hAnsi="Arial" w:cs="Arial" w:eastAsia="Arial" w:hint="default"/>
        </w:rPr>
        <w:t>34,100</w:t>
      </w:r>
      <w:r>
        <w:rPr/>
        <w:t>万股为基数，向全体股东以未分配利润按每</w:t>
      </w:r>
      <w:r>
        <w:rPr>
          <w:rFonts w:ascii="Arial" w:hAnsi="Arial" w:cs="Arial" w:eastAsia="Arial" w:hint="default"/>
        </w:rPr>
        <w:t>10</w:t>
      </w:r>
      <w:r>
        <w:rPr/>
        <w:t>股送红股</w:t>
      </w:r>
      <w:r>
        <w:rPr>
          <w:rFonts w:ascii="Arial" w:hAnsi="Arial" w:cs="Arial" w:eastAsia="Arial" w:hint="default"/>
        </w:rPr>
        <w:t>3</w:t>
      </w:r>
      <w:r>
        <w:rPr/>
        <w:t>股，共计转</w:t>
      </w:r>
      <w:r>
        <w:rPr>
          <w:spacing w:val="-57"/>
        </w:rPr>
        <w:t> </w:t>
      </w:r>
      <w:r>
        <w:rPr>
          <w:spacing w:val="-57"/>
        </w:rPr>
      </w:r>
      <w:r>
        <w:rPr/>
        <w:t>增股份</w:t>
      </w:r>
      <w:r>
        <w:rPr>
          <w:rFonts w:ascii="Arial" w:hAnsi="Arial" w:cs="Arial" w:eastAsia="Arial" w:hint="default"/>
        </w:rPr>
        <w:t>10,230</w:t>
      </w:r>
      <w:r>
        <w:rPr/>
        <w:t>万股。此次增资后公司注册资本为人民币</w:t>
      </w:r>
      <w:r>
        <w:rPr>
          <w:rFonts w:ascii="Arial" w:hAnsi="Arial" w:cs="Arial" w:eastAsia="Arial" w:hint="default"/>
        </w:rPr>
        <w:t>44,330</w:t>
      </w:r>
      <w:r>
        <w:rPr/>
        <w:t>万元。</w:t>
      </w:r>
    </w:p>
    <w:p>
      <w:pPr>
        <w:spacing w:line="240" w:lineRule="auto" w:before="6"/>
        <w:rPr>
          <w:rFonts w:ascii="宋体" w:hAnsi="宋体" w:cs="宋体" w:eastAsia="宋体" w:hint="default"/>
          <w:sz w:val="14"/>
          <w:szCs w:val="14"/>
        </w:rPr>
      </w:pPr>
    </w:p>
    <w:p>
      <w:pPr>
        <w:pStyle w:val="BodyText"/>
        <w:spacing w:line="388" w:lineRule="auto"/>
        <w:ind w:right="1129" w:firstLine="420"/>
        <w:jc w:val="both"/>
      </w:pPr>
      <w:r>
        <w:rPr>
          <w:spacing w:val="-2"/>
        </w:rPr>
        <w:t>根据公司</w:t>
      </w:r>
      <w:r>
        <w:rPr>
          <w:rFonts w:ascii="Arial" w:hAnsi="Arial" w:cs="Arial" w:eastAsia="Arial" w:hint="default"/>
          <w:spacing w:val="-2"/>
        </w:rPr>
        <w:t>2009</w:t>
      </w:r>
      <w:r>
        <w:rPr>
          <w:spacing w:val="-2"/>
        </w:rPr>
        <w:t>年</w:t>
      </w:r>
      <w:r>
        <w:rPr>
          <w:rFonts w:ascii="Arial" w:hAnsi="Arial" w:cs="Arial" w:eastAsia="Arial" w:hint="default"/>
          <w:spacing w:val="-2"/>
        </w:rPr>
        <w:t>8</w:t>
      </w:r>
      <w:r>
        <w:rPr>
          <w:spacing w:val="-2"/>
        </w:rPr>
        <w:t>月</w:t>
      </w:r>
      <w:r>
        <w:rPr>
          <w:rFonts w:ascii="Arial" w:hAnsi="Arial" w:cs="Arial" w:eastAsia="Arial" w:hint="default"/>
          <w:spacing w:val="-2"/>
        </w:rPr>
        <w:t>11</w:t>
      </w:r>
      <w:r>
        <w:rPr>
          <w:spacing w:val="-2"/>
        </w:rPr>
        <w:t>日第一次临时股东会决议，及中国证券监督管理委员会于</w:t>
      </w:r>
      <w:r>
        <w:rPr>
          <w:rFonts w:ascii="Arial" w:hAnsi="Arial" w:cs="Arial" w:eastAsia="Arial" w:hint="default"/>
          <w:spacing w:val="-2"/>
        </w:rPr>
        <w:t>2010</w:t>
      </w:r>
      <w:r>
        <w:rPr>
          <w:spacing w:val="-2"/>
        </w:rPr>
        <w:t>年</w:t>
      </w:r>
      <w:r>
        <w:rPr>
          <w:rFonts w:ascii="Arial" w:hAnsi="Arial" w:cs="Arial" w:eastAsia="Arial" w:hint="default"/>
          <w:spacing w:val="-2"/>
        </w:rPr>
        <w:t>5</w:t>
      </w:r>
      <w:r>
        <w:rPr>
          <w:spacing w:val="-2"/>
        </w:rPr>
        <w:t>月</w:t>
      </w:r>
      <w:r>
        <w:rPr>
          <w:rFonts w:ascii="Arial" w:hAnsi="Arial" w:cs="Arial" w:eastAsia="Arial" w:hint="default"/>
          <w:spacing w:val="-2"/>
        </w:rPr>
        <w:t>4</w:t>
      </w:r>
      <w:r>
        <w:rPr>
          <w:spacing w:val="-2"/>
        </w:rPr>
        <w:t>日《关于</w:t>
      </w:r>
      <w:r>
        <w:rPr/>
        <w:t> </w:t>
      </w:r>
      <w:r>
        <w:rPr>
          <w:spacing w:val="-4"/>
          <w:w w:val="100"/>
        </w:rPr>
        <w:t>核准深圳市爱施德股份有限公司首次公开发行股票的批复》（证监许可</w:t>
      </w:r>
      <w:r>
        <w:rPr>
          <w:rFonts w:ascii="Arial" w:hAnsi="Arial" w:cs="Arial" w:eastAsia="Arial" w:hint="default"/>
          <w:spacing w:val="-4"/>
          <w:w w:val="100"/>
        </w:rPr>
        <w:t>[2010]555</w:t>
      </w:r>
      <w:r>
        <w:rPr>
          <w:spacing w:val="-4"/>
          <w:w w:val="100"/>
        </w:rPr>
        <w:t>号）的核准，公司于</w:t>
      </w:r>
      <w:r>
        <w:rPr>
          <w:rFonts w:ascii="Arial" w:hAnsi="Arial" w:cs="Arial" w:eastAsia="Arial" w:hint="default"/>
          <w:spacing w:val="-4"/>
          <w:w w:val="100"/>
        </w:rPr>
        <w:t>2010</w:t>
      </w:r>
      <w:r>
        <w:rPr>
          <w:rFonts w:ascii="Arial" w:hAnsi="Arial" w:cs="Arial" w:eastAsia="Arial" w:hint="default"/>
          <w:w w:val="99"/>
        </w:rPr>
        <w:t> </w:t>
      </w:r>
      <w:r>
        <w:rPr>
          <w:spacing w:val="-2"/>
        </w:rPr>
        <w:t>年</w:t>
      </w:r>
      <w:r>
        <w:rPr>
          <w:rFonts w:ascii="Arial" w:hAnsi="Arial" w:cs="Arial" w:eastAsia="Arial" w:hint="default"/>
          <w:spacing w:val="-2"/>
        </w:rPr>
        <w:t>5</w:t>
      </w:r>
      <w:r>
        <w:rPr>
          <w:spacing w:val="-2"/>
        </w:rPr>
        <w:t>月</w:t>
      </w:r>
      <w:r>
        <w:rPr>
          <w:rFonts w:ascii="Arial" w:hAnsi="Arial" w:cs="Arial" w:eastAsia="Arial" w:hint="default"/>
          <w:spacing w:val="-2"/>
        </w:rPr>
        <w:t>17</w:t>
      </w:r>
      <w:r>
        <w:rPr>
          <w:spacing w:val="-2"/>
        </w:rPr>
        <w:t>日分别采用网下配售方式向询价对象公开发行人民币普通股（</w:t>
      </w:r>
      <w:r>
        <w:rPr>
          <w:rFonts w:ascii="Arial" w:hAnsi="Arial" w:cs="Arial" w:eastAsia="Arial" w:hint="default"/>
          <w:spacing w:val="-2"/>
        </w:rPr>
        <w:t>A</w:t>
      </w:r>
      <w:r>
        <w:rPr>
          <w:spacing w:val="-2"/>
        </w:rPr>
        <w:t>股）</w:t>
      </w:r>
      <w:r>
        <w:rPr>
          <w:rFonts w:ascii="Arial" w:hAnsi="Arial" w:cs="Arial" w:eastAsia="Arial" w:hint="default"/>
          <w:spacing w:val="-2"/>
        </w:rPr>
        <w:t>10,000,000</w:t>
      </w:r>
      <w:r>
        <w:rPr>
          <w:spacing w:val="-2"/>
        </w:rPr>
        <w:t>股、网上定价方式</w:t>
      </w:r>
      <w:r>
        <w:rPr>
          <w:spacing w:val="-94"/>
        </w:rPr>
        <w:t> </w:t>
      </w:r>
      <w:r>
        <w:rPr>
          <w:spacing w:val="-94"/>
        </w:rPr>
      </w:r>
      <w:r>
        <w:rPr/>
        <w:t>公开发行人民币普通股（</w:t>
      </w:r>
      <w:r>
        <w:rPr>
          <w:rFonts w:ascii="Arial" w:hAnsi="Arial" w:cs="Arial" w:eastAsia="Arial" w:hint="default"/>
        </w:rPr>
        <w:t>A</w:t>
      </w:r>
      <w:r>
        <w:rPr/>
        <w:t>股）</w:t>
      </w:r>
      <w:r>
        <w:rPr>
          <w:rFonts w:ascii="Arial" w:hAnsi="Arial" w:cs="Arial" w:eastAsia="Arial" w:hint="default"/>
        </w:rPr>
        <w:t>40,000,000</w:t>
      </w:r>
      <w:r>
        <w:rPr/>
        <w:t>股，共计公开发行人民币普通股（</w:t>
      </w:r>
      <w:r>
        <w:rPr>
          <w:rFonts w:ascii="Arial" w:hAnsi="Arial" w:cs="Arial" w:eastAsia="Arial" w:hint="default"/>
        </w:rPr>
        <w:t>A</w:t>
      </w:r>
      <w:r>
        <w:rPr/>
        <w:t>股）</w:t>
      </w:r>
      <w:r>
        <w:rPr>
          <w:rFonts w:ascii="Arial" w:hAnsi="Arial" w:cs="Arial" w:eastAsia="Arial" w:hint="default"/>
        </w:rPr>
        <w:t>50,000,000</w:t>
      </w:r>
      <w:r>
        <w:rPr/>
        <w:t>股（每股</w:t>
      </w:r>
      <w:r>
        <w:rPr>
          <w:spacing w:val="-6"/>
        </w:rPr>
        <w:t> </w:t>
      </w:r>
      <w:r>
        <w:rPr>
          <w:spacing w:val="-6"/>
        </w:rPr>
      </w:r>
      <w:r>
        <w:rPr>
          <w:spacing w:val="-2"/>
        </w:rPr>
        <w:t>面值</w:t>
      </w:r>
      <w:r>
        <w:rPr>
          <w:rFonts w:ascii="Arial" w:hAnsi="Arial" w:cs="Arial" w:eastAsia="Arial" w:hint="default"/>
          <w:spacing w:val="-2"/>
        </w:rPr>
        <w:t>1</w:t>
      </w:r>
      <w:r>
        <w:rPr>
          <w:spacing w:val="-2"/>
        </w:rPr>
        <w:t>元，发行价格</w:t>
      </w:r>
      <w:r>
        <w:rPr>
          <w:rFonts w:ascii="Arial" w:hAnsi="Arial" w:cs="Arial" w:eastAsia="Arial" w:hint="default"/>
          <w:spacing w:val="-2"/>
        </w:rPr>
        <w:t>45.00</w:t>
      </w:r>
      <w:r>
        <w:rPr>
          <w:spacing w:val="-2"/>
        </w:rPr>
        <w:t>元），并申请增加注册资本</w:t>
      </w:r>
      <w:r>
        <w:rPr>
          <w:rFonts w:ascii="Arial" w:hAnsi="Arial" w:cs="Arial" w:eastAsia="Arial" w:hint="default"/>
          <w:spacing w:val="-2"/>
        </w:rPr>
        <w:t>50,000,000.00</w:t>
      </w:r>
      <w:r>
        <w:rPr>
          <w:spacing w:val="-2"/>
        </w:rPr>
        <w:t>元。</w:t>
      </w:r>
      <w:r>
        <w:rPr>
          <w:rFonts w:ascii="Arial" w:hAnsi="Arial" w:cs="Arial" w:eastAsia="Arial" w:hint="default"/>
          <w:spacing w:val="-2"/>
        </w:rPr>
        <w:t>2010</w:t>
      </w:r>
      <w:r>
        <w:rPr>
          <w:spacing w:val="-2"/>
        </w:rPr>
        <w:t>年</w:t>
      </w:r>
      <w:r>
        <w:rPr>
          <w:rFonts w:ascii="Arial" w:hAnsi="Arial" w:cs="Arial" w:eastAsia="Arial" w:hint="default"/>
          <w:spacing w:val="-2"/>
        </w:rPr>
        <w:t>5</w:t>
      </w:r>
      <w:r>
        <w:rPr>
          <w:spacing w:val="-2"/>
        </w:rPr>
        <w:t>月</w:t>
      </w:r>
      <w:r>
        <w:rPr>
          <w:rFonts w:ascii="Arial" w:hAnsi="Arial" w:cs="Arial" w:eastAsia="Arial" w:hint="default"/>
          <w:spacing w:val="-2"/>
        </w:rPr>
        <w:t>28</w:t>
      </w:r>
      <w:r>
        <w:rPr>
          <w:spacing w:val="-2"/>
        </w:rPr>
        <w:t>日，本公司股票在深</w:t>
      </w:r>
      <w:r>
        <w:rPr>
          <w:spacing w:val="-85"/>
        </w:rPr>
        <w:t> </w:t>
      </w:r>
      <w:r>
        <w:rPr>
          <w:spacing w:val="-85"/>
        </w:rPr>
      </w:r>
      <w:r>
        <w:rPr/>
        <w:t>圳证券交易所挂牌上市交易，股票简称“爱施德”，股票代码“002416”。</w:t>
      </w:r>
    </w:p>
    <w:p>
      <w:pPr>
        <w:spacing w:line="240" w:lineRule="auto" w:before="10"/>
        <w:rPr>
          <w:rFonts w:ascii="宋体" w:hAnsi="宋体" w:cs="宋体" w:eastAsia="宋体" w:hint="default"/>
          <w:sz w:val="16"/>
          <w:szCs w:val="16"/>
        </w:rPr>
      </w:pPr>
    </w:p>
    <w:p>
      <w:pPr>
        <w:pStyle w:val="BodyText"/>
        <w:spacing w:line="388" w:lineRule="auto"/>
        <w:ind w:right="1129" w:firstLine="420"/>
        <w:jc w:val="both"/>
      </w:pPr>
      <w:r>
        <w:rPr>
          <w:w w:val="95"/>
        </w:rPr>
        <w:t>根据</w:t>
      </w:r>
      <w:r>
        <w:rPr>
          <w:rFonts w:ascii="Arial" w:hAnsi="Arial" w:cs="Arial" w:eastAsia="Arial" w:hint="default"/>
          <w:w w:val="95"/>
        </w:rPr>
        <w:t>2011</w:t>
      </w:r>
      <w:r>
        <w:rPr>
          <w:w w:val="95"/>
        </w:rPr>
        <w:t>年</w:t>
      </w:r>
      <w:r>
        <w:rPr>
          <w:rFonts w:ascii="Arial" w:hAnsi="Arial" w:cs="Arial" w:eastAsia="Arial" w:hint="default"/>
          <w:w w:val="95"/>
        </w:rPr>
        <w:t>11</w:t>
      </w:r>
      <w:r>
        <w:rPr>
          <w:w w:val="95"/>
        </w:rPr>
        <w:t>月</w:t>
      </w:r>
      <w:r>
        <w:rPr>
          <w:rFonts w:ascii="Arial" w:hAnsi="Arial" w:cs="Arial" w:eastAsia="Arial" w:hint="default"/>
          <w:w w:val="95"/>
        </w:rPr>
        <w:t>8</w:t>
      </w:r>
      <w:r>
        <w:rPr>
          <w:w w:val="95"/>
        </w:rPr>
        <w:t>日第二次临时股东大会决议，公司申请新增的注册资本为人民币</w:t>
      </w:r>
      <w:r>
        <w:rPr>
          <w:rFonts w:ascii="Arial" w:hAnsi="Arial" w:cs="Arial" w:eastAsia="Arial" w:hint="default"/>
          <w:w w:val="95"/>
        </w:rPr>
        <w:t>49,330</w:t>
      </w:r>
      <w:r>
        <w:rPr>
          <w:w w:val="95"/>
        </w:rPr>
        <w:t>万元，公司</w:t>
      </w:r>
      <w:r>
        <w:rPr>
          <w:spacing w:val="-72"/>
          <w:w w:val="95"/>
        </w:rPr>
        <w:t> </w:t>
      </w:r>
      <w:r>
        <w:rPr>
          <w:spacing w:val="-72"/>
          <w:w w:val="95"/>
        </w:rPr>
      </w:r>
      <w:r>
        <w:rPr>
          <w:spacing w:val="-2"/>
        </w:rPr>
        <w:t>按每</w:t>
      </w:r>
      <w:r>
        <w:rPr>
          <w:rFonts w:ascii="Arial" w:hAnsi="Arial" w:cs="Arial" w:eastAsia="Arial" w:hint="default"/>
          <w:spacing w:val="-2"/>
        </w:rPr>
        <w:t>10</w:t>
      </w:r>
      <w:r>
        <w:rPr>
          <w:spacing w:val="-2"/>
        </w:rPr>
        <w:t>股转增</w:t>
      </w:r>
      <w:r>
        <w:rPr>
          <w:rFonts w:ascii="Arial" w:hAnsi="Arial" w:cs="Arial" w:eastAsia="Arial" w:hint="default"/>
          <w:spacing w:val="-2"/>
        </w:rPr>
        <w:t>10</w:t>
      </w:r>
      <w:r>
        <w:rPr>
          <w:spacing w:val="-2"/>
        </w:rPr>
        <w:t>股的比例，以资本公积金向全体股东转增股份总额</w:t>
      </w:r>
      <w:r>
        <w:rPr>
          <w:rFonts w:ascii="Arial" w:hAnsi="Arial" w:cs="Arial" w:eastAsia="Arial" w:hint="default"/>
          <w:spacing w:val="-2"/>
        </w:rPr>
        <w:t>49,330</w:t>
      </w:r>
      <w:r>
        <w:rPr>
          <w:spacing w:val="-2"/>
        </w:rPr>
        <w:t>万股，每股面值</w:t>
      </w:r>
      <w:r>
        <w:rPr>
          <w:rFonts w:ascii="Arial" w:hAnsi="Arial" w:cs="Arial" w:eastAsia="Arial" w:hint="default"/>
          <w:spacing w:val="-2"/>
        </w:rPr>
        <w:t>1.00</w:t>
      </w:r>
      <w:r>
        <w:rPr>
          <w:spacing w:val="-2"/>
        </w:rPr>
        <w:t>元，合计增</w:t>
      </w:r>
      <w:r>
        <w:rPr>
          <w:spacing w:val="-73"/>
        </w:rPr>
        <w:t> </w:t>
      </w:r>
      <w:r>
        <w:rPr>
          <w:spacing w:val="-73"/>
        </w:rPr>
      </w:r>
      <w:r>
        <w:rPr>
          <w:spacing w:val="-1"/>
        </w:rPr>
        <w:t>加股本人民币</w:t>
      </w:r>
      <w:r>
        <w:rPr>
          <w:rFonts w:ascii="Arial" w:hAnsi="Arial" w:cs="Arial" w:eastAsia="Arial" w:hint="default"/>
          <w:spacing w:val="-1"/>
        </w:rPr>
        <w:t>49,330</w:t>
      </w:r>
      <w:r>
        <w:rPr>
          <w:spacing w:val="-1"/>
        </w:rPr>
        <w:t>万元。转增后总股本为人民币</w:t>
      </w:r>
      <w:r>
        <w:rPr>
          <w:rFonts w:ascii="Arial" w:hAnsi="Arial" w:cs="Arial" w:eastAsia="Arial" w:hint="default"/>
          <w:spacing w:val="-1"/>
        </w:rPr>
        <w:t>98,660</w:t>
      </w:r>
      <w:r>
        <w:rPr>
          <w:spacing w:val="-1"/>
        </w:rPr>
        <w:t>万元。其中深圳市神州通投资集团有限公司持有</w:t>
      </w:r>
      <w:r>
        <w:rPr>
          <w:spacing w:val="-102"/>
        </w:rPr>
        <w:t> </w:t>
      </w:r>
      <w:r>
        <w:rPr>
          <w:spacing w:val="-102"/>
        </w:rPr>
      </w:r>
      <w:r>
        <w:rPr/>
        <w:t>本公司股权</w:t>
      </w:r>
      <w:r>
        <w:rPr>
          <w:rFonts w:ascii="Arial" w:hAnsi="Arial" w:cs="Arial" w:eastAsia="Arial" w:hint="default"/>
        </w:rPr>
        <w:t>60,450</w:t>
      </w:r>
      <w:r>
        <w:rPr/>
        <w:t>万元，持股比例</w:t>
      </w:r>
      <w:r>
        <w:rPr>
          <w:rFonts w:ascii="Arial" w:hAnsi="Arial" w:cs="Arial" w:eastAsia="Arial" w:hint="default"/>
        </w:rPr>
        <w:t>61.2710</w:t>
      </w:r>
      <w:r>
        <w:rPr/>
        <w:t>％，深圳市全球星投资管理有限公司持有本公司股权</w:t>
      </w:r>
      <w:r>
        <w:rPr>
          <w:rFonts w:ascii="Arial" w:hAnsi="Arial" w:cs="Arial" w:eastAsia="Arial" w:hint="default"/>
        </w:rPr>
        <w:t>20,150</w:t>
      </w:r>
      <w:r>
        <w:rPr/>
        <w:t>万</w:t>
      </w:r>
    </w:p>
    <w:p>
      <w:pPr>
        <w:pStyle w:val="BodyText"/>
        <w:spacing w:line="388" w:lineRule="auto" w:before="32"/>
        <w:ind w:right="0"/>
        <w:jc w:val="left"/>
      </w:pPr>
      <w:r>
        <w:rPr/>
        <w:t>元，持股比例</w:t>
      </w:r>
      <w:r>
        <w:rPr>
          <w:rFonts w:ascii="Arial" w:hAnsi="Arial" w:cs="Arial" w:eastAsia="Arial" w:hint="default"/>
        </w:rPr>
        <w:t>20.4237</w:t>
      </w:r>
      <w:r>
        <w:rPr/>
        <w:t>％，黄绍武和黄文辉等</w:t>
      </w:r>
      <w:r>
        <w:rPr>
          <w:rFonts w:ascii="Arial" w:hAnsi="Arial" w:cs="Arial" w:eastAsia="Arial" w:hint="default"/>
        </w:rPr>
        <w:t>92</w:t>
      </w:r>
      <w:r>
        <w:rPr/>
        <w:t>名自然人持有本公司股权</w:t>
      </w:r>
      <w:r>
        <w:rPr>
          <w:rFonts w:ascii="Arial" w:hAnsi="Arial" w:cs="Arial" w:eastAsia="Arial" w:hint="default"/>
        </w:rPr>
        <w:t>4,867</w:t>
      </w:r>
      <w:r>
        <w:rPr/>
        <w:t>万元，持股比例</w:t>
      </w:r>
      <w:r>
        <w:rPr>
          <w:rFonts w:ascii="Arial" w:hAnsi="Arial" w:cs="Arial" w:eastAsia="Arial" w:hint="default"/>
        </w:rPr>
        <w:t>4.9334</w:t>
      </w:r>
      <w:r>
        <w:rPr/>
        <w:t>％，</w:t>
      </w:r>
      <w:r>
        <w:rPr>
          <w:spacing w:val="-86"/>
        </w:rPr>
        <w:t> </w:t>
      </w:r>
      <w:r>
        <w:rPr/>
        <w:t>社会公众普通股（</w:t>
      </w:r>
      <w:r>
        <w:rPr>
          <w:rFonts w:ascii="Arial" w:hAnsi="Arial" w:cs="Arial" w:eastAsia="Arial" w:hint="default"/>
        </w:rPr>
        <w:t>A</w:t>
      </w:r>
      <w:r>
        <w:rPr/>
        <w:t>股）</w:t>
      </w:r>
      <w:r>
        <w:rPr>
          <w:rFonts w:ascii="Arial" w:hAnsi="Arial" w:cs="Arial" w:eastAsia="Arial" w:hint="default"/>
        </w:rPr>
        <w:t>13,193</w:t>
      </w:r>
      <w:r>
        <w:rPr/>
        <w:t>万元，持股比例</w:t>
      </w:r>
      <w:r>
        <w:rPr>
          <w:rFonts w:ascii="Arial" w:hAnsi="Arial" w:cs="Arial" w:eastAsia="Arial" w:hint="default"/>
        </w:rPr>
        <w:t>13.3719</w:t>
      </w:r>
      <w:r>
        <w:rPr/>
        <w:t>％。</w:t>
      </w:r>
    </w:p>
    <w:p>
      <w:pPr>
        <w:spacing w:line="240" w:lineRule="auto" w:before="6"/>
        <w:rPr>
          <w:rFonts w:ascii="宋体" w:hAnsi="宋体" w:cs="宋体" w:eastAsia="宋体" w:hint="default"/>
          <w:sz w:val="14"/>
          <w:szCs w:val="14"/>
        </w:rPr>
      </w:pPr>
    </w:p>
    <w:p>
      <w:pPr>
        <w:pStyle w:val="BodyText"/>
        <w:spacing w:line="391" w:lineRule="auto"/>
        <w:ind w:right="1129" w:firstLine="420"/>
        <w:jc w:val="both"/>
      </w:pPr>
      <w:r>
        <w:rPr/>
        <w:t>根据</w:t>
      </w:r>
      <w:r>
        <w:rPr>
          <w:rFonts w:ascii="Arial" w:hAnsi="Arial" w:cs="Arial" w:eastAsia="Arial" w:hint="default"/>
        </w:rPr>
        <w:t>2011</w:t>
      </w:r>
      <w:r>
        <w:rPr/>
        <w:t>年</w:t>
      </w:r>
      <w:r>
        <w:rPr>
          <w:rFonts w:ascii="Arial" w:hAnsi="Arial" w:cs="Arial" w:eastAsia="Arial" w:hint="default"/>
        </w:rPr>
        <w:t>10</w:t>
      </w:r>
      <w:r>
        <w:rPr/>
        <w:t>月</w:t>
      </w:r>
      <w:r>
        <w:rPr>
          <w:rFonts w:ascii="Arial" w:hAnsi="Arial" w:cs="Arial" w:eastAsia="Arial" w:hint="default"/>
        </w:rPr>
        <w:t>11</w:t>
      </w:r>
      <w:r>
        <w:rPr/>
        <w:t>日第一次临时股东大会决议和修改后的章程规定，公司以限制性股票激励的方式</w:t>
      </w:r>
      <w:r>
        <w:rPr>
          <w:spacing w:val="2"/>
        </w:rPr>
        <w:t> </w:t>
      </w:r>
      <w:r>
        <w:rPr>
          <w:spacing w:val="-1"/>
        </w:rPr>
        <w:t>向公司董事、高级管理人员以及公司董事会认为需要进行激励的相关员工（不包括独立董事及监事，共计</w:t>
      </w:r>
      <w:r>
        <w:rPr>
          <w:spacing w:val="-83"/>
        </w:rPr>
        <w:t> </w:t>
      </w:r>
      <w:r>
        <w:rPr>
          <w:spacing w:val="-83"/>
        </w:rPr>
      </w:r>
      <w:r>
        <w:rPr>
          <w:rFonts w:ascii="Arial" w:hAnsi="Arial" w:cs="Arial" w:eastAsia="Arial" w:hint="default"/>
        </w:rPr>
        <w:t>21</w:t>
      </w:r>
      <w:r>
        <w:rPr/>
        <w:t>人）发行限制性股票，共计人民币普通股（</w:t>
      </w:r>
      <w:r>
        <w:rPr>
          <w:rFonts w:ascii="Arial" w:hAnsi="Arial" w:cs="Arial" w:eastAsia="Arial" w:hint="default"/>
        </w:rPr>
        <w:t>A</w:t>
      </w:r>
      <w:r>
        <w:rPr/>
        <w:t>股）</w:t>
      </w:r>
      <w:r>
        <w:rPr>
          <w:rFonts w:ascii="Arial" w:hAnsi="Arial" w:cs="Arial" w:eastAsia="Arial" w:hint="default"/>
        </w:rPr>
        <w:t>1,250</w:t>
      </w:r>
      <w:r>
        <w:rPr/>
        <w:t>万股，每股面值为</w:t>
      </w:r>
      <w:r>
        <w:rPr>
          <w:rFonts w:ascii="Arial" w:hAnsi="Arial" w:cs="Arial" w:eastAsia="Arial" w:hint="default"/>
        </w:rPr>
        <w:t>1</w:t>
      </w:r>
      <w:r>
        <w:rPr/>
        <w:t>元，该股票的授予价格为每</w:t>
      </w:r>
      <w:r>
        <w:rPr>
          <w:spacing w:val="-95"/>
        </w:rPr>
        <w:t> </w:t>
      </w:r>
      <w:r>
        <w:rPr>
          <w:spacing w:val="-1"/>
        </w:rPr>
        <w:t>股</w:t>
      </w:r>
      <w:r>
        <w:rPr>
          <w:rFonts w:ascii="Arial" w:hAnsi="Arial" w:cs="Arial" w:eastAsia="Arial" w:hint="default"/>
          <w:spacing w:val="-1"/>
        </w:rPr>
        <w:t>8.75</w:t>
      </w:r>
      <w:r>
        <w:rPr>
          <w:spacing w:val="-1"/>
        </w:rPr>
        <w:t>元，出资方式全部为货币资金。本次变更后公司的注册资本为人民币</w:t>
      </w:r>
      <w:r>
        <w:rPr>
          <w:rFonts w:ascii="Arial" w:hAnsi="Arial" w:cs="Arial" w:eastAsia="Arial" w:hint="default"/>
          <w:spacing w:val="-1"/>
        </w:rPr>
        <w:t>99,910</w:t>
      </w:r>
      <w:r>
        <w:rPr>
          <w:spacing w:val="-1"/>
        </w:rPr>
        <w:t>万元。其中深圳市神州</w:t>
      </w:r>
      <w:r>
        <w:rPr>
          <w:spacing w:val="-79"/>
        </w:rPr>
        <w:t> </w:t>
      </w:r>
      <w:r>
        <w:rPr>
          <w:spacing w:val="-79"/>
        </w:rPr>
      </w:r>
      <w:r>
        <w:rPr/>
        <w:t>通投资集团有限公司持有本公司股权</w:t>
      </w:r>
      <w:r>
        <w:rPr>
          <w:rFonts w:ascii="Arial" w:hAnsi="Arial" w:cs="Arial" w:eastAsia="Arial" w:hint="default"/>
        </w:rPr>
        <w:t>60,450</w:t>
      </w:r>
      <w:r>
        <w:rPr/>
        <w:t>万元，持股比例</w:t>
      </w:r>
      <w:r>
        <w:rPr>
          <w:rFonts w:ascii="Arial" w:hAnsi="Arial" w:cs="Arial" w:eastAsia="Arial" w:hint="default"/>
        </w:rPr>
        <w:t>60.5045</w:t>
      </w:r>
      <w:r>
        <w:rPr/>
        <w:t>％，深圳市全球星投资管理有限公司</w:t>
      </w:r>
      <w:r>
        <w:rPr>
          <w:spacing w:val="-68"/>
        </w:rPr>
        <w:t> </w:t>
      </w:r>
      <w:r>
        <w:rPr>
          <w:spacing w:val="-68"/>
        </w:rPr>
      </w:r>
      <w:r>
        <w:rPr>
          <w:spacing w:val="2"/>
        </w:rPr>
        <w:t>持有本公司股权</w:t>
      </w:r>
      <w:r>
        <w:rPr>
          <w:rFonts w:ascii="Arial" w:hAnsi="Arial" w:cs="Arial" w:eastAsia="Arial" w:hint="default"/>
          <w:spacing w:val="2"/>
        </w:rPr>
        <w:t>20,150</w:t>
      </w:r>
      <w:r>
        <w:rPr>
          <w:spacing w:val="2"/>
        </w:rPr>
        <w:t>万元，持股比例</w:t>
      </w:r>
      <w:r>
        <w:rPr>
          <w:rFonts w:ascii="Arial" w:hAnsi="Arial" w:cs="Arial" w:eastAsia="Arial" w:hint="default"/>
          <w:spacing w:val="2"/>
        </w:rPr>
        <w:t>20.1681</w:t>
      </w:r>
      <w:r>
        <w:rPr>
          <w:spacing w:val="2"/>
        </w:rPr>
        <w:t>％，黄绍武和黄文辉等</w:t>
      </w:r>
      <w:r>
        <w:rPr>
          <w:rFonts w:ascii="Arial" w:hAnsi="Arial" w:cs="Arial" w:eastAsia="Arial" w:hint="default"/>
          <w:spacing w:val="2"/>
        </w:rPr>
        <w:t>98</w:t>
      </w:r>
      <w:r>
        <w:rPr>
          <w:spacing w:val="2"/>
        </w:rPr>
        <w:t>名自然人持有本公司股权</w:t>
      </w:r>
      <w:r>
        <w:rPr>
          <w:rFonts w:ascii="Arial" w:hAnsi="Arial" w:cs="Arial" w:eastAsia="Arial" w:hint="default"/>
          <w:spacing w:val="2"/>
        </w:rPr>
        <w:t>6,117</w:t>
      </w:r>
      <w:r>
        <w:rPr>
          <w:rFonts w:ascii="Arial" w:hAnsi="Arial" w:cs="Arial" w:eastAsia="Arial" w:hint="default"/>
          <w:w w:val="99"/>
        </w:rPr>
        <w:t> </w:t>
      </w:r>
      <w:r>
        <w:rPr>
          <w:spacing w:val="-4"/>
        </w:rPr>
        <w:t>万元，持股比例</w:t>
      </w:r>
      <w:r>
        <w:rPr>
          <w:rFonts w:ascii="Arial" w:hAnsi="Arial" w:cs="Arial" w:eastAsia="Arial" w:hint="default"/>
          <w:spacing w:val="-4"/>
        </w:rPr>
        <w:t>6.1228</w:t>
      </w:r>
      <w:r>
        <w:rPr>
          <w:spacing w:val="-4"/>
        </w:rPr>
        <w:t>％，社会公众普通股（</w:t>
      </w:r>
      <w:r>
        <w:rPr>
          <w:rFonts w:ascii="Arial" w:hAnsi="Arial" w:cs="Arial" w:eastAsia="Arial" w:hint="default"/>
          <w:spacing w:val="-4"/>
        </w:rPr>
        <w:t>A</w:t>
      </w:r>
      <w:r>
        <w:rPr>
          <w:spacing w:val="-4"/>
        </w:rPr>
        <w:t>股）</w:t>
      </w:r>
      <w:r>
        <w:rPr>
          <w:rFonts w:ascii="Arial" w:hAnsi="Arial" w:cs="Arial" w:eastAsia="Arial" w:hint="default"/>
          <w:spacing w:val="-4"/>
        </w:rPr>
        <w:t>13,193</w:t>
      </w:r>
      <w:r>
        <w:rPr>
          <w:spacing w:val="-4"/>
        </w:rPr>
        <w:t>万元，持股比例</w:t>
      </w:r>
      <w:r>
        <w:rPr>
          <w:rFonts w:ascii="Arial" w:hAnsi="Arial" w:cs="Arial" w:eastAsia="Arial" w:hint="default"/>
          <w:spacing w:val="-4"/>
        </w:rPr>
        <w:t>13.2046</w:t>
      </w:r>
      <w:r>
        <w:rPr>
          <w:spacing w:val="-4"/>
        </w:rPr>
        <w:t>％。</w:t>
      </w:r>
      <w:r>
        <w:rPr>
          <w:rFonts w:ascii="Arial" w:hAnsi="Arial" w:cs="Arial" w:eastAsia="Arial" w:hint="default"/>
          <w:spacing w:val="-4"/>
        </w:rPr>
        <w:t>2011</w:t>
      </w:r>
      <w:r>
        <w:rPr>
          <w:spacing w:val="-4"/>
        </w:rPr>
        <w:t>年</w:t>
      </w:r>
      <w:r>
        <w:rPr>
          <w:rFonts w:ascii="Arial" w:hAnsi="Arial" w:cs="Arial" w:eastAsia="Arial" w:hint="default"/>
          <w:spacing w:val="-4"/>
        </w:rPr>
        <w:t>10</w:t>
      </w:r>
      <w:r>
        <w:rPr>
          <w:spacing w:val="-4"/>
        </w:rPr>
        <w:t>月</w:t>
      </w:r>
      <w:r>
        <w:rPr>
          <w:rFonts w:ascii="Arial" w:hAnsi="Arial" w:cs="Arial" w:eastAsia="Arial" w:hint="default"/>
          <w:spacing w:val="-4"/>
        </w:rPr>
        <w:t>29</w:t>
      </w:r>
      <w:r>
        <w:rPr>
          <w:spacing w:val="-4"/>
        </w:rPr>
        <w:t>日，</w:t>
      </w:r>
      <w:r>
        <w:rPr>
          <w:spacing w:val="-68"/>
        </w:rPr>
        <w:t> </w:t>
      </w:r>
      <w:r>
        <w:rPr/>
        <w:t>公司完成工商变更登记，变更后的注册资本为</w:t>
      </w:r>
      <w:r>
        <w:rPr>
          <w:rFonts w:ascii="Arial" w:hAnsi="Arial" w:cs="Arial" w:eastAsia="Arial" w:hint="default"/>
        </w:rPr>
        <w:t>99,910</w:t>
      </w:r>
      <w:r>
        <w:rPr/>
        <w:t>万元。</w:t>
      </w:r>
    </w:p>
    <w:p>
      <w:pPr>
        <w:spacing w:after="0" w:line="391" w:lineRule="auto"/>
        <w:jc w:val="both"/>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388" w:lineRule="auto" w:before="18"/>
        <w:ind w:right="1130" w:firstLine="420"/>
        <w:jc w:val="both"/>
      </w:pPr>
      <w:r>
        <w:rPr>
          <w:rFonts w:ascii="Arial" w:hAnsi="Arial" w:cs="Arial" w:eastAsia="Arial" w:hint="default"/>
          <w:spacing w:val="-3"/>
        </w:rPr>
        <w:t>2013</w:t>
      </w:r>
      <w:r>
        <w:rPr>
          <w:spacing w:val="-3"/>
        </w:rPr>
        <w:t>年</w:t>
      </w:r>
      <w:r>
        <w:rPr>
          <w:rFonts w:ascii="Arial" w:hAnsi="Arial" w:cs="Arial" w:eastAsia="Arial" w:hint="default"/>
          <w:spacing w:val="-3"/>
        </w:rPr>
        <w:t>10</w:t>
      </w:r>
      <w:r>
        <w:rPr>
          <w:spacing w:val="-3"/>
        </w:rPr>
        <w:t>月</w:t>
      </w:r>
      <w:r>
        <w:rPr>
          <w:rFonts w:ascii="Arial" w:hAnsi="Arial" w:cs="Arial" w:eastAsia="Arial" w:hint="default"/>
          <w:spacing w:val="-3"/>
        </w:rPr>
        <w:t>18</w:t>
      </w:r>
      <w:r>
        <w:rPr>
          <w:spacing w:val="-3"/>
        </w:rPr>
        <w:t>日，深圳市全球星投资管理有限公司向其全资子公司新余全球星投资管理有限公司（原</w:t>
      </w:r>
      <w:r>
        <w:rPr/>
        <w:t> </w:t>
      </w:r>
      <w:r>
        <w:rPr>
          <w:spacing w:val="-2"/>
          <w:w w:val="95"/>
        </w:rPr>
        <w:t>名西藏山南全球星商业服务有限公司）转让其所持本公司股权</w:t>
      </w:r>
      <w:r>
        <w:rPr>
          <w:rFonts w:ascii="Arial" w:hAnsi="Arial" w:cs="Arial" w:eastAsia="Arial" w:hint="default"/>
          <w:spacing w:val="-2"/>
          <w:w w:val="95"/>
        </w:rPr>
        <w:t>9,500</w:t>
      </w:r>
      <w:r>
        <w:rPr>
          <w:spacing w:val="-2"/>
          <w:w w:val="95"/>
        </w:rPr>
        <w:t>万元，股权比例为</w:t>
      </w:r>
      <w:r>
        <w:rPr>
          <w:rFonts w:ascii="Arial" w:hAnsi="Arial" w:cs="Arial" w:eastAsia="Arial" w:hint="default"/>
          <w:spacing w:val="-2"/>
          <w:w w:val="95"/>
        </w:rPr>
        <w:t>9.5086%</w:t>
      </w:r>
      <w:r>
        <w:rPr>
          <w:spacing w:val="-2"/>
          <w:w w:val="95"/>
        </w:rPr>
        <w:t>。本次股份</w:t>
      </w:r>
      <w:r>
        <w:rPr>
          <w:spacing w:val="73"/>
          <w:w w:val="95"/>
        </w:rPr>
        <w:t> </w:t>
      </w:r>
      <w:r>
        <w:rPr>
          <w:spacing w:val="73"/>
          <w:w w:val="95"/>
        </w:rPr>
      </w:r>
      <w:r>
        <w:rPr>
          <w:spacing w:val="-2"/>
          <w:w w:val="95"/>
        </w:rPr>
        <w:t>协议转让完成后，新余全球星投资管理有限公司持有本公司股权</w:t>
      </w:r>
      <w:r>
        <w:rPr>
          <w:rFonts w:ascii="Arial" w:hAnsi="Arial" w:cs="Arial" w:eastAsia="Arial" w:hint="default"/>
          <w:spacing w:val="-2"/>
          <w:w w:val="95"/>
        </w:rPr>
        <w:t>9,500</w:t>
      </w:r>
      <w:r>
        <w:rPr>
          <w:spacing w:val="-2"/>
          <w:w w:val="95"/>
        </w:rPr>
        <w:t>万元，持股比例</w:t>
      </w:r>
      <w:r>
        <w:rPr>
          <w:rFonts w:ascii="Arial" w:hAnsi="Arial" w:cs="Arial" w:eastAsia="Arial" w:hint="default"/>
          <w:spacing w:val="-2"/>
          <w:w w:val="95"/>
        </w:rPr>
        <w:t>9.5086%</w:t>
      </w:r>
      <w:r>
        <w:rPr>
          <w:spacing w:val="-2"/>
          <w:w w:val="95"/>
        </w:rPr>
        <w:t>；深圳市全</w:t>
      </w:r>
      <w:r>
        <w:rPr>
          <w:spacing w:val="73"/>
          <w:w w:val="95"/>
        </w:rPr>
        <w:t> </w:t>
      </w:r>
      <w:r>
        <w:rPr>
          <w:spacing w:val="73"/>
          <w:w w:val="95"/>
        </w:rPr>
      </w:r>
      <w:r>
        <w:rPr>
          <w:spacing w:val="-1"/>
        </w:rPr>
        <w:t>球星投资管理有限公司直接持有本公司股权</w:t>
      </w:r>
      <w:r>
        <w:rPr>
          <w:rFonts w:ascii="Arial" w:hAnsi="Arial" w:cs="Arial" w:eastAsia="Arial" w:hint="default"/>
          <w:spacing w:val="-1"/>
        </w:rPr>
        <w:t>10,650</w:t>
      </w:r>
      <w:r>
        <w:rPr>
          <w:spacing w:val="-1"/>
        </w:rPr>
        <w:t>万元，通过全资子公司新余全球星投资管理有限公司间</w:t>
      </w:r>
      <w:r>
        <w:rPr>
          <w:spacing w:val="-93"/>
        </w:rPr>
        <w:t> </w:t>
      </w:r>
      <w:r>
        <w:rPr>
          <w:spacing w:val="-93"/>
        </w:rPr>
      </w:r>
      <w:r>
        <w:rPr/>
        <w:t>接持有本公司股权</w:t>
      </w:r>
      <w:r>
        <w:rPr>
          <w:rFonts w:ascii="Arial" w:hAnsi="Arial" w:cs="Arial" w:eastAsia="Arial" w:hint="default"/>
        </w:rPr>
        <w:t>9,500</w:t>
      </w:r>
      <w:r>
        <w:rPr/>
        <w:t>万元，合计持有本公司股权</w:t>
      </w:r>
      <w:r>
        <w:rPr>
          <w:rFonts w:ascii="Arial" w:hAnsi="Arial" w:cs="Arial" w:eastAsia="Arial" w:hint="default"/>
        </w:rPr>
        <w:t>20.1681%</w:t>
      </w:r>
      <w:r>
        <w:rPr/>
        <w:t>。</w:t>
      </w:r>
    </w:p>
    <w:p>
      <w:pPr>
        <w:spacing w:line="240" w:lineRule="auto" w:before="6"/>
        <w:rPr>
          <w:rFonts w:ascii="宋体" w:hAnsi="宋体" w:cs="宋体" w:eastAsia="宋体" w:hint="default"/>
          <w:sz w:val="14"/>
          <w:szCs w:val="14"/>
        </w:rPr>
      </w:pPr>
    </w:p>
    <w:p>
      <w:pPr>
        <w:pStyle w:val="BodyText"/>
        <w:spacing w:line="391" w:lineRule="auto"/>
        <w:ind w:right="1129" w:firstLine="420"/>
        <w:jc w:val="both"/>
      </w:pPr>
      <w:r>
        <w:rPr/>
        <w:t>根据公司</w:t>
      </w:r>
      <w:r>
        <w:rPr>
          <w:rFonts w:ascii="Arial" w:hAnsi="Arial" w:cs="Arial" w:eastAsia="Arial" w:hint="default"/>
        </w:rPr>
        <w:t>2014</w:t>
      </w:r>
      <w:r>
        <w:rPr/>
        <w:t>年</w:t>
      </w:r>
      <w:r>
        <w:rPr>
          <w:rFonts w:ascii="Arial" w:hAnsi="Arial" w:cs="Arial" w:eastAsia="Arial" w:hint="default"/>
        </w:rPr>
        <w:t>4</w:t>
      </w:r>
      <w:r>
        <w:rPr/>
        <w:t>月</w:t>
      </w:r>
      <w:r>
        <w:rPr>
          <w:rFonts w:ascii="Arial" w:hAnsi="Arial" w:cs="Arial" w:eastAsia="Arial" w:hint="default"/>
        </w:rPr>
        <w:t>18</w:t>
      </w:r>
      <w:r>
        <w:rPr/>
        <w:t>日第三届董事会第八次（定期）会议审议通过的《关于确认第二期股票期权激 </w:t>
      </w:r>
      <w:r>
        <w:rPr>
          <w:spacing w:val="-1"/>
        </w:rPr>
        <w:t>励计划第一个行权期符合行权条件及相关事项的议案》，第二期股票期权的激励对象在规定的行权期内采</w:t>
      </w:r>
      <w:r>
        <w:rPr>
          <w:spacing w:val="-81"/>
        </w:rPr>
        <w:t> </w:t>
      </w:r>
      <w:r>
        <w:rPr>
          <w:spacing w:val="-81"/>
        </w:rPr>
      </w:r>
      <w:r>
        <w:rPr/>
        <w:t>用自主行权的方式进行行权。截至</w:t>
      </w:r>
      <w:r>
        <w:rPr>
          <w:rFonts w:ascii="Arial" w:hAnsi="Arial" w:cs="Arial" w:eastAsia="Arial" w:hint="default"/>
        </w:rPr>
        <w:t>2015</w:t>
      </w:r>
      <w:r>
        <w:rPr/>
        <w:t>年</w:t>
      </w:r>
      <w:r>
        <w:rPr>
          <w:rFonts w:ascii="Arial" w:hAnsi="Arial" w:cs="Arial" w:eastAsia="Arial" w:hint="default"/>
        </w:rPr>
        <w:t>4</w:t>
      </w:r>
      <w:r>
        <w:rPr/>
        <w:t>月</w:t>
      </w:r>
      <w:r>
        <w:rPr>
          <w:rFonts w:ascii="Arial" w:hAnsi="Arial" w:cs="Arial" w:eastAsia="Arial" w:hint="default"/>
        </w:rPr>
        <w:t>22</w:t>
      </w:r>
      <w:r>
        <w:rPr/>
        <w:t>日，公司第二期股票期权激励计划第一个行权期结束，本 期符合行权条件的激励对象已经自主行权股票期权共计</w:t>
      </w:r>
      <w:r>
        <w:rPr>
          <w:rFonts w:ascii="Arial" w:hAnsi="Arial" w:cs="Arial" w:eastAsia="Arial" w:hint="default"/>
        </w:rPr>
        <w:t>4,784,839</w:t>
      </w:r>
      <w:r>
        <w:rPr/>
        <w:t>股。公司增加股本人民币</w:t>
      </w:r>
      <w:r>
        <w:rPr>
          <w:rFonts w:ascii="Arial" w:hAnsi="Arial" w:cs="Arial" w:eastAsia="Arial" w:hint="default"/>
        </w:rPr>
        <w:t>4,784,839</w:t>
      </w:r>
      <w:r>
        <w:rPr/>
        <w:t>元， </w:t>
      </w:r>
      <w:r>
        <w:rPr>
          <w:spacing w:val="-1"/>
        </w:rPr>
        <w:t>此次增资后公司注册资本为人民币</w:t>
      </w:r>
      <w:r>
        <w:rPr>
          <w:rFonts w:ascii="Arial" w:hAnsi="Arial" w:cs="Arial" w:eastAsia="Arial" w:hint="default"/>
          <w:spacing w:val="-1"/>
        </w:rPr>
        <w:t>1,003,884,839</w:t>
      </w:r>
      <w:r>
        <w:rPr>
          <w:spacing w:val="-1"/>
        </w:rPr>
        <w:t>元，股本人民币</w:t>
      </w:r>
      <w:r>
        <w:rPr>
          <w:rFonts w:ascii="Arial" w:hAnsi="Arial" w:cs="Arial" w:eastAsia="Arial" w:hint="default"/>
          <w:spacing w:val="-1"/>
        </w:rPr>
        <w:t>1,003,884,839.00</w:t>
      </w:r>
      <w:r>
        <w:rPr>
          <w:spacing w:val="-1"/>
        </w:rPr>
        <w:t>元，已经北京中证天通</w:t>
      </w:r>
      <w:r>
        <w:rPr/>
        <w:t> 会计师事务所（特殊普通合伙）审验，并于</w:t>
      </w:r>
      <w:r>
        <w:rPr>
          <w:rFonts w:ascii="Arial" w:hAnsi="Arial" w:cs="Arial" w:eastAsia="Arial" w:hint="default"/>
        </w:rPr>
        <w:t>2015</w:t>
      </w:r>
      <w:r>
        <w:rPr/>
        <w:t>年</w:t>
      </w:r>
      <w:r>
        <w:rPr>
          <w:rFonts w:ascii="Arial" w:hAnsi="Arial" w:cs="Arial" w:eastAsia="Arial" w:hint="default"/>
        </w:rPr>
        <w:t>8</w:t>
      </w:r>
      <w:r>
        <w:rPr/>
        <w:t>月</w:t>
      </w:r>
      <w:r>
        <w:rPr>
          <w:rFonts w:ascii="Arial" w:hAnsi="Arial" w:cs="Arial" w:eastAsia="Arial" w:hint="default"/>
        </w:rPr>
        <w:t>12</w:t>
      </w:r>
      <w:r>
        <w:rPr/>
        <w:t>日出具中证天通（</w:t>
      </w:r>
      <w:r>
        <w:rPr>
          <w:rFonts w:ascii="Arial" w:hAnsi="Arial" w:cs="Arial" w:eastAsia="Arial" w:hint="default"/>
        </w:rPr>
        <w:t>2015</w:t>
      </w:r>
      <w:r>
        <w:rPr/>
        <w:t>）验字第</w:t>
      </w:r>
      <w:r>
        <w:rPr>
          <w:rFonts w:ascii="Arial" w:hAnsi="Arial" w:cs="Arial" w:eastAsia="Arial" w:hint="default"/>
        </w:rPr>
        <w:t>10001</w:t>
      </w:r>
      <w:r>
        <w:rPr/>
        <w:t>号验资报 告。</w:t>
      </w:r>
      <w:r>
        <w:rPr>
          <w:rFonts w:ascii="Arial" w:hAnsi="Arial" w:cs="Arial" w:eastAsia="Arial" w:hint="default"/>
        </w:rPr>
        <w:t>2015</w:t>
      </w:r>
      <w:r>
        <w:rPr/>
        <w:t>年</w:t>
      </w:r>
      <w:r>
        <w:rPr>
          <w:rFonts w:ascii="Arial" w:hAnsi="Arial" w:cs="Arial" w:eastAsia="Arial" w:hint="default"/>
        </w:rPr>
        <w:t>9</w:t>
      </w:r>
      <w:r>
        <w:rPr/>
        <w:t>月</w:t>
      </w:r>
      <w:r>
        <w:rPr>
          <w:rFonts w:ascii="Arial" w:hAnsi="Arial" w:cs="Arial" w:eastAsia="Arial" w:hint="default"/>
        </w:rPr>
        <w:t>8</w:t>
      </w:r>
      <w:r>
        <w:rPr/>
        <w:t>日，公司完成工商变更登记。</w:t>
      </w:r>
    </w:p>
    <w:p>
      <w:pPr>
        <w:spacing w:line="240" w:lineRule="auto" w:before="3"/>
        <w:rPr>
          <w:rFonts w:ascii="宋体" w:hAnsi="宋体" w:cs="宋体" w:eastAsia="宋体" w:hint="default"/>
          <w:sz w:val="14"/>
          <w:szCs w:val="14"/>
        </w:rPr>
      </w:pPr>
    </w:p>
    <w:p>
      <w:pPr>
        <w:pStyle w:val="BodyText"/>
        <w:spacing w:line="388" w:lineRule="auto"/>
        <w:ind w:right="1129" w:firstLine="420"/>
        <w:jc w:val="both"/>
      </w:pPr>
      <w:r>
        <w:rPr/>
        <w:t>根据</w:t>
      </w:r>
      <w:r>
        <w:rPr>
          <w:rFonts w:ascii="Arial" w:hAnsi="Arial" w:cs="Arial" w:eastAsia="Arial" w:hint="default"/>
        </w:rPr>
        <w:t>2014</w:t>
      </w:r>
      <w:r>
        <w:rPr/>
        <w:t>年</w:t>
      </w:r>
      <w:r>
        <w:rPr>
          <w:rFonts w:ascii="Arial" w:hAnsi="Arial" w:cs="Arial" w:eastAsia="Arial" w:hint="default"/>
        </w:rPr>
        <w:t>4</w:t>
      </w:r>
      <w:r>
        <w:rPr/>
        <w:t>月</w:t>
      </w:r>
      <w:r>
        <w:rPr>
          <w:rFonts w:ascii="Arial" w:hAnsi="Arial" w:cs="Arial" w:eastAsia="Arial" w:hint="default"/>
        </w:rPr>
        <w:t>18</w:t>
      </w:r>
      <w:r>
        <w:rPr/>
        <w:t>日公司召开第三届董事会第八次（临时）会议审议通过的《关于确认首期股票期权 与限制性股票激励计划第一个行权期失效</w:t>
      </w:r>
      <w:r>
        <w:rPr>
          <w:rFonts w:ascii="Arial" w:hAnsi="Arial" w:cs="Arial" w:eastAsia="Arial" w:hint="default"/>
        </w:rPr>
        <w:t>/</w:t>
      </w:r>
      <w:r>
        <w:rPr/>
        <w:t>解锁期失效及相关事项的议案》，确认限制性股票解锁条件不</w:t>
      </w:r>
      <w:r>
        <w:rPr>
          <w:spacing w:val="14"/>
        </w:rPr>
        <w:t> </w:t>
      </w:r>
      <w:r>
        <w:rPr>
          <w:spacing w:val="14"/>
        </w:rPr>
      </w:r>
      <w:r>
        <w:rPr>
          <w:spacing w:val="-4"/>
        </w:rPr>
        <w:t>满足，公司决定回购并注销的限制性股票共计</w:t>
      </w:r>
      <w:r>
        <w:rPr>
          <w:rFonts w:ascii="Arial" w:hAnsi="Arial" w:cs="Arial" w:eastAsia="Arial" w:hint="default"/>
          <w:spacing w:val="-4"/>
        </w:rPr>
        <w:t>6,484,000</w:t>
      </w:r>
      <w:r>
        <w:rPr>
          <w:spacing w:val="-4"/>
        </w:rPr>
        <w:t>股；</w:t>
      </w:r>
      <w:r>
        <w:rPr>
          <w:rFonts w:ascii="Arial" w:hAnsi="Arial" w:cs="Arial" w:eastAsia="Arial" w:hint="default"/>
          <w:spacing w:val="-4"/>
        </w:rPr>
        <w:t>2015</w:t>
      </w:r>
      <w:r>
        <w:rPr>
          <w:spacing w:val="-4"/>
        </w:rPr>
        <w:t>年</w:t>
      </w:r>
      <w:r>
        <w:rPr>
          <w:rFonts w:ascii="Arial" w:hAnsi="Arial" w:cs="Arial" w:eastAsia="Arial" w:hint="default"/>
          <w:spacing w:val="-4"/>
        </w:rPr>
        <w:t>1</w:t>
      </w:r>
      <w:r>
        <w:rPr>
          <w:spacing w:val="-4"/>
        </w:rPr>
        <w:t>月</w:t>
      </w:r>
      <w:r>
        <w:rPr>
          <w:rFonts w:ascii="Arial" w:hAnsi="Arial" w:cs="Arial" w:eastAsia="Arial" w:hint="default"/>
          <w:spacing w:val="-4"/>
        </w:rPr>
        <w:t>9</w:t>
      </w:r>
      <w:r>
        <w:rPr>
          <w:spacing w:val="-4"/>
        </w:rPr>
        <w:t>日第三届董事会第二十次（临时）</w:t>
      </w:r>
      <w:r>
        <w:rPr>
          <w:spacing w:val="-79"/>
        </w:rPr>
        <w:t> </w:t>
      </w:r>
      <w:r>
        <w:rPr>
          <w:spacing w:val="-79"/>
        </w:rPr>
      </w:r>
      <w:r>
        <w:rPr/>
        <w:t>会议审议通过的《关于确认首期股票期权与限制性股票激励计划第二个行权</w:t>
      </w:r>
      <w:r>
        <w:rPr>
          <w:rFonts w:ascii="Arial" w:hAnsi="Arial" w:cs="Arial" w:eastAsia="Arial" w:hint="default"/>
        </w:rPr>
        <w:t>/</w:t>
      </w:r>
      <w:r>
        <w:rPr/>
        <w:t>解锁期失效及相关事项的议</w:t>
      </w:r>
      <w:r>
        <w:rPr>
          <w:spacing w:val="18"/>
        </w:rPr>
        <w:t> </w:t>
      </w:r>
      <w:r>
        <w:rPr>
          <w:spacing w:val="18"/>
        </w:rPr>
      </w:r>
      <w:r>
        <w:rPr/>
        <w:t>案》，确认限制性股票解锁条件不满足，公司决定回购并注销限制性股票共计</w:t>
      </w:r>
      <w:r>
        <w:rPr>
          <w:rFonts w:ascii="Arial" w:hAnsi="Arial" w:cs="Arial" w:eastAsia="Arial" w:hint="default"/>
        </w:rPr>
        <w:t>2,636,000</w:t>
      </w:r>
      <w:r>
        <w:rPr/>
        <w:t>股；</w:t>
      </w:r>
      <w:r>
        <w:rPr>
          <w:rFonts w:ascii="Arial" w:hAnsi="Arial" w:cs="Arial" w:eastAsia="Arial" w:hint="default"/>
        </w:rPr>
        <w:t>2015</w:t>
      </w:r>
      <w:r>
        <w:rPr/>
        <w:t>年</w:t>
      </w:r>
      <w:r>
        <w:rPr>
          <w:rFonts w:ascii="Arial" w:hAnsi="Arial" w:cs="Arial" w:eastAsia="Arial" w:hint="default"/>
        </w:rPr>
        <w:t>10</w:t>
      </w:r>
      <w:r>
        <w:rPr/>
        <w:t>月</w:t>
      </w:r>
      <w:r>
        <w:rPr>
          <w:spacing w:val="-84"/>
        </w:rPr>
        <w:t> </w:t>
      </w:r>
      <w:r>
        <w:rPr>
          <w:rFonts w:ascii="Arial" w:hAnsi="Arial" w:cs="Arial" w:eastAsia="Arial" w:hint="default"/>
          <w:spacing w:val="-1"/>
        </w:rPr>
        <w:t>23</w:t>
      </w:r>
      <w:r>
        <w:rPr>
          <w:spacing w:val="-1"/>
        </w:rPr>
        <w:t>日第三届董事会第三十一次（临时）会议审议通过的《关于确认首期股票期权与限制性股票激励计划第</w:t>
      </w:r>
      <w:r>
        <w:rPr/>
        <w:t> 三个行权</w:t>
      </w:r>
      <w:r>
        <w:rPr>
          <w:rFonts w:ascii="Arial" w:hAnsi="Arial" w:cs="Arial" w:eastAsia="Arial" w:hint="default"/>
        </w:rPr>
        <w:t>/</w:t>
      </w:r>
      <w:r>
        <w:rPr/>
        <w:t>解锁期失效及相关事项的议案》，确认限制性股票解锁条件不满足，公司决定回购并注销限制</w:t>
      </w:r>
      <w:r>
        <w:rPr>
          <w:spacing w:val="9"/>
        </w:rPr>
        <w:t> </w:t>
      </w:r>
      <w:r>
        <w:rPr>
          <w:spacing w:val="9"/>
        </w:rPr>
      </w:r>
      <w:r>
        <w:rPr/>
        <w:t>性股票共计</w:t>
      </w:r>
      <w:r>
        <w:rPr>
          <w:rFonts w:ascii="Arial" w:hAnsi="Arial" w:cs="Arial" w:eastAsia="Arial" w:hint="default"/>
        </w:rPr>
        <w:t>3,380,000</w:t>
      </w:r>
      <w:r>
        <w:rPr/>
        <w:t>股。根据上述会议的决议和修改后的章程规定，公司申请回购注销已获授但尚未解</w:t>
      </w:r>
      <w:r>
        <w:rPr>
          <w:spacing w:val="-27"/>
        </w:rPr>
        <w:t> </w:t>
      </w:r>
      <w:r>
        <w:rPr>
          <w:spacing w:val="-27"/>
        </w:rPr>
      </w:r>
      <w:r>
        <w:rPr/>
        <w:t>锁的限制性股票</w:t>
      </w:r>
      <w:r>
        <w:rPr>
          <w:rFonts w:ascii="Arial" w:hAnsi="Arial" w:cs="Arial" w:eastAsia="Arial" w:hint="default"/>
        </w:rPr>
        <w:t>12,500,000</w:t>
      </w:r>
      <w:r>
        <w:rPr/>
        <w:t>股，回购价款为人民币</w:t>
      </w:r>
      <w:r>
        <w:rPr>
          <w:rFonts w:ascii="Arial" w:hAnsi="Arial" w:cs="Arial" w:eastAsia="Arial" w:hint="default"/>
        </w:rPr>
        <w:t>8.75</w:t>
      </w:r>
      <w:r>
        <w:rPr/>
        <w:t>元</w:t>
      </w:r>
      <w:r>
        <w:rPr>
          <w:rFonts w:ascii="Arial" w:hAnsi="Arial" w:cs="Arial" w:eastAsia="Arial" w:hint="default"/>
        </w:rPr>
        <w:t>/</w:t>
      </w:r>
      <w:r>
        <w:rPr/>
        <w:t>股。截至</w:t>
      </w:r>
      <w:r>
        <w:rPr>
          <w:rFonts w:ascii="Arial" w:hAnsi="Arial" w:cs="Arial" w:eastAsia="Arial" w:hint="default"/>
        </w:rPr>
        <w:t>2015</w:t>
      </w:r>
      <w:r>
        <w:rPr/>
        <w:t>年</w:t>
      </w:r>
      <w:r>
        <w:rPr>
          <w:rFonts w:ascii="Arial" w:hAnsi="Arial" w:cs="Arial" w:eastAsia="Arial" w:hint="default"/>
        </w:rPr>
        <w:t>12</w:t>
      </w:r>
      <w:r>
        <w:rPr/>
        <w:t>月</w:t>
      </w:r>
      <w:r>
        <w:rPr>
          <w:rFonts w:ascii="Arial" w:hAnsi="Arial" w:cs="Arial" w:eastAsia="Arial" w:hint="default"/>
        </w:rPr>
        <w:t>31</w:t>
      </w:r>
      <w:r>
        <w:rPr/>
        <w:t>日，公司已支付上述限</w:t>
      </w:r>
      <w:r>
        <w:rPr>
          <w:spacing w:val="-68"/>
        </w:rPr>
        <w:t> </w:t>
      </w:r>
      <w:r>
        <w:rPr>
          <w:spacing w:val="-68"/>
        </w:rPr>
      </w:r>
      <w:r>
        <w:rPr/>
        <w:t>制性股票的回购价款，但相关回购注销工作以及工商变更登记尚未完成。</w:t>
      </w:r>
    </w:p>
    <w:p>
      <w:pPr>
        <w:spacing w:line="240" w:lineRule="auto" w:before="10"/>
        <w:rPr>
          <w:rFonts w:ascii="宋体" w:hAnsi="宋体" w:cs="宋体" w:eastAsia="宋体" w:hint="default"/>
          <w:sz w:val="16"/>
          <w:szCs w:val="16"/>
        </w:rPr>
      </w:pPr>
    </w:p>
    <w:p>
      <w:pPr>
        <w:pStyle w:val="BodyText"/>
        <w:spacing w:line="388" w:lineRule="auto"/>
        <w:ind w:right="1129" w:firstLine="526"/>
        <w:jc w:val="left"/>
      </w:pPr>
      <w:r>
        <w:rPr>
          <w:spacing w:val="8"/>
        </w:rPr>
        <w:t>目前本公司的办公地址位于深圳市南山区沙河西路</w:t>
      </w:r>
      <w:r>
        <w:rPr>
          <w:rFonts w:ascii="Arial" w:hAnsi="Arial" w:cs="Arial" w:eastAsia="Arial" w:hint="default"/>
          <w:spacing w:val="8"/>
        </w:rPr>
        <w:t>3151</w:t>
      </w:r>
      <w:r>
        <w:rPr>
          <w:spacing w:val="8"/>
        </w:rPr>
        <w:t>号新兴产业园（健兴科技大厦）</w:t>
      </w:r>
      <w:r>
        <w:rPr>
          <w:rFonts w:ascii="Arial" w:hAnsi="Arial" w:cs="Arial" w:eastAsia="Arial" w:hint="default"/>
          <w:spacing w:val="8"/>
        </w:rPr>
        <w:t>C</w:t>
      </w:r>
      <w:r>
        <w:rPr>
          <w:spacing w:val="8"/>
        </w:rPr>
        <w:t>栋</w:t>
      </w:r>
      <w:r>
        <w:rPr>
          <w:rFonts w:ascii="Arial" w:hAnsi="Arial" w:cs="Arial" w:eastAsia="Arial" w:hint="default"/>
          <w:spacing w:val="8"/>
        </w:rPr>
        <w:t>8</w:t>
      </w:r>
      <w:r>
        <w:rPr>
          <w:spacing w:val="8"/>
        </w:rPr>
        <w:t>楼</w:t>
      </w:r>
      <w:r>
        <w:rPr/>
        <w:t> </w:t>
      </w:r>
      <w:r>
        <w:rPr>
          <w:rFonts w:ascii="Arial" w:hAnsi="Arial" w:cs="Arial" w:eastAsia="Arial" w:hint="default"/>
        </w:rPr>
        <w:t>801-806</w:t>
      </w:r>
      <w:r>
        <w:rPr/>
        <w:t>号。</w:t>
      </w:r>
    </w:p>
    <w:p>
      <w:pPr>
        <w:spacing w:line="240" w:lineRule="auto" w:before="6"/>
        <w:rPr>
          <w:rFonts w:ascii="宋体" w:hAnsi="宋体" w:cs="宋体" w:eastAsia="宋体" w:hint="default"/>
          <w:sz w:val="14"/>
          <w:szCs w:val="14"/>
        </w:rPr>
      </w:pPr>
    </w:p>
    <w:p>
      <w:pPr>
        <w:pStyle w:val="BodyText"/>
        <w:spacing w:line="516" w:lineRule="auto"/>
        <w:ind w:left="573" w:right="0"/>
        <w:jc w:val="left"/>
      </w:pPr>
      <w:r>
        <w:rPr>
          <w:rFonts w:ascii="Arial" w:hAnsi="Arial" w:cs="Arial" w:eastAsia="Arial" w:hint="default"/>
        </w:rPr>
        <w:t>2</w:t>
      </w:r>
      <w:r>
        <w:rPr/>
        <w:t>、公司经营范围 </w:t>
      </w:r>
      <w:r>
        <w:rPr>
          <w:spacing w:val="-1"/>
        </w:rPr>
        <w:t>投资兴办实业（具体项目另行申报）；国内商业、物资供销业（不含专营、专控、专卖商品）；进出</w:t>
      </w:r>
    </w:p>
    <w:p>
      <w:pPr>
        <w:pStyle w:val="BodyText"/>
        <w:spacing w:line="241" w:lineRule="exact"/>
        <w:ind w:right="0"/>
        <w:jc w:val="left"/>
      </w:pPr>
      <w:r>
        <w:rPr/>
        <w:t>口业务（按深贸进准字第</w:t>
      </w:r>
      <w:r>
        <w:rPr>
          <w:rFonts w:ascii="Arial" w:hAnsi="Arial" w:cs="Arial" w:eastAsia="Arial" w:hint="default"/>
        </w:rPr>
        <w:t>[2001]0629</w:t>
      </w:r>
      <w:r>
        <w:rPr/>
        <w:t>号文办理）；信息咨询（不含限制项目）；移动通讯、电子产品及相</w:t>
      </w:r>
    </w:p>
    <w:p>
      <w:pPr>
        <w:pStyle w:val="BodyText"/>
        <w:spacing w:line="240" w:lineRule="auto" w:before="178"/>
        <w:ind w:right="0"/>
        <w:jc w:val="left"/>
      </w:pPr>
      <w:r>
        <w:rPr/>
        <w:t>关配套产品的购销与代理；信息咨询与技术服务；计算机软硬件的技术开发，计算机及配件、五金交电、</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408" w:lineRule="auto" w:before="18"/>
        <w:ind w:right="0"/>
        <w:jc w:val="left"/>
      </w:pPr>
      <w:r>
        <w:rPr/>
        <w:t>机械设备、通信器材、无线设备、数码产品的购销；零售连锁；供应链管理；信息服务业务（仅限互联网 信息服务业务），移动通信转售业务；互联网信息服务项业务（除新闻、出版、教育、医疗保健、药品、</w:t>
      </w:r>
      <w:r>
        <w:rPr>
          <w:spacing w:val="-35"/>
        </w:rPr>
        <w:t> </w:t>
      </w:r>
      <w:r>
        <w:rPr>
          <w:spacing w:val="-35"/>
        </w:rPr>
      </w:r>
      <w:r>
        <w:rPr/>
        <w:t>医疗器械以外的内容）；技术开发、技术转让、技术咨询、技术服务；会议服务；投资管理；投资咨询；</w:t>
      </w:r>
      <w:r>
        <w:rPr>
          <w:spacing w:val="-35"/>
        </w:rPr>
        <w:t> </w:t>
      </w:r>
      <w:r>
        <w:rPr>
          <w:spacing w:val="-35"/>
        </w:rPr>
      </w:r>
      <w:r>
        <w:rPr/>
        <w:t>电信增值服务。</w:t>
      </w:r>
    </w:p>
    <w:p>
      <w:pPr>
        <w:spacing w:line="240" w:lineRule="auto" w:before="6"/>
        <w:rPr>
          <w:rFonts w:ascii="宋体" w:hAnsi="宋体" w:cs="宋体" w:eastAsia="宋体" w:hint="default"/>
          <w:sz w:val="15"/>
          <w:szCs w:val="15"/>
        </w:rPr>
      </w:pPr>
    </w:p>
    <w:p>
      <w:pPr>
        <w:pStyle w:val="BodyText"/>
        <w:spacing w:line="530" w:lineRule="auto"/>
        <w:ind w:left="573" w:right="3403"/>
        <w:jc w:val="left"/>
      </w:pPr>
      <w:r>
        <w:rPr>
          <w:rFonts w:ascii="Arial" w:hAnsi="Arial" w:cs="Arial" w:eastAsia="Arial" w:hint="default"/>
        </w:rPr>
        <w:t>3</w:t>
      </w:r>
      <w:r>
        <w:rPr/>
        <w:t>、母公司以及最终控股股东名称 本公司之母公司为深圳市神州通投资集团有限公司，实际控制人为黄绍武。 </w:t>
      </w:r>
      <w:r>
        <w:rPr>
          <w:rFonts w:ascii="Arial" w:hAnsi="Arial" w:cs="Arial" w:eastAsia="Arial" w:hint="default"/>
        </w:rPr>
        <w:t>4</w:t>
      </w:r>
      <w:r>
        <w:rPr/>
        <w:t>、公司组织结构</w:t>
      </w:r>
    </w:p>
    <w:p>
      <w:pPr>
        <w:pStyle w:val="BodyText"/>
        <w:spacing w:line="408" w:lineRule="auto" w:before="50"/>
        <w:ind w:right="0" w:firstLine="420"/>
        <w:jc w:val="left"/>
      </w:pPr>
      <w:r>
        <w:rPr/>
        <w:t>本公司已建立由股东大会、董事会、监事会和经理层组成的公司治理结构，建立了独立董事制度；公 司董事会下设战略决策委员会、审计委员会（下设审计法务部）、薪酬与考核委员会等专门委员会，负责 本公司的重大决策的制定；为了公司日常生产经营和管理工作顺利进行，公司建立了爱施德分销事业群、</w:t>
      </w:r>
      <w:r>
        <w:rPr>
          <w:spacing w:val="-35"/>
        </w:rPr>
        <w:t> </w:t>
      </w:r>
      <w:r>
        <w:rPr>
          <w:spacing w:val="-35"/>
        </w:rPr>
      </w:r>
      <w:r>
        <w:rPr/>
        <w:t>零售事业群、移动互联事业群、移动转售事业部、海外分销业务、互联网金融业务等业务体系，以及财务</w:t>
      </w:r>
      <w:r>
        <w:rPr/>
        <w:t> 管理部、人力资源管理部、战略投资部、信息管理部、运营管理委员会等日常管理部门。</w:t>
      </w:r>
    </w:p>
    <w:p>
      <w:pPr>
        <w:spacing w:line="240" w:lineRule="auto" w:before="6"/>
        <w:rPr>
          <w:rFonts w:ascii="宋体" w:hAnsi="宋体" w:cs="宋体" w:eastAsia="宋体" w:hint="default"/>
          <w:sz w:val="15"/>
          <w:szCs w:val="15"/>
        </w:rPr>
      </w:pPr>
    </w:p>
    <w:p>
      <w:pPr>
        <w:pStyle w:val="BodyText"/>
        <w:spacing w:line="240" w:lineRule="auto"/>
        <w:ind w:left="573" w:right="0"/>
        <w:jc w:val="left"/>
      </w:pPr>
      <w:r>
        <w:rPr>
          <w:rFonts w:ascii="Arial" w:hAnsi="Arial" w:cs="Arial" w:eastAsia="Arial" w:hint="default"/>
        </w:rPr>
        <w:t>5</w:t>
      </w:r>
      <w:r>
        <w:rPr/>
        <w:t>、本财务报表业经本公司董事会于</w:t>
      </w:r>
      <w:r>
        <w:rPr>
          <w:rFonts w:ascii="Arial" w:hAnsi="Arial" w:cs="Arial" w:eastAsia="Arial" w:hint="default"/>
        </w:rPr>
        <w:t>2016</w:t>
      </w:r>
      <w:r>
        <w:rPr/>
        <w:t>年</w:t>
      </w:r>
      <w:r>
        <w:rPr>
          <w:rFonts w:ascii="Arial" w:hAnsi="Arial" w:cs="Arial" w:eastAsia="Arial" w:hint="default"/>
        </w:rPr>
        <w:t>4</w:t>
      </w:r>
      <w:r>
        <w:rPr/>
        <w:t>月</w:t>
      </w:r>
      <w:r>
        <w:rPr>
          <w:rFonts w:ascii="Arial" w:hAnsi="Arial" w:cs="Arial" w:eastAsia="Arial" w:hint="default"/>
        </w:rPr>
        <w:t>15</w:t>
      </w:r>
      <w:r>
        <w:rPr/>
        <w:t>日决议批准报出。</w:t>
      </w:r>
    </w:p>
    <w:p>
      <w:pPr>
        <w:pStyle w:val="BodyText"/>
        <w:spacing w:line="624" w:lineRule="exact" w:before="80"/>
        <w:ind w:left="573" w:right="1116"/>
        <w:jc w:val="left"/>
      </w:pPr>
      <w:r>
        <w:rPr/>
        <w:t>注：说明公司注册地、总部地址、业务性质、主要经营活动以及财务报告批准报出日。 </w:t>
      </w:r>
      <w:r>
        <w:rPr>
          <w:spacing w:val="-2"/>
        </w:rPr>
        <w:t>本公司</w:t>
      </w:r>
      <w:r>
        <w:rPr>
          <w:rFonts w:ascii="Arial" w:hAnsi="Arial" w:cs="Arial" w:eastAsia="Arial" w:hint="default"/>
          <w:spacing w:val="-2"/>
        </w:rPr>
        <w:t>2015</w:t>
      </w:r>
      <w:r>
        <w:rPr>
          <w:spacing w:val="-2"/>
        </w:rPr>
        <w:t>年度纳入合并范围的子公司共</w:t>
      </w:r>
      <w:r>
        <w:rPr>
          <w:rFonts w:ascii="Arial" w:hAnsi="Arial" w:cs="Arial" w:eastAsia="Arial" w:hint="default"/>
          <w:spacing w:val="-2"/>
        </w:rPr>
        <w:t>85</w:t>
      </w:r>
      <w:r>
        <w:rPr>
          <w:spacing w:val="-2"/>
        </w:rPr>
        <w:t>户，详见本附注九“在其他主体中的权益”。本公司本年</w:t>
      </w:r>
    </w:p>
    <w:p>
      <w:pPr>
        <w:pStyle w:val="BodyText"/>
        <w:spacing w:line="240" w:lineRule="auto" w:before="98"/>
        <w:ind w:right="0"/>
        <w:jc w:val="left"/>
      </w:pPr>
      <w:r>
        <w:rPr/>
        <w:t>度合并范围比上年度增加</w:t>
      </w:r>
      <w:r>
        <w:rPr>
          <w:rFonts w:ascii="Arial" w:hAnsi="Arial" w:cs="Arial" w:eastAsia="Arial" w:hint="default"/>
        </w:rPr>
        <w:t>7</w:t>
      </w:r>
      <w:r>
        <w:rPr/>
        <w:t>户，减少</w:t>
      </w:r>
      <w:r>
        <w:rPr>
          <w:rFonts w:ascii="Arial" w:hAnsi="Arial" w:cs="Arial" w:eastAsia="Arial" w:hint="default"/>
        </w:rPr>
        <w:t>4</w:t>
      </w:r>
      <w:r>
        <w:rPr/>
        <w:t>户，详见本附注八“合并范围的变更”。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2"/>
        <w:spacing w:line="240" w:lineRule="auto"/>
        <w:ind w:right="0"/>
        <w:jc w:val="left"/>
        <w:rPr>
          <w:rFonts w:ascii="宋体" w:hAnsi="宋体" w:cs="宋体" w:eastAsia="宋体" w:hint="default"/>
          <w:b w:val="0"/>
          <w:bCs w:val="0"/>
        </w:rPr>
      </w:pPr>
      <w:bookmarkStart w:name="四、财务报表的编制基础" w:id="270"/>
      <w:bookmarkEnd w:id="270"/>
      <w:r>
        <w:rPr>
          <w:b w:val="0"/>
          <w:bCs w:val="0"/>
        </w:rPr>
      </w:r>
      <w:bookmarkStart w:name="_bookmark77" w:id="271"/>
      <w:bookmarkEnd w:id="271"/>
      <w:r>
        <w:rPr>
          <w:b w:val="0"/>
          <w:bCs w:val="0"/>
        </w:rPr>
      </w:r>
      <w:r>
        <w:rPr>
          <w:rFonts w:ascii="宋体" w:hAnsi="宋体" w:cs="宋体" w:eastAsia="宋体" w:hint="default"/>
        </w:rPr>
        <w:t>四、财务报表的编制基础</w:t>
      </w:r>
      <w:r>
        <w:rPr>
          <w:rFonts w:ascii="宋体" w:hAnsi="宋体" w:cs="宋体" w:eastAsia="宋体" w:hint="default"/>
          <w:b w:val="0"/>
          <w:bCs w:val="0"/>
        </w:rPr>
      </w:r>
    </w:p>
    <w:p>
      <w:pPr>
        <w:pStyle w:val="BodyText"/>
        <w:spacing w:line="690" w:lineRule="exact" w:before="10"/>
        <w:ind w:left="574" w:right="0" w:firstLine="2"/>
        <w:jc w:val="left"/>
      </w:pPr>
      <w:bookmarkStart w:name="1、编制基础" w:id="272"/>
      <w:bookmarkEnd w:id="272"/>
      <w:r>
        <w:rPr/>
      </w:r>
      <w:r>
        <w:rPr>
          <w:rFonts w:ascii="Trebuchet MS" w:hAnsi="Trebuchet MS" w:cs="Trebuchet MS" w:eastAsia="Trebuchet MS" w:hint="default"/>
          <w:b/>
          <w:bCs/>
        </w:rPr>
        <w:t>1</w:t>
      </w:r>
      <w:r>
        <w:rPr>
          <w:rFonts w:ascii="宋体" w:hAnsi="宋体" w:cs="宋体" w:eastAsia="宋体" w:hint="default"/>
          <w:b/>
          <w:bCs/>
        </w:rPr>
        <w:t>、编制基础</w:t>
      </w:r>
      <w:r>
        <w:rPr>
          <w:rFonts w:ascii="宋体" w:hAnsi="宋体" w:cs="宋体" w:eastAsia="宋体" w:hint="default"/>
          <w:b/>
          <w:bCs/>
          <w:w w:val="99"/>
        </w:rPr>
        <w:t> </w:t>
      </w:r>
      <w:r>
        <w:rPr>
          <w:spacing w:val="-1"/>
        </w:rPr>
        <w:t>本公司财务报表以持续经营假设为基础，根据实际发生的交易和事项，按照财政部发布的《企业会计</w:t>
      </w:r>
    </w:p>
    <w:p>
      <w:pPr>
        <w:pStyle w:val="BodyText"/>
        <w:spacing w:line="388" w:lineRule="auto" w:before="84"/>
        <w:ind w:right="1129"/>
        <w:jc w:val="both"/>
      </w:pPr>
      <w:r>
        <w:rPr>
          <w:spacing w:val="-1"/>
        </w:rPr>
        <w:t>准则——基本准则》（财政部令第</w:t>
      </w:r>
      <w:r>
        <w:rPr>
          <w:rFonts w:ascii="Arial" w:hAnsi="Arial" w:cs="Arial" w:eastAsia="Arial" w:hint="default"/>
          <w:spacing w:val="-1"/>
        </w:rPr>
        <w:t>33</w:t>
      </w:r>
      <w:r>
        <w:rPr>
          <w:spacing w:val="-1"/>
        </w:rPr>
        <w:t>号发布、财政部令第</w:t>
      </w:r>
      <w:r>
        <w:rPr>
          <w:rFonts w:ascii="Arial" w:hAnsi="Arial" w:cs="Arial" w:eastAsia="Arial" w:hint="default"/>
          <w:spacing w:val="-1"/>
        </w:rPr>
        <w:t>76</w:t>
      </w:r>
      <w:r>
        <w:rPr>
          <w:spacing w:val="-1"/>
        </w:rPr>
        <w:t>号修订）、于</w:t>
      </w:r>
      <w:r>
        <w:rPr>
          <w:rFonts w:ascii="Arial" w:hAnsi="Arial" w:cs="Arial" w:eastAsia="Arial" w:hint="default"/>
          <w:spacing w:val="-1"/>
        </w:rPr>
        <w:t>2006</w:t>
      </w:r>
      <w:r>
        <w:rPr>
          <w:spacing w:val="-1"/>
        </w:rPr>
        <w:t>年</w:t>
      </w:r>
      <w:r>
        <w:rPr>
          <w:rFonts w:ascii="Arial" w:hAnsi="Arial" w:cs="Arial" w:eastAsia="Arial" w:hint="default"/>
          <w:spacing w:val="-1"/>
        </w:rPr>
        <w:t>2</w:t>
      </w:r>
      <w:r>
        <w:rPr>
          <w:spacing w:val="-1"/>
        </w:rPr>
        <w:t>月</w:t>
      </w:r>
      <w:r>
        <w:rPr>
          <w:rFonts w:ascii="Arial" w:hAnsi="Arial" w:cs="Arial" w:eastAsia="Arial" w:hint="default"/>
          <w:spacing w:val="-1"/>
        </w:rPr>
        <w:t>15</w:t>
      </w:r>
      <w:r>
        <w:rPr>
          <w:spacing w:val="-1"/>
        </w:rPr>
        <w:t>日及其后颁布和修</w:t>
      </w:r>
      <w:r>
        <w:rPr/>
        <w:t> </w:t>
      </w:r>
      <w:r>
        <w:rPr>
          <w:spacing w:val="-1"/>
        </w:rPr>
        <w:t>订的</w:t>
      </w:r>
      <w:r>
        <w:rPr>
          <w:rFonts w:ascii="Arial" w:hAnsi="Arial" w:cs="Arial" w:eastAsia="Arial" w:hint="default"/>
          <w:spacing w:val="-1"/>
        </w:rPr>
        <w:t>41</w:t>
      </w:r>
      <w:r>
        <w:rPr>
          <w:spacing w:val="-1"/>
        </w:rPr>
        <w:t>项具体会计准则、企业会计准则应用指南、企业会计准则解释及其他相关规定（以下合称“企业会</w:t>
      </w:r>
      <w:r>
        <w:rPr>
          <w:spacing w:val="-103"/>
        </w:rPr>
        <w:t> </w:t>
      </w:r>
      <w:r>
        <w:rPr>
          <w:spacing w:val="-103"/>
        </w:rPr>
      </w:r>
      <w:r>
        <w:rPr>
          <w:spacing w:val="-1"/>
        </w:rPr>
        <w:t>计准则”），以及中国证券监督管理委员会《公开发行证券的公司信息披露编报规则第</w:t>
      </w:r>
      <w:r>
        <w:rPr>
          <w:rFonts w:ascii="Arial" w:hAnsi="Arial" w:cs="Arial" w:eastAsia="Arial" w:hint="default"/>
          <w:spacing w:val="-1"/>
        </w:rPr>
        <w:t>15</w:t>
      </w:r>
      <w:r>
        <w:rPr>
          <w:spacing w:val="-1"/>
        </w:rPr>
        <w:t>号——财务报告</w:t>
      </w:r>
      <w:r>
        <w:rPr/>
        <w:t> 的一般规定》（</w:t>
      </w:r>
      <w:r>
        <w:rPr>
          <w:rFonts w:ascii="Arial" w:hAnsi="Arial" w:cs="Arial" w:eastAsia="Arial" w:hint="default"/>
        </w:rPr>
        <w:t>2014</w:t>
      </w:r>
      <w:r>
        <w:rPr/>
        <w:t>年修订）的披露规定编制。</w:t>
      </w:r>
    </w:p>
    <w:p>
      <w:pPr>
        <w:spacing w:line="240" w:lineRule="auto" w:before="6"/>
        <w:rPr>
          <w:rFonts w:ascii="宋体" w:hAnsi="宋体" w:cs="宋体" w:eastAsia="宋体" w:hint="default"/>
          <w:sz w:val="14"/>
          <w:szCs w:val="14"/>
        </w:rPr>
      </w:pPr>
    </w:p>
    <w:p>
      <w:pPr>
        <w:pStyle w:val="BodyText"/>
        <w:spacing w:line="408" w:lineRule="auto"/>
        <w:ind w:left="154" w:right="0" w:firstLine="420"/>
        <w:jc w:val="left"/>
      </w:pPr>
      <w:r>
        <w:rPr>
          <w:spacing w:val="-1"/>
        </w:rPr>
        <w:t>根据企业会计准则的相关规定，本公司会计核算以权责发生制为基础。除某些金融工具外，本财务报</w:t>
      </w:r>
      <w:r>
        <w:rPr/>
        <w:t> 表均以历史成本为计量基础。资产如果发生减值，则按照相关规定计提相应的减值准备。</w:t>
      </w:r>
    </w:p>
    <w:p>
      <w:pPr>
        <w:spacing w:after="0" w:line="408" w:lineRule="auto"/>
        <w:jc w:val="left"/>
        <w:sectPr>
          <w:pgSz w:w="11910" w:h="16840"/>
          <w:pgMar w:header="877" w:footer="979" w:top="1100" w:bottom="1160" w:left="980" w:right="0"/>
        </w:sectPr>
      </w:pPr>
    </w:p>
    <w:p>
      <w:pPr>
        <w:spacing w:line="240" w:lineRule="auto" w:before="5"/>
        <w:rPr>
          <w:rFonts w:ascii="宋体" w:hAnsi="宋体" w:cs="宋体" w:eastAsia="宋体" w:hint="default"/>
          <w:sz w:val="20"/>
          <w:szCs w:val="20"/>
        </w:rPr>
      </w:pPr>
    </w:p>
    <w:p>
      <w:pPr>
        <w:spacing w:line="566" w:lineRule="auto" w:before="35"/>
        <w:ind w:left="573" w:right="6763" w:firstLine="2"/>
        <w:jc w:val="left"/>
        <w:rPr>
          <w:rFonts w:ascii="宋体" w:hAnsi="宋体" w:cs="宋体" w:eastAsia="宋体" w:hint="default"/>
          <w:sz w:val="21"/>
          <w:szCs w:val="21"/>
        </w:rPr>
      </w:pPr>
      <w:bookmarkStart w:name="2、持续经营" w:id="273"/>
      <w:bookmarkEnd w:id="273"/>
      <w:r>
        <w:rPr/>
      </w:r>
      <w:r>
        <w:rPr>
          <w:rFonts w:ascii="Trebuchet MS" w:hAnsi="Trebuchet MS" w:cs="Trebuchet MS" w:eastAsia="Trebuchet MS"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b/>
          <w:bCs/>
          <w:w w:val="99"/>
          <w:sz w:val="21"/>
          <w:szCs w:val="21"/>
        </w:rPr>
        <w:t> </w:t>
      </w:r>
      <w:r>
        <w:rPr>
          <w:rFonts w:ascii="宋体" w:hAnsi="宋体" w:cs="宋体" w:eastAsia="宋体" w:hint="default"/>
          <w:sz w:val="21"/>
          <w:szCs w:val="21"/>
        </w:rPr>
        <w:t>本公司持续经营能力不存在重大疑虑。</w:t>
      </w:r>
    </w:p>
    <w:p>
      <w:pPr>
        <w:pStyle w:val="Heading2"/>
        <w:spacing w:line="283" w:lineRule="exact"/>
        <w:ind w:right="0"/>
        <w:jc w:val="left"/>
        <w:rPr>
          <w:rFonts w:ascii="宋体" w:hAnsi="宋体" w:cs="宋体" w:eastAsia="宋体" w:hint="default"/>
          <w:b w:val="0"/>
          <w:bCs w:val="0"/>
        </w:rPr>
      </w:pPr>
      <w:bookmarkStart w:name="五、 重要会计政策和会计估计" w:id="274"/>
      <w:bookmarkEnd w:id="274"/>
      <w:r>
        <w:rPr>
          <w:b w:val="0"/>
          <w:bCs w:val="0"/>
        </w:rPr>
      </w:r>
      <w:bookmarkStart w:name="_bookmark78" w:id="275"/>
      <w:bookmarkEnd w:id="275"/>
      <w:r>
        <w:rPr>
          <w:b w:val="0"/>
          <w:bCs w:val="0"/>
        </w:rPr>
      </w:r>
      <w:r>
        <w:rPr>
          <w:rFonts w:ascii="宋体" w:hAnsi="宋体" w:cs="宋体" w:eastAsia="宋体" w:hint="default"/>
        </w:rPr>
        <w:t>五、</w:t>
      </w:r>
      <w:r>
        <w:rPr>
          <w:rFonts w:ascii="宋体" w:hAnsi="宋体" w:cs="宋体" w:eastAsia="宋体" w:hint="default"/>
          <w:spacing w:val="-12"/>
        </w:rPr>
        <w:t> </w:t>
      </w:r>
      <w:r>
        <w:rPr>
          <w:rFonts w:ascii="宋体" w:hAnsi="宋体" w:cs="宋体" w:eastAsia="宋体" w:hint="default"/>
        </w:rPr>
        <w:t>重要会计政策和会计估计</w:t>
      </w:r>
      <w:r>
        <w:rPr>
          <w:rFonts w:ascii="宋体" w:hAnsi="宋体" w:cs="宋体" w:eastAsia="宋体" w:hint="default"/>
          <w:b w:val="0"/>
          <w:bCs w:val="0"/>
        </w:rPr>
      </w:r>
    </w:p>
    <w:p>
      <w:pPr>
        <w:spacing w:line="240" w:lineRule="auto" w:before="2"/>
        <w:rPr>
          <w:rFonts w:ascii="宋体" w:hAnsi="宋体" w:cs="宋体" w:eastAsia="宋体" w:hint="default"/>
          <w:b/>
          <w:bCs/>
          <w:sz w:val="30"/>
          <w:szCs w:val="30"/>
        </w:rPr>
      </w:pPr>
    </w:p>
    <w:p>
      <w:pPr>
        <w:pStyle w:val="BodyText"/>
        <w:spacing w:line="408" w:lineRule="auto"/>
        <w:ind w:right="1130" w:firstLine="420"/>
        <w:jc w:val="both"/>
      </w:pPr>
      <w:r>
        <w:rPr>
          <w:spacing w:val="-1"/>
        </w:rPr>
        <w:t>本公司及各子公司从事手机分销、零售、移动互联网等业务经营。本公司及各子公司根据实际生产经</w:t>
      </w:r>
      <w:r>
        <w:rPr/>
        <w:t> </w:t>
      </w:r>
      <w:r>
        <w:rPr>
          <w:spacing w:val="-1"/>
        </w:rPr>
        <w:t>营特点，依据相关企业会计准则的规定，对应收款项坏账准备确认、收入确认等交易和事项制定了若干项</w:t>
      </w:r>
      <w:r>
        <w:rPr>
          <w:spacing w:val="-83"/>
        </w:rPr>
        <w:t> </w:t>
      </w:r>
      <w:r>
        <w:rPr>
          <w:spacing w:val="-83"/>
        </w:rPr>
      </w:r>
      <w:r>
        <w:rPr/>
        <w:t>具体会计政策和会计估计，详见本附注五、9“应收款项”、20“收入”各项描述。关于管理层所作出的</w:t>
      </w:r>
      <w:r>
        <w:rPr>
          <w:spacing w:val="-30"/>
        </w:rPr>
        <w:t> </w:t>
      </w:r>
      <w:r>
        <w:rPr>
          <w:spacing w:val="-30"/>
        </w:rPr>
      </w:r>
      <w:r>
        <w:rPr/>
        <w:t>重大会计判断和估计的说明，请参阅附注五、25“重大会计判断和估计”。</w:t>
      </w:r>
    </w:p>
    <w:p>
      <w:pPr>
        <w:pStyle w:val="BodyText"/>
        <w:spacing w:line="453" w:lineRule="auto" w:before="135"/>
        <w:ind w:left="574" w:right="1125"/>
        <w:jc w:val="left"/>
      </w:pPr>
      <w:r>
        <w:rPr>
          <w:rFonts w:ascii="Trebuchet MS" w:hAnsi="Trebuchet MS" w:cs="Trebuchet MS" w:eastAsia="Trebuchet MS" w:hint="default"/>
          <w:b/>
          <w:bCs/>
        </w:rPr>
        <w:t>1</w:t>
      </w:r>
      <w:r>
        <w:rPr>
          <w:rFonts w:ascii="Microsoft JhengHei" w:hAnsi="Microsoft JhengHei" w:cs="Microsoft JhengHei" w:eastAsia="Microsoft JhengHei" w:hint="default"/>
          <w:b/>
          <w:bCs/>
        </w:rPr>
        <w:t>、会计期间 </w:t>
      </w:r>
      <w:r>
        <w:rPr>
          <w:spacing w:val="-1"/>
        </w:rPr>
        <w:t>本公司的会计期间分为年度和中期，会计中期指短于一个完整的会计年度的报告期间。本公司会计年</w:t>
      </w:r>
    </w:p>
    <w:p>
      <w:pPr>
        <w:pStyle w:val="BodyText"/>
        <w:spacing w:line="460" w:lineRule="auto" w:before="6"/>
        <w:ind w:left="573" w:right="5852" w:hanging="420"/>
        <w:jc w:val="left"/>
        <w:rPr>
          <w:rFonts w:ascii="Microsoft JhengHei" w:hAnsi="Microsoft JhengHei" w:cs="Microsoft JhengHei" w:eastAsia="Microsoft JhengHei" w:hint="default"/>
        </w:rPr>
      </w:pPr>
      <w:r>
        <w:rPr/>
        <w:t>度采用公历年度，即每年自</w:t>
      </w:r>
      <w:r>
        <w:rPr>
          <w:rFonts w:ascii="Arial" w:hAnsi="Arial" w:cs="Arial" w:eastAsia="Arial" w:hint="default"/>
        </w:rPr>
        <w:t>1</w:t>
      </w:r>
      <w:r>
        <w:rPr/>
        <w:t>月</w:t>
      </w:r>
      <w:r>
        <w:rPr>
          <w:rFonts w:ascii="Arial" w:hAnsi="Arial" w:cs="Arial" w:eastAsia="Arial" w:hint="default"/>
        </w:rPr>
        <w:t>1</w:t>
      </w:r>
      <w:r>
        <w:rPr/>
        <w:t>日起至</w:t>
      </w:r>
      <w:r>
        <w:rPr>
          <w:rFonts w:ascii="Arial" w:hAnsi="Arial" w:cs="Arial" w:eastAsia="Arial" w:hint="default"/>
        </w:rPr>
        <w:t>12</w:t>
      </w:r>
      <w:r>
        <w:rPr/>
        <w:t>月</w:t>
      </w:r>
      <w:r>
        <w:rPr>
          <w:rFonts w:ascii="Arial" w:hAnsi="Arial" w:cs="Arial" w:eastAsia="Arial" w:hint="default"/>
        </w:rPr>
        <w:t>31</w:t>
      </w:r>
      <w:r>
        <w:rPr/>
        <w:t>日止。 </w:t>
      </w:r>
      <w:r>
        <w:rPr>
          <w:rFonts w:ascii="Trebuchet MS" w:hAnsi="Trebuchet MS" w:cs="Trebuchet MS" w:eastAsia="Trebuchet MS" w:hint="default"/>
          <w:b/>
          <w:bCs/>
        </w:rPr>
        <w:t>2</w:t>
      </w:r>
      <w:r>
        <w:rPr>
          <w:rFonts w:ascii="Microsoft JhengHei" w:hAnsi="Microsoft JhengHei" w:cs="Microsoft JhengHei" w:eastAsia="Microsoft JhengHei" w:hint="default"/>
          <w:b/>
          <w:bCs/>
        </w:rPr>
        <w:t>、营业周期</w:t>
      </w:r>
      <w:r>
        <w:rPr>
          <w:rFonts w:ascii="Microsoft JhengHei" w:hAnsi="Microsoft JhengHei" w:cs="Microsoft JhengHei" w:eastAsia="Microsoft JhengHei" w:hint="default"/>
        </w:rPr>
      </w:r>
    </w:p>
    <w:p>
      <w:pPr>
        <w:pStyle w:val="BodyText"/>
        <w:spacing w:line="388" w:lineRule="auto" w:before="68"/>
        <w:ind w:right="1130" w:firstLine="420"/>
        <w:jc w:val="both"/>
      </w:pPr>
      <w:r>
        <w:rPr>
          <w:spacing w:val="-1"/>
        </w:rPr>
        <w:t>正常营业周期是指本公司从购买用于加工的资产起至实现现金或现金等价物的期间。本公司以</w:t>
      </w:r>
      <w:r>
        <w:rPr>
          <w:rFonts w:ascii="Arial" w:hAnsi="Arial" w:cs="Arial" w:eastAsia="Arial" w:hint="default"/>
          <w:spacing w:val="-1"/>
        </w:rPr>
        <w:t>12</w:t>
      </w:r>
      <w:r>
        <w:rPr>
          <w:spacing w:val="-1"/>
        </w:rPr>
        <w:t>个月</w:t>
      </w:r>
      <w:r>
        <w:rPr/>
        <w:t> 作为一个营业周期，并以其作为资产和负债的流动性划分标准。</w:t>
      </w:r>
    </w:p>
    <w:p>
      <w:pPr>
        <w:pStyle w:val="BodyText"/>
        <w:spacing w:line="453" w:lineRule="auto" w:before="152"/>
        <w:ind w:left="573" w:right="0"/>
        <w:jc w:val="left"/>
      </w:pPr>
      <w:r>
        <w:rPr>
          <w:rFonts w:ascii="Trebuchet MS" w:hAnsi="Trebuchet MS" w:cs="Trebuchet MS" w:eastAsia="Trebuchet MS" w:hint="default"/>
          <w:b/>
          <w:bCs/>
        </w:rPr>
        <w:t>3</w:t>
      </w:r>
      <w:r>
        <w:rPr>
          <w:rFonts w:ascii="Microsoft JhengHei" w:hAnsi="Microsoft JhengHei" w:cs="Microsoft JhengHei" w:eastAsia="Microsoft JhengHei" w:hint="default"/>
          <w:b/>
          <w:bCs/>
        </w:rPr>
        <w:t>、记账本位币 </w:t>
      </w:r>
      <w:r>
        <w:rPr>
          <w:spacing w:val="-1"/>
        </w:rPr>
        <w:t>人民币为本公司及境内子公司经营所处的主要经济环境中的货币，本公司及境内子公司以人民币为记</w:t>
      </w:r>
    </w:p>
    <w:p>
      <w:pPr>
        <w:pStyle w:val="BodyText"/>
        <w:spacing w:line="408" w:lineRule="auto" w:before="6"/>
        <w:ind w:right="0"/>
        <w:jc w:val="left"/>
      </w:pPr>
      <w:r>
        <w:rPr>
          <w:spacing w:val="-1"/>
        </w:rPr>
        <w:t>账本位币。本公司之境外子公司根据其经营所处的主要经济环境中的货币确定港币或美元为其记账本位币，</w:t>
      </w:r>
      <w:r>
        <w:rPr>
          <w:spacing w:val="-80"/>
        </w:rPr>
        <w:t> </w:t>
      </w:r>
      <w:r>
        <w:rPr>
          <w:spacing w:val="-80"/>
        </w:rPr>
      </w:r>
      <w:r>
        <w:rPr/>
        <w:t>详情参阅附注七、</w:t>
      </w:r>
      <w:r>
        <w:rPr>
          <w:rFonts w:ascii="Arial" w:hAnsi="Arial" w:cs="Arial" w:eastAsia="Arial" w:hint="default"/>
        </w:rPr>
        <w:t>49</w:t>
      </w:r>
      <w:r>
        <w:rPr/>
        <w:t>、（</w:t>
      </w:r>
      <w:r>
        <w:rPr>
          <w:rFonts w:ascii="Arial" w:hAnsi="Arial" w:cs="Arial" w:eastAsia="Arial" w:hint="default"/>
        </w:rPr>
        <w:t>2</w:t>
      </w:r>
      <w:r>
        <w:rPr/>
        <w:t>）“境外经营实体说明”。本公司编制本财务报表时所采用的货币为人民币。</w:t>
      </w:r>
    </w:p>
    <w:p>
      <w:pPr>
        <w:spacing w:line="453" w:lineRule="auto" w:before="103"/>
        <w:ind w:left="576" w:right="0" w:hanging="3"/>
        <w:jc w:val="left"/>
        <w:rPr>
          <w:rFonts w:ascii="宋体" w:hAnsi="宋体" w:cs="宋体" w:eastAsia="宋体" w:hint="default"/>
          <w:sz w:val="21"/>
          <w:szCs w:val="21"/>
        </w:rPr>
      </w:pPr>
      <w:r>
        <w:rPr>
          <w:rFonts w:ascii="Trebuchet MS" w:hAnsi="Trebuchet MS" w:cs="Trebuchet MS" w:eastAsia="Trebuchet MS" w:hint="default"/>
          <w:b/>
          <w:bCs/>
          <w:sz w:val="21"/>
          <w:szCs w:val="21"/>
        </w:rPr>
        <w:t>4</w:t>
      </w:r>
      <w:r>
        <w:rPr>
          <w:rFonts w:ascii="Microsoft JhengHei" w:hAnsi="Microsoft JhengHei" w:cs="Microsoft JhengHei" w:eastAsia="Microsoft JhengHei" w:hint="default"/>
          <w:b/>
          <w:bCs/>
          <w:sz w:val="21"/>
          <w:szCs w:val="21"/>
        </w:rPr>
        <w:t>、同一控制下和非同一控制下企业合并的会计处理方法 </w:t>
      </w:r>
      <w:r>
        <w:rPr>
          <w:rFonts w:ascii="宋体" w:hAnsi="宋体" w:cs="宋体" w:eastAsia="宋体" w:hint="default"/>
          <w:spacing w:val="-1"/>
          <w:sz w:val="21"/>
          <w:szCs w:val="21"/>
        </w:rPr>
        <w:t>企业合并，是指将两个或两个以上单独的企业合并形成一个报告主体的交易或事项。企业合并分为同</w:t>
      </w:r>
    </w:p>
    <w:p>
      <w:pPr>
        <w:pStyle w:val="BodyText"/>
        <w:spacing w:line="240" w:lineRule="auto" w:before="6"/>
        <w:ind w:left="156" w:right="0"/>
        <w:jc w:val="left"/>
      </w:pPr>
      <w:r>
        <w:rPr/>
        <w:t>一控制下企业合并和非同一控制下企业合并。</w:t>
      </w:r>
    </w:p>
    <w:p>
      <w:pPr>
        <w:spacing w:line="240" w:lineRule="auto" w:before="9"/>
        <w:rPr>
          <w:rFonts w:ascii="宋体" w:hAnsi="宋体" w:cs="宋体" w:eastAsia="宋体" w:hint="default"/>
          <w:sz w:val="26"/>
          <w:szCs w:val="26"/>
        </w:rPr>
      </w:pPr>
    </w:p>
    <w:p>
      <w:pPr>
        <w:pStyle w:val="BodyText"/>
        <w:spacing w:line="516" w:lineRule="auto"/>
        <w:ind w:left="573" w:right="0"/>
        <w:jc w:val="left"/>
      </w:pPr>
      <w:r>
        <w:rPr/>
        <w:t>（</w:t>
      </w:r>
      <w:r>
        <w:rPr>
          <w:rFonts w:ascii="Arial" w:hAnsi="Arial" w:cs="Arial" w:eastAsia="Arial" w:hint="default"/>
        </w:rPr>
        <w:t>1</w:t>
      </w:r>
      <w:r>
        <w:rPr/>
        <w:t>）同一控制下企业合并 </w:t>
      </w:r>
      <w:r>
        <w:rPr>
          <w:spacing w:val="-1"/>
        </w:rPr>
        <w:t>参与合并的企业在合并前后均受同一方或相同的多方最终控制，且该控制并非暂时性的，为同一控制</w:t>
      </w:r>
    </w:p>
    <w:p>
      <w:pPr>
        <w:pStyle w:val="BodyText"/>
        <w:spacing w:line="227" w:lineRule="exact"/>
        <w:ind w:right="0"/>
        <w:jc w:val="left"/>
      </w:pPr>
      <w:r>
        <w:rPr/>
        <w:t>下的企业合并。同一控制下的企业合并，在合并日取得对其他参与合并企业控制权的一方为合并方，参与</w:t>
      </w:r>
    </w:p>
    <w:p>
      <w:pPr>
        <w:spacing w:line="240" w:lineRule="auto" w:before="10"/>
        <w:rPr>
          <w:rFonts w:ascii="宋体" w:hAnsi="宋体" w:cs="宋体" w:eastAsia="宋体" w:hint="default"/>
          <w:sz w:val="14"/>
          <w:szCs w:val="14"/>
        </w:rPr>
      </w:pPr>
    </w:p>
    <w:p>
      <w:pPr>
        <w:pStyle w:val="BodyText"/>
        <w:spacing w:line="544" w:lineRule="auto"/>
        <w:ind w:left="573" w:right="0" w:hanging="420"/>
        <w:jc w:val="left"/>
      </w:pPr>
      <w:r>
        <w:rPr/>
        <w:t>合并的其他企业为被合并方。合并日，是指合并方实际取得对被合并方控制权的日期。 </w:t>
      </w:r>
      <w:r>
        <w:rPr>
          <w:spacing w:val="-1"/>
        </w:rPr>
        <w:t>合并方取得的资产和负债均按合并日在被合并方的账面价值计量。合并方取得的净资产账面价值与支</w:t>
      </w:r>
    </w:p>
    <w:p>
      <w:pPr>
        <w:spacing w:after="0" w:line="544"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408" w:lineRule="auto" w:before="18"/>
        <w:ind w:left="154" w:right="0"/>
        <w:jc w:val="left"/>
      </w:pPr>
      <w:r>
        <w:rPr>
          <w:spacing w:val="-1"/>
        </w:rPr>
        <w:t>付的合并对价账面价值（或发行股份面值总额）的差额，调整资本公积（股本溢价）；资本公积（股本溢</w:t>
      </w:r>
      <w:r>
        <w:rPr>
          <w:spacing w:val="-85"/>
        </w:rPr>
        <w:t> </w:t>
      </w:r>
      <w:r>
        <w:rPr>
          <w:spacing w:val="-85"/>
        </w:rPr>
      </w:r>
      <w:r>
        <w:rPr/>
        <w:t>价）不足以冲减的，调整留存收益。</w:t>
      </w:r>
    </w:p>
    <w:p>
      <w:pPr>
        <w:spacing w:line="240" w:lineRule="auto" w:before="6"/>
        <w:rPr>
          <w:rFonts w:ascii="宋体" w:hAnsi="宋体" w:cs="宋体" w:eastAsia="宋体" w:hint="default"/>
          <w:sz w:val="15"/>
          <w:szCs w:val="15"/>
        </w:rPr>
      </w:pPr>
    </w:p>
    <w:p>
      <w:pPr>
        <w:pStyle w:val="BodyText"/>
        <w:spacing w:line="240" w:lineRule="auto"/>
        <w:ind w:left="574" w:right="0"/>
        <w:jc w:val="left"/>
      </w:pPr>
      <w:r>
        <w:rPr/>
        <w:t>合并方为进行企业合并发生的各项直接费用，于发生时计入当期损益。</w:t>
      </w:r>
    </w:p>
    <w:p>
      <w:pPr>
        <w:spacing w:line="240" w:lineRule="auto" w:before="9"/>
        <w:rPr>
          <w:rFonts w:ascii="宋体" w:hAnsi="宋体" w:cs="宋体" w:eastAsia="宋体" w:hint="default"/>
          <w:sz w:val="26"/>
          <w:szCs w:val="26"/>
        </w:rPr>
      </w:pPr>
    </w:p>
    <w:p>
      <w:pPr>
        <w:pStyle w:val="BodyText"/>
        <w:spacing w:line="516" w:lineRule="auto"/>
        <w:ind w:left="573" w:right="0"/>
        <w:jc w:val="left"/>
      </w:pPr>
      <w:r>
        <w:rPr/>
        <w:t>（</w:t>
      </w:r>
      <w:r>
        <w:rPr>
          <w:rFonts w:ascii="Arial" w:hAnsi="Arial" w:cs="Arial" w:eastAsia="Arial" w:hint="default"/>
        </w:rPr>
        <w:t>2</w:t>
      </w:r>
      <w:r>
        <w:rPr/>
        <w:t>）非同一控制下企业合并 </w:t>
      </w:r>
      <w:r>
        <w:rPr>
          <w:spacing w:val="-1"/>
        </w:rPr>
        <w:t>参与合并的企业在合并前后不受同一方或相同的多方最终控制的，为非同一控制下的企业合并。非同</w:t>
      </w:r>
    </w:p>
    <w:p>
      <w:pPr>
        <w:pStyle w:val="BodyText"/>
        <w:spacing w:line="226" w:lineRule="exact"/>
        <w:ind w:right="0"/>
        <w:jc w:val="left"/>
      </w:pPr>
      <w:r>
        <w:rPr/>
        <w:t>一控制下的企业合并，在购买日取得对其他参与合并企业控制权的一方为购买方，参与合并的其他企业为</w:t>
      </w:r>
    </w:p>
    <w:p>
      <w:pPr>
        <w:spacing w:line="240" w:lineRule="auto" w:before="10"/>
        <w:rPr>
          <w:rFonts w:ascii="宋体" w:hAnsi="宋体" w:cs="宋体" w:eastAsia="宋体" w:hint="default"/>
          <w:sz w:val="14"/>
          <w:szCs w:val="14"/>
        </w:rPr>
      </w:pPr>
    </w:p>
    <w:p>
      <w:pPr>
        <w:pStyle w:val="BodyText"/>
        <w:spacing w:line="240" w:lineRule="auto"/>
        <w:ind w:right="0"/>
        <w:jc w:val="left"/>
      </w:pPr>
      <w:r>
        <w:rPr/>
        <w:t>被购买方。购买日，是指为购买方实际取得对被购买方控制权的日期。</w:t>
      </w:r>
    </w:p>
    <w:p>
      <w:pPr>
        <w:spacing w:line="240" w:lineRule="auto" w:before="9"/>
        <w:rPr>
          <w:rFonts w:ascii="宋体" w:hAnsi="宋体" w:cs="宋体" w:eastAsia="宋体" w:hint="default"/>
          <w:sz w:val="26"/>
          <w:szCs w:val="26"/>
        </w:rPr>
      </w:pPr>
    </w:p>
    <w:p>
      <w:pPr>
        <w:pStyle w:val="BodyText"/>
        <w:spacing w:line="405" w:lineRule="auto"/>
        <w:ind w:right="0" w:firstLine="420"/>
        <w:jc w:val="left"/>
      </w:pPr>
      <w:r>
        <w:rPr>
          <w:spacing w:val="-1"/>
        </w:rPr>
        <w:t>对于非同一控制下的企业合并，合并成本包含购买日购买方为取得对被购买方的控制权而付出的资产、</w:t>
      </w:r>
      <w:r>
        <w:rPr/>
        <w:t> 发生或承担的负债以及发行的权益性证券的公允价值，为企业合并发生的审计、法律服务、评估咨询等中 介费用以及其他管理费用于发生时计入当期损益。购买方作为合并对价发行的权益性证券或债务性证券的 交易费用，计入权益性证券或债务性证券的初始确认金额。所涉及的或有对价按其在购买日的公允价值计 入合并成本，购买日后</w:t>
      </w:r>
      <w:r>
        <w:rPr>
          <w:rFonts w:ascii="Arial" w:hAnsi="Arial" w:cs="Arial" w:eastAsia="Arial" w:hint="default"/>
        </w:rPr>
        <w:t>12</w:t>
      </w:r>
      <w:r>
        <w:rPr/>
        <w:t>个月内出现对购买日已存在情况的新的或进一步证据而需要调整或有对价的，相 应调整合并商誉。购买方发生的合并成本及在合并中取得的可辨认净资产按购买日的公允价值计量。合并 成本大于合并中取得的被购买方于购买日可辨认净资产公允价值份额的差额，确认为商誉。合并成本小于 合并中取得的被购买方可辨认净资产公允价值份额的，首先对取得的被购买方各项可辨认资产、负债及或 有负债的公允价值以及合并成本的计量进行复核，复核后合并成本仍小于合并中取得的被购买方可辨认净 资产公允价值份额的，其差额计入当期损益。</w:t>
      </w:r>
    </w:p>
    <w:p>
      <w:pPr>
        <w:spacing w:line="240" w:lineRule="auto" w:before="8"/>
        <w:rPr>
          <w:rFonts w:ascii="宋体" w:hAnsi="宋体" w:cs="宋体" w:eastAsia="宋体" w:hint="default"/>
          <w:sz w:val="15"/>
          <w:szCs w:val="15"/>
        </w:rPr>
      </w:pPr>
    </w:p>
    <w:p>
      <w:pPr>
        <w:pStyle w:val="BodyText"/>
        <w:spacing w:line="403" w:lineRule="auto"/>
        <w:ind w:left="154" w:right="82" w:firstLine="420"/>
        <w:jc w:val="left"/>
      </w:pPr>
      <w:r>
        <w:rPr>
          <w:spacing w:val="-1"/>
        </w:rPr>
        <w:t>购买方取得被购买方的可抵扣暂时性差异，在购买日因不符合递延所得税资产确认条件而未予确认的，</w:t>
      </w:r>
      <w:r>
        <w:rPr/>
        <w:t> 在购买日后</w:t>
      </w:r>
      <w:r>
        <w:rPr>
          <w:rFonts w:ascii="Arial" w:hAnsi="Arial" w:cs="Arial" w:eastAsia="Arial" w:hint="default"/>
        </w:rPr>
        <w:t>12</w:t>
      </w:r>
      <w:r>
        <w:rPr/>
        <w:t>个月内，如取得新的或进一步的信息表明购买日的相关情况已经存在，预期被购买方在购买 日可抵扣暂时性差异带来的经济利益能够实现的，则确认相关的递延所得税资产，同时减少商誉，商誉不 足冲减的，差额部分确认为当期损益；除上述情况以外，确认与企业合并相关的递延所得税资产的，计入 当期损益。</w:t>
      </w:r>
    </w:p>
    <w:p>
      <w:pPr>
        <w:spacing w:line="240" w:lineRule="auto" w:before="10"/>
        <w:rPr>
          <w:rFonts w:ascii="宋体" w:hAnsi="宋体" w:cs="宋体" w:eastAsia="宋体" w:hint="default"/>
          <w:sz w:val="15"/>
          <w:szCs w:val="15"/>
        </w:rPr>
      </w:pPr>
    </w:p>
    <w:p>
      <w:pPr>
        <w:pStyle w:val="BodyText"/>
        <w:spacing w:line="393" w:lineRule="auto"/>
        <w:ind w:right="1129" w:firstLine="420"/>
        <w:jc w:val="both"/>
      </w:pPr>
      <w:r>
        <w:rPr/>
        <w:t>通过多次交易分步实现的非同一控制下企业合并，根据《财政部关于印发企业会计准则解释第</w:t>
      </w:r>
      <w:r>
        <w:rPr>
          <w:rFonts w:ascii="Arial" w:hAnsi="Arial" w:cs="Arial" w:eastAsia="Arial" w:hint="default"/>
        </w:rPr>
        <w:t>5</w:t>
      </w:r>
      <w:r>
        <w:rPr/>
        <w:t>号的</w:t>
      </w:r>
      <w:r>
        <w:rPr>
          <w:spacing w:val="1"/>
        </w:rPr>
        <w:t> </w:t>
      </w:r>
      <w:r>
        <w:rPr/>
        <w:t>通知》（财会〔</w:t>
      </w:r>
      <w:r>
        <w:rPr>
          <w:rFonts w:ascii="Arial" w:hAnsi="Arial" w:cs="Arial" w:eastAsia="Arial" w:hint="default"/>
        </w:rPr>
        <w:t>2012</w:t>
      </w:r>
      <w:r>
        <w:rPr/>
        <w:t>〕</w:t>
      </w:r>
      <w:r>
        <w:rPr>
          <w:rFonts w:ascii="Arial" w:hAnsi="Arial" w:cs="Arial" w:eastAsia="Arial" w:hint="default"/>
        </w:rPr>
        <w:t>19</w:t>
      </w:r>
      <w:r>
        <w:rPr/>
        <w:t>号）和《企业会计准则第</w:t>
      </w:r>
      <w:r>
        <w:rPr>
          <w:rFonts w:ascii="Arial" w:hAnsi="Arial" w:cs="Arial" w:eastAsia="Arial" w:hint="default"/>
        </w:rPr>
        <w:t>33</w:t>
      </w:r>
      <w:r>
        <w:rPr/>
        <w:t>号——合并财务报表》第五十一条关于“一揽子交</w:t>
      </w:r>
      <w:r>
        <w:rPr>
          <w:spacing w:val="-28"/>
        </w:rPr>
        <w:t> </w:t>
      </w:r>
      <w:r>
        <w:rPr>
          <w:spacing w:val="-28"/>
        </w:rPr>
      </w:r>
      <w:r>
        <w:rPr>
          <w:spacing w:val="-2"/>
        </w:rPr>
        <w:t>易”的判断标准（参见本附注五、</w:t>
      </w:r>
      <w:r>
        <w:rPr>
          <w:rFonts w:ascii="Arial" w:hAnsi="Arial" w:cs="Arial" w:eastAsia="Arial" w:hint="default"/>
          <w:spacing w:val="-2"/>
        </w:rPr>
        <w:t>5</w:t>
      </w:r>
      <w:r>
        <w:rPr>
          <w:spacing w:val="-2"/>
        </w:rPr>
        <w:t>（</w:t>
      </w:r>
      <w:r>
        <w:rPr>
          <w:rFonts w:ascii="Arial" w:hAnsi="Arial" w:cs="Arial" w:eastAsia="Arial" w:hint="default"/>
          <w:spacing w:val="-2"/>
        </w:rPr>
        <w:t>2</w:t>
      </w:r>
      <w:r>
        <w:rPr>
          <w:spacing w:val="-2"/>
        </w:rPr>
        <w:t>）），判断该多次交易是否属于“一揽子交易”。属于“一揽子交</w:t>
      </w:r>
      <w:r>
        <w:rPr>
          <w:spacing w:val="-62"/>
        </w:rPr>
        <w:t> </w:t>
      </w:r>
      <w:r>
        <w:rPr>
          <w:spacing w:val="-62"/>
        </w:rPr>
      </w:r>
      <w:r>
        <w:rPr>
          <w:spacing w:val="-6"/>
          <w:w w:val="100"/>
        </w:rPr>
        <w:t>易”的，参考本部分前面各段描述及本附注五、11“长期股权投资”进行会计处理；不属于“一揽子交易”</w:t>
      </w:r>
      <w:r>
        <w:rPr>
          <w:spacing w:val="-85"/>
          <w:w w:val="100"/>
        </w:rPr>
        <w:t> </w:t>
      </w:r>
      <w:r>
        <w:rPr>
          <w:spacing w:val="-85"/>
          <w:w w:val="100"/>
        </w:rPr>
      </w:r>
      <w:r>
        <w:rPr/>
        <w:t>的，区分个别财务报表和合并财务报表进行相关会计处理：</w:t>
      </w:r>
    </w:p>
    <w:p>
      <w:pPr>
        <w:spacing w:after="0" w:line="393" w:lineRule="auto"/>
        <w:jc w:val="both"/>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408" w:lineRule="auto" w:before="18"/>
        <w:ind w:right="0" w:firstLine="420"/>
        <w:jc w:val="left"/>
      </w:pPr>
      <w:r>
        <w:rPr/>
        <w:t>在个别财务报表中，以购买日之前所持被购买方的股权投资的账面价值与购买日新增投资成本之和， 作为该项投资的初始投资成本；购买日之前持有的被购买方的股权涉及其他综合收益的，在处置该项投资 时将与其相关的其他综合收益采用与被购买方直接处置相关资产或负债相同的基础进行会计处理（即，除 了按照权益法核算的在被购买方重新计量设定受益计划净负债或净资产导致的变动中的相应份额以外，其 余转入当期投资收益）。</w:t>
      </w:r>
    </w:p>
    <w:p>
      <w:pPr>
        <w:spacing w:line="240" w:lineRule="auto" w:before="6"/>
        <w:rPr>
          <w:rFonts w:ascii="宋体" w:hAnsi="宋体" w:cs="宋体" w:eastAsia="宋体" w:hint="default"/>
          <w:sz w:val="15"/>
          <w:szCs w:val="15"/>
        </w:rPr>
      </w:pPr>
    </w:p>
    <w:p>
      <w:pPr>
        <w:pStyle w:val="BodyText"/>
        <w:spacing w:line="408" w:lineRule="auto"/>
        <w:ind w:right="1131" w:firstLine="420"/>
        <w:jc w:val="both"/>
      </w:pPr>
      <w:r>
        <w:rPr>
          <w:spacing w:val="-1"/>
        </w:rPr>
        <w:t>在合并财务报表中，对于购买日之前持有的被购买方的股权，按照该股权在购买日的公允价值进行重</w:t>
      </w:r>
      <w:r>
        <w:rPr/>
        <w:t> </w:t>
      </w:r>
      <w:r>
        <w:rPr>
          <w:spacing w:val="-1"/>
        </w:rPr>
        <w:t>新计量，公允价值与其账面价值的差额计入当期投资收益；购买日之前持有的被购买方的股权涉及其他综</w:t>
      </w:r>
      <w:r>
        <w:rPr>
          <w:spacing w:val="-81"/>
        </w:rPr>
        <w:t> </w:t>
      </w:r>
      <w:r>
        <w:rPr>
          <w:spacing w:val="-81"/>
        </w:rPr>
      </w:r>
      <w:r>
        <w:rPr>
          <w:spacing w:val="-1"/>
        </w:rPr>
        <w:t>合收益的，与其相关的其他综合收益应当采用与被购买方直接处置相关资产或负债相同的基础进行会计处</w:t>
      </w:r>
      <w:r>
        <w:rPr>
          <w:spacing w:val="-81"/>
        </w:rPr>
        <w:t> </w:t>
      </w:r>
      <w:r>
        <w:rPr>
          <w:spacing w:val="-81"/>
        </w:rPr>
      </w:r>
      <w:r>
        <w:rPr>
          <w:spacing w:val="-1"/>
        </w:rPr>
        <w:t>理（即，除了按照权益法核算的在被购买方重新计量设定受益计划净负债或净资产导致的变动中的相应份</w:t>
      </w:r>
      <w:r>
        <w:rPr>
          <w:spacing w:val="-81"/>
        </w:rPr>
        <w:t> </w:t>
      </w:r>
      <w:r>
        <w:rPr>
          <w:spacing w:val="-81"/>
        </w:rPr>
      </w:r>
      <w:r>
        <w:rPr/>
        <w:t>额以外，其余转为购买日所属当期投资收益）。</w:t>
      </w:r>
    </w:p>
    <w:p>
      <w:pPr>
        <w:pStyle w:val="Heading5"/>
        <w:spacing w:line="240" w:lineRule="auto" w:before="135"/>
        <w:ind w:left="573" w:right="0"/>
        <w:jc w:val="left"/>
        <w:rPr>
          <w:rFonts w:ascii="Microsoft JhengHei" w:hAnsi="Microsoft JhengHei" w:cs="Microsoft JhengHei" w:eastAsia="Microsoft JhengHei" w:hint="default"/>
          <w:b w:val="0"/>
          <w:bCs w:val="0"/>
        </w:rPr>
      </w:pPr>
      <w:r>
        <w:rPr>
          <w:rFonts w:ascii="Trebuchet MS" w:hAnsi="Trebuchet MS" w:cs="Trebuchet MS" w:eastAsia="Trebuchet MS" w:hint="default"/>
        </w:rPr>
        <w:t>5</w:t>
      </w:r>
      <w:r>
        <w:rPr>
          <w:rFonts w:ascii="Microsoft JhengHei" w:hAnsi="Microsoft JhengHei" w:cs="Microsoft JhengHei" w:eastAsia="Microsoft JhengHei" w:hint="default"/>
        </w:rPr>
        <w:t>、合并财务报表的编制方法</w:t>
      </w:r>
      <w:r>
        <w:rPr>
          <w:rFonts w:ascii="Microsoft JhengHei" w:hAnsi="Microsoft JhengHei" w:cs="Microsoft JhengHei" w:eastAsia="Microsoft JhengHei" w:hint="default"/>
          <w:b w:val="0"/>
          <w:bCs w:val="0"/>
        </w:rPr>
      </w:r>
    </w:p>
    <w:p>
      <w:pPr>
        <w:spacing w:line="240" w:lineRule="auto" w:before="12"/>
        <w:rPr>
          <w:rFonts w:ascii="Microsoft JhengHei" w:hAnsi="Microsoft JhengHei" w:cs="Microsoft JhengHei" w:eastAsia="Microsoft JhengHei" w:hint="default"/>
          <w:b/>
          <w:bCs/>
          <w:sz w:val="18"/>
          <w:szCs w:val="18"/>
        </w:rPr>
      </w:pPr>
    </w:p>
    <w:p>
      <w:pPr>
        <w:pStyle w:val="BodyText"/>
        <w:spacing w:line="516" w:lineRule="auto"/>
        <w:ind w:left="573" w:right="0"/>
        <w:jc w:val="left"/>
      </w:pPr>
      <w:r>
        <w:rPr/>
        <w:t>（</w:t>
      </w:r>
      <w:r>
        <w:rPr>
          <w:rFonts w:ascii="Arial" w:hAnsi="Arial" w:cs="Arial" w:eastAsia="Arial" w:hint="default"/>
        </w:rPr>
        <w:t>1</w:t>
      </w:r>
      <w:r>
        <w:rPr/>
        <w:t>）合并财务报表范围的确定原则 </w:t>
      </w:r>
      <w:r>
        <w:rPr>
          <w:spacing w:val="-1"/>
        </w:rPr>
        <w:t>合并财务报表的合并范围以控制为基础予以确定。控制是指本公司拥有对被投资方的权力，通过参与</w:t>
      </w:r>
    </w:p>
    <w:p>
      <w:pPr>
        <w:pStyle w:val="BodyText"/>
        <w:spacing w:line="227" w:lineRule="exact"/>
        <w:ind w:right="0"/>
        <w:jc w:val="both"/>
      </w:pPr>
      <w:r>
        <w:rPr/>
        <w:t>被投资方的相关活动而享有可变回报，并且有能力运用对被投资方的权力影响该回报金额。合并范围包括</w:t>
      </w:r>
    </w:p>
    <w:p>
      <w:pPr>
        <w:spacing w:line="240" w:lineRule="auto" w:before="10"/>
        <w:rPr>
          <w:rFonts w:ascii="宋体" w:hAnsi="宋体" w:cs="宋体" w:eastAsia="宋体" w:hint="default"/>
          <w:sz w:val="14"/>
          <w:szCs w:val="14"/>
        </w:rPr>
      </w:pPr>
    </w:p>
    <w:p>
      <w:pPr>
        <w:pStyle w:val="BodyText"/>
        <w:spacing w:line="240" w:lineRule="auto"/>
        <w:ind w:right="0"/>
        <w:jc w:val="both"/>
      </w:pPr>
      <w:r>
        <w:rPr/>
        <w:t>本公司及全部子公司。子公司，是指被本公司控制的主体。</w:t>
      </w:r>
    </w:p>
    <w:p>
      <w:pPr>
        <w:spacing w:line="240" w:lineRule="auto" w:before="9"/>
        <w:rPr>
          <w:rFonts w:ascii="宋体" w:hAnsi="宋体" w:cs="宋体" w:eastAsia="宋体" w:hint="default"/>
          <w:sz w:val="26"/>
          <w:szCs w:val="26"/>
        </w:rPr>
      </w:pPr>
    </w:p>
    <w:p>
      <w:pPr>
        <w:pStyle w:val="BodyText"/>
        <w:spacing w:line="240" w:lineRule="auto"/>
        <w:ind w:left="574" w:right="0"/>
        <w:jc w:val="left"/>
      </w:pPr>
      <w:r>
        <w:rPr/>
        <w:t>一旦相关事实和情况的变化导致上述控制定义涉及的相关要素发生了变化，本公司将进行重新评估。</w:t>
      </w:r>
    </w:p>
    <w:p>
      <w:pPr>
        <w:spacing w:line="240" w:lineRule="auto" w:before="9"/>
        <w:rPr>
          <w:rFonts w:ascii="宋体" w:hAnsi="宋体" w:cs="宋体" w:eastAsia="宋体" w:hint="default"/>
          <w:sz w:val="26"/>
          <w:szCs w:val="26"/>
        </w:rPr>
      </w:pPr>
    </w:p>
    <w:p>
      <w:pPr>
        <w:pStyle w:val="BodyText"/>
        <w:spacing w:line="516" w:lineRule="auto"/>
        <w:ind w:left="573" w:right="0"/>
        <w:jc w:val="left"/>
      </w:pPr>
      <w:r>
        <w:rPr/>
        <w:t>（</w:t>
      </w:r>
      <w:r>
        <w:rPr>
          <w:rFonts w:ascii="Arial" w:hAnsi="Arial" w:cs="Arial" w:eastAsia="Arial" w:hint="default"/>
        </w:rPr>
        <w:t>2</w:t>
      </w:r>
      <w:r>
        <w:rPr/>
        <w:t>）合并财务报表编制的方法 </w:t>
      </w:r>
      <w:r>
        <w:rPr>
          <w:spacing w:val="-1"/>
        </w:rPr>
        <w:t>从取得子公司的净资产和生产经营决策的实际控制权之日起，本公司开始将其纳入合并范围；从丧失</w:t>
      </w:r>
    </w:p>
    <w:p>
      <w:pPr>
        <w:pStyle w:val="BodyText"/>
        <w:spacing w:line="226" w:lineRule="exact"/>
        <w:ind w:right="0"/>
        <w:jc w:val="both"/>
      </w:pPr>
      <w:r>
        <w:rPr/>
        <w:t>实际控制权之日起停止纳入合并范围。对于处置的子公司，处置日前的经营成果和现金流量已经适当地包</w:t>
      </w:r>
    </w:p>
    <w:p>
      <w:pPr>
        <w:spacing w:line="240" w:lineRule="auto" w:before="10"/>
        <w:rPr>
          <w:rFonts w:ascii="宋体" w:hAnsi="宋体" w:cs="宋体" w:eastAsia="宋体" w:hint="default"/>
          <w:sz w:val="14"/>
          <w:szCs w:val="14"/>
        </w:rPr>
      </w:pPr>
    </w:p>
    <w:p>
      <w:pPr>
        <w:pStyle w:val="BodyText"/>
        <w:spacing w:line="408" w:lineRule="auto"/>
        <w:ind w:right="1131"/>
        <w:jc w:val="both"/>
      </w:pPr>
      <w:r>
        <w:rPr>
          <w:spacing w:val="-1"/>
        </w:rPr>
        <w:t>括在合并利润表和合并现金流量表中；当期处置的子公司，不调整合并资产负债表的期初数。非同一控制</w:t>
      </w:r>
      <w:r>
        <w:rPr>
          <w:spacing w:val="-83"/>
        </w:rPr>
        <w:t> </w:t>
      </w:r>
      <w:r>
        <w:rPr>
          <w:spacing w:val="-83"/>
        </w:rPr>
      </w:r>
      <w:r>
        <w:rPr>
          <w:spacing w:val="-1"/>
        </w:rPr>
        <w:t>下企业合并增加的子公司，其购买日后的经营成果及现金流量已经适当地包括在合并利润表和合并现金流</w:t>
      </w:r>
      <w:r>
        <w:rPr>
          <w:spacing w:val="-81"/>
        </w:rPr>
        <w:t> </w:t>
      </w:r>
      <w:r>
        <w:rPr>
          <w:spacing w:val="-81"/>
        </w:rPr>
      </w:r>
      <w:r>
        <w:rPr>
          <w:spacing w:val="-1"/>
        </w:rPr>
        <w:t>量表中，且不调整合并财务报表的期初数和对比数。同一控制下企业合并增加的子公司，其自合并当期期</w:t>
      </w:r>
      <w:r>
        <w:rPr>
          <w:spacing w:val="-83"/>
        </w:rPr>
        <w:t> </w:t>
      </w:r>
      <w:r>
        <w:rPr>
          <w:spacing w:val="-83"/>
        </w:rPr>
      </w:r>
      <w:r>
        <w:rPr>
          <w:spacing w:val="-1"/>
        </w:rPr>
        <w:t>初至合并日的经营成果和现金流量已经适当地包括在合并利润表和合并现金流量表中，并且同时调整合并</w:t>
      </w:r>
      <w:r>
        <w:rPr>
          <w:spacing w:val="-81"/>
        </w:rPr>
        <w:t> </w:t>
      </w:r>
      <w:r>
        <w:rPr>
          <w:spacing w:val="-81"/>
        </w:rPr>
      </w:r>
      <w:r>
        <w:rPr/>
        <w:t>财务报表的对比数。</w:t>
      </w:r>
    </w:p>
    <w:p>
      <w:pPr>
        <w:spacing w:line="240" w:lineRule="auto" w:before="6"/>
        <w:rPr>
          <w:rFonts w:ascii="宋体" w:hAnsi="宋体" w:cs="宋体" w:eastAsia="宋体" w:hint="default"/>
          <w:sz w:val="15"/>
          <w:szCs w:val="15"/>
        </w:rPr>
      </w:pPr>
    </w:p>
    <w:p>
      <w:pPr>
        <w:pStyle w:val="BodyText"/>
        <w:spacing w:line="408" w:lineRule="auto"/>
        <w:ind w:right="1130" w:firstLine="420"/>
        <w:jc w:val="both"/>
      </w:pPr>
      <w:r>
        <w:rPr>
          <w:spacing w:val="-1"/>
        </w:rPr>
        <w:t>在编制合并财务报表时，子公司与本公司采用的会计政策或会计期间不一致的，按照本公司的会计政</w:t>
      </w:r>
      <w:r>
        <w:rPr/>
        <w:t> </w:t>
      </w:r>
      <w:r>
        <w:rPr>
          <w:spacing w:val="-1"/>
        </w:rPr>
        <w:t>策和会计期间对子公司财务报表进行必要的调整。对于非同一控制下企业合并取得的子公司，以购买日可</w:t>
      </w:r>
      <w:r>
        <w:rPr>
          <w:spacing w:val="-81"/>
        </w:rPr>
        <w:t> </w:t>
      </w:r>
      <w:r>
        <w:rPr>
          <w:spacing w:val="-81"/>
        </w:rPr>
      </w:r>
      <w:r>
        <w:rPr/>
        <w:t>辨认净资产公允价值为基础对其财务报表进行调整。</w:t>
      </w:r>
    </w:p>
    <w:p>
      <w:pPr>
        <w:spacing w:after="0" w:line="408" w:lineRule="auto"/>
        <w:jc w:val="both"/>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240" w:lineRule="auto" w:before="18"/>
        <w:ind w:left="573" w:right="0"/>
        <w:jc w:val="left"/>
      </w:pPr>
      <w:r>
        <w:rPr/>
        <w:t>公司内所有重大往来余额、交易及未实现利润在合并财务报表编制时予以抵销。</w:t>
      </w:r>
    </w:p>
    <w:p>
      <w:pPr>
        <w:spacing w:line="240" w:lineRule="auto" w:before="9"/>
        <w:rPr>
          <w:rFonts w:ascii="宋体" w:hAnsi="宋体" w:cs="宋体" w:eastAsia="宋体" w:hint="default"/>
          <w:sz w:val="26"/>
          <w:szCs w:val="26"/>
        </w:rPr>
      </w:pPr>
    </w:p>
    <w:p>
      <w:pPr>
        <w:pStyle w:val="BodyText"/>
        <w:spacing w:line="408" w:lineRule="auto"/>
        <w:ind w:right="1131" w:firstLine="420"/>
        <w:jc w:val="both"/>
      </w:pPr>
      <w:r>
        <w:rPr>
          <w:spacing w:val="3"/>
        </w:rPr>
        <w:t>子公司的股东权益及当期净损益中不属于本公司所拥有的部分分别作为少数股东权益及少数股东损</w:t>
      </w:r>
      <w:r>
        <w:rPr/>
        <w:t> </w:t>
      </w:r>
      <w:r>
        <w:rPr>
          <w:spacing w:val="-1"/>
        </w:rPr>
        <w:t>益在合并财务报表中股东权益及净利润项下单独列示。子公司当期净损益中属于少数股东权益的份额，在</w:t>
      </w:r>
      <w:r>
        <w:rPr>
          <w:spacing w:val="-81"/>
        </w:rPr>
        <w:t> </w:t>
      </w:r>
      <w:r>
        <w:rPr>
          <w:spacing w:val="-81"/>
        </w:rPr>
      </w:r>
      <w:r>
        <w:rPr>
          <w:spacing w:val="-1"/>
        </w:rPr>
        <w:t>合并利润表中净利润项目下以“少数股东损益”项目列示。少数股东分担的子公司的亏损超过了少数股东</w:t>
      </w:r>
      <w:r>
        <w:rPr>
          <w:spacing w:val="-83"/>
        </w:rPr>
        <w:t> </w:t>
      </w:r>
      <w:r>
        <w:rPr>
          <w:spacing w:val="-83"/>
        </w:rPr>
      </w:r>
      <w:r>
        <w:rPr/>
        <w:t>在该子公司期初股东权益中所享有的份额，仍冲减少数股东权益。</w:t>
      </w:r>
    </w:p>
    <w:p>
      <w:pPr>
        <w:spacing w:line="240" w:lineRule="auto" w:before="6"/>
        <w:rPr>
          <w:rFonts w:ascii="宋体" w:hAnsi="宋体" w:cs="宋体" w:eastAsia="宋体" w:hint="default"/>
          <w:sz w:val="15"/>
          <w:szCs w:val="15"/>
        </w:rPr>
      </w:pPr>
    </w:p>
    <w:p>
      <w:pPr>
        <w:pStyle w:val="BodyText"/>
        <w:spacing w:line="403" w:lineRule="auto"/>
        <w:ind w:right="1024" w:firstLine="420"/>
        <w:jc w:val="left"/>
      </w:pPr>
      <w:r>
        <w:rPr/>
        <w:t>当因处置部分股权投资或其他原因丧失了对原有子公司的控制权时，对于剩余股权，按照其在丧失控 制权日的公允价值进行重新计量。处置股权取得的对价与剩余股权公允价值之和，减去按原持股比例计算 应享有原有子公司自购买日开始持续计算的净资产的份额之间的差额，计入丧失控制权当期的投资收益。</w:t>
      </w:r>
      <w:r>
        <w:rPr>
          <w:spacing w:val="-35"/>
        </w:rPr>
        <w:t> </w:t>
      </w:r>
      <w:r>
        <w:rPr>
          <w:spacing w:val="-35"/>
        </w:rPr>
      </w:r>
      <w:r>
        <w:rPr/>
        <w:t>与原有子公司股权投资相关的其他综合收益，在丧失控制权时采用与被购买方直接处置相关资产或负债相</w:t>
      </w:r>
      <w:r>
        <w:rPr/>
        <w:t> </w:t>
      </w:r>
      <w:r>
        <w:rPr>
          <w:spacing w:val="-3"/>
        </w:rPr>
        <w:t>同的基础进行会计处理（即，除了在该原有子公司重新计量设定受益计划净负债或净资产导致的变动以外，</w:t>
      </w:r>
      <w:r>
        <w:rPr>
          <w:spacing w:val="-92"/>
        </w:rPr>
        <w:t> </w:t>
      </w:r>
      <w:r>
        <w:rPr>
          <w:spacing w:val="-92"/>
        </w:rPr>
      </w:r>
      <w:r>
        <w:rPr/>
        <w:t>其余一并转为当期投资收益）。其后，对该部分剩余股权按照《企业会计准则第</w:t>
      </w:r>
      <w:r>
        <w:rPr>
          <w:rFonts w:ascii="Arial" w:hAnsi="Arial" w:cs="Arial" w:eastAsia="Arial" w:hint="default"/>
        </w:rPr>
        <w:t>2</w:t>
      </w:r>
      <w:r>
        <w:rPr/>
        <w:t>号——长期股权投资》</w:t>
      </w:r>
      <w:r>
        <w:rPr>
          <w:spacing w:val="-40"/>
        </w:rPr>
        <w:t> </w:t>
      </w:r>
      <w:r>
        <w:rPr>
          <w:spacing w:val="-40"/>
        </w:rPr>
      </w:r>
      <w:r>
        <w:rPr>
          <w:spacing w:val="-2"/>
        </w:rPr>
        <w:t>或《企业会计准则第</w:t>
      </w:r>
      <w:r>
        <w:rPr>
          <w:rFonts w:ascii="Arial" w:hAnsi="Arial" w:cs="Arial" w:eastAsia="Arial" w:hint="default"/>
          <w:spacing w:val="-2"/>
        </w:rPr>
        <w:t>22</w:t>
      </w:r>
      <w:r>
        <w:rPr>
          <w:spacing w:val="-2"/>
        </w:rPr>
        <w:t>号——金融工具确认和计量》等相关规定进行后续计量，详见本附注五、11“长期</w:t>
      </w:r>
      <w:r>
        <w:rPr>
          <w:spacing w:val="-55"/>
        </w:rPr>
        <w:t> </w:t>
      </w:r>
      <w:r>
        <w:rPr>
          <w:spacing w:val="-55"/>
        </w:rPr>
      </w:r>
      <w:r>
        <w:rPr/>
        <w:t>股权投资”或本附注五、8“金融工具”。</w:t>
      </w:r>
    </w:p>
    <w:p>
      <w:pPr>
        <w:spacing w:line="240" w:lineRule="auto" w:before="10"/>
        <w:rPr>
          <w:rFonts w:ascii="宋体" w:hAnsi="宋体" w:cs="宋体" w:eastAsia="宋体" w:hint="default"/>
          <w:sz w:val="15"/>
          <w:szCs w:val="15"/>
        </w:rPr>
      </w:pPr>
    </w:p>
    <w:p>
      <w:pPr>
        <w:pStyle w:val="BodyText"/>
        <w:spacing w:line="405" w:lineRule="auto"/>
        <w:ind w:right="1130" w:firstLine="420"/>
        <w:jc w:val="both"/>
      </w:pPr>
      <w:r>
        <w:rPr>
          <w:spacing w:val="-1"/>
        </w:rPr>
        <w:t>本公司通过多次交易分步处置对子公司股权投资直至丧失控制权的，需区分处置对子公司股权投资直</w:t>
      </w:r>
      <w:r>
        <w:rPr/>
        <w:t> </w:t>
      </w:r>
      <w:r>
        <w:rPr>
          <w:spacing w:val="-1"/>
        </w:rPr>
        <w:t>至丧失控制权的各项交易是否属于一揽子交易。处置对子公司股权投资的各项交易的条款、条件以及经济</w:t>
      </w:r>
      <w:r>
        <w:rPr>
          <w:spacing w:val="-81"/>
        </w:rPr>
        <w:t> </w:t>
      </w:r>
      <w:r>
        <w:rPr>
          <w:spacing w:val="-81"/>
        </w:rPr>
      </w:r>
      <w:r>
        <w:rPr>
          <w:spacing w:val="-1"/>
        </w:rPr>
        <w:t>影响符合以下一种或多种情况，通常表明应将多次交易事项作为一揽子交易进行会计处理：①这些交易是</w:t>
      </w:r>
      <w:r>
        <w:rPr>
          <w:spacing w:val="-81"/>
        </w:rPr>
        <w:t> </w:t>
      </w:r>
      <w:r>
        <w:rPr>
          <w:spacing w:val="-81"/>
        </w:rPr>
      </w:r>
      <w:r>
        <w:rPr>
          <w:spacing w:val="-1"/>
        </w:rPr>
        <w:t>同时或者在考虑了彼此影响的情况下订立的；②这些交易整体才能达成一项完整的商业结果；③一项交易</w:t>
      </w:r>
      <w:r>
        <w:rPr>
          <w:spacing w:val="-81"/>
        </w:rPr>
        <w:t> </w:t>
      </w:r>
      <w:r>
        <w:rPr>
          <w:spacing w:val="-81"/>
        </w:rPr>
      </w:r>
      <w:r>
        <w:rPr>
          <w:spacing w:val="-1"/>
        </w:rPr>
        <w:t>的发生取决于其他至少一项交易的发生；④一项交易单独看是不经济的，但是和其他交易一并考虑时是经</w:t>
      </w:r>
      <w:r>
        <w:rPr>
          <w:spacing w:val="-81"/>
        </w:rPr>
        <w:t> </w:t>
      </w:r>
      <w:r>
        <w:rPr>
          <w:spacing w:val="-81"/>
        </w:rPr>
      </w:r>
      <w:r>
        <w:rPr>
          <w:spacing w:val="-1"/>
        </w:rPr>
        <w:t>济的。不属于一揽子交易的，对其中的每一项交易视情况分别按照“不丧失控制权的情况下部分处置对子</w:t>
      </w:r>
      <w:r>
        <w:rPr>
          <w:spacing w:val="-81"/>
        </w:rPr>
        <w:t> </w:t>
      </w:r>
      <w:r>
        <w:rPr>
          <w:spacing w:val="-81"/>
        </w:rPr>
      </w:r>
      <w:r>
        <w:rPr/>
        <w:t>公司的长期股权投资”（详见本附注五、</w:t>
      </w:r>
      <w:r>
        <w:rPr>
          <w:rFonts w:ascii="Arial" w:hAnsi="Arial" w:cs="Arial" w:eastAsia="Arial" w:hint="default"/>
        </w:rPr>
        <w:t>11</w:t>
      </w:r>
      <w:r>
        <w:rPr/>
        <w:t>、（</w:t>
      </w:r>
      <w:r>
        <w:rPr>
          <w:rFonts w:ascii="Arial" w:hAnsi="Arial" w:cs="Arial" w:eastAsia="Arial" w:hint="default"/>
        </w:rPr>
        <w:t>2</w:t>
      </w:r>
      <w:r>
        <w:rPr/>
        <w:t>）④）和“因处置部分股权投资或其他原因丧失了对原</w:t>
      </w:r>
      <w:r>
        <w:rPr>
          <w:spacing w:val="-66"/>
        </w:rPr>
        <w:t> </w:t>
      </w:r>
      <w:r>
        <w:rPr>
          <w:spacing w:val="-66"/>
        </w:rPr>
      </w:r>
      <w:r>
        <w:rPr>
          <w:spacing w:val="-1"/>
        </w:rPr>
        <w:t>有子公司的控制权”（详见前段）适用的原则进行会计处理。处置对子公司股权投资直至丧失控制权的各</w:t>
      </w:r>
      <w:r>
        <w:rPr>
          <w:spacing w:val="-83"/>
        </w:rPr>
        <w:t> </w:t>
      </w:r>
      <w:r>
        <w:rPr>
          <w:spacing w:val="-83"/>
        </w:rPr>
      </w:r>
      <w:r>
        <w:rPr>
          <w:spacing w:val="-1"/>
        </w:rPr>
        <w:t>项交易属于一揽子交易的，将各项交易作为一项处置子公司并丧失控制权的交易进行会计处理；但是，在</w:t>
      </w:r>
      <w:r>
        <w:rPr>
          <w:spacing w:val="-83"/>
        </w:rPr>
        <w:t> </w:t>
      </w:r>
      <w:r>
        <w:rPr>
          <w:spacing w:val="-83"/>
        </w:rPr>
      </w:r>
      <w:r>
        <w:rPr>
          <w:spacing w:val="-1"/>
        </w:rPr>
        <w:t>丧失控制权之前每一次处置价款与处置投资对应的享有该子公司净资产份额的差额，在合并财务报表中确</w:t>
      </w:r>
      <w:r>
        <w:rPr>
          <w:spacing w:val="-81"/>
        </w:rPr>
        <w:t> </w:t>
      </w:r>
      <w:r>
        <w:rPr>
          <w:spacing w:val="-81"/>
        </w:rPr>
      </w:r>
      <w:r>
        <w:rPr/>
        <w:t>认为其他综合收益，在丧失控制权时一并转入丧失控制权当期的损益。</w:t>
      </w:r>
    </w:p>
    <w:p>
      <w:pPr>
        <w:spacing w:line="453" w:lineRule="auto" w:before="137"/>
        <w:ind w:left="574" w:right="0" w:firstLine="0"/>
        <w:jc w:val="left"/>
        <w:rPr>
          <w:rFonts w:ascii="宋体" w:hAnsi="宋体" w:cs="宋体" w:eastAsia="宋体" w:hint="default"/>
          <w:sz w:val="21"/>
          <w:szCs w:val="21"/>
        </w:rPr>
      </w:pPr>
      <w:r>
        <w:rPr>
          <w:rFonts w:ascii="Trebuchet MS" w:hAnsi="Trebuchet MS" w:cs="Trebuchet MS" w:eastAsia="Trebuchet MS" w:hint="default"/>
          <w:b/>
          <w:bCs/>
          <w:sz w:val="21"/>
          <w:szCs w:val="21"/>
        </w:rPr>
        <w:t>6</w:t>
      </w:r>
      <w:r>
        <w:rPr>
          <w:rFonts w:ascii="Microsoft JhengHei" w:hAnsi="Microsoft JhengHei" w:cs="Microsoft JhengHei" w:eastAsia="Microsoft JhengHei" w:hint="default"/>
          <w:b/>
          <w:bCs/>
          <w:sz w:val="21"/>
          <w:szCs w:val="21"/>
        </w:rPr>
        <w:t>、现金及现金等价物的确定标准 </w:t>
      </w:r>
      <w:r>
        <w:rPr>
          <w:rFonts w:ascii="宋体" w:hAnsi="宋体" w:cs="宋体" w:eastAsia="宋体" w:hint="default"/>
          <w:spacing w:val="-1"/>
          <w:sz w:val="21"/>
          <w:szCs w:val="21"/>
        </w:rPr>
        <w:t>本公司现金及现金等价物包括库存现金、可以随时用于支付的存款以及本公司持有的期限短（一般为</w:t>
      </w:r>
    </w:p>
    <w:p>
      <w:pPr>
        <w:pStyle w:val="BodyText"/>
        <w:spacing w:line="240" w:lineRule="auto" w:before="6"/>
        <w:ind w:left="154" w:right="0"/>
        <w:jc w:val="left"/>
      </w:pPr>
      <w:r>
        <w:rPr/>
        <w:t>从购买日起，三个月内到期）、流动性强、易于转换为已知金额的现金、价值变动风险很小的投资。</w:t>
      </w:r>
    </w:p>
    <w:p>
      <w:pPr>
        <w:spacing w:line="240" w:lineRule="auto" w:before="8"/>
        <w:rPr>
          <w:rFonts w:ascii="宋体" w:hAnsi="宋体" w:cs="宋体" w:eastAsia="宋体" w:hint="default"/>
          <w:sz w:val="21"/>
          <w:szCs w:val="21"/>
        </w:rPr>
      </w:pPr>
    </w:p>
    <w:p>
      <w:pPr>
        <w:pStyle w:val="Heading5"/>
        <w:spacing w:line="240" w:lineRule="auto" w:before="0"/>
        <w:ind w:left="573" w:right="0"/>
        <w:jc w:val="left"/>
        <w:rPr>
          <w:rFonts w:ascii="Microsoft JhengHei" w:hAnsi="Microsoft JhengHei" w:cs="Microsoft JhengHei" w:eastAsia="Microsoft JhengHei" w:hint="default"/>
          <w:b w:val="0"/>
          <w:bCs w:val="0"/>
        </w:rPr>
      </w:pPr>
      <w:r>
        <w:rPr>
          <w:rFonts w:ascii="Trebuchet MS" w:hAnsi="Trebuchet MS" w:cs="Trebuchet MS" w:eastAsia="Trebuchet MS" w:hint="default"/>
        </w:rPr>
        <w:t>7</w:t>
      </w:r>
      <w:r>
        <w:rPr>
          <w:rFonts w:ascii="Microsoft JhengHei" w:hAnsi="Microsoft JhengHei" w:cs="Microsoft JhengHei" w:eastAsia="Microsoft JhengHei" w:hint="default"/>
        </w:rPr>
        <w:t>、外币业务和外币报表折算</w:t>
      </w:r>
      <w:r>
        <w:rPr>
          <w:rFonts w:ascii="Microsoft JhengHei" w:hAnsi="Microsoft JhengHei" w:cs="Microsoft JhengHei" w:eastAsia="Microsoft JhengHei" w:hint="default"/>
          <w:b w:val="0"/>
          <w:bCs w:val="0"/>
        </w:rPr>
      </w:r>
    </w:p>
    <w:p>
      <w:pPr>
        <w:spacing w:after="0" w:line="240" w:lineRule="auto"/>
        <w:jc w:val="left"/>
        <w:rPr>
          <w:rFonts w:ascii="Microsoft JhengHei" w:hAnsi="Microsoft JhengHei" w:cs="Microsoft JhengHei" w:eastAsia="Microsoft JhengHei" w:hint="default"/>
        </w:rPr>
        <w:sectPr>
          <w:pgSz w:w="11910" w:h="16840"/>
          <w:pgMar w:header="877" w:footer="979" w:top="1100" w:bottom="1160" w:left="980" w:right="0"/>
        </w:sectPr>
      </w:pPr>
    </w:p>
    <w:p>
      <w:pPr>
        <w:spacing w:line="240" w:lineRule="auto" w:before="13"/>
        <w:rPr>
          <w:rFonts w:ascii="Microsoft JhengHei" w:hAnsi="Microsoft JhengHei" w:cs="Microsoft JhengHei" w:eastAsia="Microsoft JhengHei" w:hint="default"/>
          <w:b/>
          <w:bCs/>
          <w:sz w:val="20"/>
          <w:szCs w:val="20"/>
        </w:rPr>
      </w:pPr>
    </w:p>
    <w:p>
      <w:pPr>
        <w:pStyle w:val="BodyText"/>
        <w:spacing w:line="516" w:lineRule="auto" w:before="18"/>
        <w:ind w:left="573" w:right="0"/>
        <w:jc w:val="left"/>
      </w:pPr>
      <w:r>
        <w:rPr/>
        <w:t>（</w:t>
      </w:r>
      <w:r>
        <w:rPr>
          <w:rFonts w:ascii="Arial" w:hAnsi="Arial" w:cs="Arial" w:eastAsia="Arial" w:hint="default"/>
        </w:rPr>
        <w:t>1</w:t>
      </w:r>
      <w:r>
        <w:rPr/>
        <w:t>）外币交易的折算方法 </w:t>
      </w:r>
      <w:r>
        <w:rPr>
          <w:spacing w:val="-1"/>
        </w:rPr>
        <w:t>本公司发生的外币交易在初始确认时，按交易日的即期汇率（通常指中国人民银行公布的当日外汇牌</w:t>
      </w:r>
    </w:p>
    <w:p>
      <w:pPr>
        <w:pStyle w:val="BodyText"/>
        <w:spacing w:line="227" w:lineRule="exact"/>
        <w:ind w:right="0"/>
        <w:jc w:val="left"/>
      </w:pPr>
      <w:r>
        <w:rPr/>
        <w:t>价的中间价，下同）折算为记账本位币金额，但公司发生的外币兑换业务或涉及外币兑换的交易事项，按</w:t>
      </w:r>
    </w:p>
    <w:p>
      <w:pPr>
        <w:spacing w:line="240" w:lineRule="auto" w:before="10"/>
        <w:rPr>
          <w:rFonts w:ascii="宋体" w:hAnsi="宋体" w:cs="宋体" w:eastAsia="宋体" w:hint="default"/>
          <w:sz w:val="14"/>
          <w:szCs w:val="14"/>
        </w:rPr>
      </w:pPr>
    </w:p>
    <w:p>
      <w:pPr>
        <w:pStyle w:val="BodyText"/>
        <w:spacing w:line="240" w:lineRule="auto"/>
        <w:ind w:right="0"/>
        <w:jc w:val="left"/>
      </w:pPr>
      <w:r>
        <w:rPr/>
        <w:t>照实际采用的汇率折算为记账本位币金额。</w:t>
      </w:r>
    </w:p>
    <w:p>
      <w:pPr>
        <w:spacing w:line="240" w:lineRule="auto" w:before="9"/>
        <w:rPr>
          <w:rFonts w:ascii="宋体" w:hAnsi="宋体" w:cs="宋体" w:eastAsia="宋体" w:hint="default"/>
          <w:sz w:val="26"/>
          <w:szCs w:val="26"/>
        </w:rPr>
      </w:pPr>
    </w:p>
    <w:p>
      <w:pPr>
        <w:pStyle w:val="BodyText"/>
        <w:spacing w:line="516" w:lineRule="auto"/>
        <w:ind w:left="573" w:right="0"/>
        <w:jc w:val="left"/>
      </w:pPr>
      <w:r>
        <w:rPr/>
        <w:t>（</w:t>
      </w:r>
      <w:r>
        <w:rPr>
          <w:rFonts w:ascii="Arial" w:hAnsi="Arial" w:cs="Arial" w:eastAsia="Arial" w:hint="default"/>
        </w:rPr>
        <w:t>2</w:t>
      </w:r>
      <w:r>
        <w:rPr/>
        <w:t>）对于外币货币性项目和外币非货币性项目的折算方法 </w:t>
      </w:r>
      <w:r>
        <w:rPr>
          <w:spacing w:val="-1"/>
        </w:rPr>
        <w:t>资产负债表日，对于外币货币性项目采用资产负债表日即期汇率折算，由此产生的汇兑差额，均计入</w:t>
      </w:r>
    </w:p>
    <w:p>
      <w:pPr>
        <w:pStyle w:val="BodyText"/>
        <w:spacing w:line="227" w:lineRule="exact"/>
        <w:ind w:right="0"/>
        <w:jc w:val="left"/>
      </w:pPr>
      <w:r>
        <w:rPr/>
        <w:t>当期损益。</w:t>
      </w:r>
    </w:p>
    <w:p>
      <w:pPr>
        <w:spacing w:line="240" w:lineRule="auto" w:before="9"/>
        <w:rPr>
          <w:rFonts w:ascii="宋体" w:hAnsi="宋体" w:cs="宋体" w:eastAsia="宋体" w:hint="default"/>
          <w:sz w:val="26"/>
          <w:szCs w:val="26"/>
        </w:rPr>
      </w:pPr>
    </w:p>
    <w:p>
      <w:pPr>
        <w:pStyle w:val="BodyText"/>
        <w:spacing w:line="408" w:lineRule="auto"/>
        <w:ind w:left="154" w:right="1130" w:firstLine="420"/>
        <w:jc w:val="both"/>
      </w:pPr>
      <w:r>
        <w:rPr>
          <w:spacing w:val="-1"/>
        </w:rPr>
        <w:t>编制合并财务报表涉及境外经营的，如有实质上构成对境外经营净投资的外币货币性项目，因汇率变</w:t>
      </w:r>
      <w:r>
        <w:rPr/>
        <w:t> 动而产生的汇兑差额，计入其他综合收益；处置境外经营时，转入处置当期损益。</w:t>
      </w:r>
    </w:p>
    <w:p>
      <w:pPr>
        <w:spacing w:line="240" w:lineRule="auto" w:before="6"/>
        <w:rPr>
          <w:rFonts w:ascii="宋体" w:hAnsi="宋体" w:cs="宋体" w:eastAsia="宋体" w:hint="default"/>
          <w:sz w:val="15"/>
          <w:szCs w:val="15"/>
        </w:rPr>
      </w:pPr>
    </w:p>
    <w:p>
      <w:pPr>
        <w:pStyle w:val="BodyText"/>
        <w:spacing w:line="516" w:lineRule="auto"/>
        <w:ind w:left="573" w:right="0"/>
        <w:jc w:val="left"/>
      </w:pPr>
      <w:r>
        <w:rPr/>
        <w:t>（</w:t>
      </w:r>
      <w:r>
        <w:rPr>
          <w:rFonts w:ascii="Arial" w:hAnsi="Arial" w:cs="Arial" w:eastAsia="Arial" w:hint="default"/>
        </w:rPr>
        <w:t>3</w:t>
      </w:r>
      <w:r>
        <w:rPr/>
        <w:t>）外币财务报表的折算方法 </w:t>
      </w:r>
      <w:r>
        <w:rPr>
          <w:spacing w:val="-1"/>
        </w:rPr>
        <w:t>编制合并财务报表涉及境外经营的，如有实质上构成对境外经营净投资的外币货币性项目，因汇率变</w:t>
      </w:r>
    </w:p>
    <w:p>
      <w:pPr>
        <w:pStyle w:val="BodyText"/>
        <w:spacing w:line="227" w:lineRule="exact"/>
        <w:ind w:right="0"/>
        <w:jc w:val="left"/>
      </w:pPr>
      <w:r>
        <w:rPr/>
        <w:t>动而产生的汇兑差额，作为“外币报表折算差额”确认为其他综合收益；处置境外经营时，计入处置当期</w:t>
      </w:r>
    </w:p>
    <w:p>
      <w:pPr>
        <w:spacing w:line="240" w:lineRule="auto" w:before="10"/>
        <w:rPr>
          <w:rFonts w:ascii="宋体" w:hAnsi="宋体" w:cs="宋体" w:eastAsia="宋体" w:hint="default"/>
          <w:sz w:val="14"/>
          <w:szCs w:val="14"/>
        </w:rPr>
      </w:pPr>
    </w:p>
    <w:p>
      <w:pPr>
        <w:pStyle w:val="BodyText"/>
        <w:spacing w:line="240" w:lineRule="auto"/>
        <w:ind w:right="0"/>
        <w:jc w:val="left"/>
      </w:pPr>
      <w:r>
        <w:rPr/>
        <w:t>损益。</w:t>
      </w:r>
    </w:p>
    <w:p>
      <w:pPr>
        <w:spacing w:line="240" w:lineRule="auto" w:before="9"/>
        <w:rPr>
          <w:rFonts w:ascii="宋体" w:hAnsi="宋体" w:cs="宋体" w:eastAsia="宋体" w:hint="default"/>
          <w:sz w:val="26"/>
          <w:szCs w:val="26"/>
        </w:rPr>
      </w:pPr>
    </w:p>
    <w:p>
      <w:pPr>
        <w:pStyle w:val="BodyText"/>
        <w:spacing w:line="408" w:lineRule="auto"/>
        <w:ind w:right="1131" w:firstLine="420"/>
        <w:jc w:val="both"/>
      </w:pPr>
      <w:r>
        <w:rPr>
          <w:spacing w:val="-1"/>
        </w:rPr>
        <w:t>境外经营的外币财务报表按以下方法折算为人民币报表：资产负债表中的资产和负债项目，采用资产</w:t>
      </w:r>
      <w:r>
        <w:rPr/>
        <w:t> </w:t>
      </w:r>
      <w:r>
        <w:rPr>
          <w:spacing w:val="-1"/>
        </w:rPr>
        <w:t>负债表日的即期汇率折算；股东权益类项目除“未分配利润”项目外，其他项目采用发生时的即期汇率折</w:t>
      </w:r>
      <w:r>
        <w:rPr>
          <w:spacing w:val="-81"/>
        </w:rPr>
        <w:t> </w:t>
      </w:r>
      <w:r>
        <w:rPr>
          <w:spacing w:val="-81"/>
        </w:rPr>
      </w:r>
      <w:r>
        <w:rPr>
          <w:spacing w:val="-1"/>
        </w:rPr>
        <w:t>算。利润表中的收入和费用项目，采用交易发生日的当期平均汇率折算。年初未分配利润为上一年折算后</w:t>
      </w:r>
      <w:r>
        <w:rPr>
          <w:spacing w:val="-83"/>
        </w:rPr>
        <w:t> </w:t>
      </w:r>
      <w:r>
        <w:rPr>
          <w:spacing w:val="-83"/>
        </w:rPr>
      </w:r>
      <w:r>
        <w:rPr>
          <w:spacing w:val="-1"/>
        </w:rPr>
        <w:t>的年末未分配利润；年末未分配利润按折算后的利润分配各项目计算列示；折算后资产类项目与负债类项</w:t>
      </w:r>
      <w:r>
        <w:rPr>
          <w:spacing w:val="-81"/>
        </w:rPr>
        <w:t> </w:t>
      </w:r>
      <w:r>
        <w:rPr>
          <w:spacing w:val="-81"/>
        </w:rPr>
      </w:r>
      <w:r>
        <w:rPr>
          <w:spacing w:val="-1"/>
        </w:rPr>
        <w:t>目和所有者权益类项目合计数的差额，作为外币报表折算差额，确认为其他综合收益。处置境外经营并丧</w:t>
      </w:r>
      <w:r>
        <w:rPr>
          <w:spacing w:val="-83"/>
        </w:rPr>
        <w:t> </w:t>
      </w:r>
      <w:r>
        <w:rPr>
          <w:spacing w:val="-83"/>
        </w:rPr>
      </w:r>
      <w:r>
        <w:rPr>
          <w:spacing w:val="-1"/>
        </w:rPr>
        <w:t>失控制权时，将资产负债表中所有者权益项目下列示的、与该境外经营相关的外币报表折算差额，全部或</w:t>
      </w:r>
      <w:r>
        <w:rPr>
          <w:spacing w:val="-83"/>
        </w:rPr>
        <w:t> </w:t>
      </w:r>
      <w:r>
        <w:rPr>
          <w:spacing w:val="-83"/>
        </w:rPr>
      </w:r>
      <w:r>
        <w:rPr/>
        <w:t>按处置该境外经营的比例转入处置当期损益。</w:t>
      </w:r>
    </w:p>
    <w:p>
      <w:pPr>
        <w:spacing w:line="240" w:lineRule="auto" w:before="6"/>
        <w:rPr>
          <w:rFonts w:ascii="宋体" w:hAnsi="宋体" w:cs="宋体" w:eastAsia="宋体" w:hint="default"/>
          <w:sz w:val="15"/>
          <w:szCs w:val="15"/>
        </w:rPr>
      </w:pPr>
    </w:p>
    <w:p>
      <w:pPr>
        <w:pStyle w:val="BodyText"/>
        <w:spacing w:line="408" w:lineRule="auto"/>
        <w:ind w:left="154" w:right="1130" w:firstLine="420"/>
        <w:jc w:val="both"/>
      </w:pPr>
      <w:r>
        <w:rPr>
          <w:spacing w:val="-1"/>
        </w:rPr>
        <w:t>外币现金流量以及境外子公司的现金流量，采用现金流量发生日的当期平均汇率折算。汇率变动对现</w:t>
      </w:r>
      <w:r>
        <w:rPr/>
        <w:t> 金的影响额作为调节项目，在现金流量表中单独列报。</w:t>
      </w:r>
    </w:p>
    <w:p>
      <w:pPr>
        <w:spacing w:line="240" w:lineRule="auto" w:before="6"/>
        <w:rPr>
          <w:rFonts w:ascii="宋体" w:hAnsi="宋体" w:cs="宋体" w:eastAsia="宋体" w:hint="default"/>
          <w:sz w:val="15"/>
          <w:szCs w:val="15"/>
        </w:rPr>
      </w:pPr>
    </w:p>
    <w:p>
      <w:pPr>
        <w:pStyle w:val="BodyText"/>
        <w:spacing w:line="240" w:lineRule="auto"/>
        <w:ind w:left="574" w:right="0"/>
        <w:jc w:val="left"/>
      </w:pPr>
      <w:r>
        <w:rPr/>
        <w:t>年初数和上年实际数按照上年财务报表折算后的数额列示。</w:t>
      </w:r>
    </w:p>
    <w:p>
      <w:pPr>
        <w:spacing w:line="240" w:lineRule="auto" w:before="9"/>
        <w:rPr>
          <w:rFonts w:ascii="宋体" w:hAnsi="宋体" w:cs="宋体" w:eastAsia="宋体" w:hint="default"/>
          <w:sz w:val="26"/>
          <w:szCs w:val="26"/>
        </w:rPr>
      </w:pPr>
    </w:p>
    <w:p>
      <w:pPr>
        <w:pStyle w:val="BodyText"/>
        <w:spacing w:line="408" w:lineRule="auto"/>
        <w:ind w:right="1131" w:firstLine="420"/>
        <w:jc w:val="both"/>
      </w:pPr>
      <w:r>
        <w:rPr>
          <w:spacing w:val="3"/>
        </w:rPr>
        <w:t>在处置本公司在境外经营的全部所有者权益或因处置部分股权投资或其他原因丧失了对境外经营控</w:t>
      </w:r>
      <w:r>
        <w:rPr/>
        <w:t> </w:t>
      </w:r>
      <w:r>
        <w:rPr>
          <w:spacing w:val="-1"/>
        </w:rPr>
        <w:t>制权时，将资产负债表中所有者权益项目下列示的、与该境外经营相关的归属于母公司所有者权益的外币</w:t>
      </w:r>
      <w:r>
        <w:rPr>
          <w:spacing w:val="-81"/>
        </w:rPr>
        <w:t> </w:t>
      </w:r>
      <w:r>
        <w:rPr>
          <w:spacing w:val="-81"/>
        </w:rPr>
      </w:r>
      <w:r>
        <w:rPr/>
        <w:t>报表折算差额，全部转入处置当期损益。</w:t>
      </w:r>
    </w:p>
    <w:p>
      <w:pPr>
        <w:spacing w:after="0" w:line="408" w:lineRule="auto"/>
        <w:jc w:val="both"/>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408" w:lineRule="auto" w:before="18"/>
        <w:ind w:right="1131" w:firstLine="420"/>
        <w:jc w:val="both"/>
      </w:pPr>
      <w:r>
        <w:rPr>
          <w:spacing w:val="-1"/>
        </w:rPr>
        <w:t>在处置部分股权投资或其他原因导致持有境外经营权益比例降低但不丧失对境外经营控制权时，与该</w:t>
      </w:r>
      <w:r>
        <w:rPr/>
        <w:t> </w:t>
      </w:r>
      <w:r>
        <w:rPr>
          <w:spacing w:val="-1"/>
        </w:rPr>
        <w:t>境外经营处置部分相关的外币报表折算差额将归属于少数股东权益，不转入当期损益。在处置境外经营为</w:t>
      </w:r>
      <w:r>
        <w:rPr>
          <w:spacing w:val="-81"/>
        </w:rPr>
        <w:t> </w:t>
      </w:r>
      <w:r>
        <w:rPr>
          <w:spacing w:val="-81"/>
        </w:rPr>
      </w:r>
      <w:r>
        <w:rPr>
          <w:spacing w:val="-1"/>
        </w:rPr>
        <w:t>联营企业或合营企业的部分股权时，与该境外经营相关的外币报表折算差额，按处置该境外经营的比例转</w:t>
      </w:r>
      <w:r>
        <w:rPr>
          <w:spacing w:val="-81"/>
        </w:rPr>
        <w:t> </w:t>
      </w:r>
      <w:r>
        <w:rPr>
          <w:spacing w:val="-81"/>
        </w:rPr>
      </w:r>
      <w:r>
        <w:rPr/>
        <w:t>入处置当期损益。</w:t>
      </w:r>
    </w:p>
    <w:p>
      <w:pPr>
        <w:pStyle w:val="BodyText"/>
        <w:spacing w:line="453" w:lineRule="auto" w:before="135"/>
        <w:ind w:left="573" w:right="1125"/>
        <w:jc w:val="left"/>
      </w:pPr>
      <w:r>
        <w:rPr>
          <w:rFonts w:ascii="Trebuchet MS" w:hAnsi="Trebuchet MS" w:cs="Trebuchet MS" w:eastAsia="Trebuchet MS" w:hint="default"/>
          <w:b/>
          <w:bCs/>
        </w:rPr>
        <w:t>8</w:t>
      </w:r>
      <w:r>
        <w:rPr>
          <w:rFonts w:ascii="Microsoft JhengHei" w:hAnsi="Microsoft JhengHei" w:cs="Microsoft JhengHei" w:eastAsia="Microsoft JhengHei" w:hint="default"/>
          <w:b/>
          <w:bCs/>
        </w:rPr>
        <w:t>、金融工具 </w:t>
      </w:r>
      <w:r>
        <w:rPr>
          <w:spacing w:val="-1"/>
        </w:rPr>
        <w:t>在本公司成为金融工具合同的一方时确认一项金融资产或金融负债。金融资产和金融负债在初始确认</w:t>
      </w:r>
    </w:p>
    <w:p>
      <w:pPr>
        <w:pStyle w:val="BodyText"/>
        <w:spacing w:line="408" w:lineRule="auto" w:before="6"/>
        <w:ind w:right="1131"/>
        <w:jc w:val="both"/>
      </w:pPr>
      <w:r>
        <w:rPr>
          <w:spacing w:val="-1"/>
        </w:rPr>
        <w:t>时以公允价值计量。对于以公允价值计量且其变动计入当期损益的金融资产和金融负债，相关的交易费用</w:t>
      </w:r>
      <w:r>
        <w:rPr>
          <w:spacing w:val="-81"/>
        </w:rPr>
        <w:t> </w:t>
      </w:r>
      <w:r>
        <w:rPr>
          <w:spacing w:val="-81"/>
        </w:rPr>
      </w:r>
      <w:r>
        <w:rPr/>
        <w:t>直接计入损益，对于其他类别的金融资产和金融负债，相关交易费用计入初始确认金额。</w:t>
      </w:r>
    </w:p>
    <w:p>
      <w:pPr>
        <w:spacing w:line="240" w:lineRule="auto" w:before="6"/>
        <w:rPr>
          <w:rFonts w:ascii="宋体" w:hAnsi="宋体" w:cs="宋体" w:eastAsia="宋体" w:hint="default"/>
          <w:sz w:val="15"/>
          <w:szCs w:val="15"/>
        </w:rPr>
      </w:pPr>
    </w:p>
    <w:p>
      <w:pPr>
        <w:pStyle w:val="BodyText"/>
        <w:spacing w:line="516" w:lineRule="auto"/>
        <w:ind w:left="573" w:right="0"/>
        <w:jc w:val="left"/>
      </w:pPr>
      <w:r>
        <w:rPr/>
        <w:t>（</w:t>
      </w:r>
      <w:r>
        <w:rPr>
          <w:rFonts w:ascii="Arial" w:hAnsi="Arial" w:cs="Arial" w:eastAsia="Arial" w:hint="default"/>
        </w:rPr>
        <w:t>1</w:t>
      </w:r>
      <w:r>
        <w:rPr/>
        <w:t>）金融资产和金融负债的公允价值确定方法 </w:t>
      </w:r>
      <w:r>
        <w:rPr>
          <w:spacing w:val="-1"/>
        </w:rPr>
        <w:t>公允价值，是指市场参与者在计量日发生的有序交易中，出售一项资产所能收到或者转移一项负债所</w:t>
      </w:r>
    </w:p>
    <w:p>
      <w:pPr>
        <w:pStyle w:val="BodyText"/>
        <w:spacing w:line="226" w:lineRule="exact"/>
        <w:ind w:right="0"/>
        <w:jc w:val="both"/>
      </w:pPr>
      <w:r>
        <w:rPr/>
        <w:t>需支付的价格。金融工具存在活跃市场的，本公司采用活跃市场中的报价确定其公允价值。活跃市场中的</w:t>
      </w:r>
    </w:p>
    <w:p>
      <w:pPr>
        <w:spacing w:line="240" w:lineRule="auto" w:before="10"/>
        <w:rPr>
          <w:rFonts w:ascii="宋体" w:hAnsi="宋体" w:cs="宋体" w:eastAsia="宋体" w:hint="default"/>
          <w:sz w:val="14"/>
          <w:szCs w:val="14"/>
        </w:rPr>
      </w:pPr>
    </w:p>
    <w:p>
      <w:pPr>
        <w:pStyle w:val="BodyText"/>
        <w:spacing w:line="408" w:lineRule="auto"/>
        <w:ind w:right="1131"/>
        <w:jc w:val="both"/>
      </w:pPr>
      <w:r>
        <w:rPr>
          <w:spacing w:val="-1"/>
        </w:rPr>
        <w:t>报价是指易于定期从交易所、经纪商、行业协会、定价服务机构等获得的价格，且代表了在公平交易中实</w:t>
      </w:r>
      <w:r>
        <w:rPr>
          <w:spacing w:val="-86"/>
        </w:rPr>
        <w:t> </w:t>
      </w:r>
      <w:r>
        <w:rPr>
          <w:spacing w:val="-86"/>
        </w:rPr>
      </w:r>
      <w:r>
        <w:rPr>
          <w:spacing w:val="-1"/>
        </w:rPr>
        <w:t>际发生的市场交易的价格。金融工具不存在活跃市场的，本公司采用估值技术确定其公允价值。估值技术</w:t>
      </w:r>
      <w:r>
        <w:rPr>
          <w:spacing w:val="-83"/>
        </w:rPr>
        <w:t> </w:t>
      </w:r>
      <w:r>
        <w:rPr>
          <w:spacing w:val="-83"/>
        </w:rPr>
      </w:r>
      <w:r>
        <w:rPr>
          <w:spacing w:val="-1"/>
        </w:rPr>
        <w:t>包括参考熟悉情况并自愿交易的各方最近进行的市场交易中使用的价格、参照实质上相同的其他金融工具</w:t>
      </w:r>
      <w:r>
        <w:rPr>
          <w:spacing w:val="-81"/>
        </w:rPr>
        <w:t> </w:t>
      </w:r>
      <w:r>
        <w:rPr>
          <w:spacing w:val="-81"/>
        </w:rPr>
      </w:r>
      <w:r>
        <w:rPr/>
        <w:t>当前的公允价值、现金流量折现法和期权定价模型等。</w:t>
      </w:r>
    </w:p>
    <w:p>
      <w:pPr>
        <w:spacing w:line="240" w:lineRule="auto" w:before="6"/>
        <w:rPr>
          <w:rFonts w:ascii="宋体" w:hAnsi="宋体" w:cs="宋体" w:eastAsia="宋体" w:hint="default"/>
          <w:sz w:val="15"/>
          <w:szCs w:val="15"/>
        </w:rPr>
      </w:pPr>
    </w:p>
    <w:p>
      <w:pPr>
        <w:pStyle w:val="BodyText"/>
        <w:spacing w:line="516" w:lineRule="auto"/>
        <w:ind w:left="573" w:right="0"/>
        <w:jc w:val="left"/>
      </w:pPr>
      <w:r>
        <w:rPr/>
        <w:t>（</w:t>
      </w:r>
      <w:r>
        <w:rPr>
          <w:rFonts w:ascii="Arial" w:hAnsi="Arial" w:cs="Arial" w:eastAsia="Arial" w:hint="default"/>
        </w:rPr>
        <w:t>2</w:t>
      </w:r>
      <w:r>
        <w:rPr/>
        <w:t>）金融资产的分类、确认和计量 </w:t>
      </w:r>
      <w:r>
        <w:rPr>
          <w:spacing w:val="-1"/>
        </w:rPr>
        <w:t>以常规方式买卖金融资产，按交易日进行会计确认和终止确认。金融资产在初始确认时划分为以公允</w:t>
      </w:r>
    </w:p>
    <w:p>
      <w:pPr>
        <w:pStyle w:val="BodyText"/>
        <w:spacing w:line="226" w:lineRule="exact"/>
        <w:ind w:right="0"/>
        <w:jc w:val="both"/>
      </w:pPr>
      <w:r>
        <w:rPr/>
        <w:t>价值计量且其变动计入当期损益的金融资产、持有至到期投资、贷款和应收款项以及可供出售金融资产。</w:t>
      </w:r>
    </w:p>
    <w:p>
      <w:pPr>
        <w:pStyle w:val="BodyText"/>
        <w:spacing w:line="624" w:lineRule="exact" w:before="95"/>
        <w:ind w:left="573" w:right="0"/>
        <w:jc w:val="left"/>
      </w:pPr>
      <w:r>
        <w:rPr/>
        <w:t>①以公允价值计量且其变动计入当期损益的金融资产 包括交易性金融资产和指定为以公允价值计量且其变动计入当期损益的金融资产。 </w:t>
      </w:r>
      <w:r>
        <w:rPr>
          <w:spacing w:val="-1"/>
        </w:rPr>
        <w:t>交易性金融资产是指满足下列条件之一的金融资产：</w:t>
      </w:r>
      <w:r>
        <w:rPr>
          <w:rFonts w:ascii="Arial" w:hAnsi="Arial" w:cs="Arial" w:eastAsia="Arial" w:hint="default"/>
          <w:spacing w:val="-1"/>
        </w:rPr>
        <w:t>A.</w:t>
      </w:r>
      <w:r>
        <w:rPr>
          <w:spacing w:val="-1"/>
        </w:rPr>
        <w:t>取得该金融资产的目的，主要是为了近期内出</w:t>
      </w:r>
    </w:p>
    <w:p>
      <w:pPr>
        <w:pStyle w:val="BodyText"/>
        <w:spacing w:line="393" w:lineRule="auto" w:before="98"/>
        <w:ind w:right="1131"/>
        <w:jc w:val="both"/>
      </w:pPr>
      <w:r>
        <w:rPr>
          <w:w w:val="95"/>
        </w:rPr>
        <w:t>售；</w:t>
      </w:r>
      <w:r>
        <w:rPr>
          <w:rFonts w:ascii="Arial" w:hAnsi="Arial" w:cs="Arial" w:eastAsia="Arial" w:hint="default"/>
          <w:w w:val="95"/>
        </w:rPr>
        <w:t>B.</w:t>
      </w:r>
      <w:r>
        <w:rPr>
          <w:w w:val="95"/>
        </w:rPr>
        <w:t>属于进行集中管理的可辨认金融工具组合的一部分，且有客观证据表明本公司近期采用短期获利方</w:t>
      </w:r>
      <w:r>
        <w:rPr>
          <w:spacing w:val="72"/>
          <w:w w:val="95"/>
        </w:rPr>
        <w:t> </w:t>
      </w:r>
      <w:r>
        <w:rPr>
          <w:spacing w:val="72"/>
          <w:w w:val="95"/>
        </w:rPr>
      </w:r>
      <w:r>
        <w:rPr>
          <w:spacing w:val="-1"/>
        </w:rPr>
        <w:t>式对该组合进行管理；</w:t>
      </w:r>
      <w:r>
        <w:rPr>
          <w:rFonts w:ascii="Arial" w:hAnsi="Arial" w:cs="Arial" w:eastAsia="Arial" w:hint="default"/>
          <w:spacing w:val="-1"/>
        </w:rPr>
        <w:t>C.</w:t>
      </w:r>
      <w:r>
        <w:rPr>
          <w:spacing w:val="-1"/>
        </w:rPr>
        <w:t>属于衍生工具，但是，被指定且为有效套期工具的衍生工具、属于财务担保合同</w:t>
      </w:r>
      <w:r>
        <w:rPr>
          <w:spacing w:val="-84"/>
        </w:rPr>
        <w:t> </w:t>
      </w:r>
      <w:r>
        <w:rPr>
          <w:spacing w:val="-84"/>
        </w:rPr>
      </w:r>
      <w:r>
        <w:rPr>
          <w:spacing w:val="-1"/>
        </w:rPr>
        <w:t>的衍生工具、与在活跃市场中没有报价且其公允价值不能可靠计量的权益工具投资挂钩并须通过交付该权</w:t>
      </w:r>
      <w:r>
        <w:rPr>
          <w:spacing w:val="-81"/>
        </w:rPr>
        <w:t> </w:t>
      </w:r>
      <w:r>
        <w:rPr>
          <w:spacing w:val="-81"/>
        </w:rPr>
      </w:r>
      <w:r>
        <w:rPr/>
        <w:t>益工具结算的衍生工具除外。</w:t>
      </w:r>
    </w:p>
    <w:p>
      <w:pPr>
        <w:spacing w:line="240" w:lineRule="auto" w:before="5"/>
        <w:rPr>
          <w:rFonts w:ascii="宋体" w:hAnsi="宋体" w:cs="宋体" w:eastAsia="宋体" w:hint="default"/>
          <w:sz w:val="16"/>
          <w:szCs w:val="16"/>
        </w:rPr>
      </w:pPr>
    </w:p>
    <w:p>
      <w:pPr>
        <w:pStyle w:val="BodyText"/>
        <w:spacing w:line="240" w:lineRule="auto"/>
        <w:ind w:left="574" w:right="0"/>
        <w:jc w:val="left"/>
      </w:pPr>
      <w:r>
        <w:rPr/>
        <w:t>符合下述条件之一的金融资产，在初始确认时可指定为以公允价值计量且其变动计入当期损益的金融</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388" w:lineRule="auto" w:before="18"/>
        <w:ind w:right="1131"/>
        <w:jc w:val="both"/>
      </w:pPr>
      <w:r>
        <w:rPr>
          <w:spacing w:val="-1"/>
        </w:rPr>
        <w:t>资产：</w:t>
      </w:r>
      <w:r>
        <w:rPr>
          <w:rFonts w:ascii="Arial" w:hAnsi="Arial" w:cs="Arial" w:eastAsia="Arial" w:hint="default"/>
          <w:spacing w:val="-1"/>
        </w:rPr>
        <w:t>A.</w:t>
      </w:r>
      <w:r>
        <w:rPr>
          <w:spacing w:val="-1"/>
        </w:rPr>
        <w:t>该指定可以消除或明显减少由于该金融资产的计量基础不同所导致的相关利得或损失在确认或计</w:t>
      </w:r>
      <w:r>
        <w:rPr>
          <w:spacing w:val="-69"/>
        </w:rPr>
        <w:t> </w:t>
      </w:r>
      <w:r>
        <w:rPr>
          <w:w w:val="95"/>
        </w:rPr>
        <w:t>量方面不一致的情况；</w:t>
      </w:r>
      <w:r>
        <w:rPr>
          <w:rFonts w:ascii="Arial" w:hAnsi="Arial" w:cs="Arial" w:eastAsia="Arial" w:hint="default"/>
          <w:w w:val="95"/>
        </w:rPr>
        <w:t>B.</w:t>
      </w:r>
      <w:r>
        <w:rPr>
          <w:w w:val="95"/>
        </w:rPr>
        <w:t>本公司风险管理或投资策略的正式书面文件已载明，对该金融资产所在的金融资</w:t>
      </w:r>
      <w:r>
        <w:rPr>
          <w:spacing w:val="69"/>
          <w:w w:val="95"/>
        </w:rPr>
        <w:t> </w:t>
      </w:r>
      <w:r>
        <w:rPr>
          <w:spacing w:val="69"/>
          <w:w w:val="95"/>
        </w:rPr>
      </w:r>
      <w:r>
        <w:rPr/>
        <w:t>产组合或金融资产和金融负债组合以公允价值为基础进行管理、评价并向关键管理人员报告。</w:t>
      </w:r>
    </w:p>
    <w:p>
      <w:pPr>
        <w:spacing w:line="240" w:lineRule="auto" w:before="10"/>
        <w:rPr>
          <w:rFonts w:ascii="宋体" w:hAnsi="宋体" w:cs="宋体" w:eastAsia="宋体" w:hint="default"/>
          <w:sz w:val="16"/>
          <w:szCs w:val="16"/>
        </w:rPr>
      </w:pPr>
    </w:p>
    <w:p>
      <w:pPr>
        <w:pStyle w:val="BodyText"/>
        <w:spacing w:line="408" w:lineRule="auto"/>
        <w:ind w:right="1132" w:firstLine="420"/>
        <w:jc w:val="both"/>
      </w:pPr>
      <w:r>
        <w:rPr>
          <w:spacing w:val="-1"/>
        </w:rPr>
        <w:t>以公允价值计量且其变动计入当期损益的金融资产采用公允价值进行后续计量，公允价值变动形成的</w:t>
      </w:r>
      <w:r>
        <w:rPr/>
        <w:t> 利得或损失以及与该等金融资产相关的股利和利息收入计入当期损益。</w:t>
      </w:r>
    </w:p>
    <w:p>
      <w:pPr>
        <w:spacing w:line="240" w:lineRule="auto" w:before="6"/>
        <w:rPr>
          <w:rFonts w:ascii="宋体" w:hAnsi="宋体" w:cs="宋体" w:eastAsia="宋体" w:hint="default"/>
          <w:sz w:val="15"/>
          <w:szCs w:val="15"/>
        </w:rPr>
      </w:pPr>
    </w:p>
    <w:p>
      <w:pPr>
        <w:pStyle w:val="BodyText"/>
        <w:spacing w:line="240" w:lineRule="auto"/>
        <w:ind w:left="573" w:right="0"/>
        <w:jc w:val="left"/>
      </w:pPr>
      <w:r>
        <w:rPr/>
        <w:t>②贷款和应收款项</w:t>
      </w:r>
    </w:p>
    <w:p>
      <w:pPr>
        <w:spacing w:line="240" w:lineRule="auto" w:before="9"/>
        <w:rPr>
          <w:rFonts w:ascii="宋体" w:hAnsi="宋体" w:cs="宋体" w:eastAsia="宋体" w:hint="default"/>
          <w:sz w:val="26"/>
          <w:szCs w:val="26"/>
        </w:rPr>
      </w:pPr>
    </w:p>
    <w:p>
      <w:pPr>
        <w:pStyle w:val="BodyText"/>
        <w:spacing w:line="408" w:lineRule="auto"/>
        <w:ind w:right="1130" w:firstLine="420"/>
        <w:jc w:val="both"/>
      </w:pPr>
      <w:r>
        <w:rPr>
          <w:spacing w:val="-1"/>
        </w:rPr>
        <w:t>是指在活跃市场中没有报价、回收金额固定或可确定的非衍生金融资产。本公司划分为贷款和应收款</w:t>
      </w:r>
      <w:r>
        <w:rPr/>
        <w:t> 的金融资产包括应收票据、应收账款、应收利息、应收股利及其他应收款等。</w:t>
      </w:r>
    </w:p>
    <w:p>
      <w:pPr>
        <w:spacing w:line="240" w:lineRule="auto" w:before="6"/>
        <w:rPr>
          <w:rFonts w:ascii="宋体" w:hAnsi="宋体" w:cs="宋体" w:eastAsia="宋体" w:hint="default"/>
          <w:sz w:val="15"/>
          <w:szCs w:val="15"/>
        </w:rPr>
      </w:pPr>
    </w:p>
    <w:p>
      <w:pPr>
        <w:pStyle w:val="BodyText"/>
        <w:spacing w:line="408" w:lineRule="auto"/>
        <w:ind w:right="1131" w:firstLine="420"/>
        <w:jc w:val="both"/>
      </w:pPr>
      <w:r>
        <w:rPr>
          <w:spacing w:val="-1"/>
        </w:rPr>
        <w:t>贷款和应收款项采用实际利率法，按摊余成本进行后续计量，在终止确认、发生减值或摊销时产生的</w:t>
      </w:r>
      <w:r>
        <w:rPr/>
        <w:t> 利得或损失，计入当期损益。</w:t>
      </w:r>
    </w:p>
    <w:p>
      <w:pPr>
        <w:spacing w:line="240" w:lineRule="auto" w:before="6"/>
        <w:rPr>
          <w:rFonts w:ascii="宋体" w:hAnsi="宋体" w:cs="宋体" w:eastAsia="宋体" w:hint="default"/>
          <w:sz w:val="15"/>
          <w:szCs w:val="15"/>
        </w:rPr>
      </w:pPr>
    </w:p>
    <w:p>
      <w:pPr>
        <w:pStyle w:val="BodyText"/>
        <w:spacing w:line="240" w:lineRule="auto"/>
        <w:ind w:left="573" w:right="0"/>
        <w:jc w:val="left"/>
      </w:pPr>
      <w:r>
        <w:rPr/>
        <w:t>③可供出售金融资产</w:t>
      </w:r>
    </w:p>
    <w:p>
      <w:pPr>
        <w:spacing w:line="240" w:lineRule="auto" w:before="9"/>
        <w:rPr>
          <w:rFonts w:ascii="宋体" w:hAnsi="宋体" w:cs="宋体" w:eastAsia="宋体" w:hint="default"/>
          <w:sz w:val="26"/>
          <w:szCs w:val="26"/>
        </w:rPr>
      </w:pPr>
    </w:p>
    <w:p>
      <w:pPr>
        <w:pStyle w:val="BodyText"/>
        <w:spacing w:line="408" w:lineRule="auto"/>
        <w:ind w:right="1132" w:firstLine="420"/>
        <w:jc w:val="both"/>
      </w:pPr>
      <w:r>
        <w:rPr>
          <w:spacing w:val="-1"/>
        </w:rPr>
        <w:t>包括初始确认时即被指定为可供出售的非衍生金融资产，以及除了以公允价值计量且其变动计入当期</w:t>
      </w:r>
      <w:r>
        <w:rPr/>
        <w:t> 损益的金融资产、贷款和应收款项、持有至到期投资以外的金融资产。</w:t>
      </w:r>
    </w:p>
    <w:p>
      <w:pPr>
        <w:spacing w:line="240" w:lineRule="auto" w:before="6"/>
        <w:rPr>
          <w:rFonts w:ascii="宋体" w:hAnsi="宋体" w:cs="宋体" w:eastAsia="宋体" w:hint="default"/>
          <w:sz w:val="15"/>
          <w:szCs w:val="15"/>
        </w:rPr>
      </w:pPr>
    </w:p>
    <w:p>
      <w:pPr>
        <w:pStyle w:val="BodyText"/>
        <w:spacing w:line="408" w:lineRule="auto"/>
        <w:ind w:right="1131" w:firstLine="420"/>
        <w:jc w:val="both"/>
      </w:pPr>
      <w:r>
        <w:rPr>
          <w:spacing w:val="-1"/>
        </w:rPr>
        <w:t>可供出售债务工具投资的期末成本按照摊余成本法确定，即初始确认金额扣除已偿还的本金，加上或</w:t>
      </w:r>
      <w:r>
        <w:rPr/>
        <w:t> </w:t>
      </w:r>
      <w:r>
        <w:rPr>
          <w:spacing w:val="-1"/>
        </w:rPr>
        <w:t>减去采用实际利率法将该初始确认金额与到期日金额之间的差额进行摊销形成的累计摊销额，并扣除已发</w:t>
      </w:r>
      <w:r>
        <w:rPr>
          <w:spacing w:val="-81"/>
        </w:rPr>
        <w:t> </w:t>
      </w:r>
      <w:r>
        <w:rPr>
          <w:spacing w:val="-81"/>
        </w:rPr>
      </w:r>
      <w:r>
        <w:rPr/>
        <w:t>生的减值损失后的金额。可供出售权益工具投资的期末成本为其初始取得成本。</w:t>
      </w:r>
    </w:p>
    <w:p>
      <w:pPr>
        <w:spacing w:line="240" w:lineRule="auto" w:before="6"/>
        <w:rPr>
          <w:rFonts w:ascii="宋体" w:hAnsi="宋体" w:cs="宋体" w:eastAsia="宋体" w:hint="default"/>
          <w:sz w:val="15"/>
          <w:szCs w:val="15"/>
        </w:rPr>
      </w:pPr>
    </w:p>
    <w:p>
      <w:pPr>
        <w:pStyle w:val="BodyText"/>
        <w:spacing w:line="408" w:lineRule="auto"/>
        <w:ind w:right="1131" w:firstLine="420"/>
        <w:jc w:val="both"/>
      </w:pPr>
      <w:r>
        <w:rPr>
          <w:spacing w:val="-1"/>
        </w:rPr>
        <w:t>可供出售金融资产采用公允价值进行后续计量，公允价值变动形成的利得或损失，除减值损失和外币</w:t>
      </w:r>
      <w:r>
        <w:rPr/>
        <w:t> </w:t>
      </w:r>
      <w:r>
        <w:rPr>
          <w:spacing w:val="-1"/>
        </w:rPr>
        <w:t>货币性金融资产与摊余成本相关的汇兑差额计入当期损益外，确认为其他综合收益，在该金融资产终止确</w:t>
      </w:r>
      <w:r>
        <w:rPr>
          <w:spacing w:val="-81"/>
        </w:rPr>
        <w:t> </w:t>
      </w:r>
      <w:r>
        <w:rPr>
          <w:spacing w:val="-81"/>
        </w:rPr>
      </w:r>
      <w:r>
        <w:rPr>
          <w:spacing w:val="-1"/>
        </w:rPr>
        <w:t>认时转出，计入当期损益。但是，在活跃市场中没有报价且其公允价值不能可靠计量的权益工具投资，以</w:t>
      </w:r>
      <w:r>
        <w:rPr>
          <w:spacing w:val="-85"/>
        </w:rPr>
        <w:t> </w:t>
      </w:r>
      <w:r>
        <w:rPr>
          <w:spacing w:val="-85"/>
        </w:rPr>
      </w:r>
      <w:r>
        <w:rPr/>
        <w:t>及与该权益工具挂钩并须通过交付该权益工具结算的衍生金融资产，按照成本进行后续计量。</w:t>
      </w:r>
    </w:p>
    <w:p>
      <w:pPr>
        <w:spacing w:line="240" w:lineRule="auto" w:before="6"/>
        <w:rPr>
          <w:rFonts w:ascii="宋体" w:hAnsi="宋体" w:cs="宋体" w:eastAsia="宋体" w:hint="default"/>
          <w:sz w:val="15"/>
          <w:szCs w:val="15"/>
        </w:rPr>
      </w:pPr>
    </w:p>
    <w:p>
      <w:pPr>
        <w:pStyle w:val="BodyText"/>
        <w:spacing w:line="240" w:lineRule="auto"/>
        <w:ind w:left="573" w:right="0"/>
        <w:jc w:val="left"/>
      </w:pPr>
      <w:r>
        <w:rPr/>
        <w:t>可供出售金融资产持有期间取得的利息及被投资单位宣告发放的现金股利，计入投资收益。</w:t>
      </w:r>
    </w:p>
    <w:p>
      <w:pPr>
        <w:spacing w:line="240" w:lineRule="auto" w:before="9"/>
        <w:rPr>
          <w:rFonts w:ascii="宋体" w:hAnsi="宋体" w:cs="宋体" w:eastAsia="宋体" w:hint="default"/>
          <w:sz w:val="26"/>
          <w:szCs w:val="26"/>
        </w:rPr>
      </w:pPr>
    </w:p>
    <w:p>
      <w:pPr>
        <w:pStyle w:val="BodyText"/>
        <w:spacing w:line="516" w:lineRule="auto"/>
        <w:ind w:left="573" w:right="0"/>
        <w:jc w:val="left"/>
      </w:pPr>
      <w:r>
        <w:rPr/>
        <w:t>（</w:t>
      </w:r>
      <w:r>
        <w:rPr>
          <w:rFonts w:ascii="Arial" w:hAnsi="Arial" w:cs="Arial" w:eastAsia="Arial" w:hint="default"/>
        </w:rPr>
        <w:t>3</w:t>
      </w:r>
      <w:r>
        <w:rPr/>
        <w:t>）金融资产减值 </w:t>
      </w:r>
      <w:r>
        <w:rPr>
          <w:spacing w:val="-1"/>
        </w:rPr>
        <w:t>除了以公允价值计量且其变动计入当期损益的金融资产外，本公司在每个资产负债表日对其他金融资</w:t>
      </w:r>
    </w:p>
    <w:p>
      <w:pPr>
        <w:pStyle w:val="BodyText"/>
        <w:spacing w:line="227" w:lineRule="exact"/>
        <w:ind w:right="0"/>
        <w:jc w:val="both"/>
      </w:pPr>
      <w:r>
        <w:rPr/>
        <w:t>产的账面价值进行检查，有客观证据表明金融资产发生减值的，计提减值准备。</w:t>
      </w:r>
    </w:p>
    <w:p>
      <w:pPr>
        <w:spacing w:line="240" w:lineRule="auto" w:before="9"/>
        <w:rPr>
          <w:rFonts w:ascii="宋体" w:hAnsi="宋体" w:cs="宋体" w:eastAsia="宋体" w:hint="default"/>
          <w:sz w:val="26"/>
          <w:szCs w:val="26"/>
        </w:rPr>
      </w:pPr>
    </w:p>
    <w:p>
      <w:pPr>
        <w:pStyle w:val="BodyText"/>
        <w:spacing w:line="408" w:lineRule="auto"/>
        <w:ind w:right="1131" w:firstLine="420"/>
        <w:jc w:val="both"/>
      </w:pPr>
      <w:r>
        <w:rPr>
          <w:spacing w:val="-1"/>
        </w:rPr>
        <w:t>本公司对单项金额重大的金融资产单独进行减值测试；对单项金额不重大的金融资产，单独进行减值</w:t>
      </w:r>
      <w:r>
        <w:rPr/>
        <w:t> </w:t>
      </w:r>
      <w:r>
        <w:rPr>
          <w:spacing w:val="3"/>
        </w:rPr>
        <w:t>测试或包括在具有类似信用风险特征的金融资产组合中进行减值测试。单独测试未发生减值的金融资产</w:t>
      </w:r>
    </w:p>
    <w:p>
      <w:pPr>
        <w:spacing w:after="0" w:line="408" w:lineRule="auto"/>
        <w:jc w:val="both"/>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408" w:lineRule="auto" w:before="18"/>
        <w:ind w:right="1024"/>
        <w:jc w:val="left"/>
      </w:pPr>
      <w:r>
        <w:rPr/>
        <w:t>（包括单项金额重大和不重大的金融资产），包括在具有类似信用风险特征的金融资产组合中再进行减值 </w:t>
      </w:r>
      <w:r>
        <w:rPr>
          <w:spacing w:val="-3"/>
        </w:rPr>
        <w:t>测试。已单项确认减值损失的金融资产，不包括在具有类似信用风险特征的金融资产组合中进行减值测试。</w:t>
      </w:r>
    </w:p>
    <w:p>
      <w:pPr>
        <w:spacing w:line="240" w:lineRule="auto" w:before="6"/>
        <w:rPr>
          <w:rFonts w:ascii="宋体" w:hAnsi="宋体" w:cs="宋体" w:eastAsia="宋体" w:hint="default"/>
          <w:sz w:val="15"/>
          <w:szCs w:val="15"/>
        </w:rPr>
      </w:pPr>
    </w:p>
    <w:p>
      <w:pPr>
        <w:pStyle w:val="BodyText"/>
        <w:spacing w:line="240" w:lineRule="auto"/>
        <w:ind w:left="573" w:right="0"/>
        <w:jc w:val="left"/>
      </w:pPr>
      <w:r>
        <w:rPr/>
        <w:t>①贷款和应收款项减值</w:t>
      </w:r>
    </w:p>
    <w:p>
      <w:pPr>
        <w:spacing w:line="240" w:lineRule="auto" w:before="9"/>
        <w:rPr>
          <w:rFonts w:ascii="宋体" w:hAnsi="宋体" w:cs="宋体" w:eastAsia="宋体" w:hint="default"/>
          <w:sz w:val="26"/>
          <w:szCs w:val="26"/>
        </w:rPr>
      </w:pPr>
    </w:p>
    <w:p>
      <w:pPr>
        <w:pStyle w:val="BodyText"/>
        <w:spacing w:line="408" w:lineRule="auto"/>
        <w:ind w:right="1131" w:firstLine="420"/>
        <w:jc w:val="both"/>
      </w:pPr>
      <w:r>
        <w:rPr>
          <w:spacing w:val="-1"/>
        </w:rPr>
        <w:t>以成本或摊余成本计量的金融资产将其账面价值减记至预计未来现金流量现值，减记金额确认为减值</w:t>
      </w:r>
      <w:r>
        <w:rPr/>
        <w:t> </w:t>
      </w:r>
      <w:r>
        <w:rPr>
          <w:spacing w:val="-1"/>
        </w:rPr>
        <w:t>损失，计入当期损益。金融资产在确认减值损失后，如有客观证据表明该金融资产价值已恢复，且客观上</w:t>
      </w:r>
      <w:r>
        <w:rPr>
          <w:spacing w:val="-86"/>
        </w:rPr>
        <w:t> </w:t>
      </w:r>
      <w:r>
        <w:rPr>
          <w:spacing w:val="-86"/>
        </w:rPr>
      </w:r>
      <w:r>
        <w:rPr>
          <w:spacing w:val="-1"/>
        </w:rPr>
        <w:t>与确认该损失后发生的事项有关，原确认的减值损失予以转回，金融资产转回减值损失后的账面价值不超</w:t>
      </w:r>
      <w:r>
        <w:rPr>
          <w:spacing w:val="-81"/>
        </w:rPr>
        <w:t> </w:t>
      </w:r>
      <w:r>
        <w:rPr>
          <w:spacing w:val="-81"/>
        </w:rPr>
      </w:r>
      <w:r>
        <w:rPr/>
        <w:t>过假定不计提减值准备情况下该金融资产在转回日的摊余成本。</w:t>
      </w:r>
    </w:p>
    <w:p>
      <w:pPr>
        <w:spacing w:line="240" w:lineRule="auto" w:before="6"/>
        <w:rPr>
          <w:rFonts w:ascii="宋体" w:hAnsi="宋体" w:cs="宋体" w:eastAsia="宋体" w:hint="default"/>
          <w:sz w:val="15"/>
          <w:szCs w:val="15"/>
        </w:rPr>
      </w:pPr>
    </w:p>
    <w:p>
      <w:pPr>
        <w:pStyle w:val="BodyText"/>
        <w:spacing w:line="240" w:lineRule="auto"/>
        <w:ind w:left="573" w:right="0"/>
        <w:jc w:val="left"/>
      </w:pPr>
      <w:r>
        <w:rPr/>
        <w:t>②可供出售金融资产减值</w:t>
      </w:r>
    </w:p>
    <w:p>
      <w:pPr>
        <w:spacing w:line="240" w:lineRule="auto" w:before="9"/>
        <w:rPr>
          <w:rFonts w:ascii="宋体" w:hAnsi="宋体" w:cs="宋体" w:eastAsia="宋体" w:hint="default"/>
          <w:sz w:val="26"/>
          <w:szCs w:val="26"/>
        </w:rPr>
      </w:pPr>
    </w:p>
    <w:p>
      <w:pPr>
        <w:pStyle w:val="BodyText"/>
        <w:spacing w:line="408" w:lineRule="auto"/>
        <w:ind w:right="1132" w:firstLine="420"/>
        <w:jc w:val="both"/>
      </w:pPr>
      <w:r>
        <w:rPr>
          <w:spacing w:val="-1"/>
        </w:rPr>
        <w:t>当综合相关因素判断可供出售权益工具投资公允价值下跌是严重或非暂时性下跌时，表明该可供出售</w:t>
      </w:r>
      <w:r>
        <w:rPr/>
        <w:t> 权益工具投资发生减值。</w:t>
      </w:r>
    </w:p>
    <w:p>
      <w:pPr>
        <w:spacing w:line="240" w:lineRule="auto" w:before="6"/>
        <w:rPr>
          <w:rFonts w:ascii="宋体" w:hAnsi="宋体" w:cs="宋体" w:eastAsia="宋体" w:hint="default"/>
          <w:sz w:val="15"/>
          <w:szCs w:val="15"/>
        </w:rPr>
      </w:pPr>
    </w:p>
    <w:p>
      <w:pPr>
        <w:pStyle w:val="BodyText"/>
        <w:spacing w:line="408" w:lineRule="auto"/>
        <w:ind w:right="1131" w:firstLine="420"/>
        <w:jc w:val="both"/>
      </w:pPr>
      <w:r>
        <w:rPr>
          <w:spacing w:val="-1"/>
        </w:rPr>
        <w:t>可供出售金融资产发生减值时，将原计入其他综合收益的因公允价值下降形成的累计损失予以转出并</w:t>
      </w:r>
      <w:r>
        <w:rPr/>
        <w:t> </w:t>
      </w:r>
      <w:r>
        <w:rPr>
          <w:spacing w:val="-1"/>
        </w:rPr>
        <w:t>计入当期损益，该转出的累计损失为该资产初始取得成本扣除已收回本金和已摊销金额、当前公允价值和</w:t>
      </w:r>
      <w:r>
        <w:rPr>
          <w:spacing w:val="-81"/>
        </w:rPr>
        <w:t> </w:t>
      </w:r>
      <w:r>
        <w:rPr>
          <w:spacing w:val="-81"/>
        </w:rPr>
      </w:r>
      <w:r>
        <w:rPr/>
        <w:t>原已计入损益的减值损失后的余额。</w:t>
      </w:r>
    </w:p>
    <w:p>
      <w:pPr>
        <w:spacing w:line="240" w:lineRule="auto" w:before="6"/>
        <w:rPr>
          <w:rFonts w:ascii="宋体" w:hAnsi="宋体" w:cs="宋体" w:eastAsia="宋体" w:hint="default"/>
          <w:sz w:val="15"/>
          <w:szCs w:val="15"/>
        </w:rPr>
      </w:pPr>
    </w:p>
    <w:p>
      <w:pPr>
        <w:pStyle w:val="BodyText"/>
        <w:spacing w:line="408" w:lineRule="auto"/>
        <w:ind w:right="1131" w:firstLine="420"/>
        <w:jc w:val="both"/>
      </w:pPr>
      <w:r>
        <w:rPr>
          <w:spacing w:val="-1"/>
        </w:rPr>
        <w:t>在确认减值损失后，期后如有客观证据表明该金融资产价值已恢复，且客观上与确认该损失后发生的</w:t>
      </w:r>
      <w:r>
        <w:rPr/>
        <w:t> </w:t>
      </w:r>
      <w:r>
        <w:rPr>
          <w:spacing w:val="-1"/>
        </w:rPr>
        <w:t>事项有关，原确认的减值损失予以转回，可供出售权益工具投资的减值损失转回确认为其他综合收益，可</w:t>
      </w:r>
      <w:r>
        <w:rPr>
          <w:spacing w:val="-83"/>
        </w:rPr>
        <w:t> </w:t>
      </w:r>
      <w:r>
        <w:rPr>
          <w:spacing w:val="-83"/>
        </w:rPr>
      </w:r>
      <w:r>
        <w:rPr/>
        <w:t>供出售债务工具的减值损失转回计入当期损益。</w:t>
      </w:r>
    </w:p>
    <w:p>
      <w:pPr>
        <w:spacing w:line="240" w:lineRule="auto" w:before="6"/>
        <w:rPr>
          <w:rFonts w:ascii="宋体" w:hAnsi="宋体" w:cs="宋体" w:eastAsia="宋体" w:hint="default"/>
          <w:sz w:val="15"/>
          <w:szCs w:val="15"/>
        </w:rPr>
      </w:pPr>
    </w:p>
    <w:p>
      <w:pPr>
        <w:pStyle w:val="BodyText"/>
        <w:spacing w:line="408" w:lineRule="auto"/>
        <w:ind w:right="1132" w:firstLine="420"/>
        <w:jc w:val="both"/>
      </w:pPr>
      <w:r>
        <w:rPr>
          <w:spacing w:val="-1"/>
        </w:rPr>
        <w:t>在活跃市场中没有报价且其公允价值不能可靠计量的权益工具投资，或与该权益工具挂钩并须通过交</w:t>
      </w:r>
      <w:r>
        <w:rPr/>
        <w:t> 付该权益工具结算的衍生金融资产的减值损失，不予转回。</w:t>
      </w:r>
    </w:p>
    <w:p>
      <w:pPr>
        <w:spacing w:line="240" w:lineRule="auto" w:before="6"/>
        <w:rPr>
          <w:rFonts w:ascii="宋体" w:hAnsi="宋体" w:cs="宋体" w:eastAsia="宋体" w:hint="default"/>
          <w:sz w:val="15"/>
          <w:szCs w:val="15"/>
        </w:rPr>
      </w:pPr>
    </w:p>
    <w:p>
      <w:pPr>
        <w:pStyle w:val="BodyText"/>
        <w:spacing w:line="516" w:lineRule="auto"/>
        <w:ind w:left="573" w:right="0"/>
        <w:jc w:val="left"/>
      </w:pPr>
      <w:r>
        <w:rPr/>
        <w:t>（</w:t>
      </w:r>
      <w:r>
        <w:rPr>
          <w:rFonts w:ascii="Arial" w:hAnsi="Arial" w:cs="Arial" w:eastAsia="Arial" w:hint="default"/>
        </w:rPr>
        <w:t>4</w:t>
      </w:r>
      <w:r>
        <w:rPr/>
        <w:t>）金融资产转移的确认依据和计量方法 </w:t>
      </w:r>
      <w:r>
        <w:rPr>
          <w:spacing w:val="-1"/>
        </w:rPr>
        <w:t>满足下列条件之一的金融资产，予以终止确认：①收取该金融资产现金流量的合同权利终止；②该金</w:t>
      </w:r>
    </w:p>
    <w:p>
      <w:pPr>
        <w:pStyle w:val="BodyText"/>
        <w:spacing w:line="226" w:lineRule="exact"/>
        <w:ind w:right="0"/>
        <w:jc w:val="left"/>
      </w:pPr>
      <w:r>
        <w:rPr/>
        <w:t>融资产已转移，且将金融资产所有权上几乎所有的风险和报酬转移给转入方；③该金融资产已转移，虽然</w:t>
      </w:r>
    </w:p>
    <w:p>
      <w:pPr>
        <w:spacing w:line="240" w:lineRule="auto" w:before="10"/>
        <w:rPr>
          <w:rFonts w:ascii="宋体" w:hAnsi="宋体" w:cs="宋体" w:eastAsia="宋体" w:hint="default"/>
          <w:sz w:val="14"/>
          <w:szCs w:val="14"/>
        </w:rPr>
      </w:pPr>
    </w:p>
    <w:p>
      <w:pPr>
        <w:pStyle w:val="BodyText"/>
        <w:spacing w:line="240" w:lineRule="auto"/>
        <w:ind w:right="0"/>
        <w:jc w:val="left"/>
      </w:pPr>
      <w:r>
        <w:rPr/>
        <w:t>企业既没有转移也没有保留金融资产所有权上几乎所有的风险和报酬，但是放弃了对该金融资产的控制。</w:t>
      </w:r>
    </w:p>
    <w:p>
      <w:pPr>
        <w:spacing w:line="240" w:lineRule="auto" w:before="9"/>
        <w:rPr>
          <w:rFonts w:ascii="宋体" w:hAnsi="宋体" w:cs="宋体" w:eastAsia="宋体" w:hint="default"/>
          <w:sz w:val="26"/>
          <w:szCs w:val="26"/>
        </w:rPr>
      </w:pPr>
    </w:p>
    <w:p>
      <w:pPr>
        <w:pStyle w:val="BodyText"/>
        <w:spacing w:line="408" w:lineRule="auto"/>
        <w:ind w:right="1131" w:firstLine="420"/>
        <w:jc w:val="both"/>
      </w:pPr>
      <w:r>
        <w:rPr>
          <w:spacing w:val="-1"/>
        </w:rPr>
        <w:t>若企业既没有转移也没有保留金融资产所有权上几乎所有的风险和报酬，且未放弃对该金融资产的控</w:t>
      </w:r>
      <w:r>
        <w:rPr/>
        <w:t> </w:t>
      </w:r>
      <w:r>
        <w:rPr>
          <w:spacing w:val="-1"/>
        </w:rPr>
        <w:t>制的，则按照继续涉入所转移金融资产的程度确认有关金融资产，并相应确认有关负债。继续涉入所转移</w:t>
      </w:r>
      <w:r>
        <w:rPr>
          <w:spacing w:val="-83"/>
        </w:rPr>
        <w:t> </w:t>
      </w:r>
      <w:r>
        <w:rPr>
          <w:spacing w:val="-83"/>
        </w:rPr>
      </w:r>
      <w:r>
        <w:rPr/>
        <w:t>金融资产的程度，是指该金融资产价值变动使企业面临的风险水平。</w:t>
      </w:r>
    </w:p>
    <w:p>
      <w:pPr>
        <w:spacing w:line="240" w:lineRule="auto" w:before="6"/>
        <w:rPr>
          <w:rFonts w:ascii="宋体" w:hAnsi="宋体" w:cs="宋体" w:eastAsia="宋体" w:hint="default"/>
          <w:sz w:val="15"/>
          <w:szCs w:val="15"/>
        </w:rPr>
      </w:pPr>
    </w:p>
    <w:p>
      <w:pPr>
        <w:pStyle w:val="BodyText"/>
        <w:spacing w:line="240" w:lineRule="auto"/>
        <w:ind w:left="573" w:right="0"/>
        <w:jc w:val="left"/>
      </w:pPr>
      <w:r>
        <w:rPr/>
        <w:t>金融资产整体转移满足终止确认条件的，将所转移金融资产的账面价值及因转移而收到的对价与原计</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240" w:lineRule="auto" w:before="18"/>
        <w:ind w:right="0"/>
        <w:jc w:val="left"/>
      </w:pPr>
      <w:r>
        <w:rPr/>
        <w:t>入其他综合收益的公允价值变动累计额之和的差额计入当期损益。</w:t>
      </w:r>
    </w:p>
    <w:p>
      <w:pPr>
        <w:spacing w:line="240" w:lineRule="auto" w:before="9"/>
        <w:rPr>
          <w:rFonts w:ascii="宋体" w:hAnsi="宋体" w:cs="宋体" w:eastAsia="宋体" w:hint="default"/>
          <w:sz w:val="26"/>
          <w:szCs w:val="26"/>
        </w:rPr>
      </w:pPr>
    </w:p>
    <w:p>
      <w:pPr>
        <w:pStyle w:val="BodyText"/>
        <w:spacing w:line="408" w:lineRule="auto"/>
        <w:ind w:right="1131" w:firstLine="420"/>
        <w:jc w:val="both"/>
      </w:pPr>
      <w:r>
        <w:rPr>
          <w:spacing w:val="-1"/>
        </w:rPr>
        <w:t>金融资产部分转移满足终止确认条件的，将所转移金融资产的账面价值在终止确认及未终止确认部分</w:t>
      </w:r>
      <w:r>
        <w:rPr/>
        <w:t> </w:t>
      </w:r>
      <w:r>
        <w:rPr>
          <w:spacing w:val="-1"/>
        </w:rPr>
        <w:t>之间按其相对的公允价值进行分摊，并将因转移而收到的对价与应分摊至终止确认部分的原计入其他综合</w:t>
      </w:r>
      <w:r>
        <w:rPr>
          <w:spacing w:val="-81"/>
        </w:rPr>
        <w:t> </w:t>
      </w:r>
      <w:r>
        <w:rPr>
          <w:spacing w:val="-81"/>
        </w:rPr>
      </w:r>
      <w:r>
        <w:rPr/>
        <w:t>收益的公允价值变动累计额之和与分摊的前述账面金额之差额计入当期损益。</w:t>
      </w:r>
    </w:p>
    <w:p>
      <w:pPr>
        <w:spacing w:line="240" w:lineRule="auto" w:before="6"/>
        <w:rPr>
          <w:rFonts w:ascii="宋体" w:hAnsi="宋体" w:cs="宋体" w:eastAsia="宋体" w:hint="default"/>
          <w:sz w:val="15"/>
          <w:szCs w:val="15"/>
        </w:rPr>
      </w:pPr>
    </w:p>
    <w:p>
      <w:pPr>
        <w:pStyle w:val="BodyText"/>
        <w:spacing w:line="408" w:lineRule="auto"/>
        <w:ind w:right="0" w:firstLine="420"/>
        <w:jc w:val="left"/>
      </w:pPr>
      <w:r>
        <w:rPr/>
        <w:t>本公司对采用附追索权方式出售的金融资产，或将持有的金融资产背书转让，需确定该金融资产所有 权上几乎所有的风险和报酬是否已经转移。已将该金融资产所有权上几乎所有的风险和报酬转移给转入方 的，终止确认该金融资产；保留了金融资产所有权上几乎所有的风险和报酬的，不终止确认该金融资产；</w:t>
      </w:r>
      <w:r>
        <w:rPr>
          <w:spacing w:val="-35"/>
        </w:rPr>
        <w:t> </w:t>
      </w:r>
      <w:r>
        <w:rPr>
          <w:spacing w:val="-35"/>
        </w:rPr>
      </w:r>
      <w:r>
        <w:rPr/>
        <w:t>既没有转移也没有保留金融资产所有权上几乎所有的风险和报酬的，则继续判断企业是否对该资产保留了</w:t>
      </w:r>
      <w:r>
        <w:rPr/>
        <w:t> 控制，并根据前面各段所述的原则进行会计处理。</w:t>
      </w:r>
    </w:p>
    <w:p>
      <w:pPr>
        <w:spacing w:line="240" w:lineRule="auto" w:before="6"/>
        <w:rPr>
          <w:rFonts w:ascii="宋体" w:hAnsi="宋体" w:cs="宋体" w:eastAsia="宋体" w:hint="default"/>
          <w:sz w:val="15"/>
          <w:szCs w:val="15"/>
        </w:rPr>
      </w:pPr>
    </w:p>
    <w:p>
      <w:pPr>
        <w:pStyle w:val="BodyText"/>
        <w:spacing w:line="516" w:lineRule="auto"/>
        <w:ind w:left="573" w:right="0"/>
        <w:jc w:val="left"/>
      </w:pPr>
      <w:r>
        <w:rPr/>
        <w:t>（</w:t>
      </w:r>
      <w:r>
        <w:rPr>
          <w:rFonts w:ascii="Arial" w:hAnsi="Arial" w:cs="Arial" w:eastAsia="Arial" w:hint="default"/>
        </w:rPr>
        <w:t>5</w:t>
      </w:r>
      <w:r>
        <w:rPr/>
        <w:t>）金融负债的分类和计量 </w:t>
      </w:r>
      <w:r>
        <w:rPr>
          <w:spacing w:val="-1"/>
        </w:rPr>
        <w:t>金融负债在初始确认时划分为以公允价值计量且其变动计入当期损益的金融负债和其他金融负债。初</w:t>
      </w:r>
    </w:p>
    <w:p>
      <w:pPr>
        <w:pStyle w:val="BodyText"/>
        <w:spacing w:line="226" w:lineRule="exact"/>
        <w:ind w:right="0"/>
        <w:jc w:val="left"/>
      </w:pPr>
      <w:r>
        <w:rPr/>
        <w:t>始确认金融负债，以公允价值计量。对于以公允价值计量且其变动计入当期损益的金融负债，相关的交易</w:t>
      </w:r>
    </w:p>
    <w:p>
      <w:pPr>
        <w:spacing w:line="240" w:lineRule="auto" w:before="10"/>
        <w:rPr>
          <w:rFonts w:ascii="宋体" w:hAnsi="宋体" w:cs="宋体" w:eastAsia="宋体" w:hint="default"/>
          <w:sz w:val="14"/>
          <w:szCs w:val="14"/>
        </w:rPr>
      </w:pPr>
    </w:p>
    <w:p>
      <w:pPr>
        <w:pStyle w:val="BodyText"/>
        <w:spacing w:line="240" w:lineRule="auto"/>
        <w:ind w:right="0"/>
        <w:jc w:val="left"/>
      </w:pPr>
      <w:r>
        <w:rPr/>
        <w:t>费用直接计入当期损益，对于其他金融负债，相关交易费用计入初始确认金额。</w:t>
      </w:r>
    </w:p>
    <w:p>
      <w:pPr>
        <w:pStyle w:val="BodyText"/>
        <w:spacing w:line="620" w:lineRule="atLeast" w:before="4"/>
        <w:ind w:left="573" w:right="0"/>
        <w:jc w:val="left"/>
      </w:pPr>
      <w:r>
        <w:rPr/>
        <w:t>①其他金融负债 </w:t>
      </w:r>
      <w:r>
        <w:rPr>
          <w:spacing w:val="-1"/>
        </w:rPr>
        <w:t>与在活跃市场中没有报价、公允价值不能可靠计量的权益工具挂钩并须通过交付该权益工具结算的衍</w:t>
      </w:r>
    </w:p>
    <w:p>
      <w:pPr>
        <w:spacing w:line="240" w:lineRule="auto" w:before="10"/>
        <w:rPr>
          <w:rFonts w:ascii="宋体" w:hAnsi="宋体" w:cs="宋体" w:eastAsia="宋体" w:hint="default"/>
          <w:sz w:val="14"/>
          <w:szCs w:val="14"/>
        </w:rPr>
      </w:pPr>
    </w:p>
    <w:p>
      <w:pPr>
        <w:pStyle w:val="BodyText"/>
        <w:spacing w:line="408" w:lineRule="auto"/>
        <w:ind w:right="0"/>
        <w:jc w:val="left"/>
      </w:pPr>
      <w:r>
        <w:rPr>
          <w:spacing w:val="-1"/>
        </w:rPr>
        <w:t>生金融负债，按照成本进行后续计量。其他金融负债采用实际利率法，按摊余成本进行后续计量，终止确</w:t>
      </w:r>
      <w:r>
        <w:rPr>
          <w:spacing w:val="-86"/>
        </w:rPr>
        <w:t> </w:t>
      </w:r>
      <w:r>
        <w:rPr>
          <w:spacing w:val="-86"/>
        </w:rPr>
      </w:r>
      <w:r>
        <w:rPr/>
        <w:t>认或摊销产生的利得或损失计入当期损益。</w:t>
      </w:r>
    </w:p>
    <w:p>
      <w:pPr>
        <w:spacing w:line="240" w:lineRule="auto" w:before="6"/>
        <w:rPr>
          <w:rFonts w:ascii="宋体" w:hAnsi="宋体" w:cs="宋体" w:eastAsia="宋体" w:hint="default"/>
          <w:sz w:val="15"/>
          <w:szCs w:val="15"/>
        </w:rPr>
      </w:pPr>
    </w:p>
    <w:p>
      <w:pPr>
        <w:pStyle w:val="BodyText"/>
        <w:spacing w:line="240" w:lineRule="auto"/>
        <w:ind w:left="573" w:right="0"/>
        <w:jc w:val="left"/>
      </w:pPr>
      <w:r>
        <w:rPr/>
        <w:t>②财务担保合同</w:t>
      </w:r>
    </w:p>
    <w:p>
      <w:pPr>
        <w:spacing w:line="240" w:lineRule="auto" w:before="9"/>
        <w:rPr>
          <w:rFonts w:ascii="宋体" w:hAnsi="宋体" w:cs="宋体" w:eastAsia="宋体" w:hint="default"/>
          <w:sz w:val="26"/>
          <w:szCs w:val="26"/>
        </w:rPr>
      </w:pPr>
    </w:p>
    <w:p>
      <w:pPr>
        <w:pStyle w:val="BodyText"/>
        <w:spacing w:line="398" w:lineRule="auto"/>
        <w:ind w:right="1129" w:firstLine="420"/>
        <w:jc w:val="both"/>
      </w:pPr>
      <w:r>
        <w:rPr>
          <w:spacing w:val="-1"/>
        </w:rPr>
        <w:t>不属于指定为以公允价值计量且其变动计入当期损益的金融负债的财务担保合同，以公允价值进行初</w:t>
      </w:r>
      <w:r>
        <w:rPr/>
        <w:t> </w:t>
      </w:r>
      <w:r>
        <w:rPr>
          <w:spacing w:val="-1"/>
        </w:rPr>
        <w:t>始确认，在初始确认后按照《企业会计准则第</w:t>
      </w:r>
      <w:r>
        <w:rPr>
          <w:rFonts w:ascii="Arial" w:hAnsi="Arial" w:cs="Arial" w:eastAsia="Arial" w:hint="default"/>
          <w:spacing w:val="-1"/>
        </w:rPr>
        <w:t>13</w:t>
      </w:r>
      <w:r>
        <w:rPr>
          <w:spacing w:val="-1"/>
        </w:rPr>
        <w:t>号—或有事项》确定的金额和初始确认金额扣除按照《企</w:t>
      </w:r>
      <w:r>
        <w:rPr>
          <w:spacing w:val="-103"/>
        </w:rPr>
        <w:t> </w:t>
      </w:r>
      <w:r>
        <w:rPr>
          <w:spacing w:val="-103"/>
        </w:rPr>
      </w:r>
      <w:r>
        <w:rPr/>
        <w:t>业会计准则第</w:t>
      </w:r>
      <w:r>
        <w:rPr>
          <w:rFonts w:ascii="Arial" w:hAnsi="Arial" w:cs="Arial" w:eastAsia="Arial" w:hint="default"/>
        </w:rPr>
        <w:t>14</w:t>
      </w:r>
      <w:r>
        <w:rPr/>
        <w:t>号—收入》的原则确定的累计摊销额后的余额之中的较高者进行后续计量。</w:t>
      </w:r>
    </w:p>
    <w:p>
      <w:pPr>
        <w:pStyle w:val="BodyText"/>
        <w:spacing w:line="516" w:lineRule="auto" w:before="179"/>
        <w:ind w:left="573" w:right="0"/>
        <w:jc w:val="left"/>
      </w:pPr>
      <w:r>
        <w:rPr/>
        <w:t>（</w:t>
      </w:r>
      <w:r>
        <w:rPr>
          <w:rFonts w:ascii="Arial" w:hAnsi="Arial" w:cs="Arial" w:eastAsia="Arial" w:hint="default"/>
        </w:rPr>
        <w:t>6</w:t>
      </w:r>
      <w:r>
        <w:rPr/>
        <w:t>）金融负债的终止确认 </w:t>
      </w:r>
      <w:r>
        <w:rPr>
          <w:spacing w:val="-6"/>
        </w:rPr>
        <w:t>金融负债的现时义务全部或部分已经解除的，才能终止确认该金融负债或其一部分。本公司（债务人）</w:t>
      </w:r>
    </w:p>
    <w:p>
      <w:pPr>
        <w:pStyle w:val="BodyText"/>
        <w:spacing w:line="227" w:lineRule="exact"/>
        <w:ind w:right="0"/>
        <w:jc w:val="left"/>
      </w:pPr>
      <w:r>
        <w:rPr/>
        <w:t>与债权人之间签订协议，以承担新金融负债方式替换现存金融负债，且新金融负债与现存金融负债的合同</w:t>
      </w:r>
    </w:p>
    <w:p>
      <w:pPr>
        <w:spacing w:line="240" w:lineRule="auto" w:before="10"/>
        <w:rPr>
          <w:rFonts w:ascii="宋体" w:hAnsi="宋体" w:cs="宋体" w:eastAsia="宋体" w:hint="default"/>
          <w:sz w:val="14"/>
          <w:szCs w:val="14"/>
        </w:rPr>
      </w:pPr>
    </w:p>
    <w:p>
      <w:pPr>
        <w:pStyle w:val="BodyText"/>
        <w:spacing w:line="544" w:lineRule="auto"/>
        <w:ind w:left="573" w:right="0" w:hanging="420"/>
        <w:jc w:val="left"/>
      </w:pPr>
      <w:r>
        <w:rPr/>
        <w:t>条款实质上不同的，终止确认现存金融负债，并同时确认新金融负债。 </w:t>
      </w:r>
      <w:r>
        <w:rPr>
          <w:spacing w:val="-1"/>
        </w:rPr>
        <w:t>金融负债全部或部分终止确认的，将终止确认部分的账面价值与支付的对价（包括转出的非现金资产</w:t>
      </w:r>
    </w:p>
    <w:p>
      <w:pPr>
        <w:spacing w:after="0" w:line="544"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240" w:lineRule="auto" w:before="18"/>
        <w:ind w:right="0"/>
        <w:jc w:val="left"/>
      </w:pPr>
      <w:r>
        <w:rPr/>
        <w:t>或承担的新金融负债）之间的差额，计入当期损益。</w:t>
      </w:r>
    </w:p>
    <w:p>
      <w:pPr>
        <w:spacing w:line="240" w:lineRule="auto" w:before="9"/>
        <w:rPr>
          <w:rFonts w:ascii="宋体" w:hAnsi="宋体" w:cs="宋体" w:eastAsia="宋体" w:hint="default"/>
          <w:sz w:val="26"/>
          <w:szCs w:val="26"/>
        </w:rPr>
      </w:pPr>
    </w:p>
    <w:p>
      <w:pPr>
        <w:pStyle w:val="BodyText"/>
        <w:spacing w:line="516" w:lineRule="auto"/>
        <w:ind w:left="573" w:right="0"/>
        <w:jc w:val="left"/>
      </w:pPr>
      <w:r>
        <w:rPr/>
        <w:t>（</w:t>
      </w:r>
      <w:r>
        <w:rPr>
          <w:rFonts w:ascii="Arial" w:hAnsi="Arial" w:cs="Arial" w:eastAsia="Arial" w:hint="default"/>
        </w:rPr>
        <w:t>7</w:t>
      </w:r>
      <w:r>
        <w:rPr/>
        <w:t>）衍生工具及嵌入衍生工具 </w:t>
      </w:r>
      <w:r>
        <w:rPr>
          <w:spacing w:val="-1"/>
        </w:rPr>
        <w:t>衍生工具于相关合同签署日以公允价值进行初始计量，并以公允价值进行后续计量。除指定为套期工</w:t>
      </w:r>
    </w:p>
    <w:p>
      <w:pPr>
        <w:pStyle w:val="BodyText"/>
        <w:spacing w:line="227" w:lineRule="exact"/>
        <w:ind w:right="0"/>
        <w:jc w:val="left"/>
      </w:pPr>
      <w:r>
        <w:rPr/>
        <w:t>具且套期高度有效的衍生工具，其公允价值变动形成的利得或损失将根据套期关系的性质按照套期会计的</w:t>
      </w:r>
    </w:p>
    <w:p>
      <w:pPr>
        <w:spacing w:line="240" w:lineRule="auto" w:before="10"/>
        <w:rPr>
          <w:rFonts w:ascii="宋体" w:hAnsi="宋体" w:cs="宋体" w:eastAsia="宋体" w:hint="default"/>
          <w:sz w:val="14"/>
          <w:szCs w:val="14"/>
        </w:rPr>
      </w:pPr>
    </w:p>
    <w:p>
      <w:pPr>
        <w:pStyle w:val="BodyText"/>
        <w:spacing w:line="240" w:lineRule="auto"/>
        <w:ind w:right="0"/>
        <w:jc w:val="left"/>
      </w:pPr>
      <w:r>
        <w:rPr/>
        <w:t>要求确定计入损益的期间外，其余衍生工具的公允价值变动计入当期损益。</w:t>
      </w:r>
    </w:p>
    <w:p>
      <w:pPr>
        <w:spacing w:line="240" w:lineRule="auto" w:before="9"/>
        <w:rPr>
          <w:rFonts w:ascii="宋体" w:hAnsi="宋体" w:cs="宋体" w:eastAsia="宋体" w:hint="default"/>
          <w:sz w:val="26"/>
          <w:szCs w:val="26"/>
        </w:rPr>
      </w:pPr>
    </w:p>
    <w:p>
      <w:pPr>
        <w:pStyle w:val="BodyText"/>
        <w:spacing w:line="408" w:lineRule="auto"/>
        <w:ind w:right="0" w:firstLine="420"/>
        <w:jc w:val="left"/>
      </w:pPr>
      <w:r>
        <w:rPr/>
        <w:t>对包含嵌入衍生工具的混合工具，如未指定为以公允价值计量且其变动计入当期损益的金融资产或金 融负债，嵌入衍生工具与该主合同在经济特征及风险方面不存在紧密关系，且与嵌入衍生工具条件相同，</w:t>
      </w:r>
      <w:r>
        <w:rPr>
          <w:spacing w:val="-35"/>
        </w:rPr>
        <w:t> </w:t>
      </w:r>
      <w:r>
        <w:rPr>
          <w:spacing w:val="-35"/>
        </w:rPr>
      </w:r>
      <w:r>
        <w:rPr/>
        <w:t>单独存在的工具符合衍生工具定义的，嵌入衍生工具从混合工具中分拆，作为单独的衍生金融工具处理。</w:t>
      </w:r>
      <w:r>
        <w:rPr>
          <w:spacing w:val="-35"/>
        </w:rPr>
        <w:t> </w:t>
      </w:r>
      <w:r>
        <w:rPr>
          <w:spacing w:val="-35"/>
        </w:rPr>
      </w:r>
      <w:r>
        <w:rPr/>
        <w:t>如果无法在取得时或后续的资产负债表日对嵌入衍生工具进行单独计量，则将混合工具整体指定为以公允</w:t>
      </w:r>
      <w:r>
        <w:rPr/>
        <w:t> 价值计量且其变动计入当期损益的金融资产或金融负债。</w:t>
      </w:r>
    </w:p>
    <w:p>
      <w:pPr>
        <w:spacing w:line="240" w:lineRule="auto" w:before="6"/>
        <w:rPr>
          <w:rFonts w:ascii="宋体" w:hAnsi="宋体" w:cs="宋体" w:eastAsia="宋体" w:hint="default"/>
          <w:sz w:val="15"/>
          <w:szCs w:val="15"/>
        </w:rPr>
      </w:pPr>
    </w:p>
    <w:p>
      <w:pPr>
        <w:pStyle w:val="BodyText"/>
        <w:spacing w:line="516" w:lineRule="auto"/>
        <w:ind w:left="573" w:right="0"/>
        <w:jc w:val="left"/>
      </w:pPr>
      <w:r>
        <w:rPr/>
        <w:t>（</w:t>
      </w:r>
      <w:r>
        <w:rPr>
          <w:rFonts w:ascii="Arial" w:hAnsi="Arial" w:cs="Arial" w:eastAsia="Arial" w:hint="default"/>
        </w:rPr>
        <w:t>8</w:t>
      </w:r>
      <w:r>
        <w:rPr/>
        <w:t>）金融资产和金融负债的抵销 </w:t>
      </w:r>
      <w:r>
        <w:rPr>
          <w:spacing w:val="-1"/>
        </w:rPr>
        <w:t>当本公司具有抵销已确认金融资产和金融负债的法定权利，且目前可执行该种法定权利，同时本公司</w:t>
      </w:r>
    </w:p>
    <w:p>
      <w:pPr>
        <w:pStyle w:val="BodyText"/>
        <w:spacing w:line="226" w:lineRule="exact"/>
        <w:ind w:right="0"/>
        <w:jc w:val="left"/>
      </w:pPr>
      <w:r>
        <w:rPr/>
        <w:t>计划以净额结算或同时变现该金融资产和清偿该金融负债时，金融资产和金融负债以相互抵销后的金额在</w:t>
      </w:r>
    </w:p>
    <w:p>
      <w:pPr>
        <w:spacing w:line="240" w:lineRule="auto" w:before="10"/>
        <w:rPr>
          <w:rFonts w:ascii="宋体" w:hAnsi="宋体" w:cs="宋体" w:eastAsia="宋体" w:hint="default"/>
          <w:sz w:val="14"/>
          <w:szCs w:val="14"/>
        </w:rPr>
      </w:pPr>
    </w:p>
    <w:p>
      <w:pPr>
        <w:pStyle w:val="BodyText"/>
        <w:spacing w:line="240" w:lineRule="auto"/>
        <w:ind w:right="0"/>
        <w:jc w:val="left"/>
      </w:pPr>
      <w:r>
        <w:rPr/>
        <w:t>资产负债表内列示。除此以外，金融资产和金融负债在资产负债表内分别列示，不予相互抵销。</w:t>
      </w:r>
    </w:p>
    <w:p>
      <w:pPr>
        <w:spacing w:line="240" w:lineRule="auto" w:before="9"/>
        <w:rPr>
          <w:rFonts w:ascii="宋体" w:hAnsi="宋体" w:cs="宋体" w:eastAsia="宋体" w:hint="default"/>
          <w:sz w:val="26"/>
          <w:szCs w:val="26"/>
        </w:rPr>
      </w:pPr>
    </w:p>
    <w:p>
      <w:pPr>
        <w:pStyle w:val="BodyText"/>
        <w:spacing w:line="516" w:lineRule="auto"/>
        <w:ind w:left="573" w:right="0"/>
        <w:jc w:val="left"/>
      </w:pPr>
      <w:r>
        <w:rPr/>
        <w:t>（</w:t>
      </w:r>
      <w:r>
        <w:rPr>
          <w:rFonts w:ascii="Arial" w:hAnsi="Arial" w:cs="Arial" w:eastAsia="Arial" w:hint="default"/>
        </w:rPr>
        <w:t>9</w:t>
      </w:r>
      <w:r>
        <w:rPr/>
        <w:t>）权益工具 </w:t>
      </w:r>
      <w:r>
        <w:rPr>
          <w:spacing w:val="-1"/>
        </w:rPr>
        <w:t>权益工具是指能证明拥有本公司在扣除所有负债后的资产中的剩余权益的合同。本公司发行（含再融</w:t>
      </w:r>
    </w:p>
    <w:p>
      <w:pPr>
        <w:pStyle w:val="BodyText"/>
        <w:spacing w:line="226" w:lineRule="exact"/>
        <w:ind w:right="0"/>
        <w:jc w:val="left"/>
      </w:pPr>
      <w:r>
        <w:rPr/>
        <w:t>资）、回购、出售或注销权益工具作为权益的变动处理。本公司不确认权益工具的公允价值变动。与权益</w:t>
      </w:r>
    </w:p>
    <w:p>
      <w:pPr>
        <w:spacing w:line="240" w:lineRule="auto" w:before="10"/>
        <w:rPr>
          <w:rFonts w:ascii="宋体" w:hAnsi="宋体" w:cs="宋体" w:eastAsia="宋体" w:hint="default"/>
          <w:sz w:val="14"/>
          <w:szCs w:val="14"/>
        </w:rPr>
      </w:pPr>
    </w:p>
    <w:p>
      <w:pPr>
        <w:pStyle w:val="BodyText"/>
        <w:spacing w:line="240" w:lineRule="auto"/>
        <w:ind w:right="0"/>
        <w:jc w:val="left"/>
      </w:pPr>
      <w:r>
        <w:rPr/>
        <w:t>性交易相关的交易费用从权益中扣减。</w:t>
      </w:r>
    </w:p>
    <w:p>
      <w:pPr>
        <w:spacing w:line="240" w:lineRule="auto" w:before="9"/>
        <w:rPr>
          <w:rFonts w:ascii="宋体" w:hAnsi="宋体" w:cs="宋体" w:eastAsia="宋体" w:hint="default"/>
          <w:sz w:val="26"/>
          <w:szCs w:val="26"/>
        </w:rPr>
      </w:pPr>
    </w:p>
    <w:p>
      <w:pPr>
        <w:pStyle w:val="BodyText"/>
        <w:spacing w:line="408" w:lineRule="auto"/>
        <w:ind w:right="0" w:firstLine="420"/>
        <w:jc w:val="left"/>
      </w:pPr>
      <w:r>
        <w:rPr>
          <w:spacing w:val="-1"/>
        </w:rPr>
        <w:t>本公司对权益工具持有方的各种分配（不包括股票股利），减少股东权益。本公司不确认权益工具的</w:t>
      </w:r>
      <w:r>
        <w:rPr/>
        <w:t> 公允价值变动额。</w:t>
      </w:r>
    </w:p>
    <w:p>
      <w:pPr>
        <w:spacing w:line="453" w:lineRule="auto" w:before="135"/>
        <w:ind w:left="573" w:right="6553" w:firstLine="0"/>
        <w:jc w:val="left"/>
        <w:rPr>
          <w:rFonts w:ascii="宋体" w:hAnsi="宋体" w:cs="宋体" w:eastAsia="宋体" w:hint="default"/>
          <w:sz w:val="21"/>
          <w:szCs w:val="21"/>
        </w:rPr>
      </w:pPr>
      <w:r>
        <w:rPr>
          <w:rFonts w:ascii="Trebuchet MS" w:hAnsi="Trebuchet MS" w:cs="Trebuchet MS" w:eastAsia="Trebuchet MS" w:hint="default"/>
          <w:b/>
          <w:bCs/>
          <w:sz w:val="21"/>
          <w:szCs w:val="21"/>
        </w:rPr>
        <w:t>9</w:t>
      </w:r>
      <w:r>
        <w:rPr>
          <w:rFonts w:ascii="Microsoft JhengHei" w:hAnsi="Microsoft JhengHei" w:cs="Microsoft JhengHei" w:eastAsia="Microsoft JhengHei" w:hint="default"/>
          <w:b/>
          <w:bCs/>
          <w:sz w:val="21"/>
          <w:szCs w:val="21"/>
        </w:rPr>
        <w:t>、应收款项 </w:t>
      </w:r>
      <w:r>
        <w:rPr>
          <w:rFonts w:ascii="宋体" w:hAnsi="宋体" w:cs="宋体" w:eastAsia="宋体" w:hint="default"/>
          <w:sz w:val="21"/>
          <w:szCs w:val="21"/>
        </w:rPr>
        <w:t>应收款项包括应收账款、其他应收款等。</w:t>
      </w:r>
    </w:p>
    <w:p>
      <w:pPr>
        <w:pStyle w:val="BodyText"/>
        <w:spacing w:line="516" w:lineRule="auto" w:before="162"/>
        <w:ind w:left="573" w:right="0"/>
        <w:jc w:val="left"/>
      </w:pPr>
      <w:r>
        <w:rPr/>
        <w:t>（</w:t>
      </w:r>
      <w:r>
        <w:rPr>
          <w:rFonts w:ascii="Arial" w:hAnsi="Arial" w:cs="Arial" w:eastAsia="Arial" w:hint="default"/>
        </w:rPr>
        <w:t>1</w:t>
      </w:r>
      <w:r>
        <w:rPr/>
        <w:t>）坏账准备的确认标准 </w:t>
      </w:r>
      <w:r>
        <w:rPr>
          <w:spacing w:val="-1"/>
        </w:rPr>
        <w:t>本公司在资产负债表日对应收款项账面价值进行检查，对存在下列客观证据表明应收款项发生减值的，</w:t>
      </w:r>
    </w:p>
    <w:p>
      <w:pPr>
        <w:pStyle w:val="BodyText"/>
        <w:spacing w:line="226" w:lineRule="exact"/>
        <w:ind w:right="0"/>
        <w:jc w:val="left"/>
      </w:pPr>
      <w:r>
        <w:rPr/>
        <w:t>计提减值准备：①债务人发生严重的财务困难；②债务人违反合同条款（如偿付利息或本金发生违约或逾</w:t>
      </w:r>
    </w:p>
    <w:p>
      <w:pPr>
        <w:spacing w:line="240" w:lineRule="auto" w:before="10"/>
        <w:rPr>
          <w:rFonts w:ascii="宋体" w:hAnsi="宋体" w:cs="宋体" w:eastAsia="宋体" w:hint="default"/>
          <w:sz w:val="14"/>
          <w:szCs w:val="14"/>
        </w:rPr>
      </w:pPr>
    </w:p>
    <w:p>
      <w:pPr>
        <w:pStyle w:val="BodyText"/>
        <w:spacing w:line="240" w:lineRule="auto"/>
        <w:ind w:right="0"/>
        <w:jc w:val="left"/>
      </w:pPr>
      <w:r>
        <w:rPr/>
        <w:t>期等）； ③债务人很可能倒闭或进行其他财务重组；</w:t>
      </w:r>
      <w:r>
        <w:rPr>
          <w:spacing w:val="-2"/>
        </w:rPr>
        <w:t> </w:t>
      </w:r>
      <w:r>
        <w:rPr/>
        <w:t>④其他表明应收款项发生减值的客观依据。</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240" w:lineRule="auto" w:before="18"/>
        <w:ind w:left="633" w:right="1513"/>
        <w:jc w:val="left"/>
      </w:pPr>
      <w:r>
        <w:rPr/>
        <w:t>（</w:t>
      </w:r>
      <w:r>
        <w:rPr>
          <w:rFonts w:ascii="Arial" w:hAnsi="Arial" w:cs="Arial" w:eastAsia="Arial" w:hint="default"/>
        </w:rPr>
        <w:t>2</w:t>
      </w:r>
      <w:r>
        <w:rPr/>
        <w:t>）坏账准备的计提方法</w:t>
      </w:r>
    </w:p>
    <w:p>
      <w:pPr>
        <w:spacing w:line="240" w:lineRule="auto" w:before="7"/>
        <w:rPr>
          <w:rFonts w:ascii="宋体" w:hAnsi="宋体" w:cs="宋体" w:eastAsia="宋体" w:hint="default"/>
          <w:sz w:val="25"/>
          <w:szCs w:val="25"/>
        </w:rPr>
      </w:pPr>
    </w:p>
    <w:p>
      <w:pPr>
        <w:pStyle w:val="BodyText"/>
        <w:spacing w:line="240" w:lineRule="auto"/>
        <w:ind w:left="633" w:right="1513"/>
        <w:jc w:val="left"/>
      </w:pPr>
      <w:r>
        <w:rPr/>
        <w:t>①</w:t>
      </w:r>
      <w:r>
        <w:rPr>
          <w:spacing w:val="-1"/>
        </w:rPr>
        <w:t> </w:t>
      </w:r>
      <w:r>
        <w:rPr/>
        <w:t>单项金额重大并单项计提坏账准备的应收款项坏账准备的确认标准、计提方法</w:t>
      </w:r>
    </w:p>
    <w:p>
      <w:pPr>
        <w:spacing w:line="240" w:lineRule="auto" w:before="9"/>
        <w:rPr>
          <w:rFonts w:ascii="宋体" w:hAnsi="宋体" w:cs="宋体" w:eastAsia="宋体" w:hint="default"/>
          <w:sz w:val="26"/>
          <w:szCs w:val="26"/>
        </w:rPr>
      </w:pPr>
    </w:p>
    <w:p>
      <w:pPr>
        <w:pStyle w:val="BodyText"/>
        <w:spacing w:line="388" w:lineRule="auto"/>
        <w:ind w:left="214" w:right="1132" w:firstLine="420"/>
        <w:jc w:val="both"/>
      </w:pPr>
      <w:r>
        <w:rPr>
          <w:rFonts w:ascii="Arial" w:hAnsi="Arial" w:cs="Arial" w:eastAsia="Arial" w:hint="default"/>
        </w:rPr>
        <w:t>A</w:t>
      </w:r>
      <w:r>
        <w:rPr/>
        <w:t>．深圳市彩梦科技有限公司（以下简称“彩梦科技公司”）及其子公司将金额为人民币</w:t>
      </w:r>
      <w:r>
        <w:rPr>
          <w:rFonts w:ascii="Arial" w:hAnsi="Arial" w:cs="Arial" w:eastAsia="Arial" w:hint="default"/>
        </w:rPr>
        <w:t>300</w:t>
      </w:r>
      <w:r>
        <w:rPr/>
        <w:t>万元及 </w:t>
      </w:r>
      <w:r>
        <w:rPr>
          <w:w w:val="95"/>
        </w:rPr>
        <w:t>以上且超过期末应收账款余额</w:t>
      </w:r>
      <w:r>
        <w:rPr>
          <w:rFonts w:ascii="Arial" w:hAnsi="Arial" w:cs="Arial" w:eastAsia="Arial" w:hint="default"/>
          <w:w w:val="95"/>
        </w:rPr>
        <w:t>10%</w:t>
      </w:r>
      <w:r>
        <w:rPr>
          <w:w w:val="95"/>
        </w:rPr>
        <w:t>的应收账款项确认为单项金额重大的应收款项。单项金额重大的其他应</w:t>
      </w:r>
      <w:r>
        <w:rPr>
          <w:spacing w:val="60"/>
          <w:w w:val="95"/>
        </w:rPr>
        <w:t> </w:t>
      </w:r>
      <w:r>
        <w:rPr>
          <w:spacing w:val="60"/>
          <w:w w:val="95"/>
        </w:rPr>
      </w:r>
      <w:r>
        <w:rPr/>
        <w:t>收款是指期末余额</w:t>
      </w:r>
      <w:r>
        <w:rPr>
          <w:rFonts w:ascii="Arial" w:hAnsi="Arial" w:cs="Arial" w:eastAsia="Arial" w:hint="default"/>
        </w:rPr>
        <w:t>200</w:t>
      </w:r>
      <w:r>
        <w:rPr/>
        <w:t>万元及以上的其他应收款。</w:t>
      </w:r>
    </w:p>
    <w:p>
      <w:pPr>
        <w:spacing w:line="240" w:lineRule="auto" w:before="6"/>
        <w:rPr>
          <w:rFonts w:ascii="宋体" w:hAnsi="宋体" w:cs="宋体" w:eastAsia="宋体" w:hint="default"/>
          <w:sz w:val="14"/>
          <w:szCs w:val="14"/>
        </w:rPr>
      </w:pPr>
    </w:p>
    <w:p>
      <w:pPr>
        <w:pStyle w:val="BodyText"/>
        <w:spacing w:line="388" w:lineRule="auto"/>
        <w:ind w:left="214" w:right="1129" w:firstLine="420"/>
        <w:jc w:val="both"/>
      </w:pPr>
      <w:r>
        <w:rPr>
          <w:rFonts w:ascii="Arial" w:hAnsi="Arial" w:cs="Arial" w:eastAsia="Arial" w:hint="default"/>
        </w:rPr>
        <w:t>B</w:t>
      </w:r>
      <w:r>
        <w:rPr/>
        <w:t>．迈奔灵动科技（北京）有限公司（以下简称“迈奔灵动公司”）及其子公司根据经营规模、业务 </w:t>
      </w:r>
      <w:r>
        <w:rPr>
          <w:spacing w:val="2"/>
        </w:rPr>
        <w:t>性质及客户结算状况等确定单项金额重大的应收账款标准为人民币</w:t>
      </w:r>
      <w:r>
        <w:rPr>
          <w:rFonts w:ascii="Arial" w:hAnsi="Arial" w:cs="Arial" w:eastAsia="Arial" w:hint="default"/>
          <w:spacing w:val="2"/>
        </w:rPr>
        <w:t>50</w:t>
      </w:r>
      <w:r>
        <w:rPr>
          <w:spacing w:val="2"/>
        </w:rPr>
        <w:t>万元，其他应收款标准为人民币</w:t>
      </w:r>
      <w:r>
        <w:rPr>
          <w:rFonts w:ascii="Arial" w:hAnsi="Arial" w:cs="Arial" w:eastAsia="Arial" w:hint="default"/>
          <w:spacing w:val="2"/>
        </w:rPr>
        <w:t>50</w:t>
      </w:r>
      <w:r>
        <w:rPr>
          <w:rFonts w:ascii="Arial" w:hAnsi="Arial" w:cs="Arial" w:eastAsia="Arial" w:hint="default"/>
          <w:spacing w:val="-24"/>
        </w:rPr>
        <w:t> </w:t>
      </w:r>
      <w:r>
        <w:rPr/>
        <w:t>万元。</w:t>
      </w:r>
    </w:p>
    <w:p>
      <w:pPr>
        <w:spacing w:line="240" w:lineRule="auto" w:before="10"/>
        <w:rPr>
          <w:rFonts w:ascii="宋体" w:hAnsi="宋体" w:cs="宋体" w:eastAsia="宋体" w:hint="default"/>
          <w:sz w:val="16"/>
          <w:szCs w:val="16"/>
        </w:rPr>
      </w:pPr>
    </w:p>
    <w:p>
      <w:pPr>
        <w:pStyle w:val="BodyText"/>
        <w:spacing w:line="388" w:lineRule="auto"/>
        <w:ind w:left="214" w:right="1134" w:firstLine="420"/>
        <w:jc w:val="both"/>
      </w:pPr>
      <w:r>
        <w:rPr>
          <w:rFonts w:ascii="Arial" w:hAnsi="Arial" w:cs="Arial" w:eastAsia="Arial" w:hint="default"/>
        </w:rPr>
        <w:t>C</w:t>
      </w:r>
      <w:r>
        <w:rPr/>
        <w:t>．除上述公司之外，本公司将金额为人民币</w:t>
      </w:r>
      <w:r>
        <w:rPr>
          <w:rFonts w:ascii="Arial" w:hAnsi="Arial" w:cs="Arial" w:eastAsia="Arial" w:hint="default"/>
        </w:rPr>
        <w:t>500</w:t>
      </w:r>
      <w:r>
        <w:rPr/>
        <w:t>万元以上的应收款项确认为单项金额重大的应收款 项。</w:t>
      </w:r>
    </w:p>
    <w:p>
      <w:pPr>
        <w:spacing w:line="240" w:lineRule="auto" w:before="10"/>
        <w:rPr>
          <w:rFonts w:ascii="宋体" w:hAnsi="宋体" w:cs="宋体" w:eastAsia="宋体" w:hint="default"/>
          <w:sz w:val="16"/>
          <w:szCs w:val="16"/>
        </w:rPr>
      </w:pPr>
    </w:p>
    <w:p>
      <w:pPr>
        <w:pStyle w:val="BodyText"/>
        <w:spacing w:line="408" w:lineRule="auto"/>
        <w:ind w:left="214" w:right="1131" w:firstLine="420"/>
        <w:jc w:val="both"/>
      </w:pPr>
      <w:r>
        <w:rPr>
          <w:spacing w:val="-1"/>
        </w:rPr>
        <w:t>本公司对单项金额重大的应收款项单独进行减值测试，单独测试未发生减值的金融资产，包括在具有</w:t>
      </w:r>
      <w:r>
        <w:rPr/>
        <w:t> </w:t>
      </w:r>
      <w:r>
        <w:rPr>
          <w:spacing w:val="-1"/>
        </w:rPr>
        <w:t>类似信用风险特征的金融资产组合中进行减值测试。单项测试已确认减值损失的应收款项，不再包括在具</w:t>
      </w:r>
      <w:r>
        <w:rPr>
          <w:spacing w:val="-81"/>
        </w:rPr>
        <w:t> </w:t>
      </w:r>
      <w:r>
        <w:rPr>
          <w:spacing w:val="-81"/>
        </w:rPr>
      </w:r>
      <w:r>
        <w:rPr/>
        <w:t>有类似信用风险特征的应收款项组合中进行减值测试。</w:t>
      </w:r>
    </w:p>
    <w:p>
      <w:pPr>
        <w:spacing w:line="240" w:lineRule="auto" w:before="6"/>
        <w:rPr>
          <w:rFonts w:ascii="宋体" w:hAnsi="宋体" w:cs="宋体" w:eastAsia="宋体" w:hint="default"/>
          <w:sz w:val="15"/>
          <w:szCs w:val="15"/>
        </w:rPr>
      </w:pPr>
    </w:p>
    <w:p>
      <w:pPr>
        <w:pStyle w:val="BodyText"/>
        <w:spacing w:line="544" w:lineRule="auto"/>
        <w:ind w:left="634" w:right="1513"/>
        <w:jc w:val="left"/>
      </w:pPr>
      <w:r>
        <w:rPr/>
        <w:t>② 按信用风险组合计提坏账准备的应收款项的确定依据、坏账准备计提方法 </w:t>
      </w:r>
      <w:r>
        <w:rPr>
          <w:rFonts w:ascii="Arial" w:hAnsi="Arial" w:cs="Arial" w:eastAsia="Arial" w:hint="default"/>
        </w:rPr>
        <w:t>A</w:t>
      </w:r>
      <w:r>
        <w:rPr/>
        <w:t>．信用风险特征组合的确定依据</w:t>
      </w:r>
    </w:p>
    <w:p>
      <w:pPr>
        <w:pStyle w:val="BodyText"/>
        <w:spacing w:line="408" w:lineRule="auto" w:before="36"/>
        <w:ind w:left="214" w:right="1131" w:firstLine="420"/>
        <w:jc w:val="both"/>
      </w:pPr>
      <w:r>
        <w:rPr>
          <w:spacing w:val="-1"/>
        </w:rPr>
        <w:t>本公司对单项金额不重大以及金额重大但单项测试未发生减值的应收款项，按信用风险特征的相似性</w:t>
      </w:r>
      <w:r>
        <w:rPr/>
        <w:t> </w:t>
      </w:r>
      <w:r>
        <w:rPr>
          <w:spacing w:val="-1"/>
        </w:rPr>
        <w:t>和相关性对金融资产进行分组。这些信用风险通常反映债务人按照该等资产的合同条款偿还所有到期金额</w:t>
      </w:r>
      <w:r>
        <w:rPr>
          <w:spacing w:val="-81"/>
        </w:rPr>
        <w:t> </w:t>
      </w:r>
      <w:r>
        <w:rPr>
          <w:spacing w:val="-81"/>
        </w:rPr>
      </w:r>
      <w:r>
        <w:rPr/>
        <w:t>的能力，并且与被检查资产的未来现金流量测算相关。</w:t>
      </w:r>
    </w:p>
    <w:p>
      <w:pPr>
        <w:spacing w:line="240" w:lineRule="auto" w:before="6"/>
        <w:rPr>
          <w:rFonts w:ascii="宋体" w:hAnsi="宋体" w:cs="宋体" w:eastAsia="宋体" w:hint="default"/>
          <w:sz w:val="15"/>
          <w:szCs w:val="15"/>
        </w:rPr>
      </w:pPr>
    </w:p>
    <w:p>
      <w:pPr>
        <w:pStyle w:val="BodyText"/>
        <w:spacing w:line="240" w:lineRule="auto"/>
        <w:ind w:left="634" w:right="1513"/>
        <w:jc w:val="left"/>
      </w:pPr>
      <w:r>
        <w:rPr/>
        <w:t>不同组合的确定依据：</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058"/>
        <w:gridCol w:w="6015"/>
      </w:tblGrid>
      <w:tr>
        <w:trPr>
          <w:trHeight w:val="322" w:hRule="exact"/>
        </w:trPr>
        <w:tc>
          <w:tcPr>
            <w:tcW w:w="305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6015"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107"/>
              <w:jc w:val="right"/>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323" w:hRule="exact"/>
        </w:trPr>
        <w:tc>
          <w:tcPr>
            <w:tcW w:w="305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left="108"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6015"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107"/>
              <w:jc w:val="right"/>
              <w:rPr>
                <w:rFonts w:ascii="宋体" w:hAnsi="宋体" w:cs="宋体" w:eastAsia="宋体" w:hint="default"/>
                <w:sz w:val="18"/>
                <w:szCs w:val="18"/>
              </w:rPr>
            </w:pPr>
            <w:r>
              <w:rPr>
                <w:rFonts w:ascii="宋体" w:hAnsi="宋体" w:cs="宋体" w:eastAsia="宋体" w:hint="default"/>
                <w:sz w:val="18"/>
                <w:szCs w:val="18"/>
              </w:rPr>
              <w:t>以应收款项的账龄为信用风险特征划分组合</w:t>
            </w:r>
          </w:p>
        </w:tc>
      </w:tr>
      <w:tr>
        <w:trPr>
          <w:trHeight w:val="322" w:hRule="exact"/>
        </w:trPr>
        <w:tc>
          <w:tcPr>
            <w:tcW w:w="305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保证金组合</w:t>
            </w:r>
          </w:p>
        </w:tc>
        <w:tc>
          <w:tcPr>
            <w:tcW w:w="6015"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107"/>
              <w:jc w:val="right"/>
              <w:rPr>
                <w:rFonts w:ascii="宋体" w:hAnsi="宋体" w:cs="宋体" w:eastAsia="宋体" w:hint="default"/>
                <w:sz w:val="18"/>
                <w:szCs w:val="18"/>
              </w:rPr>
            </w:pPr>
            <w:r>
              <w:rPr>
                <w:rFonts w:ascii="宋体" w:hAnsi="宋体" w:cs="宋体" w:eastAsia="宋体" w:hint="default"/>
                <w:sz w:val="18"/>
                <w:szCs w:val="18"/>
              </w:rPr>
              <w:t>以其他应收款的性质为信用风险特征划分组合</w:t>
            </w:r>
          </w:p>
        </w:tc>
      </w:tr>
    </w:tbl>
    <w:p>
      <w:pPr>
        <w:spacing w:line="240" w:lineRule="auto" w:before="0"/>
        <w:rPr>
          <w:rFonts w:ascii="宋体" w:hAnsi="宋体" w:cs="宋体" w:eastAsia="宋体" w:hint="default"/>
          <w:sz w:val="15"/>
          <w:szCs w:val="15"/>
        </w:rPr>
      </w:pPr>
    </w:p>
    <w:p>
      <w:pPr>
        <w:pStyle w:val="BodyText"/>
        <w:spacing w:line="516" w:lineRule="auto" w:before="18"/>
        <w:ind w:left="633" w:right="419" w:firstLine="480"/>
        <w:jc w:val="left"/>
      </w:pPr>
      <w:r>
        <w:rPr>
          <w:rFonts w:ascii="Arial" w:hAnsi="Arial" w:cs="Arial" w:eastAsia="Arial" w:hint="default"/>
        </w:rPr>
        <w:t>B</w:t>
      </w:r>
      <w:r>
        <w:rPr/>
        <w:t>．根据信用风险特征组合确定的坏账准备计提方法 </w:t>
      </w:r>
      <w:r>
        <w:rPr>
          <w:spacing w:val="-1"/>
        </w:rPr>
        <w:t>按组合方式实施减值测试时，坏账准备金额系根据应收款项组合结构及类似信用风险特征（债务人根</w:t>
      </w:r>
    </w:p>
    <w:p>
      <w:pPr>
        <w:pStyle w:val="BodyText"/>
        <w:spacing w:line="227" w:lineRule="exact"/>
        <w:ind w:left="213" w:right="419"/>
        <w:jc w:val="left"/>
      </w:pPr>
      <w:r>
        <w:rPr/>
        <w:t>据合同条款偿还欠款的能力）按历史损失经验及目前经济状况与预计应收款项组合中已经存在的损失评估</w:t>
      </w:r>
    </w:p>
    <w:p>
      <w:pPr>
        <w:spacing w:line="240" w:lineRule="auto" w:before="10"/>
        <w:rPr>
          <w:rFonts w:ascii="宋体" w:hAnsi="宋体" w:cs="宋体" w:eastAsia="宋体" w:hint="default"/>
          <w:sz w:val="14"/>
          <w:szCs w:val="14"/>
        </w:rPr>
      </w:pPr>
    </w:p>
    <w:p>
      <w:pPr>
        <w:pStyle w:val="BodyText"/>
        <w:spacing w:line="240" w:lineRule="auto"/>
        <w:ind w:left="213" w:right="1513"/>
        <w:jc w:val="left"/>
      </w:pPr>
      <w:r>
        <w:rPr/>
        <w:t>确定。</w:t>
      </w:r>
    </w:p>
    <w:p>
      <w:pPr>
        <w:spacing w:after="0" w:line="240" w:lineRule="auto"/>
        <w:jc w:val="left"/>
        <w:sectPr>
          <w:pgSz w:w="11910" w:h="16840"/>
          <w:pgMar w:header="877" w:footer="979" w:top="1100" w:bottom="1160" w:left="920" w:right="0"/>
        </w:sectPr>
      </w:pPr>
    </w:p>
    <w:p>
      <w:pPr>
        <w:spacing w:line="240" w:lineRule="auto" w:before="7"/>
        <w:rPr>
          <w:rFonts w:ascii="宋体" w:hAnsi="宋体" w:cs="宋体" w:eastAsia="宋体" w:hint="default"/>
          <w:sz w:val="27"/>
          <w:szCs w:val="27"/>
        </w:rPr>
      </w:pPr>
    </w:p>
    <w:p>
      <w:pPr>
        <w:pStyle w:val="BodyText"/>
        <w:spacing w:line="240" w:lineRule="auto" w:before="18"/>
        <w:ind w:left="633" w:right="1513"/>
        <w:jc w:val="left"/>
      </w:pPr>
      <w:r>
        <w:rPr/>
        <w:t>不同组合计提坏账准备的计提方法：</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058"/>
        <w:gridCol w:w="6015"/>
      </w:tblGrid>
      <w:tr>
        <w:trPr>
          <w:trHeight w:val="322" w:hRule="exact"/>
        </w:trPr>
        <w:tc>
          <w:tcPr>
            <w:tcW w:w="3058" w:type="dxa"/>
            <w:tcBorders>
              <w:top w:val="single" w:sz="4" w:space="0" w:color="5B9BD4"/>
              <w:left w:val="nil" w:sz="6" w:space="0" w:color="auto"/>
              <w:bottom w:val="single" w:sz="4" w:space="0" w:color="5B9BD4"/>
              <w:right w:val="nil" w:sz="6" w:space="0" w:color="auto"/>
            </w:tcBorders>
            <w:shd w:val="clear" w:color="auto" w:fill="DEEAF6"/>
          </w:tcPr>
          <w:p>
            <w:pPr>
              <w:pStyle w:val="TableParagraph"/>
              <w:tabs>
                <w:tab w:pos="538" w:val="left" w:leader="none"/>
              </w:tabs>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601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323" w:hRule="exact"/>
        </w:trPr>
        <w:tc>
          <w:tcPr>
            <w:tcW w:w="305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left="108"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6015"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107"/>
              <w:jc w:val="righ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322" w:hRule="exact"/>
        </w:trPr>
        <w:tc>
          <w:tcPr>
            <w:tcW w:w="305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保证金组合</w:t>
            </w:r>
          </w:p>
        </w:tc>
        <w:tc>
          <w:tcPr>
            <w:tcW w:w="6015"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107"/>
              <w:jc w:val="right"/>
              <w:rPr>
                <w:rFonts w:ascii="宋体" w:hAnsi="宋体" w:cs="宋体" w:eastAsia="宋体" w:hint="default"/>
                <w:sz w:val="18"/>
                <w:szCs w:val="18"/>
              </w:rPr>
            </w:pPr>
            <w:r>
              <w:rPr>
                <w:rFonts w:ascii="宋体" w:hAnsi="宋体" w:cs="宋体" w:eastAsia="宋体" w:hint="default"/>
                <w:sz w:val="18"/>
                <w:szCs w:val="18"/>
              </w:rPr>
              <w:t>不计提坏账准备</w:t>
            </w:r>
          </w:p>
        </w:tc>
      </w:tr>
    </w:tbl>
    <w:p>
      <w:pPr>
        <w:spacing w:line="240" w:lineRule="auto" w:before="0"/>
        <w:rPr>
          <w:rFonts w:ascii="宋体" w:hAnsi="宋体" w:cs="宋体" w:eastAsia="宋体" w:hint="default"/>
          <w:sz w:val="15"/>
          <w:szCs w:val="15"/>
        </w:rPr>
      </w:pPr>
    </w:p>
    <w:p>
      <w:pPr>
        <w:pStyle w:val="BodyText"/>
        <w:spacing w:line="240" w:lineRule="auto" w:before="18"/>
        <w:ind w:left="634" w:right="1513"/>
        <w:jc w:val="left"/>
      </w:pPr>
      <w:r>
        <w:rPr>
          <w:rFonts w:ascii="Arial" w:hAnsi="Arial" w:cs="Arial" w:eastAsia="Arial" w:hint="default"/>
        </w:rPr>
        <w:t>a</w:t>
      </w:r>
      <w:r>
        <w:rPr/>
        <w:t>．组合中，彩梦科技公司及其子公司采用账龄分析法计提坏账准备的组合计提方法</w:t>
      </w:r>
    </w:p>
    <w:p>
      <w:pPr>
        <w:spacing w:line="240" w:lineRule="auto" w:before="3"/>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3228"/>
        <w:gridCol w:w="3053"/>
        <w:gridCol w:w="2836"/>
      </w:tblGrid>
      <w:tr>
        <w:trPr>
          <w:trHeight w:val="317" w:hRule="exact"/>
        </w:trPr>
        <w:tc>
          <w:tcPr>
            <w:tcW w:w="3228" w:type="dxa"/>
            <w:tcBorders>
              <w:top w:val="single" w:sz="4" w:space="0" w:color="5B9BD4"/>
              <w:left w:val="nil" w:sz="6" w:space="0" w:color="auto"/>
              <w:bottom w:val="single" w:sz="4" w:space="0" w:color="5B9BD4"/>
              <w:right w:val="nil" w:sz="6" w:space="0" w:color="auto"/>
            </w:tcBorders>
            <w:shd w:val="clear" w:color="auto" w:fill="DEEAF6"/>
          </w:tcPr>
          <w:p>
            <w:pPr>
              <w:pStyle w:val="TableParagraph"/>
              <w:tabs>
                <w:tab w:pos="448" w:val="left" w:leader="none"/>
              </w:tabs>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账</w:t>
              <w:tab/>
              <w:t>龄</w:t>
            </w:r>
          </w:p>
        </w:tc>
        <w:tc>
          <w:tcPr>
            <w:tcW w:w="305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556" w:right="0"/>
              <w:jc w:val="left"/>
              <w:rPr>
                <w:rFonts w:ascii="宋体" w:hAnsi="宋体" w:cs="宋体" w:eastAsia="宋体" w:hint="default"/>
                <w:sz w:val="18"/>
                <w:szCs w:val="18"/>
              </w:rPr>
            </w:pPr>
            <w:r>
              <w:rPr>
                <w:rFonts w:ascii="宋体" w:hAnsi="宋体" w:cs="宋体" w:eastAsia="宋体" w:hint="default"/>
                <w:sz w:val="18"/>
                <w:szCs w:val="18"/>
              </w:rPr>
              <w:t>应收账款计提比例（</w:t>
            </w:r>
            <w:r>
              <w:rPr>
                <w:rFonts w:ascii="Arial" w:hAnsi="Arial" w:cs="Arial" w:eastAsia="Arial" w:hint="default"/>
                <w:sz w:val="18"/>
                <w:szCs w:val="18"/>
              </w:rPr>
              <w:t>%</w:t>
            </w:r>
            <w:r>
              <w:rPr>
                <w:rFonts w:ascii="宋体" w:hAnsi="宋体" w:cs="宋体" w:eastAsia="宋体" w:hint="default"/>
                <w:sz w:val="18"/>
                <w:szCs w:val="18"/>
              </w:rPr>
              <w:t>）</w:t>
            </w:r>
          </w:p>
        </w:tc>
        <w:tc>
          <w:tcPr>
            <w:tcW w:w="28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47" w:right="0"/>
              <w:jc w:val="left"/>
              <w:rPr>
                <w:rFonts w:ascii="宋体" w:hAnsi="宋体" w:cs="宋体" w:eastAsia="宋体" w:hint="default"/>
                <w:sz w:val="18"/>
                <w:szCs w:val="18"/>
              </w:rPr>
            </w:pPr>
            <w:r>
              <w:rPr>
                <w:rFonts w:ascii="宋体" w:hAnsi="宋体" w:cs="宋体" w:eastAsia="宋体" w:hint="default"/>
                <w:sz w:val="18"/>
                <w:szCs w:val="18"/>
              </w:rPr>
              <w:t>其他应收计提比例（</w:t>
            </w:r>
            <w:r>
              <w:rPr>
                <w:rFonts w:ascii="Arial" w:hAnsi="Arial" w:cs="Arial" w:eastAsia="Arial" w:hint="default"/>
                <w:sz w:val="18"/>
                <w:szCs w:val="18"/>
              </w:rPr>
              <w:t>%</w:t>
            </w:r>
            <w:r>
              <w:rPr>
                <w:rFonts w:ascii="宋体" w:hAnsi="宋体" w:cs="宋体" w:eastAsia="宋体" w:hint="default"/>
                <w:sz w:val="18"/>
                <w:szCs w:val="18"/>
              </w:rPr>
              <w:t>）</w:t>
            </w:r>
          </w:p>
        </w:tc>
      </w:tr>
      <w:tr>
        <w:trPr>
          <w:trHeight w:val="326" w:hRule="exact"/>
        </w:trPr>
        <w:tc>
          <w:tcPr>
            <w:tcW w:w="32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left="108"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年以内（含</w:t>
            </w:r>
            <w:r>
              <w:rPr>
                <w:rFonts w:ascii="Arial" w:hAnsi="Arial" w:cs="Arial" w:eastAsia="Arial" w:hint="default"/>
                <w:sz w:val="18"/>
                <w:szCs w:val="18"/>
              </w:rPr>
              <w:t>1</w:t>
            </w:r>
            <w:r>
              <w:rPr>
                <w:rFonts w:ascii="宋体" w:hAnsi="宋体" w:cs="宋体" w:eastAsia="宋体" w:hint="default"/>
                <w:sz w:val="18"/>
                <w:szCs w:val="18"/>
              </w:rPr>
              <w:t>年，下同）</w:t>
            </w:r>
          </w:p>
        </w:tc>
        <w:tc>
          <w:tcPr>
            <w:tcW w:w="3053"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w w:val="99"/>
                <w:sz w:val="18"/>
              </w:rPr>
              <w:t>5</w:t>
            </w:r>
            <w:r>
              <w:rPr>
                <w:rFonts w:ascii="Arial"/>
                <w:sz w:val="18"/>
              </w:rPr>
            </w:r>
          </w:p>
        </w:tc>
        <w:tc>
          <w:tcPr>
            <w:tcW w:w="28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2"/>
              <w:ind w:right="107"/>
              <w:jc w:val="right"/>
              <w:rPr>
                <w:rFonts w:ascii="Arial" w:hAnsi="Arial" w:cs="Arial" w:eastAsia="Arial" w:hint="default"/>
                <w:sz w:val="18"/>
                <w:szCs w:val="18"/>
              </w:rPr>
            </w:pPr>
            <w:r>
              <w:rPr>
                <w:rFonts w:ascii="Arial"/>
                <w:w w:val="99"/>
                <w:sz w:val="18"/>
              </w:rPr>
              <w:t>5</w:t>
            </w:r>
            <w:r>
              <w:rPr>
                <w:rFonts w:ascii="Arial"/>
                <w:sz w:val="18"/>
              </w:rPr>
            </w:r>
          </w:p>
        </w:tc>
      </w:tr>
      <w:tr>
        <w:trPr>
          <w:trHeight w:val="322" w:hRule="exact"/>
        </w:trPr>
        <w:tc>
          <w:tcPr>
            <w:tcW w:w="32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1-2</w:t>
            </w:r>
            <w:r>
              <w:rPr>
                <w:rFonts w:ascii="宋体" w:hAnsi="宋体" w:cs="宋体" w:eastAsia="宋体" w:hint="default"/>
                <w:sz w:val="18"/>
                <w:szCs w:val="18"/>
              </w:rPr>
              <w:t>年</w:t>
            </w:r>
          </w:p>
        </w:tc>
        <w:tc>
          <w:tcPr>
            <w:tcW w:w="3053"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spacing w:val="-1"/>
                <w:w w:val="95"/>
                <w:sz w:val="18"/>
              </w:rPr>
              <w:t>10</w:t>
            </w:r>
            <w:r>
              <w:rPr>
                <w:rFonts w:ascii="Arial"/>
                <w:sz w:val="18"/>
              </w:rPr>
            </w:r>
          </w:p>
        </w:tc>
        <w:tc>
          <w:tcPr>
            <w:tcW w:w="28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spacing w:val="-1"/>
                <w:w w:val="95"/>
                <w:sz w:val="18"/>
              </w:rPr>
              <w:t>10</w:t>
            </w:r>
            <w:r>
              <w:rPr>
                <w:rFonts w:ascii="Arial"/>
                <w:sz w:val="18"/>
              </w:rPr>
            </w:r>
          </w:p>
        </w:tc>
      </w:tr>
      <w:tr>
        <w:trPr>
          <w:trHeight w:val="322" w:hRule="exact"/>
        </w:trPr>
        <w:tc>
          <w:tcPr>
            <w:tcW w:w="32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Arial" w:hAnsi="Arial" w:cs="Arial" w:eastAsia="Arial" w:hint="default"/>
                <w:sz w:val="18"/>
                <w:szCs w:val="18"/>
              </w:rPr>
              <w:t>2-3</w:t>
            </w:r>
            <w:r>
              <w:rPr>
                <w:rFonts w:ascii="宋体" w:hAnsi="宋体" w:cs="宋体" w:eastAsia="宋体" w:hint="default"/>
                <w:sz w:val="18"/>
                <w:szCs w:val="18"/>
              </w:rPr>
              <w:t>年</w:t>
            </w:r>
          </w:p>
        </w:tc>
        <w:tc>
          <w:tcPr>
            <w:tcW w:w="3053"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spacing w:val="-1"/>
                <w:w w:val="95"/>
                <w:sz w:val="18"/>
              </w:rPr>
              <w:t>20</w:t>
            </w:r>
            <w:r>
              <w:rPr>
                <w:rFonts w:ascii="Arial"/>
                <w:sz w:val="18"/>
              </w:rPr>
            </w:r>
          </w:p>
        </w:tc>
        <w:tc>
          <w:tcPr>
            <w:tcW w:w="28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spacing w:val="-1"/>
                <w:w w:val="95"/>
                <w:sz w:val="18"/>
              </w:rPr>
              <w:t>30</w:t>
            </w:r>
            <w:r>
              <w:rPr>
                <w:rFonts w:ascii="Arial"/>
                <w:sz w:val="18"/>
              </w:rPr>
            </w:r>
          </w:p>
        </w:tc>
      </w:tr>
      <w:tr>
        <w:trPr>
          <w:trHeight w:val="322" w:hRule="exact"/>
        </w:trPr>
        <w:tc>
          <w:tcPr>
            <w:tcW w:w="32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3-4</w:t>
            </w:r>
            <w:r>
              <w:rPr>
                <w:rFonts w:ascii="宋体" w:hAnsi="宋体" w:cs="宋体" w:eastAsia="宋体" w:hint="default"/>
                <w:sz w:val="18"/>
                <w:szCs w:val="18"/>
              </w:rPr>
              <w:t>年</w:t>
            </w:r>
          </w:p>
        </w:tc>
        <w:tc>
          <w:tcPr>
            <w:tcW w:w="3053"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spacing w:val="-1"/>
                <w:w w:val="95"/>
                <w:sz w:val="18"/>
              </w:rPr>
              <w:t>100</w:t>
            </w:r>
            <w:r>
              <w:rPr>
                <w:rFonts w:ascii="Arial"/>
                <w:sz w:val="18"/>
              </w:rPr>
            </w:r>
          </w:p>
        </w:tc>
        <w:tc>
          <w:tcPr>
            <w:tcW w:w="28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spacing w:val="-1"/>
                <w:w w:val="95"/>
                <w:sz w:val="18"/>
              </w:rPr>
              <w:t>50</w:t>
            </w:r>
            <w:r>
              <w:rPr>
                <w:rFonts w:ascii="Arial"/>
                <w:sz w:val="18"/>
              </w:rPr>
            </w:r>
          </w:p>
        </w:tc>
      </w:tr>
      <w:tr>
        <w:trPr>
          <w:trHeight w:val="322" w:hRule="exact"/>
        </w:trPr>
        <w:tc>
          <w:tcPr>
            <w:tcW w:w="32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4-5</w:t>
            </w:r>
            <w:r>
              <w:rPr>
                <w:rFonts w:ascii="宋体" w:hAnsi="宋体" w:cs="宋体" w:eastAsia="宋体" w:hint="default"/>
                <w:sz w:val="18"/>
                <w:szCs w:val="18"/>
              </w:rPr>
              <w:t>年</w:t>
            </w:r>
          </w:p>
        </w:tc>
        <w:tc>
          <w:tcPr>
            <w:tcW w:w="3053"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spacing w:val="-1"/>
                <w:w w:val="95"/>
                <w:sz w:val="18"/>
              </w:rPr>
              <w:t>100</w:t>
            </w:r>
            <w:r>
              <w:rPr>
                <w:rFonts w:ascii="Arial"/>
                <w:sz w:val="18"/>
              </w:rPr>
            </w:r>
          </w:p>
        </w:tc>
        <w:tc>
          <w:tcPr>
            <w:tcW w:w="28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spacing w:val="-1"/>
                <w:w w:val="95"/>
                <w:sz w:val="18"/>
              </w:rPr>
              <w:t>80</w:t>
            </w:r>
            <w:r>
              <w:rPr>
                <w:rFonts w:ascii="Arial"/>
                <w:sz w:val="18"/>
              </w:rPr>
            </w:r>
          </w:p>
        </w:tc>
      </w:tr>
      <w:tr>
        <w:trPr>
          <w:trHeight w:val="322" w:hRule="exact"/>
        </w:trPr>
        <w:tc>
          <w:tcPr>
            <w:tcW w:w="32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年以上</w:t>
            </w:r>
          </w:p>
        </w:tc>
        <w:tc>
          <w:tcPr>
            <w:tcW w:w="3053"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spacing w:val="-1"/>
                <w:w w:val="95"/>
                <w:sz w:val="18"/>
              </w:rPr>
              <w:t>100</w:t>
            </w:r>
            <w:r>
              <w:rPr>
                <w:rFonts w:ascii="Arial"/>
                <w:sz w:val="18"/>
              </w:rPr>
            </w:r>
          </w:p>
        </w:tc>
        <w:tc>
          <w:tcPr>
            <w:tcW w:w="28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spacing w:val="-1"/>
                <w:w w:val="95"/>
                <w:sz w:val="18"/>
              </w:rPr>
              <w:t>100</w:t>
            </w:r>
            <w:r>
              <w:rPr>
                <w:rFonts w:ascii="Arial"/>
                <w:sz w:val="18"/>
              </w:rPr>
            </w:r>
          </w:p>
        </w:tc>
      </w:tr>
    </w:tbl>
    <w:p>
      <w:pPr>
        <w:spacing w:line="240" w:lineRule="auto" w:before="0"/>
        <w:rPr>
          <w:rFonts w:ascii="宋体" w:hAnsi="宋体" w:cs="宋体" w:eastAsia="宋体" w:hint="default"/>
          <w:sz w:val="15"/>
          <w:szCs w:val="15"/>
        </w:rPr>
      </w:pPr>
    </w:p>
    <w:p>
      <w:pPr>
        <w:pStyle w:val="BodyText"/>
        <w:spacing w:line="240" w:lineRule="auto" w:before="18"/>
        <w:ind w:left="634" w:right="1513"/>
        <w:jc w:val="left"/>
      </w:pPr>
      <w:r>
        <w:rPr>
          <w:rFonts w:ascii="Arial" w:hAnsi="Arial" w:cs="Arial" w:eastAsia="Arial" w:hint="default"/>
        </w:rPr>
        <w:t>b</w:t>
      </w:r>
      <w:r>
        <w:rPr/>
        <w:t>．组合中，除上述公司之外，本公司采用账龄分析法计提坏账准备的组合计提方法</w:t>
      </w:r>
    </w:p>
    <w:p>
      <w:pPr>
        <w:spacing w:line="240" w:lineRule="auto" w:before="2"/>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3228"/>
        <w:gridCol w:w="3053"/>
        <w:gridCol w:w="2836"/>
      </w:tblGrid>
      <w:tr>
        <w:trPr>
          <w:trHeight w:val="322" w:hRule="exact"/>
        </w:trPr>
        <w:tc>
          <w:tcPr>
            <w:tcW w:w="3228" w:type="dxa"/>
            <w:tcBorders>
              <w:top w:val="single" w:sz="4" w:space="0" w:color="5B9BD4"/>
              <w:left w:val="nil" w:sz="6" w:space="0" w:color="auto"/>
              <w:bottom w:val="single" w:sz="4" w:space="0" w:color="5B9BD4"/>
              <w:right w:val="nil" w:sz="6" w:space="0" w:color="auto"/>
            </w:tcBorders>
            <w:shd w:val="clear" w:color="auto" w:fill="DEEAF6"/>
          </w:tcPr>
          <w:p>
            <w:pPr>
              <w:pStyle w:val="TableParagraph"/>
              <w:tabs>
                <w:tab w:pos="448" w:val="left" w:leader="none"/>
              </w:tabs>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账</w:t>
              <w:tab/>
              <w:t>龄</w:t>
            </w:r>
          </w:p>
        </w:tc>
        <w:tc>
          <w:tcPr>
            <w:tcW w:w="305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556" w:right="0"/>
              <w:jc w:val="left"/>
              <w:rPr>
                <w:rFonts w:ascii="宋体" w:hAnsi="宋体" w:cs="宋体" w:eastAsia="宋体" w:hint="default"/>
                <w:sz w:val="18"/>
                <w:szCs w:val="18"/>
              </w:rPr>
            </w:pPr>
            <w:r>
              <w:rPr>
                <w:rFonts w:ascii="宋体" w:hAnsi="宋体" w:cs="宋体" w:eastAsia="宋体" w:hint="default"/>
                <w:sz w:val="18"/>
                <w:szCs w:val="18"/>
              </w:rPr>
              <w:t>应收账款计提比例（</w:t>
            </w:r>
            <w:r>
              <w:rPr>
                <w:rFonts w:ascii="Arial" w:hAnsi="Arial" w:cs="Arial" w:eastAsia="Arial" w:hint="default"/>
                <w:sz w:val="18"/>
                <w:szCs w:val="18"/>
              </w:rPr>
              <w:t>%</w:t>
            </w:r>
            <w:r>
              <w:rPr>
                <w:rFonts w:ascii="宋体" w:hAnsi="宋体" w:cs="宋体" w:eastAsia="宋体" w:hint="default"/>
                <w:sz w:val="18"/>
                <w:szCs w:val="18"/>
              </w:rPr>
              <w:t>）</w:t>
            </w:r>
          </w:p>
        </w:tc>
        <w:tc>
          <w:tcPr>
            <w:tcW w:w="28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47" w:right="0"/>
              <w:jc w:val="left"/>
              <w:rPr>
                <w:rFonts w:ascii="宋体" w:hAnsi="宋体" w:cs="宋体" w:eastAsia="宋体" w:hint="default"/>
                <w:sz w:val="18"/>
                <w:szCs w:val="18"/>
              </w:rPr>
            </w:pPr>
            <w:r>
              <w:rPr>
                <w:rFonts w:ascii="宋体" w:hAnsi="宋体" w:cs="宋体" w:eastAsia="宋体" w:hint="default"/>
                <w:sz w:val="18"/>
                <w:szCs w:val="18"/>
              </w:rPr>
              <w:t>其他应收计提比例（</w:t>
            </w:r>
            <w:r>
              <w:rPr>
                <w:rFonts w:ascii="Arial" w:hAnsi="Arial" w:cs="Arial" w:eastAsia="Arial" w:hint="default"/>
                <w:sz w:val="18"/>
                <w:szCs w:val="18"/>
              </w:rPr>
              <w:t>%</w:t>
            </w:r>
            <w:r>
              <w:rPr>
                <w:rFonts w:ascii="宋体" w:hAnsi="宋体" w:cs="宋体" w:eastAsia="宋体" w:hint="default"/>
                <w:sz w:val="18"/>
                <w:szCs w:val="18"/>
              </w:rPr>
              <w:t>）</w:t>
            </w:r>
          </w:p>
        </w:tc>
      </w:tr>
      <w:tr>
        <w:trPr>
          <w:trHeight w:val="322" w:hRule="exact"/>
        </w:trPr>
        <w:tc>
          <w:tcPr>
            <w:tcW w:w="32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年以内（含</w:t>
            </w:r>
            <w:r>
              <w:rPr>
                <w:rFonts w:ascii="Arial" w:hAnsi="Arial" w:cs="Arial" w:eastAsia="Arial" w:hint="default"/>
                <w:sz w:val="18"/>
                <w:szCs w:val="18"/>
              </w:rPr>
              <w:t>1</w:t>
            </w:r>
            <w:r>
              <w:rPr>
                <w:rFonts w:ascii="宋体" w:hAnsi="宋体" w:cs="宋体" w:eastAsia="宋体" w:hint="default"/>
                <w:sz w:val="18"/>
                <w:szCs w:val="18"/>
              </w:rPr>
              <w:t>年，下同）</w:t>
            </w:r>
          </w:p>
        </w:tc>
        <w:tc>
          <w:tcPr>
            <w:tcW w:w="3053"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spacing w:val="-1"/>
                <w:w w:val="95"/>
                <w:sz w:val="18"/>
              </w:rPr>
              <w:t>0-30</w:t>
            </w:r>
            <w:r>
              <w:rPr>
                <w:rFonts w:ascii="Arial"/>
                <w:sz w:val="18"/>
              </w:rPr>
            </w:r>
          </w:p>
        </w:tc>
        <w:tc>
          <w:tcPr>
            <w:tcW w:w="28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w w:val="99"/>
                <w:sz w:val="18"/>
              </w:rPr>
              <w:t>5</w:t>
            </w:r>
            <w:r>
              <w:rPr>
                <w:rFonts w:ascii="Arial"/>
                <w:sz w:val="18"/>
              </w:rPr>
            </w:r>
          </w:p>
        </w:tc>
      </w:tr>
      <w:tr>
        <w:trPr>
          <w:trHeight w:val="322" w:hRule="exact"/>
        </w:trPr>
        <w:tc>
          <w:tcPr>
            <w:tcW w:w="32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Arial" w:hAnsi="Arial" w:cs="Arial" w:eastAsia="Arial" w:hint="default"/>
                <w:sz w:val="18"/>
                <w:szCs w:val="18"/>
              </w:rPr>
              <w:t>3</w:t>
            </w:r>
            <w:r>
              <w:rPr>
                <w:rFonts w:ascii="宋体" w:hAnsi="宋体" w:cs="宋体" w:eastAsia="宋体" w:hint="default"/>
                <w:sz w:val="18"/>
                <w:szCs w:val="18"/>
              </w:rPr>
              <w:t>个月以内</w:t>
            </w:r>
          </w:p>
        </w:tc>
        <w:tc>
          <w:tcPr>
            <w:tcW w:w="3053"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w:t>
            </w:r>
            <w:r>
              <w:rPr>
                <w:rFonts w:ascii="Arial"/>
                <w:sz w:val="18"/>
              </w:rPr>
            </w:r>
          </w:p>
        </w:tc>
        <w:tc>
          <w:tcPr>
            <w:tcW w:w="28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w w:val="99"/>
                <w:sz w:val="18"/>
              </w:rPr>
              <w:t>5</w:t>
            </w:r>
            <w:r>
              <w:rPr>
                <w:rFonts w:ascii="Arial"/>
                <w:sz w:val="18"/>
              </w:rPr>
            </w:r>
          </w:p>
        </w:tc>
      </w:tr>
      <w:tr>
        <w:trPr>
          <w:trHeight w:val="322" w:hRule="exact"/>
        </w:trPr>
        <w:tc>
          <w:tcPr>
            <w:tcW w:w="32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3-6</w:t>
            </w:r>
            <w:r>
              <w:rPr>
                <w:rFonts w:ascii="宋体" w:hAnsi="宋体" w:cs="宋体" w:eastAsia="宋体" w:hint="default"/>
                <w:sz w:val="18"/>
                <w:szCs w:val="18"/>
              </w:rPr>
              <w:t>个月</w:t>
            </w:r>
          </w:p>
        </w:tc>
        <w:tc>
          <w:tcPr>
            <w:tcW w:w="3053"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spacing w:val="-1"/>
                <w:w w:val="95"/>
                <w:sz w:val="18"/>
              </w:rPr>
              <w:t>10</w:t>
            </w:r>
            <w:r>
              <w:rPr>
                <w:rFonts w:ascii="Arial"/>
                <w:sz w:val="18"/>
              </w:rPr>
            </w:r>
          </w:p>
        </w:tc>
        <w:tc>
          <w:tcPr>
            <w:tcW w:w="28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w w:val="99"/>
                <w:sz w:val="18"/>
              </w:rPr>
              <w:t>5</w:t>
            </w:r>
            <w:r>
              <w:rPr>
                <w:rFonts w:ascii="Arial"/>
                <w:sz w:val="18"/>
              </w:rPr>
            </w:r>
          </w:p>
        </w:tc>
      </w:tr>
      <w:tr>
        <w:trPr>
          <w:trHeight w:val="322" w:hRule="exact"/>
        </w:trPr>
        <w:tc>
          <w:tcPr>
            <w:tcW w:w="32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Arial" w:hAnsi="Arial" w:cs="Arial" w:eastAsia="Arial" w:hint="default"/>
                <w:sz w:val="18"/>
                <w:szCs w:val="18"/>
              </w:rPr>
              <w:t>6-12</w:t>
            </w:r>
            <w:r>
              <w:rPr>
                <w:rFonts w:ascii="宋体" w:hAnsi="宋体" w:cs="宋体" w:eastAsia="宋体" w:hint="default"/>
                <w:sz w:val="18"/>
                <w:szCs w:val="18"/>
              </w:rPr>
              <w:t>个月</w:t>
            </w:r>
          </w:p>
        </w:tc>
        <w:tc>
          <w:tcPr>
            <w:tcW w:w="3053"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spacing w:val="-1"/>
                <w:w w:val="95"/>
                <w:sz w:val="18"/>
              </w:rPr>
              <w:t>30</w:t>
            </w:r>
            <w:r>
              <w:rPr>
                <w:rFonts w:ascii="Arial"/>
                <w:sz w:val="18"/>
              </w:rPr>
            </w:r>
          </w:p>
        </w:tc>
        <w:tc>
          <w:tcPr>
            <w:tcW w:w="28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w w:val="99"/>
                <w:sz w:val="18"/>
              </w:rPr>
              <w:t>5</w:t>
            </w:r>
            <w:r>
              <w:rPr>
                <w:rFonts w:ascii="Arial"/>
                <w:sz w:val="18"/>
              </w:rPr>
            </w:r>
          </w:p>
        </w:tc>
      </w:tr>
      <w:tr>
        <w:trPr>
          <w:trHeight w:val="322" w:hRule="exact"/>
        </w:trPr>
        <w:tc>
          <w:tcPr>
            <w:tcW w:w="32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1-2</w:t>
            </w:r>
            <w:r>
              <w:rPr>
                <w:rFonts w:ascii="宋体" w:hAnsi="宋体" w:cs="宋体" w:eastAsia="宋体" w:hint="default"/>
                <w:sz w:val="18"/>
                <w:szCs w:val="18"/>
              </w:rPr>
              <w:t>年</w:t>
            </w:r>
          </w:p>
        </w:tc>
        <w:tc>
          <w:tcPr>
            <w:tcW w:w="3053"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spacing w:val="-1"/>
                <w:w w:val="95"/>
                <w:sz w:val="18"/>
              </w:rPr>
              <w:t>70</w:t>
            </w:r>
            <w:r>
              <w:rPr>
                <w:rFonts w:ascii="Arial"/>
                <w:sz w:val="18"/>
              </w:rPr>
            </w:r>
          </w:p>
        </w:tc>
        <w:tc>
          <w:tcPr>
            <w:tcW w:w="28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spacing w:val="-1"/>
                <w:w w:val="95"/>
                <w:sz w:val="18"/>
              </w:rPr>
              <w:t>10</w:t>
            </w:r>
            <w:r>
              <w:rPr>
                <w:rFonts w:ascii="Arial"/>
                <w:sz w:val="18"/>
              </w:rPr>
            </w:r>
          </w:p>
        </w:tc>
      </w:tr>
      <w:tr>
        <w:trPr>
          <w:trHeight w:val="323" w:hRule="exact"/>
        </w:trPr>
        <w:tc>
          <w:tcPr>
            <w:tcW w:w="32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Arial" w:hAnsi="Arial" w:cs="Arial" w:eastAsia="Arial" w:hint="default"/>
                <w:sz w:val="18"/>
                <w:szCs w:val="18"/>
              </w:rPr>
              <w:t>2-3</w:t>
            </w:r>
            <w:r>
              <w:rPr>
                <w:rFonts w:ascii="宋体" w:hAnsi="宋体" w:cs="宋体" w:eastAsia="宋体" w:hint="default"/>
                <w:sz w:val="18"/>
                <w:szCs w:val="18"/>
              </w:rPr>
              <w:t>年</w:t>
            </w:r>
          </w:p>
        </w:tc>
        <w:tc>
          <w:tcPr>
            <w:tcW w:w="3053"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spacing w:val="-1"/>
                <w:w w:val="95"/>
                <w:sz w:val="18"/>
              </w:rPr>
              <w:t>100</w:t>
            </w:r>
            <w:r>
              <w:rPr>
                <w:rFonts w:ascii="Arial"/>
                <w:sz w:val="18"/>
              </w:rPr>
            </w:r>
          </w:p>
        </w:tc>
        <w:tc>
          <w:tcPr>
            <w:tcW w:w="28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spacing w:val="-1"/>
                <w:w w:val="95"/>
                <w:sz w:val="18"/>
              </w:rPr>
              <w:t>30</w:t>
            </w:r>
            <w:r>
              <w:rPr>
                <w:rFonts w:ascii="Arial"/>
                <w:sz w:val="18"/>
              </w:rPr>
            </w:r>
          </w:p>
        </w:tc>
      </w:tr>
      <w:tr>
        <w:trPr>
          <w:trHeight w:val="322" w:hRule="exact"/>
        </w:trPr>
        <w:tc>
          <w:tcPr>
            <w:tcW w:w="32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Arial" w:hAnsi="Arial" w:cs="Arial" w:eastAsia="Arial" w:hint="default"/>
                <w:sz w:val="18"/>
                <w:szCs w:val="18"/>
              </w:rPr>
              <w:t>3-4</w:t>
            </w:r>
            <w:r>
              <w:rPr>
                <w:rFonts w:ascii="宋体" w:hAnsi="宋体" w:cs="宋体" w:eastAsia="宋体" w:hint="default"/>
                <w:sz w:val="18"/>
                <w:szCs w:val="18"/>
              </w:rPr>
              <w:t>年</w:t>
            </w:r>
          </w:p>
        </w:tc>
        <w:tc>
          <w:tcPr>
            <w:tcW w:w="3053"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spacing w:val="-1"/>
                <w:w w:val="95"/>
                <w:sz w:val="18"/>
              </w:rPr>
              <w:t>100</w:t>
            </w:r>
            <w:r>
              <w:rPr>
                <w:rFonts w:ascii="Arial"/>
                <w:sz w:val="18"/>
              </w:rPr>
            </w:r>
          </w:p>
        </w:tc>
        <w:tc>
          <w:tcPr>
            <w:tcW w:w="28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spacing w:val="-1"/>
                <w:w w:val="95"/>
                <w:sz w:val="18"/>
              </w:rPr>
              <w:t>50</w:t>
            </w:r>
            <w:r>
              <w:rPr>
                <w:rFonts w:ascii="Arial"/>
                <w:sz w:val="18"/>
              </w:rPr>
            </w:r>
          </w:p>
        </w:tc>
      </w:tr>
      <w:tr>
        <w:trPr>
          <w:trHeight w:val="322" w:hRule="exact"/>
        </w:trPr>
        <w:tc>
          <w:tcPr>
            <w:tcW w:w="32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4-5</w:t>
            </w:r>
            <w:r>
              <w:rPr>
                <w:rFonts w:ascii="宋体" w:hAnsi="宋体" w:cs="宋体" w:eastAsia="宋体" w:hint="default"/>
                <w:sz w:val="18"/>
                <w:szCs w:val="18"/>
              </w:rPr>
              <w:t>年</w:t>
            </w:r>
          </w:p>
        </w:tc>
        <w:tc>
          <w:tcPr>
            <w:tcW w:w="3053"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spacing w:val="-1"/>
                <w:w w:val="95"/>
                <w:sz w:val="18"/>
              </w:rPr>
              <w:t>100</w:t>
            </w:r>
            <w:r>
              <w:rPr>
                <w:rFonts w:ascii="Arial"/>
                <w:sz w:val="18"/>
              </w:rPr>
            </w:r>
          </w:p>
        </w:tc>
        <w:tc>
          <w:tcPr>
            <w:tcW w:w="28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spacing w:val="-1"/>
                <w:w w:val="95"/>
                <w:sz w:val="18"/>
              </w:rPr>
              <w:t>80</w:t>
            </w:r>
            <w:r>
              <w:rPr>
                <w:rFonts w:ascii="Arial"/>
                <w:sz w:val="18"/>
              </w:rPr>
            </w:r>
          </w:p>
        </w:tc>
      </w:tr>
      <w:tr>
        <w:trPr>
          <w:trHeight w:val="323" w:hRule="exact"/>
        </w:trPr>
        <w:tc>
          <w:tcPr>
            <w:tcW w:w="32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年以上</w:t>
            </w:r>
          </w:p>
        </w:tc>
        <w:tc>
          <w:tcPr>
            <w:tcW w:w="3053"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spacing w:val="-1"/>
                <w:w w:val="95"/>
                <w:sz w:val="18"/>
              </w:rPr>
              <w:t>100</w:t>
            </w:r>
            <w:r>
              <w:rPr>
                <w:rFonts w:ascii="Arial"/>
                <w:sz w:val="18"/>
              </w:rPr>
            </w:r>
          </w:p>
        </w:tc>
        <w:tc>
          <w:tcPr>
            <w:tcW w:w="28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spacing w:val="-1"/>
                <w:w w:val="95"/>
                <w:sz w:val="18"/>
              </w:rPr>
              <w:t>100</w:t>
            </w:r>
            <w:r>
              <w:rPr>
                <w:rFonts w:ascii="Arial"/>
                <w:sz w:val="18"/>
              </w:rPr>
            </w:r>
          </w:p>
        </w:tc>
      </w:tr>
    </w:tbl>
    <w:p>
      <w:pPr>
        <w:spacing w:line="240" w:lineRule="auto" w:before="0"/>
        <w:rPr>
          <w:rFonts w:ascii="宋体" w:hAnsi="宋体" w:cs="宋体" w:eastAsia="宋体" w:hint="default"/>
          <w:sz w:val="15"/>
          <w:szCs w:val="15"/>
        </w:rPr>
      </w:pPr>
    </w:p>
    <w:p>
      <w:pPr>
        <w:pStyle w:val="BodyText"/>
        <w:spacing w:line="240" w:lineRule="auto" w:before="18"/>
        <w:ind w:left="634" w:right="1513"/>
        <w:jc w:val="left"/>
      </w:pPr>
      <w:r>
        <w:rPr/>
        <w:t>③</w:t>
      </w:r>
      <w:r>
        <w:rPr>
          <w:spacing w:val="-1"/>
        </w:rPr>
        <w:t> </w:t>
      </w:r>
      <w:r>
        <w:rPr/>
        <w:t>单项金额虽不重大但单项计提坏账准备的应收款项</w:t>
      </w:r>
    </w:p>
    <w:p>
      <w:pPr>
        <w:spacing w:line="240" w:lineRule="auto" w:before="9"/>
        <w:rPr>
          <w:rFonts w:ascii="宋体" w:hAnsi="宋体" w:cs="宋体" w:eastAsia="宋体" w:hint="default"/>
          <w:sz w:val="26"/>
          <w:szCs w:val="26"/>
        </w:rPr>
      </w:pPr>
    </w:p>
    <w:p>
      <w:pPr>
        <w:pStyle w:val="BodyText"/>
        <w:spacing w:line="408" w:lineRule="auto"/>
        <w:ind w:left="214" w:right="419" w:firstLine="420"/>
        <w:jc w:val="left"/>
      </w:pPr>
      <w:r>
        <w:rPr>
          <w:spacing w:val="-1"/>
        </w:rPr>
        <w:t>本公司对于单项金额虽不重大但具备以下特征的应收款项，单独进行减值测试，有客观证据表明其发</w:t>
      </w:r>
      <w:r>
        <w:rPr/>
        <w:t> 生了减值的，根据其未来现金流量现值低于其账面价值的差额，确认减值损失，计提坏账准备：</w:t>
      </w:r>
    </w:p>
    <w:p>
      <w:pPr>
        <w:spacing w:line="240" w:lineRule="auto" w:before="6"/>
        <w:rPr>
          <w:rFonts w:ascii="宋体" w:hAnsi="宋体" w:cs="宋体" w:eastAsia="宋体" w:hint="default"/>
          <w:sz w:val="15"/>
          <w:szCs w:val="15"/>
        </w:rPr>
      </w:pPr>
    </w:p>
    <w:p>
      <w:pPr>
        <w:pStyle w:val="BodyText"/>
        <w:spacing w:line="516" w:lineRule="auto"/>
        <w:ind w:left="634" w:right="1513"/>
        <w:jc w:val="left"/>
      </w:pPr>
      <w:r>
        <w:rPr>
          <w:rFonts w:ascii="Arial" w:hAnsi="Arial" w:cs="Arial" w:eastAsia="Arial" w:hint="default"/>
        </w:rPr>
        <w:t>A</w:t>
      </w:r>
      <w:r>
        <w:rPr/>
        <w:t>．与对方存在争议或涉及诉讼、仲裁的应收款项；</w:t>
      </w:r>
      <w:r>
        <w:rPr>
          <w:spacing w:val="-91"/>
        </w:rPr>
        <w:t> </w:t>
      </w:r>
      <w:r>
        <w:rPr>
          <w:spacing w:val="-91"/>
        </w:rPr>
      </w:r>
      <w:r>
        <w:rPr>
          <w:rFonts w:ascii="Arial" w:hAnsi="Arial" w:cs="Arial" w:eastAsia="Arial" w:hint="default"/>
          <w:w w:val="95"/>
        </w:rPr>
        <w:t>B</w:t>
      </w:r>
      <w:r>
        <w:rPr>
          <w:w w:val="95"/>
        </w:rPr>
        <w:t>．已有明显迹象表明债务人很可能无法履行还款义务的应收款项。</w:t>
      </w:r>
    </w:p>
    <w:p>
      <w:pPr>
        <w:pStyle w:val="BodyText"/>
        <w:spacing w:line="516" w:lineRule="auto" w:before="64"/>
        <w:ind w:left="633" w:right="419"/>
        <w:jc w:val="left"/>
      </w:pPr>
      <w:r>
        <w:rPr/>
        <w:t>（</w:t>
      </w:r>
      <w:r>
        <w:rPr>
          <w:rFonts w:ascii="Arial" w:hAnsi="Arial" w:cs="Arial" w:eastAsia="Arial" w:hint="default"/>
        </w:rPr>
        <w:t>3</w:t>
      </w:r>
      <w:r>
        <w:rPr/>
        <w:t>）坏账准备的转回 </w:t>
      </w:r>
      <w:r>
        <w:rPr>
          <w:spacing w:val="-1"/>
        </w:rPr>
        <w:t>如有客观证据表明该应收款项价值已恢复，且客观上与确认该损失后发生的事项有关，原确认的减值</w:t>
      </w:r>
    </w:p>
    <w:p>
      <w:pPr>
        <w:pStyle w:val="BodyText"/>
        <w:spacing w:line="227" w:lineRule="exact"/>
        <w:ind w:left="213" w:right="419"/>
        <w:jc w:val="left"/>
      </w:pPr>
      <w:r>
        <w:rPr/>
        <w:t>损失予以转回，计入当期损益。但是，该转回后的账面价值不超过假定不计提减值准备情况下该应收款项</w:t>
      </w:r>
    </w:p>
    <w:p>
      <w:pPr>
        <w:spacing w:line="240" w:lineRule="auto" w:before="10"/>
        <w:rPr>
          <w:rFonts w:ascii="宋体" w:hAnsi="宋体" w:cs="宋体" w:eastAsia="宋体" w:hint="default"/>
          <w:sz w:val="14"/>
          <w:szCs w:val="14"/>
        </w:rPr>
      </w:pPr>
    </w:p>
    <w:p>
      <w:pPr>
        <w:pStyle w:val="BodyText"/>
        <w:spacing w:line="544" w:lineRule="auto"/>
        <w:ind w:left="633" w:right="419" w:hanging="420"/>
        <w:jc w:val="left"/>
      </w:pPr>
      <w:r>
        <w:rPr/>
        <w:t>在转回日的摊余成本。 </w:t>
      </w:r>
      <w:r>
        <w:rPr>
          <w:spacing w:val="-1"/>
        </w:rPr>
        <w:t>本公司向金融机构以不附追索权方式转让应收款项的，按交易款项扣除已转销应收账款的账面价值和</w:t>
      </w:r>
    </w:p>
    <w:p>
      <w:pPr>
        <w:spacing w:after="0" w:line="544" w:lineRule="auto"/>
        <w:jc w:val="left"/>
        <w:sectPr>
          <w:pgSz w:w="11910" w:h="16840"/>
          <w:pgMar w:header="877" w:footer="979" w:top="1100" w:bottom="1160" w:left="920" w:right="0"/>
        </w:sectPr>
      </w:pPr>
    </w:p>
    <w:p>
      <w:pPr>
        <w:spacing w:line="240" w:lineRule="auto" w:before="7"/>
        <w:rPr>
          <w:rFonts w:ascii="宋体" w:hAnsi="宋体" w:cs="宋体" w:eastAsia="宋体" w:hint="default"/>
          <w:sz w:val="27"/>
          <w:szCs w:val="27"/>
        </w:rPr>
      </w:pPr>
    </w:p>
    <w:p>
      <w:pPr>
        <w:spacing w:line="487" w:lineRule="auto" w:before="18"/>
        <w:ind w:left="573" w:right="7603" w:hanging="420"/>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相关税费后的差额计入当期损益。 </w:t>
      </w:r>
      <w:r>
        <w:rPr>
          <w:rFonts w:ascii="Trebuchet MS" w:hAnsi="Trebuchet MS" w:cs="Trebuchet MS" w:eastAsia="Trebuchet MS" w:hint="default"/>
          <w:b/>
          <w:bCs/>
          <w:sz w:val="21"/>
          <w:szCs w:val="21"/>
        </w:rPr>
        <w:t>10</w:t>
      </w:r>
      <w:r>
        <w:rPr>
          <w:rFonts w:ascii="Microsoft JhengHei" w:hAnsi="Microsoft JhengHei" w:cs="Microsoft JhengHei" w:eastAsia="Microsoft JhengHei" w:hint="default"/>
          <w:b/>
          <w:bCs/>
          <w:sz w:val="21"/>
          <w:szCs w:val="21"/>
        </w:rPr>
        <w:t>、存货</w:t>
      </w:r>
      <w:r>
        <w:rPr>
          <w:rFonts w:ascii="Microsoft JhengHei" w:hAnsi="Microsoft JhengHei" w:cs="Microsoft JhengHei" w:eastAsia="Microsoft JhengHei" w:hint="default"/>
          <w:sz w:val="21"/>
          <w:szCs w:val="21"/>
        </w:rPr>
      </w:r>
    </w:p>
    <w:p>
      <w:pPr>
        <w:pStyle w:val="BodyText"/>
        <w:spacing w:line="240" w:lineRule="auto" w:before="38"/>
        <w:ind w:left="573" w:right="0"/>
        <w:jc w:val="left"/>
      </w:pPr>
      <w:r>
        <w:rPr/>
        <w:t>（</w:t>
      </w:r>
      <w:r>
        <w:rPr>
          <w:rFonts w:ascii="Arial" w:hAnsi="Arial" w:cs="Arial" w:eastAsia="Arial" w:hint="default"/>
        </w:rPr>
        <w:t>1</w:t>
      </w:r>
      <w:r>
        <w:rPr/>
        <w:t>）存货的分类</w:t>
      </w:r>
    </w:p>
    <w:p>
      <w:pPr>
        <w:spacing w:line="240" w:lineRule="auto" w:before="8"/>
        <w:rPr>
          <w:rFonts w:ascii="宋体" w:hAnsi="宋体" w:cs="宋体" w:eastAsia="宋体" w:hint="default"/>
          <w:sz w:val="24"/>
          <w:szCs w:val="24"/>
        </w:rPr>
      </w:pPr>
    </w:p>
    <w:p>
      <w:pPr>
        <w:spacing w:before="0"/>
        <w:ind w:left="573" w:right="0" w:firstLine="0"/>
        <w:jc w:val="left"/>
        <w:rPr>
          <w:rFonts w:ascii="宋体" w:hAnsi="宋体" w:cs="宋体" w:eastAsia="宋体" w:hint="default"/>
          <w:sz w:val="22"/>
          <w:szCs w:val="22"/>
        </w:rPr>
      </w:pPr>
      <w:r>
        <w:rPr>
          <w:rFonts w:ascii="宋体" w:hAnsi="宋体" w:cs="宋体" w:eastAsia="宋体" w:hint="default"/>
          <w:sz w:val="22"/>
          <w:szCs w:val="22"/>
        </w:rPr>
        <w:t>存货主要包括原材料、库存商品、在途商品、委托代销商品等。</w:t>
      </w:r>
    </w:p>
    <w:p>
      <w:pPr>
        <w:spacing w:line="240" w:lineRule="auto" w:before="8"/>
        <w:rPr>
          <w:rFonts w:ascii="宋体" w:hAnsi="宋体" w:cs="宋体" w:eastAsia="宋体" w:hint="default"/>
          <w:sz w:val="26"/>
          <w:szCs w:val="26"/>
        </w:rPr>
      </w:pPr>
    </w:p>
    <w:p>
      <w:pPr>
        <w:pStyle w:val="BodyText"/>
        <w:spacing w:line="516" w:lineRule="auto"/>
        <w:ind w:left="573" w:right="0"/>
        <w:jc w:val="left"/>
      </w:pPr>
      <w:r>
        <w:rPr/>
        <w:t>（</w:t>
      </w:r>
      <w:r>
        <w:rPr>
          <w:rFonts w:ascii="Arial" w:hAnsi="Arial" w:cs="Arial" w:eastAsia="Arial" w:hint="default"/>
        </w:rPr>
        <w:t>2</w:t>
      </w:r>
      <w:r>
        <w:rPr/>
        <w:t>）存货取得和发出的计价方法 </w:t>
      </w:r>
      <w:r>
        <w:rPr>
          <w:spacing w:val="-1"/>
        </w:rPr>
        <w:t>存货在取得时按实际成本计价，存货成本包括采购成本、加工成本和其他成本。领用和发出时按先进</w:t>
      </w:r>
    </w:p>
    <w:p>
      <w:pPr>
        <w:pStyle w:val="BodyText"/>
        <w:spacing w:line="226" w:lineRule="exact"/>
        <w:ind w:right="0"/>
        <w:jc w:val="left"/>
      </w:pPr>
      <w:r>
        <w:rPr/>
        <w:t>先出法计价。</w:t>
      </w:r>
    </w:p>
    <w:p>
      <w:pPr>
        <w:spacing w:line="240" w:lineRule="auto" w:before="9"/>
        <w:rPr>
          <w:rFonts w:ascii="宋体" w:hAnsi="宋体" w:cs="宋体" w:eastAsia="宋体" w:hint="default"/>
          <w:sz w:val="26"/>
          <w:szCs w:val="26"/>
        </w:rPr>
      </w:pPr>
    </w:p>
    <w:p>
      <w:pPr>
        <w:pStyle w:val="BodyText"/>
        <w:spacing w:line="516" w:lineRule="auto"/>
        <w:ind w:left="573" w:right="0"/>
        <w:jc w:val="left"/>
      </w:pPr>
      <w:r>
        <w:rPr/>
        <w:t>（</w:t>
      </w:r>
      <w:r>
        <w:rPr>
          <w:rFonts w:ascii="Arial" w:hAnsi="Arial" w:cs="Arial" w:eastAsia="Arial" w:hint="default"/>
        </w:rPr>
        <w:t>3</w:t>
      </w:r>
      <w:r>
        <w:rPr/>
        <w:t>）存货可变现净值的确认和跌价准备的计提方法 </w:t>
      </w:r>
      <w:r>
        <w:rPr>
          <w:spacing w:val="-1"/>
        </w:rPr>
        <w:t>可变现净值是指在日常活动中，存货的估计售价减去至完工时估计将要发生的成本、估计的销售费用</w:t>
      </w:r>
    </w:p>
    <w:p>
      <w:pPr>
        <w:pStyle w:val="BodyText"/>
        <w:spacing w:line="226" w:lineRule="exact"/>
        <w:ind w:right="0"/>
        <w:jc w:val="left"/>
      </w:pPr>
      <w:r>
        <w:rPr/>
        <w:t>以及相关税费后的金额。在确定存货的可变现净值时，以取得的确凿证据为基础，同时考虑持有存货的目</w:t>
      </w:r>
    </w:p>
    <w:p>
      <w:pPr>
        <w:spacing w:line="240" w:lineRule="auto" w:before="10"/>
        <w:rPr>
          <w:rFonts w:ascii="宋体" w:hAnsi="宋体" w:cs="宋体" w:eastAsia="宋体" w:hint="default"/>
          <w:sz w:val="14"/>
          <w:szCs w:val="14"/>
        </w:rPr>
      </w:pPr>
    </w:p>
    <w:p>
      <w:pPr>
        <w:pStyle w:val="BodyText"/>
        <w:spacing w:line="240" w:lineRule="auto"/>
        <w:ind w:right="0"/>
        <w:jc w:val="left"/>
      </w:pPr>
      <w:r>
        <w:rPr/>
        <w:t>的以及资产负债表日后事项的影响。</w:t>
      </w:r>
    </w:p>
    <w:p>
      <w:pPr>
        <w:spacing w:line="240" w:lineRule="auto" w:before="10"/>
        <w:rPr>
          <w:rFonts w:ascii="宋体" w:hAnsi="宋体" w:cs="宋体" w:eastAsia="宋体" w:hint="default"/>
          <w:sz w:val="25"/>
          <w:szCs w:val="25"/>
        </w:rPr>
      </w:pPr>
    </w:p>
    <w:p>
      <w:pPr>
        <w:pStyle w:val="Heading4"/>
        <w:spacing w:line="391" w:lineRule="auto"/>
        <w:ind w:left="154" w:right="0" w:firstLine="420"/>
        <w:jc w:val="left"/>
        <w:rPr>
          <w:rFonts w:ascii="宋体" w:hAnsi="宋体" w:cs="宋体" w:eastAsia="宋体" w:hint="default"/>
        </w:rPr>
      </w:pPr>
      <w:r>
        <w:rPr>
          <w:rFonts w:ascii="宋体" w:hAnsi="宋体" w:cs="宋体" w:eastAsia="宋体" w:hint="default"/>
          <w:spacing w:val="-1"/>
          <w:w w:val="95"/>
        </w:rPr>
        <w:t>在资产负债表日，存货按照成本与可变现净值孰低计量。当其可变现净值低于成本时，提取存货跌价</w:t>
      </w:r>
      <w:r>
        <w:rPr>
          <w:rFonts w:ascii="宋体" w:hAnsi="宋体" w:cs="宋体" w:eastAsia="宋体" w:hint="default"/>
          <w:w w:val="95"/>
        </w:rPr>
        <w:t> </w:t>
      </w:r>
      <w:r>
        <w:rPr>
          <w:rFonts w:ascii="宋体" w:hAnsi="宋体" w:cs="宋体" w:eastAsia="宋体" w:hint="default"/>
        </w:rPr>
        <w:t>准备。存货跌价准备通常按单个存货项目的成本高于其可变现净值的差额提取。</w:t>
      </w:r>
    </w:p>
    <w:p>
      <w:pPr>
        <w:spacing w:line="240" w:lineRule="auto" w:before="13"/>
        <w:rPr>
          <w:rFonts w:ascii="宋体" w:hAnsi="宋体" w:cs="宋体" w:eastAsia="宋体" w:hint="default"/>
          <w:sz w:val="15"/>
          <w:szCs w:val="15"/>
        </w:rPr>
      </w:pPr>
    </w:p>
    <w:p>
      <w:pPr>
        <w:pStyle w:val="BodyText"/>
        <w:spacing w:line="408" w:lineRule="auto"/>
        <w:ind w:left="154" w:right="0" w:firstLine="420"/>
        <w:jc w:val="left"/>
      </w:pPr>
      <w:r>
        <w:rPr>
          <w:spacing w:val="-1"/>
        </w:rPr>
        <w:t>计提存货跌价准备后，如果以前减记存货价值的影响因素已经消失，导致存货的可变现净值高于其账</w:t>
      </w:r>
      <w:r>
        <w:rPr/>
        <w:t> 面价值的，在原已计提的存货跌价准备金额内予以转回，转回的金额计入当期损益。</w:t>
      </w:r>
    </w:p>
    <w:p>
      <w:pPr>
        <w:spacing w:line="240" w:lineRule="auto" w:before="6"/>
        <w:rPr>
          <w:rFonts w:ascii="宋体" w:hAnsi="宋体" w:cs="宋体" w:eastAsia="宋体" w:hint="default"/>
          <w:sz w:val="15"/>
          <w:szCs w:val="15"/>
        </w:rPr>
      </w:pPr>
    </w:p>
    <w:p>
      <w:pPr>
        <w:pStyle w:val="BodyText"/>
        <w:spacing w:line="408" w:lineRule="auto"/>
        <w:ind w:right="0" w:firstLine="420"/>
        <w:jc w:val="left"/>
      </w:pPr>
      <w:r>
        <w:rPr>
          <w:spacing w:val="-1"/>
        </w:rPr>
        <w:t>本公司存货跌价准备的会计处理为当期计提的存货跌价准备计入资产减值损失，已售存货以前年度已</w:t>
      </w:r>
      <w:r>
        <w:rPr/>
        <w:t> 计提的存货跌价准备结转计入营业成本。</w:t>
      </w:r>
    </w:p>
    <w:p>
      <w:pPr>
        <w:spacing w:line="240" w:lineRule="auto" w:before="6"/>
        <w:rPr>
          <w:rFonts w:ascii="宋体" w:hAnsi="宋体" w:cs="宋体" w:eastAsia="宋体" w:hint="default"/>
          <w:sz w:val="15"/>
          <w:szCs w:val="15"/>
        </w:rPr>
      </w:pPr>
    </w:p>
    <w:p>
      <w:pPr>
        <w:pStyle w:val="BodyText"/>
        <w:spacing w:line="240" w:lineRule="auto"/>
        <w:ind w:left="573" w:right="0"/>
        <w:jc w:val="left"/>
      </w:pPr>
      <w:r>
        <w:rPr/>
        <w:t>（</w:t>
      </w:r>
      <w:r>
        <w:rPr>
          <w:rFonts w:ascii="Arial" w:hAnsi="Arial" w:cs="Arial" w:eastAsia="Arial" w:hint="default"/>
        </w:rPr>
        <w:t>4</w:t>
      </w:r>
      <w:r>
        <w:rPr/>
        <w:t>）存货的盘存制度为永续盘存制。</w:t>
      </w:r>
    </w:p>
    <w:p>
      <w:pPr>
        <w:spacing w:line="240" w:lineRule="auto" w:before="7"/>
        <w:rPr>
          <w:rFonts w:ascii="宋体" w:hAnsi="宋体" w:cs="宋体" w:eastAsia="宋体" w:hint="default"/>
          <w:sz w:val="25"/>
          <w:szCs w:val="25"/>
        </w:rPr>
      </w:pPr>
    </w:p>
    <w:p>
      <w:pPr>
        <w:pStyle w:val="BodyText"/>
        <w:spacing w:line="501" w:lineRule="auto"/>
        <w:ind w:left="573" w:right="3193"/>
        <w:jc w:val="left"/>
        <w:rPr>
          <w:rFonts w:ascii="Microsoft JhengHei" w:hAnsi="Microsoft JhengHei" w:cs="Microsoft JhengHei" w:eastAsia="Microsoft JhengHei" w:hint="default"/>
        </w:rPr>
      </w:pPr>
      <w:r>
        <w:rPr/>
        <w:t>（</w:t>
      </w:r>
      <w:r>
        <w:rPr>
          <w:rFonts w:ascii="Arial" w:hAnsi="Arial" w:cs="Arial" w:eastAsia="Arial" w:hint="default"/>
        </w:rPr>
        <w:t>5</w:t>
      </w:r>
      <w:r>
        <w:rPr/>
        <w:t>）低值易耗品和包装物的摊销方法 低值易耗品于领用时按一次摊销法摊销；包装物于领用时按一次摊销法摊销。 </w:t>
      </w:r>
      <w:r>
        <w:rPr>
          <w:rFonts w:ascii="Trebuchet MS" w:hAnsi="Trebuchet MS" w:cs="Trebuchet MS" w:eastAsia="Trebuchet MS" w:hint="default"/>
          <w:b/>
          <w:bCs/>
        </w:rPr>
        <w:t>11</w:t>
      </w:r>
      <w:r>
        <w:rPr>
          <w:rFonts w:ascii="Microsoft JhengHei" w:hAnsi="Microsoft JhengHei" w:cs="Microsoft JhengHei" w:eastAsia="Microsoft JhengHei" w:hint="default"/>
          <w:b/>
          <w:bCs/>
        </w:rPr>
        <w:t>、长期股权投资</w:t>
      </w:r>
      <w:r>
        <w:rPr>
          <w:rFonts w:ascii="Microsoft JhengHei" w:hAnsi="Microsoft JhengHei" w:cs="Microsoft JhengHei" w:eastAsia="Microsoft JhengHei" w:hint="default"/>
        </w:rPr>
      </w:r>
    </w:p>
    <w:p>
      <w:pPr>
        <w:pStyle w:val="BodyText"/>
        <w:spacing w:line="408" w:lineRule="auto" w:before="21"/>
        <w:ind w:right="0" w:firstLine="420"/>
        <w:jc w:val="left"/>
      </w:pPr>
      <w:r>
        <w:rPr>
          <w:spacing w:val="-1"/>
        </w:rPr>
        <w:t>本部分所指的长期股权投资是指本公司对被投资单位具有控制、共同控制或重大影响的长期股权投资。</w:t>
      </w:r>
      <w:r>
        <w:rPr/>
        <w:t> 本公司对被投资单位不具有控制、共同控制或重大影响的长期股权投资，作为可供出售金融资产或以公允 价值计量且其变动计入当期损益的金融资产核算，其会计政策详见附注五、8“金融工具”。</w:t>
      </w:r>
    </w:p>
    <w:p>
      <w:pPr>
        <w:spacing w:after="0" w:line="408"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408" w:lineRule="auto" w:before="18"/>
        <w:ind w:right="1131" w:firstLine="420"/>
        <w:jc w:val="both"/>
      </w:pPr>
      <w:r>
        <w:rPr>
          <w:spacing w:val="-1"/>
        </w:rPr>
        <w:t>共同控制，是指本公司按照相关约定对某项安排所共有的控制，并且该安排的相关活动必须经过分享</w:t>
      </w:r>
      <w:r>
        <w:rPr/>
        <w:t> </w:t>
      </w:r>
      <w:r>
        <w:rPr>
          <w:spacing w:val="-1"/>
        </w:rPr>
        <w:t>控制权的参与方一致同意后才能决策。重大影响，是指本公司对被投资单位的财务和经营政策有参与决策</w:t>
      </w:r>
      <w:r>
        <w:rPr>
          <w:spacing w:val="-81"/>
        </w:rPr>
        <w:t> </w:t>
      </w:r>
      <w:r>
        <w:rPr>
          <w:spacing w:val="-81"/>
        </w:rPr>
      </w:r>
      <w:r>
        <w:rPr/>
        <w:t>的权力，但并不能够控制或者与其他方一起共同控制这些政策的制定。</w:t>
      </w:r>
    </w:p>
    <w:p>
      <w:pPr>
        <w:spacing w:line="240" w:lineRule="auto" w:before="6"/>
        <w:rPr>
          <w:rFonts w:ascii="宋体" w:hAnsi="宋体" w:cs="宋体" w:eastAsia="宋体" w:hint="default"/>
          <w:sz w:val="15"/>
          <w:szCs w:val="15"/>
        </w:rPr>
      </w:pPr>
    </w:p>
    <w:p>
      <w:pPr>
        <w:pStyle w:val="BodyText"/>
        <w:spacing w:line="516" w:lineRule="auto"/>
        <w:ind w:left="573" w:right="0"/>
        <w:jc w:val="left"/>
      </w:pPr>
      <w:r>
        <w:rPr/>
        <w:t>（</w:t>
      </w:r>
      <w:r>
        <w:rPr>
          <w:rFonts w:ascii="Arial" w:hAnsi="Arial" w:cs="Arial" w:eastAsia="Arial" w:hint="default"/>
        </w:rPr>
        <w:t>1</w:t>
      </w:r>
      <w:r>
        <w:rPr/>
        <w:t>）投资成本的确定 </w:t>
      </w:r>
      <w:r>
        <w:rPr>
          <w:spacing w:val="-1"/>
        </w:rPr>
        <w:t>对于同一控制下的企业合并取得的长期股权投资，在合并日按照被合并方股东权益在最终控制方合并</w:t>
      </w:r>
    </w:p>
    <w:p>
      <w:pPr>
        <w:pStyle w:val="BodyText"/>
        <w:spacing w:line="227" w:lineRule="exact"/>
        <w:ind w:right="0"/>
        <w:jc w:val="both"/>
      </w:pPr>
      <w:r>
        <w:rPr/>
        <w:t>财务报表中的账面价值的份额作为长期股权投资的初始投资成本。长期股权投资初始投资成本与支付的现</w:t>
      </w:r>
    </w:p>
    <w:p>
      <w:pPr>
        <w:spacing w:line="240" w:lineRule="auto" w:before="10"/>
        <w:rPr>
          <w:rFonts w:ascii="宋体" w:hAnsi="宋体" w:cs="宋体" w:eastAsia="宋体" w:hint="default"/>
          <w:sz w:val="14"/>
          <w:szCs w:val="14"/>
        </w:rPr>
      </w:pPr>
    </w:p>
    <w:p>
      <w:pPr>
        <w:pStyle w:val="BodyText"/>
        <w:spacing w:line="408" w:lineRule="auto"/>
        <w:ind w:right="1130"/>
        <w:jc w:val="both"/>
      </w:pPr>
      <w:r>
        <w:rPr>
          <w:spacing w:val="-1"/>
        </w:rPr>
        <w:t>金、转让的非现金资产以及所承担债务账面价值之间的差额，调整资本公积；资本公积不足冲减的，调整</w:t>
      </w:r>
      <w:r>
        <w:rPr>
          <w:spacing w:val="-86"/>
        </w:rPr>
        <w:t> </w:t>
      </w:r>
      <w:r>
        <w:rPr>
          <w:spacing w:val="-86"/>
        </w:rPr>
      </w:r>
      <w:r>
        <w:rPr>
          <w:spacing w:val="-1"/>
        </w:rPr>
        <w:t>留存收益。以发行权益性证券作为合并对价的，在合并日按照被合并方股东权益在最终控制方合并财务报</w:t>
      </w:r>
      <w:r>
        <w:rPr>
          <w:spacing w:val="-81"/>
        </w:rPr>
        <w:t> </w:t>
      </w:r>
      <w:r>
        <w:rPr>
          <w:spacing w:val="-81"/>
        </w:rPr>
      </w:r>
      <w:r>
        <w:rPr>
          <w:spacing w:val="-1"/>
        </w:rPr>
        <w:t>表中的账面价值的份额作为长期股权投资的初始投资成本，按照发行股份的面值总额作为股本，长期股权</w:t>
      </w:r>
      <w:r>
        <w:rPr>
          <w:spacing w:val="-81"/>
        </w:rPr>
        <w:t> </w:t>
      </w:r>
      <w:r>
        <w:rPr>
          <w:spacing w:val="-81"/>
        </w:rPr>
      </w:r>
      <w:r>
        <w:rPr>
          <w:spacing w:val="-1"/>
        </w:rPr>
        <w:t>投资初始投资成本与所发行股份面值总额之间的差额，调整资本公积；资本公积不足冲减的，调整留存收</w:t>
      </w:r>
      <w:r>
        <w:rPr>
          <w:spacing w:val="-83"/>
        </w:rPr>
        <w:t> </w:t>
      </w:r>
      <w:r>
        <w:rPr>
          <w:spacing w:val="-83"/>
        </w:rPr>
      </w:r>
      <w:r>
        <w:rPr/>
        <w:t>益。</w:t>
      </w:r>
    </w:p>
    <w:p>
      <w:pPr>
        <w:spacing w:line="240" w:lineRule="auto" w:before="6"/>
        <w:rPr>
          <w:rFonts w:ascii="宋体" w:hAnsi="宋体" w:cs="宋体" w:eastAsia="宋体" w:hint="default"/>
          <w:sz w:val="15"/>
          <w:szCs w:val="15"/>
        </w:rPr>
      </w:pPr>
    </w:p>
    <w:p>
      <w:pPr>
        <w:pStyle w:val="BodyText"/>
        <w:spacing w:line="408" w:lineRule="auto"/>
        <w:ind w:left="154" w:right="0" w:firstLine="420"/>
        <w:jc w:val="left"/>
      </w:pPr>
      <w:r>
        <w:rPr>
          <w:spacing w:val="-1"/>
        </w:rPr>
        <w:t>对于非同一控制下的企业合并取得的长期股权投资，在购买日按照合并成本作为长期股权投资的初始</w:t>
      </w:r>
      <w:r>
        <w:rPr/>
        <w:t> 投资成本，合并成本包括购买方付出的资产、发生或承担的负债、发行的权益性证券的公允价值之和。</w:t>
      </w:r>
    </w:p>
    <w:p>
      <w:pPr>
        <w:spacing w:line="240" w:lineRule="auto" w:before="6"/>
        <w:rPr>
          <w:rFonts w:ascii="宋体" w:hAnsi="宋体" w:cs="宋体" w:eastAsia="宋体" w:hint="default"/>
          <w:sz w:val="15"/>
          <w:szCs w:val="15"/>
        </w:rPr>
      </w:pPr>
    </w:p>
    <w:p>
      <w:pPr>
        <w:pStyle w:val="BodyText"/>
        <w:spacing w:line="408" w:lineRule="auto"/>
        <w:ind w:right="0" w:firstLine="420"/>
        <w:jc w:val="left"/>
      </w:pPr>
      <w:r>
        <w:rPr>
          <w:spacing w:val="-1"/>
        </w:rPr>
        <w:t>合并方或购买方为企业合并发生的审计、法律服务、评估咨询等中介费用以及其他相关管理费用，于</w:t>
      </w:r>
      <w:r>
        <w:rPr/>
        <w:t> 发生时计入当期损益。</w:t>
      </w:r>
    </w:p>
    <w:p>
      <w:pPr>
        <w:spacing w:line="240" w:lineRule="auto" w:before="6"/>
        <w:rPr>
          <w:rFonts w:ascii="宋体" w:hAnsi="宋体" w:cs="宋体" w:eastAsia="宋体" w:hint="default"/>
          <w:sz w:val="15"/>
          <w:szCs w:val="15"/>
        </w:rPr>
      </w:pPr>
    </w:p>
    <w:p>
      <w:pPr>
        <w:pStyle w:val="BodyText"/>
        <w:spacing w:line="405" w:lineRule="auto"/>
        <w:ind w:right="1012" w:firstLine="420"/>
        <w:jc w:val="left"/>
      </w:pPr>
      <w:r>
        <w:rPr/>
        <w:t>除企业合并形成的长期股权投资外的其他股权投资，按成本进行初始计量，该成本视长期股权投资取 得方式的不同，分别按照本公司实际支付的现金购买价款、本公司发行的权益性证券的公允价值、投资合 同或协议约定的价值、非货币性资产交换交易中换出资产的公允价值或原账面价值、该项长期股权投资自 身的公允价值等方式确定。与取得长期股权投资直接相关的费用、税金及其他必要支出也计入投资成本。</w:t>
      </w:r>
      <w:r>
        <w:rPr>
          <w:spacing w:val="-35"/>
        </w:rPr>
        <w:t> </w:t>
      </w:r>
      <w:r>
        <w:rPr>
          <w:spacing w:val="-35"/>
        </w:rPr>
      </w:r>
      <w:r>
        <w:rPr/>
        <w:t>对于因追加投资能够对被投资单位实施重大影响或实施共同控制但不构成控制的，长期股权投资成本为按</w:t>
      </w:r>
      <w:r>
        <w:rPr/>
        <w:t> 照《企业会计准则第</w:t>
      </w:r>
      <w:r>
        <w:rPr>
          <w:rFonts w:ascii="Arial" w:hAnsi="Arial" w:cs="Arial" w:eastAsia="Arial" w:hint="default"/>
        </w:rPr>
        <w:t>22</w:t>
      </w:r>
      <w:r>
        <w:rPr/>
        <w:t>号——金融工具确认和计量》确定的原持有股权投资的公允价值加上新增投资成本 之和。</w:t>
      </w:r>
    </w:p>
    <w:p>
      <w:pPr>
        <w:spacing w:line="240" w:lineRule="auto" w:before="8"/>
        <w:rPr>
          <w:rFonts w:ascii="宋体" w:hAnsi="宋体" w:cs="宋体" w:eastAsia="宋体" w:hint="default"/>
          <w:sz w:val="15"/>
          <w:szCs w:val="15"/>
        </w:rPr>
      </w:pPr>
    </w:p>
    <w:p>
      <w:pPr>
        <w:pStyle w:val="BodyText"/>
        <w:spacing w:line="516" w:lineRule="auto"/>
        <w:ind w:left="573" w:right="0"/>
        <w:jc w:val="left"/>
      </w:pPr>
      <w:r>
        <w:rPr/>
        <w:t>（</w:t>
      </w:r>
      <w:r>
        <w:rPr>
          <w:rFonts w:ascii="Arial" w:hAnsi="Arial" w:cs="Arial" w:eastAsia="Arial" w:hint="default"/>
        </w:rPr>
        <w:t>2</w:t>
      </w:r>
      <w:r>
        <w:rPr/>
        <w:t>）后续计量及损益确认方法 对被投资单位具有共同控制（构成共同经营者除外）或重大影响的长期股权投资，采用权益法核算。</w:t>
      </w:r>
    </w:p>
    <w:p>
      <w:pPr>
        <w:pStyle w:val="BodyText"/>
        <w:spacing w:line="227" w:lineRule="exact"/>
        <w:ind w:right="0"/>
        <w:jc w:val="both"/>
      </w:pPr>
      <w:r>
        <w:rPr/>
        <w:t>此外，公司财务报表采用成本法核算能够对被投资单位实施控制的长期股权投资。</w:t>
      </w:r>
    </w:p>
    <w:p>
      <w:pPr>
        <w:pStyle w:val="BodyText"/>
        <w:spacing w:line="620" w:lineRule="atLeast" w:before="4"/>
        <w:ind w:left="573" w:right="0"/>
        <w:jc w:val="left"/>
      </w:pPr>
      <w:r>
        <w:rPr/>
        <w:t>① 成本法核算的长期股权投资 采用成本法核算时，长期股权投资按初始投资成本计价，追加或收回投资调整长期股权投资的成本。</w:t>
      </w:r>
    </w:p>
    <w:p>
      <w:pPr>
        <w:spacing w:after="0" w:line="620" w:lineRule="atLeast"/>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408" w:lineRule="auto" w:before="18"/>
        <w:ind w:right="0"/>
        <w:jc w:val="left"/>
      </w:pPr>
      <w:r>
        <w:rPr>
          <w:spacing w:val="-1"/>
        </w:rPr>
        <w:t>除取得投资时实际支付的价款或者对价中包含的已宣告但尚未发放的现金股利或者利润外，当期投资收益</w:t>
      </w:r>
      <w:r>
        <w:rPr>
          <w:spacing w:val="-81"/>
        </w:rPr>
        <w:t> </w:t>
      </w:r>
      <w:r>
        <w:rPr>
          <w:spacing w:val="-81"/>
        </w:rPr>
      </w:r>
      <w:r>
        <w:rPr/>
        <w:t>按照享有被投资单位宣告发放的现金股利或利润确认。</w:t>
      </w:r>
    </w:p>
    <w:p>
      <w:pPr>
        <w:spacing w:line="240" w:lineRule="auto" w:before="6"/>
        <w:rPr>
          <w:rFonts w:ascii="宋体" w:hAnsi="宋体" w:cs="宋体" w:eastAsia="宋体" w:hint="default"/>
          <w:sz w:val="15"/>
          <w:szCs w:val="15"/>
        </w:rPr>
      </w:pPr>
    </w:p>
    <w:p>
      <w:pPr>
        <w:pStyle w:val="BodyText"/>
        <w:spacing w:line="240" w:lineRule="auto"/>
        <w:ind w:left="573" w:right="0"/>
        <w:jc w:val="left"/>
      </w:pPr>
      <w:r>
        <w:rPr/>
        <w:t>②</w:t>
      </w:r>
      <w:r>
        <w:rPr>
          <w:spacing w:val="-1"/>
        </w:rPr>
        <w:t> </w:t>
      </w:r>
      <w:r>
        <w:rPr/>
        <w:t>权益法核算的长期股权投资</w:t>
      </w:r>
    </w:p>
    <w:p>
      <w:pPr>
        <w:spacing w:line="240" w:lineRule="auto" w:before="9"/>
        <w:rPr>
          <w:rFonts w:ascii="宋体" w:hAnsi="宋体" w:cs="宋体" w:eastAsia="宋体" w:hint="default"/>
          <w:sz w:val="26"/>
          <w:szCs w:val="26"/>
        </w:rPr>
      </w:pPr>
    </w:p>
    <w:p>
      <w:pPr>
        <w:pStyle w:val="BodyText"/>
        <w:spacing w:line="408" w:lineRule="auto"/>
        <w:ind w:right="1131" w:firstLine="420"/>
        <w:jc w:val="both"/>
      </w:pPr>
      <w:r>
        <w:rPr>
          <w:spacing w:val="-1"/>
        </w:rPr>
        <w:t>采用权益法核算时，长期股权投资的初始投资成本大于投资时应享有被投资单位可辨认净资产公允价</w:t>
      </w:r>
      <w:r>
        <w:rPr/>
        <w:t> </w:t>
      </w:r>
      <w:r>
        <w:rPr>
          <w:spacing w:val="-1"/>
        </w:rPr>
        <w:t>值份额的，不调整长期股权投资的初始投资成本；初始投资成本小于投资时应享有被投资单位可辨认净资</w:t>
      </w:r>
      <w:r>
        <w:rPr>
          <w:spacing w:val="-81"/>
        </w:rPr>
        <w:t> </w:t>
      </w:r>
      <w:r>
        <w:rPr>
          <w:spacing w:val="-81"/>
        </w:rPr>
      </w:r>
      <w:r>
        <w:rPr/>
        <w:t>产公允价值份额的，其差额计入当期损益，同时调整长期股权投资的成本。</w:t>
      </w:r>
    </w:p>
    <w:p>
      <w:pPr>
        <w:spacing w:line="240" w:lineRule="auto" w:before="6"/>
        <w:rPr>
          <w:rFonts w:ascii="宋体" w:hAnsi="宋体" w:cs="宋体" w:eastAsia="宋体" w:hint="default"/>
          <w:sz w:val="15"/>
          <w:szCs w:val="15"/>
        </w:rPr>
      </w:pPr>
    </w:p>
    <w:p>
      <w:pPr>
        <w:pStyle w:val="BodyText"/>
        <w:spacing w:line="408" w:lineRule="auto"/>
        <w:ind w:right="1130" w:firstLine="420"/>
        <w:jc w:val="both"/>
      </w:pPr>
      <w:r>
        <w:rPr>
          <w:spacing w:val="-1"/>
        </w:rPr>
        <w:t>采用权益法核算时，按照应享有或应分担的被投资单位实现的净损益和其他综合收益的份额，分别确</w:t>
      </w:r>
      <w:r>
        <w:rPr/>
        <w:t> </w:t>
      </w:r>
      <w:r>
        <w:rPr>
          <w:spacing w:val="-1"/>
        </w:rPr>
        <w:t>认投资收益和其他综合收益，同时调整长期股权投资的账面价值；按照被投资单位宣告分派的利润或现金</w:t>
      </w:r>
      <w:r>
        <w:rPr>
          <w:spacing w:val="-81"/>
        </w:rPr>
        <w:t> </w:t>
      </w:r>
      <w:r>
        <w:rPr>
          <w:spacing w:val="-81"/>
        </w:rPr>
      </w:r>
      <w:r>
        <w:rPr>
          <w:spacing w:val="-1"/>
        </w:rPr>
        <w:t>股利计算应享有的部分，相应减少长期股权投资的账面价值；对于被投资单位除净损益、其他综合收益和</w:t>
      </w:r>
      <w:r>
        <w:rPr>
          <w:spacing w:val="-82"/>
        </w:rPr>
        <w:t> </w:t>
      </w:r>
      <w:r>
        <w:rPr>
          <w:spacing w:val="-82"/>
        </w:rPr>
      </w:r>
      <w:r>
        <w:rPr>
          <w:spacing w:val="-1"/>
        </w:rPr>
        <w:t>利润分配以外所有者权益的其他变动，调整长期股权投资的账面价值并计入资本公积。在确认应享有被投</w:t>
      </w:r>
      <w:r>
        <w:rPr>
          <w:spacing w:val="-81"/>
        </w:rPr>
        <w:t> </w:t>
      </w:r>
      <w:r>
        <w:rPr>
          <w:spacing w:val="-81"/>
        </w:rPr>
      </w:r>
      <w:r>
        <w:rPr>
          <w:spacing w:val="-1"/>
        </w:rPr>
        <w:t>资单位净损益的份额时，以取得投资时被投资单位各项可辨认资产等的公允价值为基础，对被投资单位的</w:t>
      </w:r>
      <w:r>
        <w:rPr>
          <w:spacing w:val="-81"/>
        </w:rPr>
        <w:t> </w:t>
      </w:r>
      <w:r>
        <w:rPr>
          <w:spacing w:val="-81"/>
        </w:rPr>
      </w:r>
      <w:r>
        <w:rPr>
          <w:spacing w:val="-1"/>
        </w:rPr>
        <w:t>净利润进行调整后确认。被投资单位采用的会计政策及会计期间与本公司不一致的，按照本公司的会计政</w:t>
      </w:r>
      <w:r>
        <w:rPr>
          <w:spacing w:val="-81"/>
        </w:rPr>
        <w:t> </w:t>
      </w:r>
      <w:r>
        <w:rPr>
          <w:spacing w:val="-81"/>
        </w:rPr>
      </w:r>
      <w:r>
        <w:rPr>
          <w:spacing w:val="-1"/>
        </w:rPr>
        <w:t>策及会计期间对被投资单位的财务报表进行调整，并据以确认投资收益和其他综合收益。对于本公司与联</w:t>
      </w:r>
      <w:r>
        <w:rPr>
          <w:spacing w:val="-81"/>
        </w:rPr>
        <w:t> </w:t>
      </w:r>
      <w:r>
        <w:rPr>
          <w:spacing w:val="-81"/>
        </w:rPr>
      </w:r>
      <w:r>
        <w:rPr>
          <w:spacing w:val="-1"/>
        </w:rPr>
        <w:t>营企业及合营企业之间发生的交易，投出或出售的资产不构成业务的，未实现内部交易损益按照享有的比</w:t>
      </w:r>
      <w:r>
        <w:rPr>
          <w:spacing w:val="-81"/>
        </w:rPr>
        <w:t> </w:t>
      </w:r>
      <w:r>
        <w:rPr>
          <w:spacing w:val="-81"/>
        </w:rPr>
      </w:r>
      <w:r>
        <w:rPr>
          <w:spacing w:val="-1"/>
        </w:rPr>
        <w:t>例计算归属于本公司的部分予以抵销，在此基础上确认投资损益。但本公司与被投资单位发生的未实现内</w:t>
      </w:r>
      <w:r>
        <w:rPr>
          <w:spacing w:val="-81"/>
        </w:rPr>
        <w:t> </w:t>
      </w:r>
      <w:r>
        <w:rPr>
          <w:spacing w:val="-81"/>
        </w:rPr>
      </w:r>
      <w:r>
        <w:rPr>
          <w:spacing w:val="-1"/>
        </w:rPr>
        <w:t>部交易损失，属于所转让资产减值损失的，不予以抵销。本公司向合营企业或联营企业投出的资产构成业</w:t>
      </w:r>
      <w:r>
        <w:rPr>
          <w:spacing w:val="-83"/>
        </w:rPr>
        <w:t> </w:t>
      </w:r>
      <w:r>
        <w:rPr>
          <w:spacing w:val="-83"/>
        </w:rPr>
      </w:r>
      <w:r>
        <w:rPr>
          <w:spacing w:val="-1"/>
        </w:rPr>
        <w:t>务的，投资方因此取得长期股权投资但未取得控制权的，以投出业务的公允价值作为新增长期股权投资的</w:t>
      </w:r>
      <w:r>
        <w:rPr>
          <w:spacing w:val="-81"/>
        </w:rPr>
        <w:t> </w:t>
      </w:r>
      <w:r>
        <w:rPr>
          <w:spacing w:val="-81"/>
        </w:rPr>
      </w:r>
      <w:r>
        <w:rPr>
          <w:spacing w:val="-1"/>
        </w:rPr>
        <w:t>初始投资成本，初始投资成本与投出业务的账面价值之差，全额计入当期损益。本公司向合营企业或联营</w:t>
      </w:r>
      <w:r>
        <w:rPr>
          <w:spacing w:val="-83"/>
        </w:rPr>
        <w:t> </w:t>
      </w:r>
      <w:r>
        <w:rPr>
          <w:spacing w:val="-83"/>
        </w:rPr>
      </w:r>
      <w:r>
        <w:rPr>
          <w:spacing w:val="-1"/>
        </w:rPr>
        <w:t>企业出售的资产构成业务的，取得的对价与业务的账面价值之差，全额计入当期损益。本公司自联营企业</w:t>
      </w:r>
      <w:r>
        <w:rPr>
          <w:spacing w:val="-83"/>
        </w:rPr>
        <w:t> </w:t>
      </w:r>
      <w:r>
        <w:rPr>
          <w:spacing w:val="-83"/>
        </w:rPr>
      </w:r>
      <w:r>
        <w:rPr>
          <w:spacing w:val="-1"/>
        </w:rPr>
        <w:t>及合营企业购入的资产构成业务的，按《企业会计准则第</w:t>
      </w:r>
      <w:r>
        <w:rPr>
          <w:rFonts w:ascii="Arial" w:hAnsi="Arial" w:cs="Arial" w:eastAsia="Arial" w:hint="default"/>
          <w:spacing w:val="-1"/>
        </w:rPr>
        <w:t>20</w:t>
      </w:r>
      <w:r>
        <w:rPr>
          <w:spacing w:val="-1"/>
        </w:rPr>
        <w:t>号——企业合并》的规定进行会计处理，全额</w:t>
      </w:r>
      <w:r>
        <w:rPr/>
        <w:t> 确认与交易相关的利得或损失。</w:t>
      </w:r>
    </w:p>
    <w:p>
      <w:pPr>
        <w:spacing w:line="240" w:lineRule="auto" w:before="6"/>
        <w:rPr>
          <w:rFonts w:ascii="宋体" w:hAnsi="宋体" w:cs="宋体" w:eastAsia="宋体" w:hint="default"/>
          <w:sz w:val="15"/>
          <w:szCs w:val="15"/>
        </w:rPr>
      </w:pPr>
    </w:p>
    <w:p>
      <w:pPr>
        <w:pStyle w:val="BodyText"/>
        <w:spacing w:line="408" w:lineRule="auto"/>
        <w:ind w:left="154" w:right="1131" w:firstLine="420"/>
        <w:jc w:val="both"/>
      </w:pPr>
      <w:r>
        <w:rPr>
          <w:spacing w:val="-1"/>
        </w:rPr>
        <w:t>在确认应分担被投资单位发生的净亏损时，以长期股权投资的账面价值和其他实质上构成对被投资单</w:t>
      </w:r>
      <w:r>
        <w:rPr/>
        <w:t> </w:t>
      </w:r>
      <w:r>
        <w:rPr>
          <w:spacing w:val="-1"/>
        </w:rPr>
        <w:t>位净投资的长期权益减记至零为限。此外，如本公司对被投资单位负有承担额外损失的义务，则按预计承</w:t>
      </w:r>
      <w:r>
        <w:rPr>
          <w:spacing w:val="-83"/>
        </w:rPr>
        <w:t> </w:t>
      </w:r>
      <w:r>
        <w:rPr>
          <w:spacing w:val="-83"/>
        </w:rPr>
      </w:r>
      <w:r>
        <w:rPr>
          <w:spacing w:val="-1"/>
        </w:rPr>
        <w:t>担的义务确认预计负债，计入当期投资损失。被投资单位以后期间实现净利润的，本公司在收益分享额弥</w:t>
      </w:r>
      <w:r>
        <w:rPr>
          <w:spacing w:val="-83"/>
        </w:rPr>
        <w:t> </w:t>
      </w:r>
      <w:r>
        <w:rPr>
          <w:spacing w:val="-83"/>
        </w:rPr>
      </w:r>
      <w:r>
        <w:rPr/>
        <w:t>补未确认的亏损分担额后，恢复确认收益分享额。</w:t>
      </w:r>
    </w:p>
    <w:p>
      <w:pPr>
        <w:spacing w:line="240" w:lineRule="auto" w:before="6"/>
        <w:rPr>
          <w:rFonts w:ascii="宋体" w:hAnsi="宋体" w:cs="宋体" w:eastAsia="宋体" w:hint="default"/>
          <w:sz w:val="15"/>
          <w:szCs w:val="15"/>
        </w:rPr>
      </w:pPr>
    </w:p>
    <w:p>
      <w:pPr>
        <w:pStyle w:val="BodyText"/>
        <w:spacing w:line="240" w:lineRule="auto"/>
        <w:ind w:left="574" w:right="0"/>
        <w:jc w:val="left"/>
      </w:pPr>
      <w:r>
        <w:rPr/>
        <w:t>③</w:t>
      </w:r>
      <w:r>
        <w:rPr>
          <w:spacing w:val="-1"/>
        </w:rPr>
        <w:t> </w:t>
      </w:r>
      <w:r>
        <w:rPr/>
        <w:t>收购少数股权</w:t>
      </w:r>
    </w:p>
    <w:p>
      <w:pPr>
        <w:spacing w:line="240" w:lineRule="auto" w:before="9"/>
        <w:rPr>
          <w:rFonts w:ascii="宋体" w:hAnsi="宋体" w:cs="宋体" w:eastAsia="宋体" w:hint="default"/>
          <w:sz w:val="26"/>
          <w:szCs w:val="26"/>
        </w:rPr>
      </w:pPr>
    </w:p>
    <w:p>
      <w:pPr>
        <w:pStyle w:val="BodyText"/>
        <w:spacing w:line="408" w:lineRule="auto"/>
        <w:ind w:left="154" w:right="1132" w:firstLine="420"/>
        <w:jc w:val="both"/>
      </w:pPr>
      <w:r>
        <w:rPr>
          <w:spacing w:val="-1"/>
        </w:rPr>
        <w:t>在编制合并财务报表时，因购买少数股权新增的长期股权投资与按照新增持股比例计算应享有子公司</w:t>
      </w:r>
      <w:r>
        <w:rPr/>
        <w:t> </w:t>
      </w:r>
      <w:r>
        <w:rPr>
          <w:spacing w:val="-1"/>
        </w:rPr>
        <w:t>自购买日（或合并日）开始持续计算的净资产份额之间的差额，调整资本公积，资本公积不足冲减的，调</w:t>
      </w:r>
    </w:p>
    <w:p>
      <w:pPr>
        <w:spacing w:after="0" w:line="408" w:lineRule="auto"/>
        <w:jc w:val="both"/>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240" w:lineRule="auto" w:before="18"/>
        <w:ind w:left="213" w:right="0"/>
        <w:jc w:val="both"/>
      </w:pPr>
      <w:r>
        <w:rPr/>
        <w:t>整留存收益。</w:t>
      </w:r>
    </w:p>
    <w:p>
      <w:pPr>
        <w:pStyle w:val="BodyText"/>
        <w:spacing w:line="624" w:lineRule="exact" w:before="95"/>
        <w:ind w:left="633" w:right="419"/>
        <w:jc w:val="left"/>
      </w:pPr>
      <w:r>
        <w:rPr/>
        <w:t>④ 处置长期股权投资 </w:t>
      </w:r>
      <w:r>
        <w:rPr>
          <w:spacing w:val="-1"/>
        </w:rPr>
        <w:t>在合并财务报表中，母公司在不丧失控制权的情况下部分处置对子公司的长期股权投资，处置价款与</w:t>
      </w:r>
    </w:p>
    <w:p>
      <w:pPr>
        <w:pStyle w:val="BodyText"/>
        <w:spacing w:line="398" w:lineRule="auto" w:before="98"/>
        <w:ind w:left="213" w:right="1130"/>
        <w:jc w:val="both"/>
      </w:pPr>
      <w:r>
        <w:rPr>
          <w:spacing w:val="-1"/>
        </w:rPr>
        <w:t>处置长期股权投资相对应享有子公司净资产的差额计入股东权益；母公司部分处置对子公司的长期股权投</w:t>
      </w:r>
      <w:r>
        <w:rPr>
          <w:spacing w:val="-81"/>
        </w:rPr>
        <w:t> </w:t>
      </w:r>
      <w:r>
        <w:rPr>
          <w:spacing w:val="-81"/>
        </w:rPr>
      </w:r>
      <w:r>
        <w:rPr>
          <w:spacing w:val="-1"/>
        </w:rPr>
        <w:t>资导致丧失对子公司控制权的，按本附注四、</w:t>
      </w:r>
      <w:r>
        <w:rPr>
          <w:rFonts w:ascii="Arial" w:hAnsi="Arial" w:cs="Arial" w:eastAsia="Arial" w:hint="default"/>
          <w:spacing w:val="-1"/>
        </w:rPr>
        <w:t>5</w:t>
      </w:r>
      <w:r>
        <w:rPr>
          <w:spacing w:val="-1"/>
        </w:rPr>
        <w:t>、（</w:t>
      </w:r>
      <w:r>
        <w:rPr>
          <w:rFonts w:ascii="Arial" w:hAnsi="Arial" w:cs="Arial" w:eastAsia="Arial" w:hint="default"/>
          <w:spacing w:val="-1"/>
        </w:rPr>
        <w:t>2</w:t>
      </w:r>
      <w:r>
        <w:rPr>
          <w:spacing w:val="-1"/>
        </w:rPr>
        <w:t>）“合并财务报表编制的方法”中所述的相关会计政</w:t>
      </w:r>
      <w:r>
        <w:rPr/>
        <w:t> 策处理。</w:t>
      </w:r>
    </w:p>
    <w:p>
      <w:pPr>
        <w:spacing w:line="240" w:lineRule="auto" w:before="1"/>
        <w:rPr>
          <w:rFonts w:ascii="宋体" w:hAnsi="宋体" w:cs="宋体" w:eastAsia="宋体" w:hint="default"/>
          <w:sz w:val="16"/>
          <w:szCs w:val="16"/>
        </w:rPr>
      </w:pPr>
    </w:p>
    <w:p>
      <w:pPr>
        <w:pStyle w:val="BodyText"/>
        <w:spacing w:line="408" w:lineRule="auto"/>
        <w:ind w:left="214" w:right="1131" w:firstLine="420"/>
        <w:jc w:val="both"/>
      </w:pPr>
      <w:r>
        <w:rPr>
          <w:spacing w:val="-1"/>
        </w:rPr>
        <w:t>其他情形下的长期股权投资处置，对于处置的股权，其账面价值与实际取得价款的差额，计入当期损</w:t>
      </w:r>
      <w:r>
        <w:rPr/>
        <w:t> 益。</w:t>
      </w:r>
    </w:p>
    <w:p>
      <w:pPr>
        <w:spacing w:line="240" w:lineRule="auto" w:before="6"/>
        <w:rPr>
          <w:rFonts w:ascii="宋体" w:hAnsi="宋体" w:cs="宋体" w:eastAsia="宋体" w:hint="default"/>
          <w:sz w:val="15"/>
          <w:szCs w:val="15"/>
        </w:rPr>
      </w:pPr>
    </w:p>
    <w:p>
      <w:pPr>
        <w:pStyle w:val="BodyText"/>
        <w:spacing w:line="408" w:lineRule="auto"/>
        <w:ind w:left="214" w:right="1131" w:firstLine="420"/>
        <w:jc w:val="both"/>
      </w:pPr>
      <w:r>
        <w:rPr>
          <w:spacing w:val="-1"/>
        </w:rPr>
        <w:t>采用权益法核算的长期股权投资，处置后的剩余股权仍采用权益法核算的，在处置时将原计入股东权</w:t>
      </w:r>
      <w:r>
        <w:rPr/>
        <w:t> </w:t>
      </w:r>
      <w:r>
        <w:rPr>
          <w:spacing w:val="3"/>
        </w:rPr>
        <w:t>益的其他综合收益部分按相应的比例采用与被投资单位直接处置相关资产或负债相同的基础进行会计处</w:t>
      </w:r>
      <w:r>
        <w:rPr>
          <w:spacing w:val="-82"/>
        </w:rPr>
        <w:t> </w:t>
      </w:r>
      <w:r>
        <w:rPr>
          <w:spacing w:val="-82"/>
        </w:rPr>
      </w:r>
      <w:r>
        <w:rPr>
          <w:spacing w:val="-1"/>
        </w:rPr>
        <w:t>理。因被投资方除净损益、其他综合收益和利润分配以外的其他所有者权益变动而确认的所有者权益，按</w:t>
      </w:r>
      <w:r>
        <w:rPr>
          <w:spacing w:val="-83"/>
        </w:rPr>
        <w:t> </w:t>
      </w:r>
      <w:r>
        <w:rPr>
          <w:spacing w:val="-83"/>
        </w:rPr>
      </w:r>
      <w:r>
        <w:rPr/>
        <w:t>比例结转入当期损益。</w:t>
      </w:r>
    </w:p>
    <w:p>
      <w:pPr>
        <w:spacing w:line="240" w:lineRule="auto" w:before="6"/>
        <w:rPr>
          <w:rFonts w:ascii="宋体" w:hAnsi="宋体" w:cs="宋体" w:eastAsia="宋体" w:hint="default"/>
          <w:sz w:val="15"/>
          <w:szCs w:val="15"/>
        </w:rPr>
      </w:pPr>
    </w:p>
    <w:p>
      <w:pPr>
        <w:pStyle w:val="BodyText"/>
        <w:spacing w:line="408" w:lineRule="auto"/>
        <w:ind w:left="214" w:right="1130" w:firstLine="420"/>
        <w:jc w:val="both"/>
      </w:pPr>
      <w:r>
        <w:rPr>
          <w:spacing w:val="-1"/>
        </w:rPr>
        <w:t>采用成本法核算的长期股权投资，处置后剩余股权仍采用成本法核算的，其在取得对被投资单位的控</w:t>
      </w:r>
      <w:r>
        <w:rPr/>
        <w:t> </w:t>
      </w:r>
      <w:r>
        <w:rPr>
          <w:spacing w:val="-1"/>
        </w:rPr>
        <w:t>制之前因采用权益法核算或金融工具确认和计量准则核算而确认的其他综合收益，采用与被投资单位直接</w:t>
      </w:r>
      <w:r>
        <w:rPr>
          <w:spacing w:val="-81"/>
        </w:rPr>
        <w:t> </w:t>
      </w:r>
      <w:r>
        <w:rPr>
          <w:spacing w:val="-81"/>
        </w:rPr>
      </w:r>
      <w:r>
        <w:rPr>
          <w:spacing w:val="-1"/>
        </w:rPr>
        <w:t>处置相关资产或负债相同的基础进行会计处理，并按比例结转当期损益；因采用权益法核算而确认的被投</w:t>
      </w:r>
      <w:r>
        <w:rPr>
          <w:spacing w:val="-80"/>
        </w:rPr>
        <w:t> </w:t>
      </w:r>
      <w:r>
        <w:rPr>
          <w:spacing w:val="-80"/>
        </w:rPr>
      </w:r>
      <w:r>
        <w:rPr/>
        <w:t>资单位净资产中除净损益、其他综合收益和利润分配以外的其他所有者权益变动按比例结转当期损益。</w:t>
      </w:r>
    </w:p>
    <w:p>
      <w:pPr>
        <w:pStyle w:val="Heading5"/>
        <w:spacing w:line="240" w:lineRule="auto" w:before="135"/>
        <w:ind w:left="633" w:right="1513"/>
        <w:jc w:val="left"/>
        <w:rPr>
          <w:rFonts w:ascii="Microsoft JhengHei" w:hAnsi="Microsoft JhengHei" w:cs="Microsoft JhengHei" w:eastAsia="Microsoft JhengHei" w:hint="default"/>
          <w:b w:val="0"/>
          <w:bCs w:val="0"/>
        </w:rPr>
      </w:pPr>
      <w:r>
        <w:rPr>
          <w:rFonts w:ascii="Trebuchet MS" w:hAnsi="Trebuchet MS" w:cs="Trebuchet MS" w:eastAsia="Trebuchet MS" w:hint="default"/>
        </w:rPr>
        <w:t>12</w:t>
      </w:r>
      <w:r>
        <w:rPr>
          <w:rFonts w:ascii="Microsoft JhengHei" w:hAnsi="Microsoft JhengHei" w:cs="Microsoft JhengHei" w:eastAsia="Microsoft JhengHei" w:hint="default"/>
        </w:rPr>
        <w:t>、固定资产</w:t>
      </w:r>
      <w:r>
        <w:rPr>
          <w:rFonts w:ascii="Microsoft JhengHei" w:hAnsi="Microsoft JhengHei" w:cs="Microsoft JhengHei" w:eastAsia="Microsoft JhengHei" w:hint="default"/>
          <w:b w:val="0"/>
          <w:bCs w:val="0"/>
        </w:rPr>
      </w:r>
    </w:p>
    <w:p>
      <w:pPr>
        <w:spacing w:line="240" w:lineRule="auto" w:before="12"/>
        <w:rPr>
          <w:rFonts w:ascii="Microsoft JhengHei" w:hAnsi="Microsoft JhengHei" w:cs="Microsoft JhengHei" w:eastAsia="Microsoft JhengHei" w:hint="default"/>
          <w:b/>
          <w:bCs/>
          <w:sz w:val="18"/>
          <w:szCs w:val="18"/>
        </w:rPr>
      </w:pPr>
    </w:p>
    <w:p>
      <w:pPr>
        <w:pStyle w:val="BodyText"/>
        <w:spacing w:line="516" w:lineRule="auto"/>
        <w:ind w:left="633" w:right="419"/>
        <w:jc w:val="left"/>
      </w:pPr>
      <w:r>
        <w:rPr/>
        <w:t>（</w:t>
      </w:r>
      <w:r>
        <w:rPr>
          <w:rFonts w:ascii="Arial" w:hAnsi="Arial" w:cs="Arial" w:eastAsia="Arial" w:hint="default"/>
        </w:rPr>
        <w:t>1</w:t>
      </w:r>
      <w:r>
        <w:rPr/>
        <w:t>）固定资产确认条件 </w:t>
      </w:r>
      <w:r>
        <w:rPr>
          <w:spacing w:val="-1"/>
        </w:rPr>
        <w:t>固定资产是指为生产商品、提供劳务、出租或经营管理而持有的，使用寿命超过一个会计年度的有形</w:t>
      </w:r>
    </w:p>
    <w:p>
      <w:pPr>
        <w:pStyle w:val="BodyText"/>
        <w:spacing w:line="227" w:lineRule="exact"/>
        <w:ind w:left="213" w:right="0"/>
        <w:jc w:val="both"/>
      </w:pPr>
      <w:r>
        <w:rPr/>
        <w:t>资产。固定资产仅在与其有关的经济利益很可能流入本公司，且其成本能够可靠地计量时才予以确认。固</w:t>
      </w:r>
    </w:p>
    <w:p>
      <w:pPr>
        <w:spacing w:line="240" w:lineRule="auto" w:before="10"/>
        <w:rPr>
          <w:rFonts w:ascii="宋体" w:hAnsi="宋体" w:cs="宋体" w:eastAsia="宋体" w:hint="default"/>
          <w:sz w:val="14"/>
          <w:szCs w:val="14"/>
        </w:rPr>
      </w:pPr>
    </w:p>
    <w:p>
      <w:pPr>
        <w:pStyle w:val="BodyText"/>
        <w:spacing w:line="240" w:lineRule="auto"/>
        <w:ind w:left="213" w:right="0"/>
        <w:jc w:val="both"/>
      </w:pPr>
      <w:r>
        <w:rPr/>
        <w:t>定资产按成本并考虑预计弃置费用因素的影响进行初始计量。</w:t>
      </w:r>
    </w:p>
    <w:p>
      <w:pPr>
        <w:spacing w:line="240" w:lineRule="auto" w:before="9"/>
        <w:rPr>
          <w:rFonts w:ascii="宋体" w:hAnsi="宋体" w:cs="宋体" w:eastAsia="宋体" w:hint="default"/>
          <w:sz w:val="26"/>
          <w:szCs w:val="26"/>
        </w:rPr>
      </w:pPr>
    </w:p>
    <w:p>
      <w:pPr>
        <w:pStyle w:val="BodyText"/>
        <w:spacing w:line="516" w:lineRule="auto"/>
        <w:ind w:left="633" w:right="419"/>
        <w:jc w:val="left"/>
      </w:pPr>
      <w:r>
        <w:rPr/>
        <w:t>（</w:t>
      </w:r>
      <w:r>
        <w:rPr>
          <w:rFonts w:ascii="Arial" w:hAnsi="Arial" w:cs="Arial" w:eastAsia="Arial" w:hint="default"/>
        </w:rPr>
        <w:t>2</w:t>
      </w:r>
      <w:r>
        <w:rPr/>
        <w:t>）各类固定资产的折旧方法 </w:t>
      </w:r>
      <w:r>
        <w:rPr>
          <w:spacing w:val="-1"/>
        </w:rPr>
        <w:t>固定资产从达到预定可使用状态的次月起，采用年限平均法在使用寿命内计提折旧。各类固定资产的</w:t>
      </w:r>
    </w:p>
    <w:p>
      <w:pPr>
        <w:pStyle w:val="BodyText"/>
        <w:spacing w:line="227" w:lineRule="exact"/>
        <w:ind w:left="213" w:right="0"/>
        <w:jc w:val="both"/>
      </w:pPr>
      <w:r>
        <w:rPr/>
        <w:t>使用寿命、预计净残值和年折旧率如下：</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2573"/>
        <w:gridCol w:w="1858"/>
        <w:gridCol w:w="1720"/>
        <w:gridCol w:w="1415"/>
        <w:gridCol w:w="1602"/>
      </w:tblGrid>
      <w:tr>
        <w:trPr>
          <w:trHeight w:val="317" w:hRule="exact"/>
        </w:trPr>
        <w:tc>
          <w:tcPr>
            <w:tcW w:w="257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85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568"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72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229"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141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87"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Arial" w:hAnsi="Arial" w:cs="Arial" w:eastAsia="Arial" w:hint="default"/>
                <w:sz w:val="18"/>
                <w:szCs w:val="18"/>
              </w:rPr>
              <w:t>%</w:t>
            </w:r>
            <w:r>
              <w:rPr>
                <w:rFonts w:ascii="宋体" w:hAnsi="宋体" w:cs="宋体" w:eastAsia="宋体" w:hint="default"/>
                <w:sz w:val="18"/>
                <w:szCs w:val="18"/>
              </w:rPr>
              <w:t>）</w:t>
            </w:r>
          </w:p>
        </w:tc>
        <w:tc>
          <w:tcPr>
            <w:tcW w:w="16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90"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Arial" w:hAnsi="Arial" w:cs="Arial" w:eastAsia="Arial" w:hint="default"/>
                <w:sz w:val="18"/>
                <w:szCs w:val="18"/>
              </w:rPr>
              <w:t>%</w:t>
            </w:r>
            <w:r>
              <w:rPr>
                <w:rFonts w:ascii="宋体" w:hAnsi="宋体" w:cs="宋体" w:eastAsia="宋体" w:hint="default"/>
                <w:sz w:val="18"/>
                <w:szCs w:val="18"/>
              </w:rPr>
              <w:t>）</w:t>
            </w:r>
          </w:p>
        </w:tc>
      </w:tr>
      <w:tr>
        <w:trPr>
          <w:trHeight w:val="328" w:hRule="exact"/>
        </w:trPr>
        <w:tc>
          <w:tcPr>
            <w:tcW w:w="257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858" w:type="dxa"/>
            <w:tcBorders>
              <w:top w:val="single" w:sz="4" w:space="0" w:color="5B9BD4"/>
              <w:left w:val="nil" w:sz="6" w:space="0" w:color="auto"/>
              <w:bottom w:val="single" w:sz="4" w:space="0" w:color="5B9BD4"/>
              <w:right w:val="nil" w:sz="6" w:space="0" w:color="auto"/>
            </w:tcBorders>
          </w:tcPr>
          <w:p>
            <w:pPr>
              <w:pStyle w:val="TableParagraph"/>
              <w:spacing w:line="240" w:lineRule="auto" w:before="11"/>
              <w:ind w:right="106"/>
              <w:jc w:val="right"/>
              <w:rPr>
                <w:rFonts w:ascii="宋体" w:hAnsi="宋体" w:cs="宋体" w:eastAsia="宋体" w:hint="default"/>
                <w:sz w:val="18"/>
                <w:szCs w:val="18"/>
              </w:rPr>
            </w:pPr>
            <w:r>
              <w:rPr>
                <w:rFonts w:ascii="宋体" w:hAnsi="宋体" w:cs="宋体" w:eastAsia="宋体" w:hint="default"/>
                <w:sz w:val="18"/>
                <w:szCs w:val="18"/>
              </w:rPr>
              <w:t>年限平均法</w:t>
            </w:r>
          </w:p>
        </w:tc>
        <w:tc>
          <w:tcPr>
            <w:tcW w:w="172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3"/>
              <w:ind w:right="107"/>
              <w:jc w:val="right"/>
              <w:rPr>
                <w:rFonts w:ascii="Arial" w:hAnsi="Arial" w:cs="Arial" w:eastAsia="Arial" w:hint="default"/>
                <w:sz w:val="18"/>
                <w:szCs w:val="18"/>
              </w:rPr>
            </w:pPr>
            <w:r>
              <w:rPr>
                <w:rFonts w:ascii="Arial"/>
                <w:spacing w:val="-1"/>
                <w:w w:val="95"/>
                <w:sz w:val="18"/>
              </w:rPr>
              <w:t>20</w:t>
            </w:r>
            <w:r>
              <w:rPr>
                <w:rFonts w:ascii="Arial"/>
                <w:sz w:val="18"/>
              </w:rPr>
            </w:r>
          </w:p>
        </w:tc>
        <w:tc>
          <w:tcPr>
            <w:tcW w:w="1415" w:type="dxa"/>
            <w:tcBorders>
              <w:top w:val="single" w:sz="4" w:space="0" w:color="5B9BD4"/>
              <w:left w:val="nil" w:sz="6" w:space="0" w:color="auto"/>
              <w:bottom w:val="single" w:sz="4" w:space="0" w:color="5B9BD4"/>
              <w:right w:val="nil" w:sz="6" w:space="0" w:color="auto"/>
            </w:tcBorders>
          </w:tcPr>
          <w:p>
            <w:pPr>
              <w:pStyle w:val="TableParagraph"/>
              <w:spacing w:line="240" w:lineRule="auto" w:before="53"/>
              <w:ind w:right="105"/>
              <w:jc w:val="right"/>
              <w:rPr>
                <w:rFonts w:ascii="Arial" w:hAnsi="Arial" w:cs="Arial" w:eastAsia="Arial" w:hint="default"/>
                <w:sz w:val="18"/>
                <w:szCs w:val="18"/>
              </w:rPr>
            </w:pPr>
            <w:r>
              <w:rPr>
                <w:rFonts w:ascii="Arial"/>
                <w:w w:val="99"/>
                <w:sz w:val="18"/>
              </w:rPr>
              <w:t>5</w:t>
            </w:r>
            <w:r>
              <w:rPr>
                <w:rFonts w:ascii="Arial"/>
                <w:sz w:val="18"/>
              </w:rPr>
            </w:r>
          </w:p>
        </w:tc>
        <w:tc>
          <w:tcPr>
            <w:tcW w:w="16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3"/>
              <w:ind w:right="106"/>
              <w:jc w:val="right"/>
              <w:rPr>
                <w:rFonts w:ascii="Arial" w:hAnsi="Arial" w:cs="Arial" w:eastAsia="Arial" w:hint="default"/>
                <w:sz w:val="18"/>
                <w:szCs w:val="18"/>
              </w:rPr>
            </w:pPr>
            <w:r>
              <w:rPr>
                <w:rFonts w:ascii="Arial"/>
                <w:w w:val="95"/>
                <w:sz w:val="18"/>
              </w:rPr>
              <w:t>4.75</w:t>
            </w:r>
            <w:r>
              <w:rPr>
                <w:rFonts w:ascii="Arial"/>
                <w:sz w:val="18"/>
              </w:rPr>
            </w:r>
          </w:p>
        </w:tc>
      </w:tr>
      <w:tr>
        <w:trPr>
          <w:trHeight w:val="322" w:hRule="exact"/>
        </w:trPr>
        <w:tc>
          <w:tcPr>
            <w:tcW w:w="257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858"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106"/>
              <w:jc w:val="right"/>
              <w:rPr>
                <w:rFonts w:ascii="宋体" w:hAnsi="宋体" w:cs="宋体" w:eastAsia="宋体" w:hint="default"/>
                <w:sz w:val="18"/>
                <w:szCs w:val="18"/>
              </w:rPr>
            </w:pPr>
            <w:r>
              <w:rPr>
                <w:rFonts w:ascii="宋体" w:hAnsi="宋体" w:cs="宋体" w:eastAsia="宋体" w:hint="default"/>
                <w:sz w:val="18"/>
                <w:szCs w:val="18"/>
              </w:rPr>
              <w:t>年限平均法</w:t>
            </w:r>
          </w:p>
        </w:tc>
        <w:tc>
          <w:tcPr>
            <w:tcW w:w="172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spacing w:val="-1"/>
                <w:w w:val="95"/>
                <w:sz w:val="18"/>
              </w:rPr>
              <w:t>5-10</w:t>
            </w:r>
            <w:r>
              <w:rPr>
                <w:rFonts w:ascii="Arial"/>
                <w:sz w:val="18"/>
              </w:rPr>
            </w:r>
          </w:p>
        </w:tc>
        <w:tc>
          <w:tcPr>
            <w:tcW w:w="1415"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9"/>
                <w:sz w:val="18"/>
              </w:rPr>
              <w:t>5</w:t>
            </w:r>
            <w:r>
              <w:rPr>
                <w:rFonts w:ascii="Arial"/>
                <w:sz w:val="18"/>
              </w:rPr>
            </w:r>
          </w:p>
        </w:tc>
        <w:tc>
          <w:tcPr>
            <w:tcW w:w="16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9.5-19.00</w:t>
            </w:r>
            <w:r>
              <w:rPr>
                <w:rFonts w:ascii="Arial"/>
                <w:sz w:val="18"/>
              </w:rPr>
            </w:r>
          </w:p>
        </w:tc>
      </w:tr>
    </w:tbl>
    <w:p>
      <w:pPr>
        <w:spacing w:after="0" w:line="240" w:lineRule="auto"/>
        <w:jc w:val="right"/>
        <w:rPr>
          <w:rFonts w:ascii="Arial" w:hAnsi="Arial" w:cs="Arial" w:eastAsia="Arial" w:hint="default"/>
          <w:sz w:val="18"/>
          <w:szCs w:val="18"/>
        </w:rPr>
        <w:sectPr>
          <w:pgSz w:w="11910" w:h="16840"/>
          <w:pgMar w:header="877" w:footer="979" w:top="1100" w:bottom="1160" w:left="920" w:right="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2573"/>
        <w:gridCol w:w="1858"/>
        <w:gridCol w:w="1720"/>
        <w:gridCol w:w="1415"/>
        <w:gridCol w:w="1602"/>
      </w:tblGrid>
      <w:tr>
        <w:trPr>
          <w:trHeight w:val="322" w:hRule="exact"/>
        </w:trPr>
        <w:tc>
          <w:tcPr>
            <w:tcW w:w="257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858"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106"/>
              <w:jc w:val="right"/>
              <w:rPr>
                <w:rFonts w:ascii="宋体" w:hAnsi="宋体" w:cs="宋体" w:eastAsia="宋体" w:hint="default"/>
                <w:sz w:val="18"/>
                <w:szCs w:val="18"/>
              </w:rPr>
            </w:pPr>
            <w:r>
              <w:rPr>
                <w:rFonts w:ascii="宋体" w:hAnsi="宋体" w:cs="宋体" w:eastAsia="宋体" w:hint="default"/>
                <w:sz w:val="18"/>
                <w:szCs w:val="18"/>
              </w:rPr>
              <w:t>年限平均法</w:t>
            </w:r>
          </w:p>
        </w:tc>
        <w:tc>
          <w:tcPr>
            <w:tcW w:w="172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spacing w:val="-1"/>
                <w:sz w:val="18"/>
              </w:rPr>
              <w:t>3-5</w:t>
            </w:r>
          </w:p>
        </w:tc>
        <w:tc>
          <w:tcPr>
            <w:tcW w:w="1415"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9"/>
                <w:sz w:val="18"/>
              </w:rPr>
              <w:t>5</w:t>
            </w:r>
            <w:r>
              <w:rPr>
                <w:rFonts w:ascii="Arial"/>
                <w:sz w:val="18"/>
              </w:rPr>
            </w:r>
          </w:p>
        </w:tc>
        <w:tc>
          <w:tcPr>
            <w:tcW w:w="16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19-31.67</w:t>
            </w:r>
          </w:p>
        </w:tc>
      </w:tr>
      <w:tr>
        <w:trPr>
          <w:trHeight w:val="322" w:hRule="exact"/>
        </w:trPr>
        <w:tc>
          <w:tcPr>
            <w:tcW w:w="257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858" w:type="dxa"/>
            <w:tcBorders>
              <w:top w:val="single" w:sz="4" w:space="0" w:color="5B9BD4"/>
              <w:left w:val="nil" w:sz="6" w:space="0" w:color="auto"/>
              <w:bottom w:val="single" w:sz="4" w:space="0" w:color="5B9BD4"/>
              <w:right w:val="nil" w:sz="6" w:space="0" w:color="auto"/>
            </w:tcBorders>
          </w:tcPr>
          <w:p>
            <w:pPr>
              <w:pStyle w:val="TableParagraph"/>
              <w:spacing w:line="240" w:lineRule="auto" w:before="6"/>
              <w:ind w:right="106"/>
              <w:jc w:val="right"/>
              <w:rPr>
                <w:rFonts w:ascii="宋体" w:hAnsi="宋体" w:cs="宋体" w:eastAsia="宋体" w:hint="default"/>
                <w:sz w:val="18"/>
                <w:szCs w:val="18"/>
              </w:rPr>
            </w:pPr>
            <w:r>
              <w:rPr>
                <w:rFonts w:ascii="宋体" w:hAnsi="宋体" w:cs="宋体" w:eastAsia="宋体" w:hint="default"/>
                <w:sz w:val="18"/>
                <w:szCs w:val="18"/>
              </w:rPr>
              <w:t>年限平均法</w:t>
            </w:r>
          </w:p>
        </w:tc>
        <w:tc>
          <w:tcPr>
            <w:tcW w:w="172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spacing w:val="-1"/>
                <w:sz w:val="18"/>
              </w:rPr>
              <w:t>3-5</w:t>
            </w:r>
          </w:p>
        </w:tc>
        <w:tc>
          <w:tcPr>
            <w:tcW w:w="1415"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9"/>
                <w:sz w:val="18"/>
              </w:rPr>
              <w:t>5</w:t>
            </w:r>
            <w:r>
              <w:rPr>
                <w:rFonts w:ascii="Arial"/>
                <w:sz w:val="18"/>
              </w:rPr>
            </w:r>
          </w:p>
        </w:tc>
        <w:tc>
          <w:tcPr>
            <w:tcW w:w="16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19-31.67</w:t>
            </w:r>
          </w:p>
        </w:tc>
      </w:tr>
    </w:tbl>
    <w:p>
      <w:pPr>
        <w:spacing w:line="240" w:lineRule="auto" w:before="0"/>
        <w:rPr>
          <w:rFonts w:ascii="宋体" w:hAnsi="宋体" w:cs="宋体" w:eastAsia="宋体" w:hint="default"/>
          <w:sz w:val="15"/>
          <w:szCs w:val="15"/>
        </w:rPr>
      </w:pPr>
    </w:p>
    <w:p>
      <w:pPr>
        <w:pStyle w:val="BodyText"/>
        <w:spacing w:line="408" w:lineRule="auto" w:before="18"/>
        <w:ind w:left="214" w:right="1132" w:firstLine="420"/>
        <w:jc w:val="both"/>
      </w:pPr>
      <w:r>
        <w:rPr>
          <w:spacing w:val="-1"/>
        </w:rPr>
        <w:t>预计净残值是指假定固定资产预计使用寿命已满并处于使用寿命终了时的预期状态，本公司目前从该</w:t>
      </w:r>
      <w:r>
        <w:rPr/>
        <w:t> 项资产处置中获得的扣除预计处置费用后的金额。</w:t>
      </w:r>
    </w:p>
    <w:p>
      <w:pPr>
        <w:spacing w:line="240" w:lineRule="auto" w:before="6"/>
        <w:rPr>
          <w:rFonts w:ascii="宋体" w:hAnsi="宋体" w:cs="宋体" w:eastAsia="宋体" w:hint="default"/>
          <w:sz w:val="15"/>
          <w:szCs w:val="15"/>
        </w:rPr>
      </w:pPr>
    </w:p>
    <w:p>
      <w:pPr>
        <w:pStyle w:val="BodyText"/>
        <w:spacing w:line="516" w:lineRule="auto"/>
        <w:ind w:left="633" w:right="1513"/>
        <w:jc w:val="left"/>
      </w:pPr>
      <w:r>
        <w:rPr/>
        <w:t>（</w:t>
      </w:r>
      <w:r>
        <w:rPr>
          <w:rFonts w:ascii="Arial" w:hAnsi="Arial" w:cs="Arial" w:eastAsia="Arial" w:hint="default"/>
        </w:rPr>
        <w:t>3</w:t>
      </w:r>
      <w:r>
        <w:rPr/>
        <w:t>）固定资产的减值测试方法及减值准备计提方法 固定资产的减值测试方法和减值准备计提方法详见附注五、16“长期资产减值”。</w:t>
      </w:r>
    </w:p>
    <w:p>
      <w:pPr>
        <w:pStyle w:val="BodyText"/>
        <w:spacing w:line="516" w:lineRule="auto" w:before="107"/>
        <w:ind w:left="633" w:right="419"/>
        <w:jc w:val="left"/>
      </w:pPr>
      <w:r>
        <w:rPr/>
        <w:t>（</w:t>
      </w:r>
      <w:r>
        <w:rPr>
          <w:rFonts w:ascii="Arial" w:hAnsi="Arial" w:cs="Arial" w:eastAsia="Arial" w:hint="default"/>
        </w:rPr>
        <w:t>4</w:t>
      </w:r>
      <w:r>
        <w:rPr/>
        <w:t>）其他说明 与固定资产有关的后续支出，如果与该固定资产有关的经济利益很可能流入且其成本能可靠地计量，</w:t>
      </w:r>
    </w:p>
    <w:p>
      <w:pPr>
        <w:pStyle w:val="BodyText"/>
        <w:spacing w:line="227" w:lineRule="exact"/>
        <w:ind w:left="213" w:right="0"/>
        <w:jc w:val="both"/>
      </w:pPr>
      <w:r>
        <w:rPr/>
        <w:t>则计入固定资产成本，并终止确认被替换部分的账面价值。除此以外的其他后续支出，在发生时计入当期</w:t>
      </w:r>
    </w:p>
    <w:p>
      <w:pPr>
        <w:spacing w:line="240" w:lineRule="auto" w:before="10"/>
        <w:rPr>
          <w:rFonts w:ascii="宋体" w:hAnsi="宋体" w:cs="宋体" w:eastAsia="宋体" w:hint="default"/>
          <w:sz w:val="14"/>
          <w:szCs w:val="14"/>
        </w:rPr>
      </w:pPr>
    </w:p>
    <w:p>
      <w:pPr>
        <w:pStyle w:val="BodyText"/>
        <w:spacing w:line="240" w:lineRule="auto"/>
        <w:ind w:left="213" w:right="0"/>
        <w:jc w:val="both"/>
      </w:pPr>
      <w:r>
        <w:rPr/>
        <w:t>损益。</w:t>
      </w:r>
    </w:p>
    <w:p>
      <w:pPr>
        <w:spacing w:line="240" w:lineRule="auto" w:before="9"/>
        <w:rPr>
          <w:rFonts w:ascii="宋体" w:hAnsi="宋体" w:cs="宋体" w:eastAsia="宋体" w:hint="default"/>
          <w:sz w:val="26"/>
          <w:szCs w:val="26"/>
        </w:rPr>
      </w:pPr>
    </w:p>
    <w:p>
      <w:pPr>
        <w:pStyle w:val="BodyText"/>
        <w:spacing w:line="408" w:lineRule="auto"/>
        <w:ind w:left="213" w:right="1131" w:firstLine="420"/>
        <w:jc w:val="both"/>
      </w:pPr>
      <w:r>
        <w:rPr>
          <w:spacing w:val="-1"/>
        </w:rPr>
        <w:t>当固定资产处于处置状态或预期通过使用或处置不能产生经济利益时，终止确认该固定资产。固定资</w:t>
      </w:r>
      <w:r>
        <w:rPr/>
        <w:t> 产出售、转让、报废或毁损的处置收入扣除其账面价值和相关税费后的差额计入当期损益。</w:t>
      </w:r>
    </w:p>
    <w:p>
      <w:pPr>
        <w:spacing w:line="240" w:lineRule="auto" w:before="6"/>
        <w:rPr>
          <w:rFonts w:ascii="宋体" w:hAnsi="宋体" w:cs="宋体" w:eastAsia="宋体" w:hint="default"/>
          <w:sz w:val="15"/>
          <w:szCs w:val="15"/>
        </w:rPr>
      </w:pPr>
    </w:p>
    <w:p>
      <w:pPr>
        <w:pStyle w:val="BodyText"/>
        <w:spacing w:line="408" w:lineRule="auto"/>
        <w:ind w:left="213" w:right="1131" w:firstLine="420"/>
        <w:jc w:val="both"/>
      </w:pPr>
      <w:r>
        <w:rPr>
          <w:spacing w:val="-1"/>
        </w:rPr>
        <w:t>本公司至少于年度终了对固定资产的使用寿命、预计净残值和折旧方法进行复核，如发生改变则作为</w:t>
      </w:r>
      <w:r>
        <w:rPr/>
        <w:t> 会计估计变更处理。</w:t>
      </w:r>
    </w:p>
    <w:p>
      <w:pPr>
        <w:pStyle w:val="BodyText"/>
        <w:spacing w:line="453" w:lineRule="auto" w:before="135"/>
        <w:ind w:left="633" w:right="419"/>
        <w:jc w:val="left"/>
      </w:pPr>
      <w:r>
        <w:rPr>
          <w:rFonts w:ascii="Trebuchet MS" w:hAnsi="Trebuchet MS" w:cs="Trebuchet MS" w:eastAsia="Trebuchet MS" w:hint="default"/>
          <w:b/>
          <w:bCs/>
        </w:rPr>
        <w:t>13</w:t>
      </w:r>
      <w:r>
        <w:rPr>
          <w:rFonts w:ascii="Microsoft JhengHei" w:hAnsi="Microsoft JhengHei" w:cs="Microsoft JhengHei" w:eastAsia="Microsoft JhengHei" w:hint="default"/>
          <w:b/>
          <w:bCs/>
        </w:rPr>
        <w:t>、借款费用 </w:t>
      </w:r>
      <w:r>
        <w:rPr>
          <w:spacing w:val="-1"/>
        </w:rPr>
        <w:t>借款费用包括借款利息、折价或溢价的摊销、辅助费用以及因外币借款而发生的汇兑差额等。可直接</w:t>
      </w:r>
    </w:p>
    <w:p>
      <w:pPr>
        <w:pStyle w:val="BodyText"/>
        <w:spacing w:line="408" w:lineRule="auto" w:before="6"/>
        <w:ind w:left="213" w:right="1131"/>
        <w:jc w:val="both"/>
      </w:pPr>
      <w:r>
        <w:rPr>
          <w:spacing w:val="-1"/>
        </w:rPr>
        <w:t>归属于符合资本化条件的资产的购建或者生产的借款费用，在资产支出已经发生、借款费用已经发生、为</w:t>
      </w:r>
      <w:r>
        <w:rPr>
          <w:spacing w:val="-83"/>
        </w:rPr>
        <w:t> </w:t>
      </w:r>
      <w:r>
        <w:rPr>
          <w:spacing w:val="-83"/>
        </w:rPr>
      </w:r>
      <w:r>
        <w:rPr>
          <w:spacing w:val="-1"/>
        </w:rPr>
        <w:t>使资产达到预定可使用或可销售状态所必要的购建或生产活动已经开始时，开始资本化；构建或者生产的</w:t>
      </w:r>
      <w:r>
        <w:rPr>
          <w:spacing w:val="-81"/>
        </w:rPr>
        <w:t> </w:t>
      </w:r>
      <w:r>
        <w:rPr>
          <w:spacing w:val="-81"/>
        </w:rPr>
      </w:r>
      <w:r>
        <w:rPr>
          <w:spacing w:val="-1"/>
        </w:rPr>
        <w:t>符合资本化条件的资产达到预定可使用状态或者可销售状态时，停止资本化。其余借款费用在发生当期确</w:t>
      </w:r>
      <w:r>
        <w:rPr>
          <w:spacing w:val="-81"/>
        </w:rPr>
        <w:t> </w:t>
      </w:r>
      <w:r>
        <w:rPr>
          <w:spacing w:val="-81"/>
        </w:rPr>
      </w:r>
      <w:r>
        <w:rPr/>
        <w:t>认为费用。</w:t>
      </w:r>
    </w:p>
    <w:p>
      <w:pPr>
        <w:spacing w:line="240" w:lineRule="auto" w:before="6"/>
        <w:rPr>
          <w:rFonts w:ascii="宋体" w:hAnsi="宋体" w:cs="宋体" w:eastAsia="宋体" w:hint="default"/>
          <w:sz w:val="15"/>
          <w:szCs w:val="15"/>
        </w:rPr>
      </w:pPr>
    </w:p>
    <w:p>
      <w:pPr>
        <w:pStyle w:val="BodyText"/>
        <w:spacing w:line="408" w:lineRule="auto"/>
        <w:ind w:left="213" w:right="1131" w:firstLine="420"/>
        <w:jc w:val="both"/>
      </w:pPr>
      <w:r>
        <w:rPr>
          <w:spacing w:val="-1"/>
        </w:rPr>
        <w:t>专门借款当期实际发生的利息费用，减去尚未动用的借款资金存入银行取得的利息收入或进行暂时性</w:t>
      </w:r>
      <w:r>
        <w:rPr/>
        <w:t> </w:t>
      </w:r>
      <w:r>
        <w:rPr>
          <w:spacing w:val="-1"/>
        </w:rPr>
        <w:t>投资取得的投资收益后的金额予以资本化；一般借款根据累计资产支出超过专门借款部分的资产支出加权</w:t>
      </w:r>
      <w:r>
        <w:rPr>
          <w:spacing w:val="-81"/>
        </w:rPr>
        <w:t> </w:t>
      </w:r>
      <w:r>
        <w:rPr>
          <w:spacing w:val="-81"/>
        </w:rPr>
      </w:r>
      <w:r>
        <w:rPr>
          <w:spacing w:val="-1"/>
        </w:rPr>
        <w:t>平均数乘以所占用一般借款的资本化率，确定资本化金额。资本化率根据一般借款的加权平均利率计算确</w:t>
      </w:r>
      <w:r>
        <w:rPr>
          <w:spacing w:val="-81"/>
        </w:rPr>
        <w:t> </w:t>
      </w:r>
      <w:r>
        <w:rPr>
          <w:spacing w:val="-81"/>
        </w:rPr>
      </w:r>
      <w:r>
        <w:rPr/>
        <w:t>定。</w:t>
      </w:r>
    </w:p>
    <w:p>
      <w:pPr>
        <w:spacing w:line="240" w:lineRule="auto" w:before="6"/>
        <w:rPr>
          <w:rFonts w:ascii="宋体" w:hAnsi="宋体" w:cs="宋体" w:eastAsia="宋体" w:hint="default"/>
          <w:sz w:val="15"/>
          <w:szCs w:val="15"/>
        </w:rPr>
      </w:pPr>
    </w:p>
    <w:p>
      <w:pPr>
        <w:pStyle w:val="BodyText"/>
        <w:spacing w:line="544" w:lineRule="auto"/>
        <w:ind w:left="634" w:right="419"/>
        <w:jc w:val="left"/>
      </w:pPr>
      <w:r>
        <w:rPr/>
        <w:t>资本化期间内，外币专门借款的汇兑差额全部予以资本化；外币一般借款的汇兑差额计入当期损益。</w:t>
      </w:r>
      <w:r>
        <w:rPr>
          <w:spacing w:val="-38"/>
        </w:rPr>
        <w:t> </w:t>
      </w:r>
      <w:r>
        <w:rPr>
          <w:spacing w:val="-38"/>
        </w:rPr>
      </w:r>
      <w:r>
        <w:rPr>
          <w:spacing w:val="3"/>
        </w:rPr>
        <w:t>符合资本化条件的资产指需要经过相当长时间的购建或者生产活动才能达到预定可使用或可销售状</w:t>
      </w:r>
    </w:p>
    <w:p>
      <w:pPr>
        <w:spacing w:after="0" w:line="544" w:lineRule="auto"/>
        <w:jc w:val="left"/>
        <w:sectPr>
          <w:pgSz w:w="11910" w:h="16840"/>
          <w:pgMar w:header="877" w:footer="979" w:top="1100" w:bottom="1160" w:left="920" w:right="0"/>
        </w:sectPr>
      </w:pPr>
    </w:p>
    <w:p>
      <w:pPr>
        <w:spacing w:line="240" w:lineRule="auto" w:before="7"/>
        <w:rPr>
          <w:rFonts w:ascii="宋体" w:hAnsi="宋体" w:cs="宋体" w:eastAsia="宋体" w:hint="default"/>
          <w:sz w:val="27"/>
          <w:szCs w:val="27"/>
        </w:rPr>
      </w:pPr>
    </w:p>
    <w:p>
      <w:pPr>
        <w:pStyle w:val="BodyText"/>
        <w:spacing w:line="240" w:lineRule="auto" w:before="18"/>
        <w:ind w:right="0"/>
        <w:jc w:val="left"/>
      </w:pPr>
      <w:r>
        <w:rPr/>
        <w:t>态的固定资产、投资性房地产和存货等资产。</w:t>
      </w:r>
    </w:p>
    <w:p>
      <w:pPr>
        <w:spacing w:line="240" w:lineRule="auto" w:before="9"/>
        <w:rPr>
          <w:rFonts w:ascii="宋体" w:hAnsi="宋体" w:cs="宋体" w:eastAsia="宋体" w:hint="default"/>
          <w:sz w:val="26"/>
          <w:szCs w:val="26"/>
        </w:rPr>
      </w:pPr>
    </w:p>
    <w:p>
      <w:pPr>
        <w:pStyle w:val="BodyText"/>
        <w:spacing w:line="388" w:lineRule="auto"/>
        <w:ind w:right="0" w:firstLine="420"/>
        <w:jc w:val="left"/>
      </w:pPr>
      <w:r>
        <w:rPr/>
        <w:t>如果符合资本化条件的资产在购建或生产过程中发生非正常中断、并且中断时间连续超过</w:t>
      </w:r>
      <w:r>
        <w:rPr>
          <w:rFonts w:ascii="Arial" w:hAnsi="Arial" w:cs="Arial" w:eastAsia="Arial" w:hint="default"/>
        </w:rPr>
        <w:t>3</w:t>
      </w:r>
      <w:r>
        <w:rPr/>
        <w:t>个月的， 暂停借款费用的资本化，直至资产的购建或生产活动重新开始。</w:t>
      </w:r>
    </w:p>
    <w:p>
      <w:pPr>
        <w:pStyle w:val="Heading5"/>
        <w:spacing w:line="240" w:lineRule="auto" w:before="152"/>
        <w:ind w:left="573" w:right="0"/>
        <w:jc w:val="left"/>
        <w:rPr>
          <w:rFonts w:ascii="Microsoft JhengHei" w:hAnsi="Microsoft JhengHei" w:cs="Microsoft JhengHei" w:eastAsia="Microsoft JhengHei" w:hint="default"/>
          <w:b w:val="0"/>
          <w:bCs w:val="0"/>
        </w:rPr>
      </w:pPr>
      <w:r>
        <w:rPr>
          <w:rFonts w:ascii="Trebuchet MS" w:hAnsi="Trebuchet MS" w:cs="Trebuchet MS" w:eastAsia="Trebuchet MS" w:hint="default"/>
        </w:rPr>
        <w:t>14</w:t>
      </w:r>
      <w:r>
        <w:rPr>
          <w:rFonts w:ascii="Microsoft JhengHei" w:hAnsi="Microsoft JhengHei" w:cs="Microsoft JhengHei" w:eastAsia="Microsoft JhengHei" w:hint="default"/>
        </w:rPr>
        <w:t>、无形资产</w:t>
      </w:r>
      <w:r>
        <w:rPr>
          <w:rFonts w:ascii="Microsoft JhengHei" w:hAnsi="Microsoft JhengHei" w:cs="Microsoft JhengHei" w:eastAsia="Microsoft JhengHei" w:hint="default"/>
          <w:b w:val="0"/>
          <w:bCs w:val="0"/>
        </w:rPr>
      </w:r>
    </w:p>
    <w:p>
      <w:pPr>
        <w:spacing w:line="240" w:lineRule="auto" w:before="12"/>
        <w:rPr>
          <w:rFonts w:ascii="Microsoft JhengHei" w:hAnsi="Microsoft JhengHei" w:cs="Microsoft JhengHei" w:eastAsia="Microsoft JhengHei" w:hint="default"/>
          <w:b/>
          <w:bCs/>
          <w:sz w:val="18"/>
          <w:szCs w:val="18"/>
        </w:rPr>
      </w:pPr>
    </w:p>
    <w:p>
      <w:pPr>
        <w:pStyle w:val="BodyText"/>
        <w:spacing w:line="516" w:lineRule="auto"/>
        <w:ind w:left="573" w:right="3403"/>
        <w:jc w:val="left"/>
      </w:pPr>
      <w:r>
        <w:rPr/>
        <w:t>（</w:t>
      </w:r>
      <w:r>
        <w:rPr>
          <w:rFonts w:ascii="Arial" w:hAnsi="Arial" w:cs="Arial" w:eastAsia="Arial" w:hint="default"/>
        </w:rPr>
        <w:t>1</w:t>
      </w:r>
      <w:r>
        <w:rPr/>
        <w:t>）无形资产 无形资产是指本公司拥有或者控制的没有实物形态的可辨认非货币性资产。</w:t>
      </w:r>
    </w:p>
    <w:p>
      <w:pPr>
        <w:pStyle w:val="BodyText"/>
        <w:spacing w:line="408" w:lineRule="auto" w:before="107"/>
        <w:ind w:right="0" w:firstLine="420"/>
        <w:jc w:val="left"/>
      </w:pPr>
      <w:r>
        <w:rPr>
          <w:spacing w:val="-1"/>
        </w:rPr>
        <w:t>无形资产按成本进行初始计量。与无形资产有关的支出，如果相关的经济利益很可能流入本公司且其</w:t>
      </w:r>
      <w:r>
        <w:rPr/>
        <w:t> 成本能可靠地计量，则计入无形资产成本。除此以外的其他项目的支出，在发生时计入当期损益。</w:t>
      </w:r>
    </w:p>
    <w:p>
      <w:pPr>
        <w:spacing w:line="240" w:lineRule="auto" w:before="6"/>
        <w:rPr>
          <w:rFonts w:ascii="宋体" w:hAnsi="宋体" w:cs="宋体" w:eastAsia="宋体" w:hint="default"/>
          <w:sz w:val="15"/>
          <w:szCs w:val="15"/>
        </w:rPr>
      </w:pPr>
    </w:p>
    <w:p>
      <w:pPr>
        <w:pStyle w:val="BodyText"/>
        <w:spacing w:line="408" w:lineRule="auto"/>
        <w:ind w:right="1131" w:firstLine="420"/>
        <w:jc w:val="both"/>
      </w:pPr>
      <w:r>
        <w:rPr>
          <w:spacing w:val="-1"/>
        </w:rPr>
        <w:t>取得的土地使用权通常作为无形资产核算。自行开发建造厂房等建筑物，相关的土地使用权支出和建</w:t>
      </w:r>
      <w:r>
        <w:rPr/>
        <w:t> </w:t>
      </w:r>
      <w:r>
        <w:rPr>
          <w:spacing w:val="-1"/>
        </w:rPr>
        <w:t>筑物建造成本则分别作为无形资产和固定资产核算。如为外购的房屋及建筑物，则将有关价款在土地使用</w:t>
      </w:r>
      <w:r>
        <w:rPr>
          <w:spacing w:val="-81"/>
        </w:rPr>
        <w:t> </w:t>
      </w:r>
      <w:r>
        <w:rPr>
          <w:spacing w:val="-81"/>
        </w:rPr>
      </w:r>
      <w:r>
        <w:rPr/>
        <w:t>权和建筑物之间进行分配，难以合理分配的，全部作为固定资产处理。</w:t>
      </w:r>
    </w:p>
    <w:p>
      <w:pPr>
        <w:spacing w:line="240" w:lineRule="auto" w:before="6"/>
        <w:rPr>
          <w:rFonts w:ascii="宋体" w:hAnsi="宋体" w:cs="宋体" w:eastAsia="宋体" w:hint="default"/>
          <w:sz w:val="15"/>
          <w:szCs w:val="15"/>
        </w:rPr>
      </w:pPr>
    </w:p>
    <w:p>
      <w:pPr>
        <w:pStyle w:val="BodyText"/>
        <w:spacing w:line="408" w:lineRule="auto"/>
        <w:ind w:right="0" w:firstLine="420"/>
        <w:jc w:val="left"/>
      </w:pPr>
      <w:r>
        <w:rPr>
          <w:spacing w:val="-1"/>
        </w:rPr>
        <w:t>使用寿命有限的无形资产自可供使用时起，对其原值减去预计净残值和已计提的减值准备累计金额在</w:t>
      </w:r>
      <w:r>
        <w:rPr/>
        <w:t> 其预计使用寿命内采用直线法分期平均摊销。使用寿命不确定的无形资产不予摊销。</w:t>
      </w:r>
    </w:p>
    <w:p>
      <w:pPr>
        <w:spacing w:line="240" w:lineRule="auto" w:before="6"/>
        <w:rPr>
          <w:rFonts w:ascii="宋体" w:hAnsi="宋体" w:cs="宋体" w:eastAsia="宋体" w:hint="default"/>
          <w:sz w:val="15"/>
          <w:szCs w:val="15"/>
        </w:rPr>
      </w:pPr>
    </w:p>
    <w:p>
      <w:pPr>
        <w:pStyle w:val="BodyText"/>
        <w:spacing w:line="408" w:lineRule="auto"/>
        <w:ind w:right="1131" w:firstLine="840"/>
        <w:jc w:val="both"/>
      </w:pPr>
      <w:r>
        <w:rPr>
          <w:spacing w:val="-1"/>
        </w:rPr>
        <w:t>期末，对使用寿命有限的无形资产的使用寿命和摊销方法进行复核，如发生变更则作为会计估计</w:t>
      </w:r>
      <w:r>
        <w:rPr/>
        <w:t> </w:t>
      </w:r>
      <w:r>
        <w:rPr>
          <w:spacing w:val="-1"/>
        </w:rPr>
        <w:t>变更处理。此外，还对使用寿命不确定的无形资产的使用寿命进行复核，如果有证据表明该无形资产为企</w:t>
      </w:r>
      <w:r>
        <w:rPr>
          <w:spacing w:val="-83"/>
        </w:rPr>
        <w:t> </w:t>
      </w:r>
      <w:r>
        <w:rPr>
          <w:spacing w:val="-83"/>
        </w:rPr>
      </w:r>
      <w:r>
        <w:rPr>
          <w:spacing w:val="-1"/>
        </w:rPr>
        <w:t>业带来经济利益的期限是可预见的，则估计其使用寿命并按照使用寿命有限的无形资产的摊销政策进行摊</w:t>
      </w:r>
      <w:r>
        <w:rPr>
          <w:spacing w:val="-81"/>
        </w:rPr>
        <w:t> </w:t>
      </w:r>
      <w:r>
        <w:rPr>
          <w:spacing w:val="-81"/>
        </w:rPr>
      </w:r>
      <w:r>
        <w:rPr/>
        <w:t>销。</w:t>
      </w:r>
    </w:p>
    <w:p>
      <w:pPr>
        <w:spacing w:line="240" w:lineRule="auto" w:before="6"/>
        <w:rPr>
          <w:rFonts w:ascii="宋体" w:hAnsi="宋体" w:cs="宋体" w:eastAsia="宋体" w:hint="default"/>
          <w:sz w:val="15"/>
          <w:szCs w:val="15"/>
        </w:rPr>
      </w:pPr>
    </w:p>
    <w:p>
      <w:pPr>
        <w:pStyle w:val="BodyText"/>
        <w:spacing w:line="530" w:lineRule="auto"/>
        <w:ind w:left="573" w:right="4033"/>
        <w:jc w:val="left"/>
      </w:pPr>
      <w:r>
        <w:rPr/>
        <w:t>（</w:t>
      </w:r>
      <w:r>
        <w:rPr>
          <w:rFonts w:ascii="Arial" w:hAnsi="Arial" w:cs="Arial" w:eastAsia="Arial" w:hint="default"/>
        </w:rPr>
        <w:t>2</w:t>
      </w:r>
      <w:r>
        <w:rPr/>
        <w:t>）研究与开发支出 本公司内部研究开发项目的支出分为研究阶段支出与开发阶段支出。 研究阶段的支出，于发生时计入当期损益。</w:t>
      </w:r>
    </w:p>
    <w:p>
      <w:pPr>
        <w:pStyle w:val="BodyText"/>
        <w:spacing w:line="408" w:lineRule="auto" w:before="95"/>
        <w:ind w:left="154" w:right="1125" w:firstLine="420"/>
        <w:jc w:val="left"/>
      </w:pPr>
      <w:r>
        <w:rPr>
          <w:spacing w:val="-1"/>
        </w:rPr>
        <w:t>开发阶段的支出同时满足下列条件的，确认为无形资产，不能满足下述条件的开发阶段的支出计入当</w:t>
      </w:r>
      <w:r>
        <w:rPr/>
        <w:t> 期损益：</w:t>
      </w:r>
    </w:p>
    <w:p>
      <w:pPr>
        <w:spacing w:line="240" w:lineRule="auto" w:before="6"/>
        <w:rPr>
          <w:rFonts w:ascii="宋体" w:hAnsi="宋体" w:cs="宋体" w:eastAsia="宋体" w:hint="default"/>
          <w:sz w:val="15"/>
          <w:szCs w:val="15"/>
        </w:rPr>
      </w:pPr>
    </w:p>
    <w:p>
      <w:pPr>
        <w:pStyle w:val="BodyText"/>
        <w:spacing w:line="240" w:lineRule="auto"/>
        <w:ind w:left="574" w:right="0"/>
        <w:jc w:val="left"/>
      </w:pPr>
      <w:r>
        <w:rPr/>
        <w:t>①</w:t>
      </w:r>
      <w:r>
        <w:rPr>
          <w:spacing w:val="-1"/>
        </w:rPr>
        <w:t> </w:t>
      </w:r>
      <w:r>
        <w:rPr/>
        <w:t>完成该无形资产以使其能够使用或出售在技术上具有可行性；</w:t>
      </w:r>
    </w:p>
    <w:p>
      <w:pPr>
        <w:spacing w:line="240" w:lineRule="auto" w:before="9"/>
        <w:rPr>
          <w:rFonts w:ascii="宋体" w:hAnsi="宋体" w:cs="宋体" w:eastAsia="宋体" w:hint="default"/>
          <w:sz w:val="26"/>
          <w:szCs w:val="26"/>
        </w:rPr>
      </w:pPr>
    </w:p>
    <w:p>
      <w:pPr>
        <w:pStyle w:val="BodyText"/>
        <w:spacing w:line="240" w:lineRule="auto"/>
        <w:ind w:left="574" w:right="0"/>
        <w:jc w:val="left"/>
      </w:pPr>
      <w:r>
        <w:rPr/>
        <w:t>②</w:t>
      </w:r>
      <w:r>
        <w:rPr>
          <w:spacing w:val="-1"/>
        </w:rPr>
        <w:t> </w:t>
      </w:r>
      <w:r>
        <w:rPr/>
        <w:t>具有完成该无形资产并使用或出售的意图；</w:t>
      </w:r>
    </w:p>
    <w:p>
      <w:pPr>
        <w:spacing w:line="240" w:lineRule="auto" w:before="9"/>
        <w:rPr>
          <w:rFonts w:ascii="宋体" w:hAnsi="宋体" w:cs="宋体" w:eastAsia="宋体" w:hint="default"/>
          <w:sz w:val="26"/>
          <w:szCs w:val="26"/>
        </w:rPr>
      </w:pPr>
    </w:p>
    <w:p>
      <w:pPr>
        <w:pStyle w:val="BodyText"/>
        <w:spacing w:line="240" w:lineRule="auto"/>
        <w:ind w:left="574" w:right="0"/>
        <w:jc w:val="left"/>
      </w:pPr>
      <w:r>
        <w:rPr/>
        <w:t>③</w:t>
      </w:r>
      <w:r>
        <w:rPr>
          <w:spacing w:val="69"/>
        </w:rPr>
        <w:t> </w:t>
      </w:r>
      <w:r>
        <w:rPr/>
        <w:t>无形资产产生经济利益的方式，包括能够证明运用该无形资产生产的产品存在市场或无形资产自</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240" w:lineRule="auto" w:before="18"/>
        <w:ind w:right="0"/>
        <w:jc w:val="left"/>
      </w:pPr>
      <w:r>
        <w:rPr/>
        <w:t>身存在市场，无形资产将在内部使用的，能够证明其有用性；</w:t>
      </w:r>
    </w:p>
    <w:p>
      <w:pPr>
        <w:spacing w:line="240" w:lineRule="auto" w:before="9"/>
        <w:rPr>
          <w:rFonts w:ascii="宋体" w:hAnsi="宋体" w:cs="宋体" w:eastAsia="宋体" w:hint="default"/>
          <w:sz w:val="26"/>
          <w:szCs w:val="26"/>
        </w:rPr>
      </w:pPr>
    </w:p>
    <w:p>
      <w:pPr>
        <w:pStyle w:val="BodyText"/>
        <w:spacing w:line="408" w:lineRule="auto"/>
        <w:ind w:right="1135" w:firstLine="420"/>
        <w:jc w:val="left"/>
      </w:pPr>
      <w:r>
        <w:rPr/>
        <w:t>④</w:t>
      </w:r>
      <w:r>
        <w:rPr>
          <w:spacing w:val="63"/>
        </w:rPr>
        <w:t> </w:t>
      </w:r>
      <w:r>
        <w:rPr/>
        <w:t>有足够的技术、财务资源和其他资源支持，以完成该无形资产的开发，并有能力使用或出售该无</w:t>
      </w:r>
      <w:r>
        <w:rPr/>
        <w:t> 形资产；</w:t>
      </w:r>
    </w:p>
    <w:p>
      <w:pPr>
        <w:spacing w:line="240" w:lineRule="auto" w:before="6"/>
        <w:rPr>
          <w:rFonts w:ascii="宋体" w:hAnsi="宋体" w:cs="宋体" w:eastAsia="宋体" w:hint="default"/>
          <w:sz w:val="15"/>
          <w:szCs w:val="15"/>
        </w:rPr>
      </w:pPr>
    </w:p>
    <w:p>
      <w:pPr>
        <w:pStyle w:val="BodyText"/>
        <w:spacing w:line="544" w:lineRule="auto"/>
        <w:ind w:left="573" w:right="2773"/>
        <w:jc w:val="left"/>
      </w:pPr>
      <w:r>
        <w:rPr/>
        <w:t>⑤ 归属于该无形资产开发阶段的支出能够可靠地计量。 无法区分研究阶段支出和开发阶段支出的，将发生的研发支出全部计入当期损益。</w:t>
      </w:r>
    </w:p>
    <w:p>
      <w:pPr>
        <w:pStyle w:val="BodyText"/>
        <w:spacing w:line="501" w:lineRule="auto" w:before="82"/>
        <w:ind w:left="573" w:right="1125"/>
        <w:jc w:val="left"/>
        <w:rPr>
          <w:rFonts w:ascii="Microsoft JhengHei" w:hAnsi="Microsoft JhengHei" w:cs="Microsoft JhengHei" w:eastAsia="Microsoft JhengHei" w:hint="default"/>
        </w:rPr>
      </w:pPr>
      <w:r>
        <w:rPr/>
        <w:t>（</w:t>
      </w:r>
      <w:r>
        <w:rPr>
          <w:rFonts w:ascii="Arial" w:hAnsi="Arial" w:cs="Arial" w:eastAsia="Arial" w:hint="default"/>
        </w:rPr>
        <w:t>3</w:t>
      </w:r>
      <w:r>
        <w:rPr/>
        <w:t>）无形资产的减值测试方法及减值准备计提方法 无形资产的减值测试方法和减值准备计提方法详见附注五、16“长期资产减值”。</w:t>
      </w:r>
      <w:r>
        <w:rPr>
          <w:spacing w:val="-83"/>
        </w:rPr>
        <w:t> </w:t>
      </w:r>
      <w:r>
        <w:rPr>
          <w:spacing w:val="-83"/>
        </w:rPr>
      </w:r>
      <w:r>
        <w:rPr>
          <w:rFonts w:ascii="Trebuchet MS" w:hAnsi="Trebuchet MS" w:cs="Trebuchet MS" w:eastAsia="Trebuchet MS" w:hint="default"/>
          <w:b/>
          <w:bCs/>
        </w:rPr>
        <w:t>15</w:t>
      </w:r>
      <w:r>
        <w:rPr>
          <w:rFonts w:ascii="Microsoft JhengHei" w:hAnsi="Microsoft JhengHei" w:cs="Microsoft JhengHei" w:eastAsia="Microsoft JhengHei" w:hint="default"/>
          <w:b/>
          <w:bCs/>
        </w:rPr>
        <w:t>、长期待摊费用</w:t>
      </w:r>
      <w:r>
        <w:rPr>
          <w:rFonts w:ascii="Microsoft JhengHei" w:hAnsi="Microsoft JhengHei" w:cs="Microsoft JhengHei" w:eastAsia="Microsoft JhengHei" w:hint="default"/>
        </w:rPr>
      </w:r>
    </w:p>
    <w:p>
      <w:pPr>
        <w:pStyle w:val="BodyText"/>
        <w:spacing w:line="408" w:lineRule="auto" w:before="21"/>
        <w:ind w:right="0" w:firstLine="420"/>
        <w:jc w:val="left"/>
      </w:pPr>
      <w:r>
        <w:rPr>
          <w:spacing w:val="-1"/>
        </w:rPr>
        <w:t>长期待摊费用为已经发生但应由报告期和以后各期负担的分摊期限在一年以上的各项费用。长期待摊</w:t>
      </w:r>
      <w:r>
        <w:rPr/>
        <w:t> 费用在预计受益期间按直线法摊销。</w:t>
      </w:r>
    </w:p>
    <w:p>
      <w:pPr>
        <w:pStyle w:val="BodyText"/>
        <w:spacing w:line="453" w:lineRule="auto" w:before="135"/>
        <w:ind w:left="573" w:right="0"/>
        <w:jc w:val="left"/>
      </w:pPr>
      <w:r>
        <w:rPr>
          <w:rFonts w:ascii="Trebuchet MS" w:hAnsi="Trebuchet MS" w:cs="Trebuchet MS" w:eastAsia="Trebuchet MS" w:hint="default"/>
          <w:b/>
          <w:bCs/>
        </w:rPr>
        <w:t>16</w:t>
      </w:r>
      <w:r>
        <w:rPr>
          <w:rFonts w:ascii="Microsoft JhengHei" w:hAnsi="Microsoft JhengHei" w:cs="Microsoft JhengHei" w:eastAsia="Microsoft JhengHei" w:hint="default"/>
          <w:b/>
          <w:bCs/>
        </w:rPr>
        <w:t>、长期资产减值 </w:t>
      </w:r>
      <w:r>
        <w:rPr/>
        <w:t>对于固定资产、在建工程、使用寿命有限的无形资产、以成本模式计量的投资性房地产及对子公司、</w:t>
      </w:r>
    </w:p>
    <w:p>
      <w:pPr>
        <w:pStyle w:val="BodyText"/>
        <w:spacing w:line="408" w:lineRule="auto" w:before="6"/>
        <w:ind w:right="1024"/>
        <w:jc w:val="left"/>
      </w:pPr>
      <w:r>
        <w:rPr>
          <w:spacing w:val="-3"/>
        </w:rPr>
        <w:t>合营企业、联营企业的长期股权投资等非流动非金融资产，本公司于资产负债表日判断是否存在减值迹象。</w:t>
      </w:r>
      <w:r>
        <w:rPr>
          <w:spacing w:val="-92"/>
        </w:rPr>
        <w:t> </w:t>
      </w:r>
      <w:r>
        <w:rPr>
          <w:spacing w:val="-92"/>
        </w:rPr>
      </w:r>
      <w:r>
        <w:rPr/>
        <w:t>如存在减值迹象的，则估计其可收回金额，进行减值测试。商誉、使用寿命不确定的无形资产和尚未达到</w:t>
      </w:r>
      <w:r>
        <w:rPr/>
        <w:t> 可使用状态的无形资产，无论是否存在减值迹象，每年均进行减值测试。</w:t>
      </w:r>
    </w:p>
    <w:p>
      <w:pPr>
        <w:spacing w:line="240" w:lineRule="auto" w:before="6"/>
        <w:rPr>
          <w:rFonts w:ascii="宋体" w:hAnsi="宋体" w:cs="宋体" w:eastAsia="宋体" w:hint="default"/>
          <w:sz w:val="15"/>
          <w:szCs w:val="15"/>
        </w:rPr>
      </w:pPr>
    </w:p>
    <w:p>
      <w:pPr>
        <w:pStyle w:val="BodyText"/>
        <w:spacing w:line="408" w:lineRule="auto"/>
        <w:ind w:right="0" w:firstLine="420"/>
        <w:jc w:val="left"/>
      </w:pPr>
      <w:r>
        <w:rPr/>
        <w:t>减值测试结果表明资产的可收回金额低于其账面价值的，按其差额计提减值准备并计入减值损失。可 收回金额为资产的公允价值减去处置费用后的净额与资产预计未来现金流量的现值两者之间的较高者。资 产的公允价值根据公平交易中销售协议价格确定；不存在销售协议但存在资产活跃市场的，公允价值按照 该资产的买方出价确定；不存在销售协议和资产活跃市场的，则以可获取的最佳信息为基础估计资产的公 允价值。处置费用包括与资产处置有关的法律费用、相关税费、搬运费以及为使资产达到可销售状态所发 生的直接费用。资产预计未来现金流量的现值，按照资产在持续使用过程中和最终处置时所产生的预计未 来现金流量，选择恰当的折现率对其进行折现后的金额加以确定。资产减值准备按单项资产为基础计算并 确认，如果难以对单项资产的可收回金额进行估计的，以该资产所属的资产组确定资产组的可收回金额。</w:t>
      </w:r>
      <w:r>
        <w:rPr>
          <w:spacing w:val="-35"/>
        </w:rPr>
        <w:t> </w:t>
      </w:r>
      <w:r>
        <w:rPr>
          <w:spacing w:val="-35"/>
        </w:rPr>
      </w:r>
      <w:r>
        <w:rPr/>
        <w:t>资产组是能够独立产生现金流入的最小资产组合。</w:t>
      </w:r>
    </w:p>
    <w:p>
      <w:pPr>
        <w:spacing w:line="240" w:lineRule="auto" w:before="6"/>
        <w:rPr>
          <w:rFonts w:ascii="宋体" w:hAnsi="宋体" w:cs="宋体" w:eastAsia="宋体" w:hint="default"/>
          <w:sz w:val="15"/>
          <w:szCs w:val="15"/>
        </w:rPr>
      </w:pPr>
    </w:p>
    <w:p>
      <w:pPr>
        <w:pStyle w:val="BodyText"/>
        <w:spacing w:line="408" w:lineRule="auto"/>
        <w:ind w:right="0" w:firstLine="420"/>
        <w:jc w:val="left"/>
      </w:pPr>
      <w:r>
        <w:rPr>
          <w:spacing w:val="-1"/>
        </w:rPr>
        <w:t>在财务报表中单独列示的商誉，在进行减值测试时，将商誉的账面价值分摊至预期从企业合并的协同</w:t>
      </w:r>
      <w:r>
        <w:rPr/>
        <w:t> </w:t>
      </w:r>
      <w:r>
        <w:rPr>
          <w:spacing w:val="-1"/>
        </w:rPr>
        <w:t>效应中受益的资产组或资产组组合。测试结果表明包含分摊的商誉的资产组或资产组组合的可收回金额低</w:t>
      </w:r>
    </w:p>
    <w:p>
      <w:pPr>
        <w:spacing w:after="0" w:line="408"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408" w:lineRule="auto" w:before="18"/>
        <w:ind w:right="1131"/>
        <w:jc w:val="both"/>
      </w:pPr>
      <w:r>
        <w:rPr>
          <w:spacing w:val="-1"/>
        </w:rPr>
        <w:t>于其账面价值的，确认相应的减值损失。减值损失金额先抵减分摊至该资产组或资产组组合的商誉的账面</w:t>
      </w:r>
      <w:r>
        <w:rPr>
          <w:spacing w:val="-81"/>
        </w:rPr>
        <w:t> </w:t>
      </w:r>
      <w:r>
        <w:rPr>
          <w:spacing w:val="-81"/>
        </w:rPr>
      </w:r>
      <w:r>
        <w:rPr>
          <w:spacing w:val="-1"/>
        </w:rPr>
        <w:t>价值，再根据资产组或资产组组合中除商誉以外的其他各项资产的账面价值所占比重，按比例抵减其他各</w:t>
      </w:r>
      <w:r>
        <w:rPr>
          <w:spacing w:val="-81"/>
        </w:rPr>
        <w:t> </w:t>
      </w:r>
      <w:r>
        <w:rPr>
          <w:spacing w:val="-81"/>
        </w:rPr>
      </w:r>
      <w:r>
        <w:rPr/>
        <w:t>项资产的账面价值。</w:t>
      </w:r>
    </w:p>
    <w:p>
      <w:pPr>
        <w:spacing w:line="240" w:lineRule="auto" w:before="6"/>
        <w:rPr>
          <w:rFonts w:ascii="宋体" w:hAnsi="宋体" w:cs="宋体" w:eastAsia="宋体" w:hint="default"/>
          <w:sz w:val="15"/>
          <w:szCs w:val="15"/>
        </w:rPr>
      </w:pPr>
    </w:p>
    <w:p>
      <w:pPr>
        <w:pStyle w:val="BodyText"/>
        <w:spacing w:line="470" w:lineRule="auto"/>
        <w:ind w:left="573" w:right="3613"/>
        <w:jc w:val="left"/>
      </w:pPr>
      <w:r>
        <w:rPr/>
        <w:t>上述资产减值损失一经确认，以后期间不予转回价值得以恢复的部分。 </w:t>
      </w:r>
      <w:r>
        <w:rPr>
          <w:rFonts w:ascii="Trebuchet MS" w:hAnsi="Trebuchet MS" w:cs="Trebuchet MS" w:eastAsia="Trebuchet MS" w:hint="default"/>
          <w:b/>
          <w:bCs/>
        </w:rPr>
        <w:t>17</w:t>
      </w:r>
      <w:r>
        <w:rPr>
          <w:rFonts w:ascii="Microsoft JhengHei" w:hAnsi="Microsoft JhengHei" w:cs="Microsoft JhengHei" w:eastAsia="Microsoft JhengHei" w:hint="default"/>
          <w:b/>
          <w:bCs/>
        </w:rPr>
        <w:t>、职工薪酬 </w:t>
      </w:r>
      <w:r>
        <w:rPr/>
        <w:t>本公司职工薪酬主要包括短期职工薪酬、离职后福利、辞退福利。其中：</w:t>
      </w:r>
    </w:p>
    <w:p>
      <w:pPr>
        <w:pStyle w:val="BodyText"/>
        <w:spacing w:line="408" w:lineRule="auto" w:before="147"/>
        <w:ind w:right="1012" w:firstLine="420"/>
        <w:jc w:val="left"/>
      </w:pPr>
      <w:r>
        <w:rPr/>
        <w:t>短期薪酬主要包括工资、奖金、津贴和补贴、职工福利费、医疗保险费、生育保险费、工伤保险费、 住房公积金、工会经费和职工教育经费、非货币性福利等。本公司在职工为本公司提供服务的会计期间将 实际发生的短期职工薪酬确认为负债，并计入当期损益或相关资产成本。其中非货币性福利按公允价值计 量。</w:t>
      </w:r>
    </w:p>
    <w:p>
      <w:pPr>
        <w:spacing w:line="240" w:lineRule="auto" w:before="6"/>
        <w:rPr>
          <w:rFonts w:ascii="宋体" w:hAnsi="宋体" w:cs="宋体" w:eastAsia="宋体" w:hint="default"/>
          <w:sz w:val="15"/>
          <w:szCs w:val="15"/>
        </w:rPr>
      </w:pPr>
    </w:p>
    <w:p>
      <w:pPr>
        <w:pStyle w:val="BodyText"/>
        <w:spacing w:line="408" w:lineRule="auto"/>
        <w:ind w:left="154" w:right="1017" w:firstLine="420"/>
        <w:jc w:val="left"/>
      </w:pPr>
      <w:r>
        <w:rPr>
          <w:spacing w:val="-3"/>
        </w:rPr>
        <w:t>离职后福利主要包括设定提存计划。其中设定提存计划主要包括基本养老保险、失业保险以及年金等，</w:t>
      </w:r>
      <w:r>
        <w:rPr/>
        <w:t> 相应的应缴存金额于发生时计入相关资产成本或当期损益。</w:t>
      </w:r>
    </w:p>
    <w:p>
      <w:pPr>
        <w:spacing w:line="240" w:lineRule="auto" w:before="6"/>
        <w:rPr>
          <w:rFonts w:ascii="宋体" w:hAnsi="宋体" w:cs="宋体" w:eastAsia="宋体" w:hint="default"/>
          <w:sz w:val="15"/>
          <w:szCs w:val="15"/>
        </w:rPr>
      </w:pPr>
    </w:p>
    <w:p>
      <w:pPr>
        <w:pStyle w:val="BodyText"/>
        <w:spacing w:line="408" w:lineRule="auto"/>
        <w:ind w:left="154" w:right="0" w:firstLine="420"/>
        <w:jc w:val="left"/>
      </w:pPr>
      <w:r>
        <w:rPr>
          <w:spacing w:val="-1"/>
        </w:rPr>
        <w:t>在职工劳动合同到期之前解除与职工的劳动关系，或为鼓励职工自愿接受裁减而提出给予补偿的建议，</w:t>
      </w:r>
      <w:r>
        <w:rPr/>
        <w:t> 在本公司不能单方面撤回因解除劳动关系计划或裁减建议所提供的辞退福利时，和本公司确认与涉及支付 辞退福利的重组相关的成本两者孰早日，确认辞退福利产生的职工薪酬负债，并计入当期损益。但辞退福 利预期在年度报告期结束后十二个月不能完全支付的，按照其他长期职工薪酬处理。</w:t>
      </w:r>
    </w:p>
    <w:p>
      <w:pPr>
        <w:spacing w:line="240" w:lineRule="auto" w:before="6"/>
        <w:rPr>
          <w:rFonts w:ascii="宋体" w:hAnsi="宋体" w:cs="宋体" w:eastAsia="宋体" w:hint="default"/>
          <w:sz w:val="15"/>
          <w:szCs w:val="15"/>
        </w:rPr>
      </w:pPr>
    </w:p>
    <w:p>
      <w:pPr>
        <w:pStyle w:val="BodyText"/>
        <w:spacing w:line="408" w:lineRule="auto"/>
        <w:ind w:right="1131" w:firstLine="420"/>
        <w:jc w:val="both"/>
      </w:pPr>
      <w:r>
        <w:rPr>
          <w:spacing w:val="-1"/>
        </w:rPr>
        <w:t>职工内部退休计划采用上述辞退福利相同的原则处理。本公司将自职工停止提供服务日至正常退休日</w:t>
      </w:r>
      <w:r>
        <w:rPr/>
        <w:t> </w:t>
      </w:r>
      <w:r>
        <w:rPr>
          <w:spacing w:val="-1"/>
        </w:rPr>
        <w:t>的期间拟支付的内退人员工资和缴纳的社会保险费等，在符合预计负债确认条件时，计入当期损益（辞退</w:t>
      </w:r>
      <w:r>
        <w:rPr>
          <w:spacing w:val="-83"/>
        </w:rPr>
        <w:t> </w:t>
      </w:r>
      <w:r>
        <w:rPr>
          <w:spacing w:val="-83"/>
        </w:rPr>
      </w:r>
      <w:r>
        <w:rPr/>
        <w:t>福利）。</w:t>
      </w:r>
    </w:p>
    <w:p>
      <w:pPr>
        <w:spacing w:line="240" w:lineRule="auto" w:before="6"/>
        <w:rPr>
          <w:rFonts w:ascii="宋体" w:hAnsi="宋体" w:cs="宋体" w:eastAsia="宋体" w:hint="default"/>
          <w:sz w:val="15"/>
          <w:szCs w:val="15"/>
        </w:rPr>
      </w:pPr>
    </w:p>
    <w:p>
      <w:pPr>
        <w:pStyle w:val="BodyText"/>
        <w:spacing w:line="408" w:lineRule="auto"/>
        <w:ind w:left="154" w:right="0" w:firstLine="420"/>
        <w:jc w:val="left"/>
      </w:pPr>
      <w:r>
        <w:rPr>
          <w:spacing w:val="-1"/>
        </w:rPr>
        <w:t>本公司向职工提供的其他长期职工福利，符合设定提存计划的，按照设定提存计划进行会计处理，除</w:t>
      </w:r>
      <w:r>
        <w:rPr/>
        <w:t> 此之外按照设定收益计划进行会计处理。</w:t>
      </w:r>
    </w:p>
    <w:p>
      <w:pPr>
        <w:pStyle w:val="BodyText"/>
        <w:spacing w:line="453" w:lineRule="auto" w:before="135"/>
        <w:ind w:left="574" w:right="0"/>
        <w:jc w:val="left"/>
      </w:pPr>
      <w:r>
        <w:rPr>
          <w:rFonts w:ascii="Trebuchet MS" w:hAnsi="Trebuchet MS" w:cs="Trebuchet MS" w:eastAsia="Trebuchet MS" w:hint="default"/>
          <w:b/>
          <w:bCs/>
        </w:rPr>
        <w:t>18</w:t>
      </w:r>
      <w:r>
        <w:rPr>
          <w:rFonts w:ascii="Microsoft JhengHei" w:hAnsi="Microsoft JhengHei" w:cs="Microsoft JhengHei" w:eastAsia="Microsoft JhengHei" w:hint="default"/>
          <w:b/>
          <w:bCs/>
        </w:rPr>
        <w:t>、预计负债 </w:t>
      </w:r>
      <w:r>
        <w:rPr/>
        <w:t>当与或有事项相关的义务同时符合以下条件，确认为预计负债：（</w:t>
      </w:r>
      <w:r>
        <w:rPr>
          <w:rFonts w:ascii="Arial" w:hAnsi="Arial" w:cs="Arial" w:eastAsia="Arial" w:hint="default"/>
        </w:rPr>
        <w:t>1</w:t>
      </w:r>
      <w:r>
        <w:rPr/>
        <w:t>）该义务是本公司承担的现时义</w:t>
      </w:r>
    </w:p>
    <w:p>
      <w:pPr>
        <w:pStyle w:val="BodyText"/>
        <w:spacing w:line="260" w:lineRule="exact"/>
        <w:ind w:right="0"/>
        <w:jc w:val="both"/>
      </w:pPr>
      <w:r>
        <w:rPr/>
        <w:t>务；（</w:t>
      </w:r>
      <w:r>
        <w:rPr>
          <w:rFonts w:ascii="Arial" w:hAnsi="Arial" w:cs="Arial" w:eastAsia="Arial" w:hint="default"/>
        </w:rPr>
        <w:t>2</w:t>
      </w:r>
      <w:r>
        <w:rPr/>
        <w:t>）履行该义务很可能导致经济利益流出；（</w:t>
      </w:r>
      <w:r>
        <w:rPr>
          <w:rFonts w:ascii="Arial" w:hAnsi="Arial" w:cs="Arial" w:eastAsia="Arial" w:hint="default"/>
        </w:rPr>
        <w:t>3</w:t>
      </w:r>
      <w:r>
        <w:rPr/>
        <w:t>）该义务的金额能够可靠地计量。</w:t>
      </w:r>
    </w:p>
    <w:p>
      <w:pPr>
        <w:spacing w:line="240" w:lineRule="auto" w:before="7"/>
        <w:rPr>
          <w:rFonts w:ascii="宋体" w:hAnsi="宋体" w:cs="宋体" w:eastAsia="宋体" w:hint="default"/>
          <w:sz w:val="25"/>
          <w:szCs w:val="25"/>
        </w:rPr>
      </w:pPr>
    </w:p>
    <w:p>
      <w:pPr>
        <w:pStyle w:val="BodyText"/>
        <w:spacing w:line="408" w:lineRule="auto"/>
        <w:ind w:right="0" w:firstLine="420"/>
        <w:jc w:val="left"/>
      </w:pPr>
      <w:r>
        <w:rPr>
          <w:spacing w:val="-1"/>
        </w:rPr>
        <w:t>在资产负债表日，考虑与或有事项有关的风险、不确定性和货币时间价值等因素，按照履行相关现时</w:t>
      </w:r>
      <w:r>
        <w:rPr/>
        <w:t> 义务所需支出的最佳估计数对预计负债进行计量。</w:t>
      </w:r>
    </w:p>
    <w:p>
      <w:pPr>
        <w:spacing w:after="0" w:line="408"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408" w:lineRule="auto" w:before="18"/>
        <w:ind w:right="0" w:firstLine="420"/>
        <w:jc w:val="left"/>
      </w:pPr>
      <w:r>
        <w:rPr>
          <w:spacing w:val="-1"/>
        </w:rPr>
        <w:t>如果清偿预计负债所需支出全部或部分预期由第三方补偿的，补偿金额在基本确定能够收到时，作为</w:t>
      </w:r>
      <w:r>
        <w:rPr/>
        <w:t> 资产单独确认，且确认的补偿金额不超过预计负债的账面价值。</w:t>
      </w:r>
    </w:p>
    <w:p>
      <w:pPr>
        <w:pStyle w:val="Heading5"/>
        <w:spacing w:line="240" w:lineRule="auto" w:before="135"/>
        <w:ind w:left="573" w:right="0"/>
        <w:jc w:val="left"/>
        <w:rPr>
          <w:rFonts w:ascii="Microsoft JhengHei" w:hAnsi="Microsoft JhengHei" w:cs="Microsoft JhengHei" w:eastAsia="Microsoft JhengHei" w:hint="default"/>
          <w:b w:val="0"/>
          <w:bCs w:val="0"/>
        </w:rPr>
      </w:pPr>
      <w:r>
        <w:rPr>
          <w:rFonts w:ascii="Trebuchet MS" w:hAnsi="Trebuchet MS" w:cs="Trebuchet MS" w:eastAsia="Trebuchet MS" w:hint="default"/>
        </w:rPr>
        <w:t>19</w:t>
      </w:r>
      <w:r>
        <w:rPr>
          <w:rFonts w:ascii="Microsoft JhengHei" w:hAnsi="Microsoft JhengHei" w:cs="Microsoft JhengHei" w:eastAsia="Microsoft JhengHei" w:hint="default"/>
        </w:rPr>
        <w:t>、股份支付</w:t>
      </w:r>
      <w:r>
        <w:rPr>
          <w:rFonts w:ascii="Microsoft JhengHei" w:hAnsi="Microsoft JhengHei" w:cs="Microsoft JhengHei" w:eastAsia="Microsoft JhengHei" w:hint="default"/>
          <w:b w:val="0"/>
          <w:bCs w:val="0"/>
        </w:rPr>
      </w:r>
    </w:p>
    <w:p>
      <w:pPr>
        <w:spacing w:line="240" w:lineRule="auto" w:before="12"/>
        <w:rPr>
          <w:rFonts w:ascii="Microsoft JhengHei" w:hAnsi="Microsoft JhengHei" w:cs="Microsoft JhengHei" w:eastAsia="Microsoft JhengHei" w:hint="default"/>
          <w:b/>
          <w:bCs/>
          <w:sz w:val="18"/>
          <w:szCs w:val="18"/>
        </w:rPr>
      </w:pPr>
    </w:p>
    <w:p>
      <w:pPr>
        <w:pStyle w:val="BodyText"/>
        <w:spacing w:line="516" w:lineRule="auto"/>
        <w:ind w:left="573" w:right="0"/>
        <w:jc w:val="left"/>
      </w:pPr>
      <w:r>
        <w:rPr/>
        <w:t>（</w:t>
      </w:r>
      <w:r>
        <w:rPr>
          <w:rFonts w:ascii="Arial" w:hAnsi="Arial" w:cs="Arial" w:eastAsia="Arial" w:hint="default"/>
        </w:rPr>
        <w:t>1</w:t>
      </w:r>
      <w:r>
        <w:rPr/>
        <w:t>）股份支付的会计处理方法 </w:t>
      </w:r>
      <w:r>
        <w:rPr>
          <w:spacing w:val="3"/>
        </w:rPr>
        <w:t>股份支付是为了获取职工或其他方提供服务而授予权益工具或者承担以权益工具为基础确定的负债</w:t>
      </w:r>
    </w:p>
    <w:p>
      <w:pPr>
        <w:pStyle w:val="BodyText"/>
        <w:spacing w:line="226" w:lineRule="exact"/>
        <w:ind w:right="0"/>
        <w:jc w:val="both"/>
      </w:pPr>
      <w:r>
        <w:rPr/>
        <w:t>的交易。股份支付分为以权益结算的股份支付和以现金结算的股份支付。</w:t>
      </w:r>
    </w:p>
    <w:p>
      <w:pPr>
        <w:pStyle w:val="BodyText"/>
        <w:spacing w:line="620" w:lineRule="atLeast" w:before="4"/>
        <w:ind w:left="574" w:right="0"/>
        <w:jc w:val="left"/>
      </w:pPr>
      <w:r>
        <w:rPr/>
        <w:t>①以权益结算的股份支付 </w:t>
      </w:r>
      <w:r>
        <w:rPr>
          <w:spacing w:val="-1"/>
        </w:rPr>
        <w:t>用以换取职工提供的服务的权益结算的股份支付，以授予职工权益工具在授予日的公允价值计量。该</w:t>
      </w:r>
    </w:p>
    <w:p>
      <w:pPr>
        <w:spacing w:line="240" w:lineRule="auto" w:before="10"/>
        <w:rPr>
          <w:rFonts w:ascii="宋体" w:hAnsi="宋体" w:cs="宋体" w:eastAsia="宋体" w:hint="default"/>
          <w:sz w:val="14"/>
          <w:szCs w:val="14"/>
        </w:rPr>
      </w:pPr>
    </w:p>
    <w:p>
      <w:pPr>
        <w:pStyle w:val="BodyText"/>
        <w:spacing w:line="398" w:lineRule="auto"/>
        <w:ind w:left="154" w:right="1132"/>
        <w:jc w:val="both"/>
      </w:pPr>
      <w:r>
        <w:rPr>
          <w:spacing w:val="-1"/>
        </w:rPr>
        <w:t>公允价值的金额在完成等待期内的服务或达到规定业绩条件才可行权的情况下，在等待期内以对可行权权</w:t>
      </w:r>
      <w:r>
        <w:rPr>
          <w:spacing w:val="-81"/>
        </w:rPr>
        <w:t> </w:t>
      </w:r>
      <w:r>
        <w:rPr>
          <w:spacing w:val="-81"/>
        </w:rPr>
      </w:r>
      <w:r>
        <w:rPr/>
        <w:t>益工具数量的最佳估计为基础，按直线法计算计入相关成本或费用</w:t>
      </w:r>
      <w:r>
        <w:rPr>
          <w:rFonts w:ascii="Arial" w:hAnsi="Arial" w:cs="Arial" w:eastAsia="Arial" w:hint="default"/>
        </w:rPr>
        <w:t>/</w:t>
      </w:r>
      <w:r>
        <w:rPr/>
        <w:t>在授予后立即可行权时，在授予日计</w:t>
      </w:r>
      <w:r>
        <w:rPr>
          <w:spacing w:val="17"/>
        </w:rPr>
        <w:t> </w:t>
      </w:r>
      <w:r>
        <w:rPr>
          <w:spacing w:val="17"/>
        </w:rPr>
      </w:r>
      <w:r>
        <w:rPr/>
        <w:t>入相关成本或费用，相应增加资本公积。</w:t>
      </w:r>
    </w:p>
    <w:p>
      <w:pPr>
        <w:spacing w:line="240" w:lineRule="auto" w:before="1"/>
        <w:rPr>
          <w:rFonts w:ascii="宋体" w:hAnsi="宋体" w:cs="宋体" w:eastAsia="宋体" w:hint="default"/>
          <w:sz w:val="16"/>
          <w:szCs w:val="16"/>
        </w:rPr>
      </w:pPr>
    </w:p>
    <w:p>
      <w:pPr>
        <w:pStyle w:val="BodyText"/>
        <w:spacing w:line="408" w:lineRule="auto"/>
        <w:ind w:left="154" w:right="0" w:firstLine="420"/>
        <w:jc w:val="left"/>
      </w:pPr>
      <w:r>
        <w:rPr>
          <w:spacing w:val="-1"/>
        </w:rPr>
        <w:t>在等待期内每个资产负债表日，本公司根据最新取得的可行权职工人数变动等后续信息做出最佳估计，</w:t>
      </w:r>
      <w:r>
        <w:rPr/>
        <w:t> 修正预计可行权的权益工具数量。上述估计的影响计入当期相关成本或费用，并相应调整资本公积。</w:t>
      </w:r>
    </w:p>
    <w:p>
      <w:pPr>
        <w:spacing w:line="240" w:lineRule="auto" w:before="6"/>
        <w:rPr>
          <w:rFonts w:ascii="宋体" w:hAnsi="宋体" w:cs="宋体" w:eastAsia="宋体" w:hint="default"/>
          <w:sz w:val="15"/>
          <w:szCs w:val="15"/>
        </w:rPr>
      </w:pPr>
    </w:p>
    <w:p>
      <w:pPr>
        <w:pStyle w:val="BodyText"/>
        <w:spacing w:line="408" w:lineRule="auto"/>
        <w:ind w:right="1131" w:firstLine="420"/>
        <w:jc w:val="both"/>
      </w:pPr>
      <w:r>
        <w:rPr>
          <w:spacing w:val="-1"/>
        </w:rPr>
        <w:t>用以换取其他方服务的权益结算的股份支付，如果其他方服务的公允价值能够可靠计量，按照其他方</w:t>
      </w:r>
      <w:r>
        <w:rPr/>
        <w:t> </w:t>
      </w:r>
      <w:r>
        <w:rPr>
          <w:spacing w:val="-1"/>
        </w:rPr>
        <w:t>服务在取得日的公允价值计量，如果其他方服务的公允价值不能可靠计量，但权益工具的公允价值能够可</w:t>
      </w:r>
      <w:r>
        <w:rPr>
          <w:spacing w:val="-81"/>
        </w:rPr>
        <w:t> </w:t>
      </w:r>
      <w:r>
        <w:rPr>
          <w:spacing w:val="-81"/>
        </w:rPr>
      </w:r>
      <w:r>
        <w:rPr/>
        <w:t>靠计量的，按照权益工具在服务取得日的公允价值计量，计入相关成本或费用，相应增加股东权益。</w:t>
      </w:r>
    </w:p>
    <w:p>
      <w:pPr>
        <w:spacing w:line="240" w:lineRule="auto" w:before="6"/>
        <w:rPr>
          <w:rFonts w:ascii="宋体" w:hAnsi="宋体" w:cs="宋体" w:eastAsia="宋体" w:hint="default"/>
          <w:sz w:val="15"/>
          <w:szCs w:val="15"/>
        </w:rPr>
      </w:pPr>
    </w:p>
    <w:p>
      <w:pPr>
        <w:pStyle w:val="BodyText"/>
        <w:spacing w:line="240" w:lineRule="auto"/>
        <w:ind w:left="573" w:right="0"/>
        <w:jc w:val="left"/>
      </w:pPr>
      <w:r>
        <w:rPr/>
        <w:t>②以现金结算的股份支付</w:t>
      </w:r>
    </w:p>
    <w:p>
      <w:pPr>
        <w:spacing w:line="240" w:lineRule="auto" w:before="9"/>
        <w:rPr>
          <w:rFonts w:ascii="宋体" w:hAnsi="宋体" w:cs="宋体" w:eastAsia="宋体" w:hint="default"/>
          <w:sz w:val="26"/>
          <w:szCs w:val="26"/>
        </w:rPr>
      </w:pPr>
    </w:p>
    <w:p>
      <w:pPr>
        <w:pStyle w:val="BodyText"/>
        <w:spacing w:line="408" w:lineRule="auto"/>
        <w:ind w:right="0" w:firstLine="420"/>
        <w:jc w:val="left"/>
      </w:pPr>
      <w:r>
        <w:rPr>
          <w:spacing w:val="-1"/>
        </w:rPr>
        <w:t>以现金结算的股份支付，按照本公司承担的以股份或其他权益工具为基础确定的负债的公允价值计量。</w:t>
      </w:r>
      <w:r>
        <w:rPr/>
        <w:t> 如授予后立即可行权，在授予日计入相关成本或费用，相应增加负债；如须完成等待期内的服务或达到规 定业绩条件以后才可行权，在等待期的每个资产负债表日，以对可行权情况的最佳估计为基础，按照本公 司承担负债的公允价值金额，将当期取得的服务计入成本或费用，相应增加负债。</w:t>
      </w:r>
    </w:p>
    <w:p>
      <w:pPr>
        <w:spacing w:line="240" w:lineRule="auto" w:before="6"/>
        <w:rPr>
          <w:rFonts w:ascii="宋体" w:hAnsi="宋体" w:cs="宋体" w:eastAsia="宋体" w:hint="default"/>
          <w:sz w:val="15"/>
          <w:szCs w:val="15"/>
        </w:rPr>
      </w:pPr>
    </w:p>
    <w:p>
      <w:pPr>
        <w:pStyle w:val="BodyText"/>
        <w:spacing w:line="408" w:lineRule="auto"/>
        <w:ind w:right="1125" w:firstLine="420"/>
        <w:jc w:val="left"/>
      </w:pPr>
      <w:r>
        <w:rPr>
          <w:spacing w:val="-1"/>
        </w:rPr>
        <w:t>在相关负债结算前的每个资产负债表日以及结算日，对负债的公允价值重新计量，其变动计入当期损</w:t>
      </w:r>
      <w:r>
        <w:rPr/>
        <w:t> 益。</w:t>
      </w:r>
    </w:p>
    <w:p>
      <w:pPr>
        <w:spacing w:line="240" w:lineRule="auto" w:before="6"/>
        <w:rPr>
          <w:rFonts w:ascii="宋体" w:hAnsi="宋体" w:cs="宋体" w:eastAsia="宋体" w:hint="default"/>
          <w:sz w:val="15"/>
          <w:szCs w:val="15"/>
        </w:rPr>
      </w:pPr>
    </w:p>
    <w:p>
      <w:pPr>
        <w:pStyle w:val="BodyText"/>
        <w:spacing w:line="516" w:lineRule="auto"/>
        <w:ind w:left="573" w:right="0"/>
        <w:jc w:val="left"/>
      </w:pPr>
      <w:r>
        <w:rPr/>
        <w:t>（</w:t>
      </w:r>
      <w:r>
        <w:rPr>
          <w:rFonts w:ascii="Arial" w:hAnsi="Arial" w:cs="Arial" w:eastAsia="Arial" w:hint="default"/>
        </w:rPr>
        <w:t>2</w:t>
      </w:r>
      <w:r>
        <w:rPr/>
        <w:t>）修改、终止股份支付计划的相关会计处理 </w:t>
      </w:r>
      <w:r>
        <w:rPr>
          <w:spacing w:val="-1"/>
        </w:rPr>
        <w:t>本公司对股份支付计划进行修改时，若修改增加了所授予权益工具的公允价值，按照权益工具公允价</w:t>
      </w:r>
    </w:p>
    <w:p>
      <w:pPr>
        <w:pStyle w:val="BodyText"/>
        <w:spacing w:line="227" w:lineRule="exact"/>
        <w:ind w:right="0"/>
        <w:jc w:val="both"/>
      </w:pPr>
      <w:r>
        <w:rPr/>
        <w:t>值的增加相应确认取得服务的增加。权益工具公允价值的增加是指修改前后的权益工具在修改日的公允价</w:t>
      </w:r>
    </w:p>
    <w:p>
      <w:pPr>
        <w:spacing w:after="0" w:line="227" w:lineRule="exact"/>
        <w:jc w:val="both"/>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408" w:lineRule="auto" w:before="18"/>
        <w:ind w:right="0"/>
        <w:jc w:val="left"/>
      </w:pPr>
      <w:r>
        <w:rPr>
          <w:spacing w:val="-1"/>
        </w:rPr>
        <w:t>值之间的差额。若修改减少了股份支付公允价值总额或采用了其他不利于职工的方式，则仍继续对取得的</w:t>
      </w:r>
      <w:r>
        <w:rPr>
          <w:spacing w:val="-81"/>
        </w:rPr>
        <w:t> </w:t>
      </w:r>
      <w:r>
        <w:rPr>
          <w:spacing w:val="-81"/>
        </w:rPr>
      </w:r>
      <w:r>
        <w:rPr/>
        <w:t>服务进行会计处理，视同该变更从未发生，除非本公司取消了部分或全部已授予的权益工具。</w:t>
      </w:r>
    </w:p>
    <w:p>
      <w:pPr>
        <w:spacing w:line="240" w:lineRule="auto" w:before="6"/>
        <w:rPr>
          <w:rFonts w:ascii="宋体" w:hAnsi="宋体" w:cs="宋体" w:eastAsia="宋体" w:hint="default"/>
          <w:sz w:val="15"/>
          <w:szCs w:val="15"/>
        </w:rPr>
      </w:pPr>
    </w:p>
    <w:p>
      <w:pPr>
        <w:pStyle w:val="BodyText"/>
        <w:spacing w:line="408" w:lineRule="auto"/>
        <w:ind w:right="1131" w:firstLine="420"/>
        <w:jc w:val="both"/>
      </w:pPr>
      <w:r>
        <w:rPr>
          <w:spacing w:val="-1"/>
        </w:rPr>
        <w:t>在等待期内，如果取消了授予的权益工具，本公司对取消所授予的权益性工具作为加速行权处理，将</w:t>
      </w:r>
      <w:r>
        <w:rPr/>
        <w:t> </w:t>
      </w:r>
      <w:r>
        <w:rPr>
          <w:spacing w:val="-1"/>
        </w:rPr>
        <w:t>剩余等待期内应确认的金额立即计入当期损益，同时确认资本公积。职工或其他方能够选择满足非可行权</w:t>
      </w:r>
      <w:r>
        <w:rPr>
          <w:spacing w:val="-81"/>
        </w:rPr>
        <w:t> </w:t>
      </w:r>
      <w:r>
        <w:rPr>
          <w:spacing w:val="-81"/>
        </w:rPr>
      </w:r>
      <w:r>
        <w:rPr/>
        <w:t>条件但在等待期内未满足的，本公司将其作为授予权益工具的取消处理。</w:t>
      </w:r>
    </w:p>
    <w:p>
      <w:pPr>
        <w:pStyle w:val="Heading5"/>
        <w:spacing w:line="240" w:lineRule="auto" w:before="135"/>
        <w:ind w:left="573" w:right="0"/>
        <w:jc w:val="left"/>
        <w:rPr>
          <w:rFonts w:ascii="Microsoft JhengHei" w:hAnsi="Microsoft JhengHei" w:cs="Microsoft JhengHei" w:eastAsia="Microsoft JhengHei" w:hint="default"/>
          <w:b w:val="0"/>
          <w:bCs w:val="0"/>
        </w:rPr>
      </w:pPr>
      <w:r>
        <w:rPr>
          <w:rFonts w:ascii="Trebuchet MS" w:hAnsi="Trebuchet MS" w:cs="Trebuchet MS" w:eastAsia="Trebuchet MS" w:hint="default"/>
        </w:rPr>
        <w:t>20</w:t>
      </w:r>
      <w:r>
        <w:rPr>
          <w:rFonts w:ascii="Microsoft JhengHei" w:hAnsi="Microsoft JhengHei" w:cs="Microsoft JhengHei" w:eastAsia="Microsoft JhengHei" w:hint="default"/>
        </w:rPr>
        <w:t>、收入</w:t>
      </w:r>
      <w:r>
        <w:rPr>
          <w:rFonts w:ascii="Microsoft JhengHei" w:hAnsi="Microsoft JhengHei" w:cs="Microsoft JhengHei" w:eastAsia="Microsoft JhengHei" w:hint="default"/>
          <w:b w:val="0"/>
          <w:bCs w:val="0"/>
        </w:rPr>
      </w:r>
    </w:p>
    <w:p>
      <w:pPr>
        <w:spacing w:line="240" w:lineRule="auto" w:before="12"/>
        <w:rPr>
          <w:rFonts w:ascii="Microsoft JhengHei" w:hAnsi="Microsoft JhengHei" w:cs="Microsoft JhengHei" w:eastAsia="Microsoft JhengHei" w:hint="default"/>
          <w:b/>
          <w:bCs/>
          <w:sz w:val="18"/>
          <w:szCs w:val="18"/>
        </w:rPr>
      </w:pPr>
    </w:p>
    <w:p>
      <w:pPr>
        <w:pStyle w:val="BodyText"/>
        <w:spacing w:line="516" w:lineRule="auto"/>
        <w:ind w:left="573" w:right="0"/>
        <w:jc w:val="left"/>
      </w:pPr>
      <w:r>
        <w:rPr/>
        <w:t>（</w:t>
      </w:r>
      <w:r>
        <w:rPr>
          <w:rFonts w:ascii="Arial" w:hAnsi="Arial" w:cs="Arial" w:eastAsia="Arial" w:hint="default"/>
        </w:rPr>
        <w:t>1</w:t>
      </w:r>
      <w:r>
        <w:rPr/>
        <w:t>）商品销售收入 在已将商品所有权上的主要风险和报酬转移给买方，既没有保留通常与所有权相联系的继续管理权，</w:t>
      </w:r>
    </w:p>
    <w:p>
      <w:pPr>
        <w:pStyle w:val="BodyText"/>
        <w:spacing w:line="226" w:lineRule="exact"/>
        <w:ind w:right="0"/>
        <w:jc w:val="left"/>
      </w:pPr>
      <w:r>
        <w:rPr/>
        <w:t>也没有对已售商品实施有效控制，收入的金额能够可靠地计量，相关的经济利益很可能流入企业，相关的</w:t>
      </w:r>
    </w:p>
    <w:p>
      <w:pPr>
        <w:spacing w:line="240" w:lineRule="auto" w:before="10"/>
        <w:rPr>
          <w:rFonts w:ascii="宋体" w:hAnsi="宋体" w:cs="宋体" w:eastAsia="宋体" w:hint="default"/>
          <w:sz w:val="14"/>
          <w:szCs w:val="14"/>
        </w:rPr>
      </w:pPr>
    </w:p>
    <w:p>
      <w:pPr>
        <w:pStyle w:val="BodyText"/>
        <w:spacing w:line="240" w:lineRule="auto"/>
        <w:ind w:right="0"/>
        <w:jc w:val="left"/>
      </w:pPr>
      <w:r>
        <w:rPr/>
        <w:t>已发生或将发生的成本能够可靠地计量时，确认商品销售收入的实现。</w:t>
      </w:r>
    </w:p>
    <w:p>
      <w:pPr>
        <w:spacing w:line="240" w:lineRule="auto" w:before="9"/>
        <w:rPr>
          <w:rFonts w:ascii="宋体" w:hAnsi="宋体" w:cs="宋体" w:eastAsia="宋体" w:hint="default"/>
          <w:sz w:val="26"/>
          <w:szCs w:val="26"/>
        </w:rPr>
      </w:pPr>
    </w:p>
    <w:p>
      <w:pPr>
        <w:pStyle w:val="BodyText"/>
        <w:spacing w:line="398" w:lineRule="auto"/>
        <w:ind w:right="1131" w:firstLine="420"/>
        <w:jc w:val="both"/>
      </w:pPr>
      <w:r>
        <w:rPr>
          <w:spacing w:val="-1"/>
        </w:rPr>
        <w:t>商品销售收入确认的具体方法：根据客户订单发货，经客户检验签收后确认收入。同时公司结合不同</w:t>
      </w:r>
      <w:r>
        <w:rPr/>
        <w:t> 厂家的销售政策，以资产负债表日前</w:t>
      </w:r>
      <w:r>
        <w:rPr>
          <w:rFonts w:ascii="Arial" w:hAnsi="Arial" w:cs="Arial" w:eastAsia="Arial" w:hint="default"/>
        </w:rPr>
        <w:t>36</w:t>
      </w:r>
      <w:r>
        <w:rPr>
          <w:rFonts w:ascii="Arial" w:hAnsi="Arial" w:cs="Arial" w:eastAsia="Arial" w:hint="default"/>
          <w:spacing w:val="35"/>
        </w:rPr>
        <w:t> </w:t>
      </w:r>
      <w:r>
        <w:rPr/>
        <w:t>个月实际支付价保与收入的比例乘以截止月份的收入作为资产负</w:t>
      </w:r>
      <w:r>
        <w:rPr>
          <w:spacing w:val="-100"/>
        </w:rPr>
        <w:t> </w:t>
      </w:r>
      <w:r>
        <w:rPr>
          <w:spacing w:val="-100"/>
        </w:rPr>
      </w:r>
      <w:r>
        <w:rPr/>
        <w:t>债表日应计提的价保冲减当期营业收入。</w:t>
      </w:r>
    </w:p>
    <w:p>
      <w:pPr>
        <w:spacing w:line="240" w:lineRule="auto" w:before="2"/>
        <w:rPr>
          <w:rFonts w:ascii="宋体" w:hAnsi="宋体" w:cs="宋体" w:eastAsia="宋体" w:hint="default"/>
          <w:sz w:val="16"/>
          <w:szCs w:val="16"/>
        </w:rPr>
      </w:pPr>
    </w:p>
    <w:p>
      <w:pPr>
        <w:pStyle w:val="BodyText"/>
        <w:spacing w:line="516" w:lineRule="auto"/>
        <w:ind w:left="573" w:right="0"/>
        <w:jc w:val="left"/>
      </w:pPr>
      <w:r>
        <w:rPr/>
        <w:t>（</w:t>
      </w:r>
      <w:r>
        <w:rPr>
          <w:rFonts w:ascii="Arial" w:hAnsi="Arial" w:cs="Arial" w:eastAsia="Arial" w:hint="default"/>
        </w:rPr>
        <w:t>2</w:t>
      </w:r>
      <w:r>
        <w:rPr/>
        <w:t>）提供劳务收入 </w:t>
      </w:r>
      <w:r>
        <w:rPr>
          <w:spacing w:val="-1"/>
        </w:rPr>
        <w:t>在提供劳务交易的结果能够可靠估计的情况下，于资产负债表日按照完工百分比法确认提供的劳务收</w:t>
      </w:r>
    </w:p>
    <w:p>
      <w:pPr>
        <w:pStyle w:val="BodyText"/>
        <w:spacing w:line="226" w:lineRule="exact"/>
        <w:ind w:right="0"/>
        <w:jc w:val="left"/>
      </w:pPr>
      <w:r>
        <w:rPr/>
        <w:t>入。劳务交易的完工进度按已经发生的劳务成本占估计总成本的比例确定。</w:t>
      </w:r>
    </w:p>
    <w:p>
      <w:pPr>
        <w:spacing w:line="240" w:lineRule="auto" w:before="9"/>
        <w:rPr>
          <w:rFonts w:ascii="宋体" w:hAnsi="宋体" w:cs="宋体" w:eastAsia="宋体" w:hint="default"/>
          <w:sz w:val="26"/>
          <w:szCs w:val="26"/>
        </w:rPr>
      </w:pPr>
    </w:p>
    <w:p>
      <w:pPr>
        <w:pStyle w:val="BodyText"/>
        <w:spacing w:line="240" w:lineRule="auto"/>
        <w:ind w:left="573" w:right="0"/>
        <w:jc w:val="left"/>
      </w:pPr>
      <w:r>
        <w:rPr/>
        <w:t>提供劳务交易的结果能够可靠估计是指同时满足：①收入的金额能够可靠地计量；②相关的经济利益</w:t>
      </w:r>
    </w:p>
    <w:p>
      <w:pPr>
        <w:spacing w:line="240" w:lineRule="auto" w:before="10"/>
        <w:rPr>
          <w:rFonts w:ascii="宋体" w:hAnsi="宋体" w:cs="宋体" w:eastAsia="宋体" w:hint="default"/>
          <w:sz w:val="14"/>
          <w:szCs w:val="14"/>
        </w:rPr>
      </w:pPr>
    </w:p>
    <w:p>
      <w:pPr>
        <w:pStyle w:val="BodyText"/>
        <w:spacing w:line="240" w:lineRule="auto"/>
        <w:ind w:right="0"/>
        <w:jc w:val="left"/>
      </w:pPr>
      <w:r>
        <w:rPr/>
        <w:t>很可能流入企业；③交易的完工程度能够可靠地确定；④交易中已发生和将发生的成本能够可靠地计量。</w:t>
      </w:r>
    </w:p>
    <w:p>
      <w:pPr>
        <w:spacing w:line="240" w:lineRule="auto" w:before="9"/>
        <w:rPr>
          <w:rFonts w:ascii="宋体" w:hAnsi="宋体" w:cs="宋体" w:eastAsia="宋体" w:hint="default"/>
          <w:sz w:val="26"/>
          <w:szCs w:val="26"/>
        </w:rPr>
      </w:pPr>
    </w:p>
    <w:p>
      <w:pPr>
        <w:pStyle w:val="BodyText"/>
        <w:spacing w:line="408" w:lineRule="auto"/>
        <w:ind w:left="154" w:right="1131" w:firstLine="420"/>
        <w:jc w:val="both"/>
      </w:pPr>
      <w:r>
        <w:rPr>
          <w:spacing w:val="-1"/>
        </w:rPr>
        <w:t>如果提供劳务交易的结果不能够可靠估计，则按已经发生并预计能够得到补偿的劳务成本金额确认提</w:t>
      </w:r>
      <w:r>
        <w:rPr/>
        <w:t> </w:t>
      </w:r>
      <w:r>
        <w:rPr>
          <w:spacing w:val="-1"/>
        </w:rPr>
        <w:t>供的劳务收入，并将已发生的劳务成本作为当期费用。已经发生的劳务成本如预计不能得到补偿的，则不</w:t>
      </w:r>
      <w:r>
        <w:rPr>
          <w:spacing w:val="-83"/>
        </w:rPr>
        <w:t> </w:t>
      </w:r>
      <w:r>
        <w:rPr>
          <w:spacing w:val="-83"/>
        </w:rPr>
      </w:r>
      <w:r>
        <w:rPr/>
        <w:t>确认收入。</w:t>
      </w:r>
    </w:p>
    <w:p>
      <w:pPr>
        <w:spacing w:line="240" w:lineRule="auto" w:before="6"/>
        <w:rPr>
          <w:rFonts w:ascii="宋体" w:hAnsi="宋体" w:cs="宋体" w:eastAsia="宋体" w:hint="default"/>
          <w:sz w:val="15"/>
          <w:szCs w:val="15"/>
        </w:rPr>
      </w:pPr>
    </w:p>
    <w:p>
      <w:pPr>
        <w:pStyle w:val="BodyText"/>
        <w:spacing w:line="408" w:lineRule="auto"/>
        <w:ind w:left="154" w:right="1131" w:firstLine="420"/>
        <w:jc w:val="both"/>
      </w:pPr>
      <w:r>
        <w:rPr>
          <w:spacing w:val="-1"/>
        </w:rPr>
        <w:t>本公司与其他企业签订的合同或协议包括销售商品和提供劳务时，如销售商品部分和提供劳务部分能</w:t>
      </w:r>
      <w:r>
        <w:rPr/>
        <w:t> </w:t>
      </w:r>
      <w:r>
        <w:rPr>
          <w:spacing w:val="-1"/>
        </w:rPr>
        <w:t>够区分并单独计量的，将销售商品部分和提供劳务部分分别处理；如销售商品部分和提供劳务部分不能够</w:t>
      </w:r>
      <w:r>
        <w:rPr>
          <w:spacing w:val="-81"/>
        </w:rPr>
        <w:t> </w:t>
      </w:r>
      <w:r>
        <w:rPr>
          <w:spacing w:val="-81"/>
        </w:rPr>
      </w:r>
      <w:r>
        <w:rPr/>
        <w:t>区分，或虽能区分但不能够单独计量的，将该合同全部作为销售商品处理。</w:t>
      </w:r>
    </w:p>
    <w:p>
      <w:pPr>
        <w:spacing w:line="240" w:lineRule="auto" w:before="6"/>
        <w:rPr>
          <w:rFonts w:ascii="宋体" w:hAnsi="宋体" w:cs="宋体" w:eastAsia="宋体" w:hint="default"/>
          <w:sz w:val="15"/>
          <w:szCs w:val="15"/>
        </w:rPr>
      </w:pPr>
    </w:p>
    <w:p>
      <w:pPr>
        <w:pStyle w:val="BodyText"/>
        <w:spacing w:line="240" w:lineRule="auto"/>
        <w:ind w:left="574" w:right="0"/>
        <w:jc w:val="left"/>
      </w:pPr>
      <w:r>
        <w:rPr/>
        <w:t>（</w:t>
      </w:r>
      <w:r>
        <w:rPr>
          <w:rFonts w:ascii="Arial" w:hAnsi="Arial" w:cs="Arial" w:eastAsia="Arial" w:hint="default"/>
        </w:rPr>
        <w:t>3</w:t>
      </w:r>
      <w:r>
        <w:rPr/>
        <w:t>）使用费收入</w:t>
      </w:r>
    </w:p>
    <w:p>
      <w:pPr>
        <w:spacing w:line="240" w:lineRule="auto" w:before="8"/>
        <w:rPr>
          <w:rFonts w:ascii="宋体" w:hAnsi="宋体" w:cs="宋体" w:eastAsia="宋体" w:hint="default"/>
          <w:sz w:val="24"/>
          <w:szCs w:val="24"/>
        </w:rPr>
      </w:pPr>
    </w:p>
    <w:p>
      <w:pPr>
        <w:pStyle w:val="Heading4"/>
        <w:spacing w:line="240" w:lineRule="auto"/>
        <w:ind w:left="573" w:right="0" w:firstLine="0"/>
        <w:jc w:val="left"/>
        <w:rPr>
          <w:rFonts w:ascii="宋体" w:hAnsi="宋体" w:cs="宋体" w:eastAsia="宋体" w:hint="default"/>
        </w:rPr>
      </w:pPr>
      <w:r>
        <w:rPr>
          <w:rFonts w:ascii="宋体" w:hAnsi="宋体" w:cs="宋体" w:eastAsia="宋体" w:hint="default"/>
        </w:rPr>
        <w:t>根据有关合同或协议，按权责发生制确认收入。</w:t>
      </w:r>
    </w:p>
    <w:p>
      <w:pPr>
        <w:spacing w:after="0" w:line="240" w:lineRule="auto"/>
        <w:jc w:val="left"/>
        <w:rPr>
          <w:rFonts w:ascii="宋体" w:hAnsi="宋体" w:cs="宋体" w:eastAsia="宋体" w:hint="default"/>
        </w:rPr>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516" w:lineRule="auto" w:before="18"/>
        <w:ind w:left="573" w:right="4873"/>
        <w:jc w:val="left"/>
      </w:pPr>
      <w:r>
        <w:rPr/>
        <w:t>（</w:t>
      </w:r>
      <w:r>
        <w:rPr>
          <w:rFonts w:ascii="Arial" w:hAnsi="Arial" w:cs="Arial" w:eastAsia="Arial" w:hint="default"/>
        </w:rPr>
        <w:t>4</w:t>
      </w:r>
      <w:r>
        <w:rPr/>
        <w:t>）利息收入 按照他人使用本公司货币资金的时间和实际利率计算确定。</w:t>
      </w:r>
    </w:p>
    <w:p>
      <w:pPr>
        <w:pStyle w:val="BodyText"/>
        <w:spacing w:line="516" w:lineRule="auto" w:before="108"/>
        <w:ind w:left="573" w:right="0"/>
        <w:jc w:val="left"/>
      </w:pPr>
      <w:r>
        <w:rPr/>
        <w:t>（</w:t>
      </w:r>
      <w:r>
        <w:rPr>
          <w:rFonts w:ascii="Arial" w:hAnsi="Arial" w:cs="Arial" w:eastAsia="Arial" w:hint="default"/>
        </w:rPr>
        <w:t>5</w:t>
      </w:r>
      <w:r>
        <w:rPr/>
        <w:t>）促销费收入 </w:t>
      </w:r>
      <w:r>
        <w:rPr>
          <w:spacing w:val="-1"/>
        </w:rPr>
        <w:t>本公司代供应商、客户开展的产品宣传等促销活动，根据实际发生的促销费用及业经供应商、客户确</w:t>
      </w:r>
    </w:p>
    <w:p>
      <w:pPr>
        <w:pStyle w:val="BodyText"/>
        <w:spacing w:line="227" w:lineRule="exact"/>
        <w:ind w:right="0"/>
        <w:jc w:val="left"/>
      </w:pPr>
      <w:r>
        <w:rPr/>
        <w:t>认的结算方法，在取得供应商、客户的结算清单时确认为促销费收入。</w:t>
      </w:r>
    </w:p>
    <w:p>
      <w:pPr>
        <w:spacing w:line="240" w:lineRule="auto" w:before="9"/>
        <w:rPr>
          <w:rFonts w:ascii="宋体" w:hAnsi="宋体" w:cs="宋体" w:eastAsia="宋体" w:hint="default"/>
          <w:sz w:val="26"/>
          <w:szCs w:val="26"/>
        </w:rPr>
      </w:pPr>
    </w:p>
    <w:p>
      <w:pPr>
        <w:pStyle w:val="BodyText"/>
        <w:spacing w:line="516" w:lineRule="auto"/>
        <w:ind w:left="573" w:right="0"/>
        <w:jc w:val="left"/>
      </w:pPr>
      <w:r>
        <w:rPr/>
        <w:t>（</w:t>
      </w:r>
      <w:r>
        <w:rPr>
          <w:rFonts w:ascii="Arial" w:hAnsi="Arial" w:cs="Arial" w:eastAsia="Arial" w:hint="default"/>
        </w:rPr>
        <w:t>6</w:t>
      </w:r>
      <w:r>
        <w:rPr/>
        <w:t>）游戏收入 </w:t>
      </w:r>
      <w:r>
        <w:rPr>
          <w:spacing w:val="-1"/>
        </w:rPr>
        <w:t>公司游戏收入按渠道分类，主要包括两部分，一部分为自营渠道游戏收入，一部分为联营渠道游戏收</w:t>
      </w:r>
    </w:p>
    <w:p>
      <w:pPr>
        <w:pStyle w:val="BodyText"/>
        <w:spacing w:line="227" w:lineRule="exact"/>
        <w:ind w:right="0"/>
        <w:jc w:val="left"/>
      </w:pPr>
      <w:r>
        <w:rPr/>
        <w:t>入。自营渠道游戏收入又包括自研游戏收入及联营游戏收入。</w:t>
      </w:r>
    </w:p>
    <w:p>
      <w:pPr>
        <w:pStyle w:val="BodyText"/>
        <w:spacing w:line="620" w:lineRule="atLeast" w:before="4"/>
        <w:ind w:left="573" w:right="0"/>
        <w:jc w:val="left"/>
      </w:pPr>
      <w:r>
        <w:rPr/>
        <w:t>对于自营渠道的自研游戏收入，在游戏玩家充值，并在游戏平台完成虚拟消费后，确认收入。 </w:t>
      </w:r>
      <w:r>
        <w:rPr>
          <w:spacing w:val="-1"/>
        </w:rPr>
        <w:t>对于自营渠道的联营游戏收入，按游戏玩家在公司自营渠道上的充值金额及与联营商约定的结算比例，</w:t>
      </w:r>
    </w:p>
    <w:p>
      <w:pPr>
        <w:spacing w:line="240" w:lineRule="auto" w:before="10"/>
        <w:rPr>
          <w:rFonts w:ascii="宋体" w:hAnsi="宋体" w:cs="宋体" w:eastAsia="宋体" w:hint="default"/>
          <w:sz w:val="14"/>
          <w:szCs w:val="14"/>
        </w:rPr>
      </w:pPr>
    </w:p>
    <w:p>
      <w:pPr>
        <w:pStyle w:val="BodyText"/>
        <w:spacing w:line="240" w:lineRule="auto"/>
        <w:ind w:right="0"/>
        <w:jc w:val="left"/>
      </w:pPr>
      <w:r>
        <w:rPr/>
        <w:t>在完成结算后确认收入。</w:t>
      </w:r>
    </w:p>
    <w:p>
      <w:pPr>
        <w:spacing w:line="240" w:lineRule="auto" w:before="9"/>
        <w:rPr>
          <w:rFonts w:ascii="宋体" w:hAnsi="宋体" w:cs="宋体" w:eastAsia="宋体" w:hint="default"/>
          <w:sz w:val="26"/>
          <w:szCs w:val="26"/>
        </w:rPr>
      </w:pPr>
    </w:p>
    <w:p>
      <w:pPr>
        <w:pStyle w:val="BodyText"/>
        <w:spacing w:line="408" w:lineRule="auto"/>
        <w:ind w:right="0" w:firstLine="420"/>
        <w:jc w:val="left"/>
      </w:pPr>
      <w:r>
        <w:rPr>
          <w:spacing w:val="-6"/>
        </w:rPr>
        <w:t>对于联营渠道游戏收入，根据合作运营协议，公司按协议约定的比例收取分成款，并与联营商核对后，</w:t>
      </w:r>
      <w:r>
        <w:rPr/>
        <w:t> 确认营业收入。</w:t>
      </w:r>
    </w:p>
    <w:p>
      <w:pPr>
        <w:spacing w:line="240" w:lineRule="auto" w:before="6"/>
        <w:rPr>
          <w:rFonts w:ascii="宋体" w:hAnsi="宋体" w:cs="宋体" w:eastAsia="宋体" w:hint="default"/>
          <w:sz w:val="15"/>
          <w:szCs w:val="15"/>
        </w:rPr>
      </w:pPr>
    </w:p>
    <w:p>
      <w:pPr>
        <w:pStyle w:val="BodyText"/>
        <w:spacing w:line="516" w:lineRule="auto"/>
        <w:ind w:left="573" w:right="3193"/>
        <w:jc w:val="left"/>
      </w:pPr>
      <w:r>
        <w:rPr/>
        <w:t>（</w:t>
      </w:r>
      <w:r>
        <w:rPr>
          <w:rFonts w:ascii="Arial" w:hAnsi="Arial" w:cs="Arial" w:eastAsia="Arial" w:hint="default"/>
        </w:rPr>
        <w:t>7</w:t>
      </w:r>
      <w:r>
        <w:rPr/>
        <w:t>）广告收入 按照合同的具体约定，根据权责发生制原则及收入确认的基本原则确认收入。</w:t>
      </w:r>
    </w:p>
    <w:p>
      <w:pPr>
        <w:pStyle w:val="BodyText"/>
        <w:spacing w:line="516" w:lineRule="auto" w:before="107"/>
        <w:ind w:left="573" w:right="0"/>
        <w:jc w:val="left"/>
      </w:pPr>
      <w:r>
        <w:rPr/>
        <w:t>（</w:t>
      </w:r>
      <w:r>
        <w:rPr>
          <w:rFonts w:ascii="Arial" w:hAnsi="Arial" w:cs="Arial" w:eastAsia="Arial" w:hint="default"/>
        </w:rPr>
        <w:t>8</w:t>
      </w:r>
      <w:r>
        <w:rPr/>
        <w:t>）无线增值电信服务收入 </w:t>
      </w:r>
      <w:r>
        <w:rPr>
          <w:spacing w:val="-1"/>
        </w:rPr>
        <w:t>取得运营商提供的对账结算凭据并经公司业务部门核对后确认收入的实现，如果运营商超过对账结算</w:t>
      </w:r>
    </w:p>
    <w:p>
      <w:pPr>
        <w:pStyle w:val="BodyText"/>
        <w:spacing w:line="227" w:lineRule="exact"/>
        <w:ind w:right="0"/>
        <w:jc w:val="left"/>
      </w:pPr>
      <w:r>
        <w:rPr/>
        <w:t>期尚未提供结算数据，在相关收入能够可靠计量的情况下，公司根据系统数估算确认收入。</w:t>
      </w:r>
    </w:p>
    <w:p>
      <w:pPr>
        <w:spacing w:line="240" w:lineRule="auto" w:before="9"/>
        <w:rPr>
          <w:rFonts w:ascii="宋体" w:hAnsi="宋体" w:cs="宋体" w:eastAsia="宋体" w:hint="default"/>
          <w:sz w:val="26"/>
          <w:szCs w:val="26"/>
        </w:rPr>
      </w:pPr>
    </w:p>
    <w:p>
      <w:pPr>
        <w:pStyle w:val="BodyText"/>
        <w:spacing w:line="516" w:lineRule="auto"/>
        <w:ind w:left="573" w:right="0"/>
        <w:jc w:val="left"/>
      </w:pPr>
      <w:r>
        <w:rPr/>
        <w:t>（</w:t>
      </w:r>
      <w:r>
        <w:rPr>
          <w:rFonts w:ascii="Arial" w:hAnsi="Arial" w:cs="Arial" w:eastAsia="Arial" w:hint="default"/>
        </w:rPr>
        <w:t>9</w:t>
      </w:r>
      <w:r>
        <w:rPr/>
        <w:t>）服务费收入 </w:t>
      </w:r>
      <w:r>
        <w:rPr>
          <w:spacing w:val="-1"/>
        </w:rPr>
        <w:t>本公司全资子公司爱施德（香港）有限公司代供应商指定客户进行采购、资金垫付等服务，根据实际</w:t>
      </w:r>
    </w:p>
    <w:p>
      <w:pPr>
        <w:pStyle w:val="BodyText"/>
        <w:spacing w:line="226" w:lineRule="exact"/>
        <w:ind w:right="0"/>
        <w:jc w:val="left"/>
      </w:pPr>
      <w:r>
        <w:rPr/>
        <w:t>发生的采购订单金额及经供应商、客户确认的结算方法，在代付采购订单款项时收取一定比例金额确认为</w:t>
      </w:r>
    </w:p>
    <w:p>
      <w:pPr>
        <w:spacing w:line="240" w:lineRule="auto" w:before="10"/>
        <w:rPr>
          <w:rFonts w:ascii="宋体" w:hAnsi="宋体" w:cs="宋体" w:eastAsia="宋体" w:hint="default"/>
          <w:sz w:val="14"/>
          <w:szCs w:val="14"/>
        </w:rPr>
      </w:pPr>
    </w:p>
    <w:p>
      <w:pPr>
        <w:pStyle w:val="BodyText"/>
        <w:spacing w:line="240" w:lineRule="auto"/>
        <w:ind w:right="0"/>
        <w:jc w:val="left"/>
      </w:pPr>
      <w:r>
        <w:rPr/>
        <w:t>服务费收入。</w:t>
      </w:r>
    </w:p>
    <w:p>
      <w:pPr>
        <w:spacing w:line="240" w:lineRule="auto" w:before="8"/>
        <w:rPr>
          <w:rFonts w:ascii="宋体" w:hAnsi="宋体" w:cs="宋体" w:eastAsia="宋体" w:hint="default"/>
          <w:sz w:val="21"/>
          <w:szCs w:val="21"/>
        </w:rPr>
      </w:pPr>
    </w:p>
    <w:p>
      <w:pPr>
        <w:pStyle w:val="BodyText"/>
        <w:spacing w:line="453" w:lineRule="auto"/>
        <w:ind w:left="573" w:right="0"/>
        <w:jc w:val="left"/>
      </w:pPr>
      <w:r>
        <w:rPr>
          <w:rFonts w:ascii="Trebuchet MS" w:hAnsi="Trebuchet MS" w:cs="Trebuchet MS" w:eastAsia="Trebuchet MS" w:hint="default"/>
          <w:b/>
          <w:bCs/>
        </w:rPr>
        <w:t>21</w:t>
      </w:r>
      <w:r>
        <w:rPr>
          <w:rFonts w:ascii="Microsoft JhengHei" w:hAnsi="Microsoft JhengHei" w:cs="Microsoft JhengHei" w:eastAsia="Microsoft JhengHei" w:hint="default"/>
          <w:b/>
          <w:bCs/>
        </w:rPr>
        <w:t>、政府补助 </w:t>
      </w:r>
      <w:r>
        <w:rPr>
          <w:spacing w:val="-1"/>
        </w:rPr>
        <w:t>政府补助是指本公司从政府无偿取得货币性资产和非货币性资产，不包括政府作为所有者投入的资本。</w:t>
      </w:r>
    </w:p>
    <w:p>
      <w:pPr>
        <w:spacing w:after="0" w:line="453"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240" w:lineRule="auto" w:before="18"/>
        <w:ind w:right="0"/>
        <w:jc w:val="left"/>
      </w:pPr>
      <w:r>
        <w:rPr/>
        <w:t>政府补助分为与资产相关的政府补助和与收益相关的政府补助。</w:t>
      </w:r>
    </w:p>
    <w:p>
      <w:pPr>
        <w:spacing w:line="240" w:lineRule="auto" w:before="9"/>
        <w:rPr>
          <w:rFonts w:ascii="宋体" w:hAnsi="宋体" w:cs="宋体" w:eastAsia="宋体" w:hint="default"/>
          <w:sz w:val="26"/>
          <w:szCs w:val="26"/>
        </w:rPr>
      </w:pPr>
    </w:p>
    <w:p>
      <w:pPr>
        <w:pStyle w:val="BodyText"/>
        <w:spacing w:line="408" w:lineRule="auto"/>
        <w:ind w:right="1131" w:firstLine="420"/>
        <w:jc w:val="both"/>
      </w:pPr>
      <w:r>
        <w:rPr>
          <w:spacing w:val="-1"/>
        </w:rPr>
        <w:t>政府补助为货币性资产的，按照收到或应收的金额计量。政府补助为非货币性资产的，按照公允价值</w:t>
      </w:r>
      <w:r>
        <w:rPr/>
        <w:t> </w:t>
      </w:r>
      <w:r>
        <w:rPr>
          <w:spacing w:val="-1"/>
        </w:rPr>
        <w:t>计量；公允价值不能够可靠取得的，按照名义金额计量。按照名义金额计量的政府补助，直接计入当期损</w:t>
      </w:r>
      <w:r>
        <w:rPr>
          <w:spacing w:val="-86"/>
        </w:rPr>
        <w:t> </w:t>
      </w:r>
      <w:r>
        <w:rPr>
          <w:spacing w:val="-86"/>
        </w:rPr>
      </w:r>
      <w:r>
        <w:rPr/>
        <w:t>益。</w:t>
      </w:r>
    </w:p>
    <w:p>
      <w:pPr>
        <w:spacing w:line="240" w:lineRule="auto" w:before="6"/>
        <w:rPr>
          <w:rFonts w:ascii="宋体" w:hAnsi="宋体" w:cs="宋体" w:eastAsia="宋体" w:hint="default"/>
          <w:sz w:val="15"/>
          <w:szCs w:val="15"/>
        </w:rPr>
      </w:pPr>
    </w:p>
    <w:p>
      <w:pPr>
        <w:pStyle w:val="BodyText"/>
        <w:spacing w:line="408" w:lineRule="auto"/>
        <w:ind w:left="154" w:right="1131" w:firstLine="420"/>
        <w:jc w:val="both"/>
      </w:pPr>
      <w:r>
        <w:rPr>
          <w:spacing w:val="-1"/>
        </w:rPr>
        <w:t>与资产相关的政府补助，确认为递延收益，并在相关资产的使用寿命内平均分配计入当期损益。与收</w:t>
      </w:r>
      <w:r>
        <w:rPr/>
        <w:t> </w:t>
      </w:r>
      <w:r>
        <w:rPr>
          <w:spacing w:val="-1"/>
        </w:rPr>
        <w:t>益相关的政府补助，用于补偿以后期间的相关费用和损失的，确认为递延收益，并在确认相关费用的期间</w:t>
      </w:r>
      <w:r>
        <w:rPr>
          <w:spacing w:val="-83"/>
        </w:rPr>
        <w:t> </w:t>
      </w:r>
      <w:r>
        <w:rPr>
          <w:spacing w:val="-83"/>
        </w:rPr>
      </w:r>
      <w:r>
        <w:rPr/>
        <w:t>计入当期损益；用于补偿已经发生的相关费用和损失的，直接计入当期损益。</w:t>
      </w:r>
    </w:p>
    <w:p>
      <w:pPr>
        <w:spacing w:line="240" w:lineRule="auto" w:before="6"/>
        <w:rPr>
          <w:rFonts w:ascii="宋体" w:hAnsi="宋体" w:cs="宋体" w:eastAsia="宋体" w:hint="default"/>
          <w:sz w:val="15"/>
          <w:szCs w:val="15"/>
        </w:rPr>
      </w:pPr>
    </w:p>
    <w:p>
      <w:pPr>
        <w:pStyle w:val="BodyText"/>
        <w:spacing w:line="408" w:lineRule="auto"/>
        <w:ind w:right="1130" w:firstLine="420"/>
        <w:jc w:val="both"/>
      </w:pPr>
      <w:r>
        <w:rPr>
          <w:spacing w:val="-1"/>
        </w:rPr>
        <w:t>已确认的政府补助需要返还时，存在相关递延收益余额的，冲减相关递延收益账面余额，超出部分计</w:t>
      </w:r>
      <w:r>
        <w:rPr/>
        <w:t> 入当期损益；不存在相关递延收益的，直接计入当期损益。</w:t>
      </w:r>
    </w:p>
    <w:p>
      <w:pPr>
        <w:pStyle w:val="Heading5"/>
        <w:spacing w:line="240" w:lineRule="auto" w:before="135"/>
        <w:ind w:left="574" w:right="0"/>
        <w:jc w:val="left"/>
        <w:rPr>
          <w:rFonts w:ascii="Microsoft JhengHei" w:hAnsi="Microsoft JhengHei" w:cs="Microsoft JhengHei" w:eastAsia="Microsoft JhengHei" w:hint="default"/>
          <w:b w:val="0"/>
          <w:bCs w:val="0"/>
        </w:rPr>
      </w:pPr>
      <w:r>
        <w:rPr>
          <w:rFonts w:ascii="Trebuchet MS" w:hAnsi="Trebuchet MS" w:cs="Trebuchet MS" w:eastAsia="Trebuchet MS" w:hint="default"/>
        </w:rPr>
        <w:t>22</w:t>
      </w:r>
      <w:r>
        <w:rPr>
          <w:rFonts w:ascii="Microsoft JhengHei" w:hAnsi="Microsoft JhengHei" w:cs="Microsoft JhengHei" w:eastAsia="Microsoft JhengHei" w:hint="default"/>
        </w:rPr>
        <w:t>、递延所得税资产</w:t>
      </w:r>
      <w:r>
        <w:rPr>
          <w:rFonts w:ascii="Trebuchet MS" w:hAnsi="Trebuchet MS" w:cs="Trebuchet MS" w:eastAsia="Trebuchet MS" w:hint="default"/>
        </w:rPr>
        <w:t>/</w:t>
      </w:r>
      <w:r>
        <w:rPr>
          <w:rFonts w:ascii="Microsoft JhengHei" w:hAnsi="Microsoft JhengHei" w:cs="Microsoft JhengHei" w:eastAsia="Microsoft JhengHei" w:hint="default"/>
        </w:rPr>
        <w:t>递延所得税负债</w:t>
      </w:r>
      <w:r>
        <w:rPr>
          <w:rFonts w:ascii="Microsoft JhengHei" w:hAnsi="Microsoft JhengHei" w:cs="Microsoft JhengHei" w:eastAsia="Microsoft JhengHei" w:hint="default"/>
          <w:b w:val="0"/>
          <w:bCs w:val="0"/>
        </w:rPr>
      </w:r>
    </w:p>
    <w:p>
      <w:pPr>
        <w:spacing w:line="240" w:lineRule="auto" w:before="12"/>
        <w:rPr>
          <w:rFonts w:ascii="Microsoft JhengHei" w:hAnsi="Microsoft JhengHei" w:cs="Microsoft JhengHei" w:eastAsia="Microsoft JhengHei" w:hint="default"/>
          <w:b/>
          <w:bCs/>
          <w:sz w:val="18"/>
          <w:szCs w:val="18"/>
        </w:rPr>
      </w:pPr>
    </w:p>
    <w:p>
      <w:pPr>
        <w:pStyle w:val="BodyText"/>
        <w:spacing w:line="516" w:lineRule="auto"/>
        <w:ind w:left="573" w:right="0"/>
        <w:jc w:val="left"/>
      </w:pPr>
      <w:r>
        <w:rPr/>
        <w:t>（</w:t>
      </w:r>
      <w:r>
        <w:rPr>
          <w:rFonts w:ascii="Arial" w:hAnsi="Arial" w:cs="Arial" w:eastAsia="Arial" w:hint="default"/>
        </w:rPr>
        <w:t>1</w:t>
      </w:r>
      <w:r>
        <w:rPr/>
        <w:t>）当期所得税 </w:t>
      </w:r>
      <w:r>
        <w:rPr>
          <w:spacing w:val="-1"/>
        </w:rPr>
        <w:t>资产负债表日，对于当期和以前期间形成的当期所得税负债（或资产），以按照税法规定计算的预期</w:t>
      </w:r>
    </w:p>
    <w:p>
      <w:pPr>
        <w:pStyle w:val="BodyText"/>
        <w:spacing w:line="226" w:lineRule="exact"/>
        <w:ind w:right="0"/>
        <w:jc w:val="left"/>
      </w:pPr>
      <w:r>
        <w:rPr/>
        <w:t>应交纳（或返还）的所得税金额计量。计算当期所得税费用所依据的应纳税所得额系根据有关税法规定对</w:t>
      </w:r>
    </w:p>
    <w:p>
      <w:pPr>
        <w:spacing w:line="240" w:lineRule="auto" w:before="10"/>
        <w:rPr>
          <w:rFonts w:ascii="宋体" w:hAnsi="宋体" w:cs="宋体" w:eastAsia="宋体" w:hint="default"/>
          <w:sz w:val="14"/>
          <w:szCs w:val="14"/>
        </w:rPr>
      </w:pPr>
    </w:p>
    <w:p>
      <w:pPr>
        <w:pStyle w:val="BodyText"/>
        <w:spacing w:line="240" w:lineRule="auto"/>
        <w:ind w:right="0"/>
        <w:jc w:val="left"/>
      </w:pPr>
      <w:r>
        <w:rPr/>
        <w:t>本年度税前会计利润作相应调整后计算得出。</w:t>
      </w:r>
    </w:p>
    <w:p>
      <w:pPr>
        <w:spacing w:line="240" w:lineRule="auto" w:before="9"/>
        <w:rPr>
          <w:rFonts w:ascii="宋体" w:hAnsi="宋体" w:cs="宋体" w:eastAsia="宋体" w:hint="default"/>
          <w:sz w:val="26"/>
          <w:szCs w:val="26"/>
        </w:rPr>
      </w:pPr>
    </w:p>
    <w:p>
      <w:pPr>
        <w:pStyle w:val="BodyText"/>
        <w:spacing w:line="516" w:lineRule="auto"/>
        <w:ind w:left="573" w:right="0"/>
        <w:jc w:val="left"/>
      </w:pPr>
      <w:r>
        <w:rPr/>
        <w:t>（</w:t>
      </w:r>
      <w:r>
        <w:rPr>
          <w:rFonts w:ascii="Arial" w:hAnsi="Arial" w:cs="Arial" w:eastAsia="Arial" w:hint="default"/>
        </w:rPr>
        <w:t>2</w:t>
      </w:r>
      <w:r>
        <w:rPr/>
        <w:t>）递延所得税资产及递延所得税负债 </w:t>
      </w:r>
      <w:r>
        <w:rPr>
          <w:spacing w:val="-1"/>
        </w:rPr>
        <w:t>某些资产、负债项目的账面价值与其计税基础之间的差额，以及未作为资产和负债确认但按照税法规</w:t>
      </w:r>
    </w:p>
    <w:p>
      <w:pPr>
        <w:pStyle w:val="BodyText"/>
        <w:spacing w:line="226" w:lineRule="exact"/>
        <w:ind w:right="0"/>
        <w:jc w:val="left"/>
      </w:pPr>
      <w:r>
        <w:rPr/>
        <w:t>定可以确定其计税基础的项目的账面价值与计税基础之间的差额产生的暂时性差异，采用资产负债表债务</w:t>
      </w:r>
    </w:p>
    <w:p>
      <w:pPr>
        <w:spacing w:line="240" w:lineRule="auto" w:before="10"/>
        <w:rPr>
          <w:rFonts w:ascii="宋体" w:hAnsi="宋体" w:cs="宋体" w:eastAsia="宋体" w:hint="default"/>
          <w:sz w:val="14"/>
          <w:szCs w:val="14"/>
        </w:rPr>
      </w:pPr>
    </w:p>
    <w:p>
      <w:pPr>
        <w:pStyle w:val="BodyText"/>
        <w:spacing w:line="240" w:lineRule="auto"/>
        <w:ind w:right="0"/>
        <w:jc w:val="left"/>
      </w:pPr>
      <w:r>
        <w:rPr/>
        <w:t>法确认递延所得税资产及递延所得税负债。</w:t>
      </w:r>
    </w:p>
    <w:p>
      <w:pPr>
        <w:spacing w:line="240" w:lineRule="auto" w:before="9"/>
        <w:rPr>
          <w:rFonts w:ascii="宋体" w:hAnsi="宋体" w:cs="宋体" w:eastAsia="宋体" w:hint="default"/>
          <w:sz w:val="26"/>
          <w:szCs w:val="26"/>
        </w:rPr>
      </w:pPr>
    </w:p>
    <w:p>
      <w:pPr>
        <w:pStyle w:val="BodyText"/>
        <w:spacing w:line="408" w:lineRule="auto"/>
        <w:ind w:left="154" w:right="1023" w:firstLine="420"/>
        <w:jc w:val="left"/>
      </w:pPr>
      <w:r>
        <w:rPr/>
        <w:t>与商誉的初始确认有关，以及与既不是企业合并、发生时也不影响会计利润和应纳税所得额（或可抵 扣亏损）的交易中产生的资产或负债的初始确认有关的应纳税暂时性差异，不予确认有关的递延所得税负 债。此外，对与子公司、联营企业及合营企业投资相关的应纳税暂时性差异，如果本公司能够控制暂时性 </w:t>
      </w:r>
      <w:r>
        <w:rPr>
          <w:spacing w:val="-3"/>
        </w:rPr>
        <w:t>差异转回的时间，而且该暂时性差异在可预见的未来很可能不会转回，也不予确认有关的递延所得税负债。</w:t>
      </w:r>
      <w:r>
        <w:rPr>
          <w:spacing w:val="-92"/>
        </w:rPr>
        <w:t> </w:t>
      </w:r>
      <w:r>
        <w:rPr>
          <w:spacing w:val="-92"/>
        </w:rPr>
      </w:r>
      <w:r>
        <w:rPr/>
        <w:t>除上述例外情况，本公司确认其他所有应纳税暂时性差异产生的递延所得税负债。</w:t>
      </w:r>
    </w:p>
    <w:p>
      <w:pPr>
        <w:spacing w:line="240" w:lineRule="auto" w:before="6"/>
        <w:rPr>
          <w:rFonts w:ascii="宋体" w:hAnsi="宋体" w:cs="宋体" w:eastAsia="宋体" w:hint="default"/>
          <w:sz w:val="15"/>
          <w:szCs w:val="15"/>
        </w:rPr>
      </w:pPr>
    </w:p>
    <w:p>
      <w:pPr>
        <w:pStyle w:val="BodyText"/>
        <w:spacing w:line="408" w:lineRule="auto"/>
        <w:ind w:right="1131" w:firstLine="420"/>
        <w:jc w:val="both"/>
      </w:pPr>
      <w:r>
        <w:rPr>
          <w:spacing w:val="-1"/>
        </w:rPr>
        <w:t>与既不是企业合并、发生时也不影响会计利润和应纳税所得额（或可抵扣亏损）的交易中产生的资产</w:t>
      </w:r>
      <w:r>
        <w:rPr/>
        <w:t> </w:t>
      </w:r>
      <w:r>
        <w:rPr>
          <w:spacing w:val="-1"/>
        </w:rPr>
        <w:t>或负债的初始确认有关的可抵扣暂时性差异，不予确认有关的递延所得税资产。此外，对与子公司、联营</w:t>
      </w:r>
      <w:r>
        <w:rPr>
          <w:spacing w:val="-86"/>
        </w:rPr>
        <w:t> </w:t>
      </w:r>
      <w:r>
        <w:rPr>
          <w:spacing w:val="-86"/>
        </w:rPr>
      </w:r>
      <w:r>
        <w:rPr>
          <w:spacing w:val="-1"/>
        </w:rPr>
        <w:t>企业及合营企业投资相关的可抵扣暂时性差异，如果暂时性差异在可预见的未来不是很可能转回，或者未</w:t>
      </w:r>
    </w:p>
    <w:p>
      <w:pPr>
        <w:spacing w:after="0" w:line="408" w:lineRule="auto"/>
        <w:jc w:val="both"/>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408" w:lineRule="auto" w:before="18"/>
        <w:ind w:right="1131"/>
        <w:jc w:val="both"/>
      </w:pPr>
      <w:r>
        <w:rPr>
          <w:spacing w:val="-1"/>
        </w:rPr>
        <w:t>来不是很可能获得用来抵扣可抵扣暂时性差异的应纳税所得额，不予确认有关的递延所得税资产。除上述</w:t>
      </w:r>
      <w:r>
        <w:rPr>
          <w:spacing w:val="-81"/>
        </w:rPr>
        <w:t> </w:t>
      </w:r>
      <w:r>
        <w:rPr>
          <w:spacing w:val="-81"/>
        </w:rPr>
      </w:r>
      <w:r>
        <w:rPr>
          <w:spacing w:val="-1"/>
        </w:rPr>
        <w:t>例外情况，本公司以很可能取得用来抵扣可抵扣暂时性差异的应纳税所得额为限，确认其他可抵扣暂时性</w:t>
      </w:r>
      <w:r>
        <w:rPr>
          <w:spacing w:val="-81"/>
        </w:rPr>
        <w:t> </w:t>
      </w:r>
      <w:r>
        <w:rPr>
          <w:spacing w:val="-81"/>
        </w:rPr>
      </w:r>
      <w:r>
        <w:rPr/>
        <w:t>差异产生的递延所得税资产。</w:t>
      </w:r>
    </w:p>
    <w:p>
      <w:pPr>
        <w:spacing w:line="240" w:lineRule="auto" w:before="6"/>
        <w:rPr>
          <w:rFonts w:ascii="宋体" w:hAnsi="宋体" w:cs="宋体" w:eastAsia="宋体" w:hint="default"/>
          <w:sz w:val="15"/>
          <w:szCs w:val="15"/>
        </w:rPr>
      </w:pPr>
    </w:p>
    <w:p>
      <w:pPr>
        <w:pStyle w:val="BodyText"/>
        <w:spacing w:line="408" w:lineRule="auto"/>
        <w:ind w:right="1131" w:firstLine="420"/>
        <w:jc w:val="both"/>
      </w:pPr>
      <w:r>
        <w:rPr>
          <w:spacing w:val="-1"/>
        </w:rPr>
        <w:t>对于能够结转以后年度的可抵扣亏损和税款抵减，以很可能获得用来抵扣可抵扣亏损和税款抵减的未</w:t>
      </w:r>
      <w:r>
        <w:rPr/>
        <w:t> 来应纳税所得额为限，确认相应的递延所得税资产。</w:t>
      </w:r>
    </w:p>
    <w:p>
      <w:pPr>
        <w:spacing w:line="240" w:lineRule="auto" w:before="6"/>
        <w:rPr>
          <w:rFonts w:ascii="宋体" w:hAnsi="宋体" w:cs="宋体" w:eastAsia="宋体" w:hint="default"/>
          <w:sz w:val="15"/>
          <w:szCs w:val="15"/>
        </w:rPr>
      </w:pPr>
    </w:p>
    <w:p>
      <w:pPr>
        <w:pStyle w:val="BodyText"/>
        <w:spacing w:line="408" w:lineRule="auto"/>
        <w:ind w:right="1131" w:firstLine="420"/>
        <w:jc w:val="both"/>
      </w:pPr>
      <w:r>
        <w:rPr>
          <w:spacing w:val="-1"/>
        </w:rPr>
        <w:t>资产负债表日，对于递延所得税资产和递延所得税负债，根据税法规定，按照预期收回相关资产或清</w:t>
      </w:r>
      <w:r>
        <w:rPr/>
        <w:t> 偿相关负债期间的适用税率计量。</w:t>
      </w:r>
    </w:p>
    <w:p>
      <w:pPr>
        <w:spacing w:line="240" w:lineRule="auto" w:before="6"/>
        <w:rPr>
          <w:rFonts w:ascii="宋体" w:hAnsi="宋体" w:cs="宋体" w:eastAsia="宋体" w:hint="default"/>
          <w:sz w:val="15"/>
          <w:szCs w:val="15"/>
        </w:rPr>
      </w:pPr>
    </w:p>
    <w:p>
      <w:pPr>
        <w:pStyle w:val="BodyText"/>
        <w:spacing w:line="408" w:lineRule="auto"/>
        <w:ind w:right="1131" w:firstLine="420"/>
        <w:jc w:val="both"/>
      </w:pPr>
      <w:r>
        <w:rPr>
          <w:spacing w:val="-1"/>
        </w:rPr>
        <w:t>于资产负债表日，对递延所得税资产的账面价值进行复核，如果未来很可能无法获得足够的应纳税所</w:t>
      </w:r>
      <w:r>
        <w:rPr/>
        <w:t> </w:t>
      </w:r>
      <w:r>
        <w:rPr>
          <w:spacing w:val="-1"/>
        </w:rPr>
        <w:t>得额用以抵扣递延所得税资产的利益，则减记递延所得税资产的账面价值。在很可能获得足够的应纳税所</w:t>
      </w:r>
      <w:r>
        <w:rPr>
          <w:spacing w:val="-81"/>
        </w:rPr>
        <w:t> </w:t>
      </w:r>
      <w:r>
        <w:rPr>
          <w:spacing w:val="-81"/>
        </w:rPr>
      </w:r>
      <w:r>
        <w:rPr/>
        <w:t>得额时，减记的金额予以转回。</w:t>
      </w:r>
    </w:p>
    <w:p>
      <w:pPr>
        <w:spacing w:line="240" w:lineRule="auto" w:before="6"/>
        <w:rPr>
          <w:rFonts w:ascii="宋体" w:hAnsi="宋体" w:cs="宋体" w:eastAsia="宋体" w:hint="default"/>
          <w:sz w:val="15"/>
          <w:szCs w:val="15"/>
        </w:rPr>
      </w:pPr>
    </w:p>
    <w:p>
      <w:pPr>
        <w:pStyle w:val="BodyText"/>
        <w:spacing w:line="516" w:lineRule="auto"/>
        <w:ind w:left="573" w:right="6343"/>
        <w:jc w:val="left"/>
      </w:pPr>
      <w:r>
        <w:rPr/>
        <w:t>（</w:t>
      </w:r>
      <w:r>
        <w:rPr>
          <w:rFonts w:ascii="Arial" w:hAnsi="Arial" w:cs="Arial" w:eastAsia="Arial" w:hint="default"/>
        </w:rPr>
        <w:t>3</w:t>
      </w:r>
      <w:r>
        <w:rPr/>
        <w:t>）所得税费用 所得税费用包括当期所得税和递延所得税。</w:t>
      </w:r>
    </w:p>
    <w:p>
      <w:pPr>
        <w:pStyle w:val="BodyText"/>
        <w:spacing w:line="408" w:lineRule="auto" w:before="107"/>
        <w:ind w:left="154" w:right="1131" w:firstLine="420"/>
        <w:jc w:val="both"/>
      </w:pPr>
      <w:r>
        <w:rPr>
          <w:spacing w:val="3"/>
        </w:rPr>
        <w:t>除确认为其他综合收益或直接计入股东权益的交易和事项相关的当期所得税和递延所得税计入其他</w:t>
      </w:r>
      <w:r>
        <w:rPr/>
        <w:t> </w:t>
      </w:r>
      <w:r>
        <w:rPr>
          <w:spacing w:val="-1"/>
        </w:rPr>
        <w:t>综合收益或股东权益，以及企业合并产生的递延所得税调整商誉的账面价值外，其余当期所得税和递延所</w:t>
      </w:r>
      <w:r>
        <w:rPr>
          <w:spacing w:val="-81"/>
        </w:rPr>
        <w:t> </w:t>
      </w:r>
      <w:r>
        <w:rPr>
          <w:spacing w:val="-81"/>
        </w:rPr>
      </w:r>
      <w:r>
        <w:rPr/>
        <w:t>得税费用或收益计入当期损益。</w:t>
      </w:r>
    </w:p>
    <w:p>
      <w:pPr>
        <w:spacing w:line="240" w:lineRule="auto" w:before="6"/>
        <w:rPr>
          <w:rFonts w:ascii="宋体" w:hAnsi="宋体" w:cs="宋体" w:eastAsia="宋体" w:hint="default"/>
          <w:sz w:val="15"/>
          <w:szCs w:val="15"/>
        </w:rPr>
      </w:pPr>
    </w:p>
    <w:p>
      <w:pPr>
        <w:pStyle w:val="BodyText"/>
        <w:spacing w:line="516" w:lineRule="auto"/>
        <w:ind w:left="573" w:right="0"/>
        <w:jc w:val="left"/>
      </w:pPr>
      <w:r>
        <w:rPr/>
        <w:t>（</w:t>
      </w:r>
      <w:r>
        <w:rPr>
          <w:rFonts w:ascii="Arial" w:hAnsi="Arial" w:cs="Arial" w:eastAsia="Arial" w:hint="default"/>
        </w:rPr>
        <w:t>4</w:t>
      </w:r>
      <w:r>
        <w:rPr/>
        <w:t>）所得税的抵销 </w:t>
      </w:r>
      <w:r>
        <w:rPr>
          <w:spacing w:val="-1"/>
        </w:rPr>
        <w:t>当拥有以净额结算的法定权利，且意图以净额结算或取得资产、清偿负债同时进行时，本公司当期所</w:t>
      </w:r>
    </w:p>
    <w:p>
      <w:pPr>
        <w:pStyle w:val="BodyText"/>
        <w:spacing w:line="226" w:lineRule="exact"/>
        <w:ind w:right="0"/>
        <w:jc w:val="both"/>
      </w:pPr>
      <w:r>
        <w:rPr/>
        <w:t>得税资产及当期所得税负债以抵销后的净额列报。</w:t>
      </w:r>
    </w:p>
    <w:p>
      <w:pPr>
        <w:spacing w:line="240" w:lineRule="auto" w:before="9"/>
        <w:rPr>
          <w:rFonts w:ascii="宋体" w:hAnsi="宋体" w:cs="宋体" w:eastAsia="宋体" w:hint="default"/>
          <w:sz w:val="26"/>
          <w:szCs w:val="26"/>
        </w:rPr>
      </w:pPr>
    </w:p>
    <w:p>
      <w:pPr>
        <w:pStyle w:val="BodyText"/>
        <w:spacing w:line="408" w:lineRule="auto"/>
        <w:ind w:left="154" w:right="1131" w:firstLine="420"/>
        <w:jc w:val="both"/>
      </w:pPr>
      <w:r>
        <w:rPr>
          <w:spacing w:val="-1"/>
        </w:rPr>
        <w:t>当拥有以净额结算当期所得税资产及当期所得税负债的法定权利，且递延所得税资产及递延所得税负</w:t>
      </w:r>
      <w:r>
        <w:rPr/>
        <w:t> </w:t>
      </w:r>
      <w:r>
        <w:rPr>
          <w:spacing w:val="-1"/>
        </w:rPr>
        <w:t>债是与同一税收征管部门对同一纳税主体征收的所得税相关或者是对不同的纳税主体相关，但在未来每一</w:t>
      </w:r>
      <w:r>
        <w:rPr>
          <w:spacing w:val="-81"/>
        </w:rPr>
        <w:t> </w:t>
      </w:r>
      <w:r>
        <w:rPr>
          <w:spacing w:val="-81"/>
        </w:rPr>
      </w:r>
      <w:r>
        <w:rPr>
          <w:spacing w:val="-1"/>
        </w:rPr>
        <w:t>具有重要性的递延所得税资产及负债转回的期间内，涉及的纳税主体意图以净额结算当期所得税资产和负</w:t>
      </w:r>
      <w:r>
        <w:rPr>
          <w:spacing w:val="-81"/>
        </w:rPr>
        <w:t> </w:t>
      </w:r>
      <w:r>
        <w:rPr>
          <w:spacing w:val="-81"/>
        </w:rPr>
      </w:r>
      <w:r>
        <w:rPr/>
        <w:t>债或是同时取得资产、清偿负债时，本公司递延所得税资产及递延所得税负债以抵销后的净额列报。</w:t>
      </w:r>
    </w:p>
    <w:p>
      <w:pPr>
        <w:pStyle w:val="BodyText"/>
        <w:spacing w:line="453" w:lineRule="auto" w:before="135"/>
        <w:ind w:left="573" w:right="1125"/>
        <w:jc w:val="left"/>
      </w:pPr>
      <w:r>
        <w:rPr>
          <w:rFonts w:ascii="Trebuchet MS" w:hAnsi="Trebuchet MS" w:cs="Trebuchet MS" w:eastAsia="Trebuchet MS" w:hint="default"/>
          <w:b/>
          <w:bCs/>
        </w:rPr>
        <w:t>23</w:t>
      </w:r>
      <w:r>
        <w:rPr>
          <w:rFonts w:ascii="Microsoft JhengHei" w:hAnsi="Microsoft JhengHei" w:cs="Microsoft JhengHei" w:eastAsia="Microsoft JhengHei" w:hint="default"/>
          <w:b/>
          <w:bCs/>
        </w:rPr>
        <w:t>、租赁 </w:t>
      </w:r>
      <w:r>
        <w:rPr>
          <w:spacing w:val="-1"/>
        </w:rPr>
        <w:t>融资租赁为实质上转移了与资产所有权有关的全部风险和报酬的租赁，其所有权最终可能转移，也可</w:t>
      </w:r>
    </w:p>
    <w:p>
      <w:pPr>
        <w:pStyle w:val="BodyText"/>
        <w:spacing w:line="240" w:lineRule="auto" w:before="6"/>
        <w:ind w:right="0"/>
        <w:jc w:val="both"/>
      </w:pPr>
      <w:r>
        <w:rPr/>
        <w:t>能不转移。融资租赁以外的其他租赁为经营租赁。</w:t>
      </w:r>
    </w:p>
    <w:p>
      <w:pPr>
        <w:spacing w:line="240" w:lineRule="auto" w:before="9"/>
        <w:rPr>
          <w:rFonts w:ascii="宋体" w:hAnsi="宋体" w:cs="宋体" w:eastAsia="宋体" w:hint="default"/>
          <w:sz w:val="26"/>
          <w:szCs w:val="26"/>
        </w:rPr>
      </w:pPr>
    </w:p>
    <w:p>
      <w:pPr>
        <w:pStyle w:val="BodyText"/>
        <w:spacing w:line="240" w:lineRule="auto"/>
        <w:ind w:left="574" w:right="0"/>
        <w:jc w:val="left"/>
      </w:pPr>
      <w:r>
        <w:rPr/>
        <w:t>（</w:t>
      </w:r>
      <w:r>
        <w:rPr>
          <w:rFonts w:ascii="Arial" w:hAnsi="Arial" w:cs="Arial" w:eastAsia="Arial" w:hint="default"/>
        </w:rPr>
        <w:t>1</w:t>
      </w:r>
      <w:r>
        <w:rPr/>
        <w:t>）本公司作为承租人记录经营租赁业务</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408" w:lineRule="auto" w:before="18"/>
        <w:ind w:right="1132" w:firstLine="420"/>
        <w:jc w:val="both"/>
      </w:pPr>
      <w:r>
        <w:rPr>
          <w:spacing w:val="-1"/>
        </w:rPr>
        <w:t>经营租赁的租金支出在租赁期内的各个期间按直线法计入相关资产成本或当期损益。初始直接费用计</w:t>
      </w:r>
      <w:r>
        <w:rPr/>
        <w:t> 入当期损益。或有租金于实际发生时计入当期损益。</w:t>
      </w:r>
    </w:p>
    <w:p>
      <w:pPr>
        <w:spacing w:line="240" w:lineRule="auto" w:before="6"/>
        <w:rPr>
          <w:rFonts w:ascii="宋体" w:hAnsi="宋体" w:cs="宋体" w:eastAsia="宋体" w:hint="default"/>
          <w:sz w:val="15"/>
          <w:szCs w:val="15"/>
        </w:rPr>
      </w:pPr>
    </w:p>
    <w:p>
      <w:pPr>
        <w:pStyle w:val="BodyText"/>
        <w:spacing w:line="516" w:lineRule="auto"/>
        <w:ind w:left="573" w:right="0"/>
        <w:jc w:val="left"/>
      </w:pPr>
      <w:r>
        <w:rPr/>
        <w:t>（</w:t>
      </w:r>
      <w:r>
        <w:rPr>
          <w:rFonts w:ascii="Arial" w:hAnsi="Arial" w:cs="Arial" w:eastAsia="Arial" w:hint="default"/>
        </w:rPr>
        <w:t>2</w:t>
      </w:r>
      <w:r>
        <w:rPr/>
        <w:t>）本公司作为出租人记录经营租赁业务 </w:t>
      </w:r>
      <w:r>
        <w:rPr>
          <w:spacing w:val="-1"/>
        </w:rPr>
        <w:t>经营租赁的租金收入在租赁期内的各个期间按直线法确认为当期损益。对金额较大的初始直接费用于</w:t>
      </w:r>
    </w:p>
    <w:p>
      <w:pPr>
        <w:pStyle w:val="BodyText"/>
        <w:spacing w:line="226" w:lineRule="exact"/>
        <w:ind w:right="0"/>
        <w:jc w:val="left"/>
      </w:pPr>
      <w:r>
        <w:rPr/>
        <w:t>发生时予以资本化，在整个租赁期间内按照与确认租金收入相同的基础分期计入当期损益；其他金额较小</w:t>
      </w:r>
    </w:p>
    <w:p>
      <w:pPr>
        <w:spacing w:line="240" w:lineRule="auto" w:before="10"/>
        <w:rPr>
          <w:rFonts w:ascii="宋体" w:hAnsi="宋体" w:cs="宋体" w:eastAsia="宋体" w:hint="default"/>
          <w:sz w:val="14"/>
          <w:szCs w:val="14"/>
        </w:rPr>
      </w:pPr>
    </w:p>
    <w:p>
      <w:pPr>
        <w:spacing w:line="487" w:lineRule="auto" w:before="0"/>
        <w:ind w:left="573" w:right="3403" w:hanging="420"/>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的初始直接费用于发生时计入当期损益。或有租金于实际发生时计入当期损益。 </w:t>
      </w:r>
      <w:r>
        <w:rPr>
          <w:rFonts w:ascii="Trebuchet MS" w:hAnsi="Trebuchet MS" w:cs="Trebuchet MS" w:eastAsia="Trebuchet MS" w:hint="default"/>
          <w:b/>
          <w:bCs/>
          <w:sz w:val="21"/>
          <w:szCs w:val="21"/>
        </w:rPr>
        <w:t>24</w:t>
      </w:r>
      <w:r>
        <w:rPr>
          <w:rFonts w:ascii="Microsoft JhengHei" w:hAnsi="Microsoft JhengHei" w:cs="Microsoft JhengHei" w:eastAsia="Microsoft JhengHei" w:hint="default"/>
          <w:b/>
          <w:bCs/>
          <w:sz w:val="21"/>
          <w:szCs w:val="21"/>
        </w:rPr>
        <w:t>、重要会计政策、会计估计的变更</w:t>
      </w:r>
      <w:r>
        <w:rPr>
          <w:rFonts w:ascii="Microsoft JhengHei" w:hAnsi="Microsoft JhengHei" w:cs="Microsoft JhengHei" w:eastAsia="Microsoft JhengHei" w:hint="default"/>
          <w:sz w:val="21"/>
          <w:szCs w:val="21"/>
        </w:rPr>
      </w:r>
    </w:p>
    <w:p>
      <w:pPr>
        <w:pStyle w:val="BodyText"/>
        <w:spacing w:line="516" w:lineRule="auto" w:before="37"/>
        <w:ind w:left="573" w:right="6763"/>
        <w:jc w:val="left"/>
      </w:pPr>
      <w:r>
        <w:rPr/>
        <w:t>（</w:t>
      </w:r>
      <w:r>
        <w:rPr>
          <w:rFonts w:ascii="Arial" w:hAnsi="Arial" w:cs="Arial" w:eastAsia="Arial" w:hint="default"/>
        </w:rPr>
        <w:t>1</w:t>
      </w:r>
      <w:r>
        <w:rPr/>
        <w:t>）会计政策变更 本公司报告期内无会计政策变更事项。</w:t>
      </w:r>
    </w:p>
    <w:p>
      <w:pPr>
        <w:spacing w:line="501" w:lineRule="auto" w:before="107"/>
        <w:ind w:left="573" w:right="6763" w:firstLine="0"/>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）会计估计变更 本公司报告期内无会计估计变更事项。 </w:t>
      </w:r>
      <w:r>
        <w:rPr>
          <w:rFonts w:ascii="Trebuchet MS" w:hAnsi="Trebuchet MS" w:cs="Trebuchet MS" w:eastAsia="Trebuchet MS" w:hint="default"/>
          <w:b/>
          <w:bCs/>
          <w:sz w:val="21"/>
          <w:szCs w:val="21"/>
        </w:rPr>
        <w:t>25</w:t>
      </w:r>
      <w:r>
        <w:rPr>
          <w:rFonts w:ascii="Microsoft JhengHei" w:hAnsi="Microsoft JhengHei" w:cs="Microsoft JhengHei" w:eastAsia="Microsoft JhengHei" w:hint="default"/>
          <w:b/>
          <w:bCs/>
          <w:sz w:val="21"/>
          <w:szCs w:val="21"/>
        </w:rPr>
        <w:t>、重大会计判断和估计</w:t>
      </w:r>
      <w:r>
        <w:rPr>
          <w:rFonts w:ascii="Microsoft JhengHei" w:hAnsi="Microsoft JhengHei" w:cs="Microsoft JhengHei" w:eastAsia="Microsoft JhengHei" w:hint="default"/>
          <w:sz w:val="21"/>
          <w:szCs w:val="21"/>
        </w:rPr>
      </w:r>
    </w:p>
    <w:p>
      <w:pPr>
        <w:pStyle w:val="BodyText"/>
        <w:spacing w:line="408" w:lineRule="auto" w:before="21"/>
        <w:ind w:left="154" w:right="1131" w:firstLine="420"/>
        <w:jc w:val="both"/>
      </w:pPr>
      <w:r>
        <w:rPr>
          <w:spacing w:val="-1"/>
        </w:rPr>
        <w:t>本公司在运用会计政策过程中，由于经营活动内在的不确定性，本公司需要对无法准确计量的报表项</w:t>
      </w:r>
      <w:r>
        <w:rPr/>
        <w:t> </w:t>
      </w:r>
      <w:r>
        <w:rPr>
          <w:spacing w:val="-1"/>
        </w:rPr>
        <w:t>目的账面价值进行判断、估计和假设。这些判断、估计和假设是基于本公司管理层过去的历史经验，并在</w:t>
      </w:r>
      <w:r>
        <w:rPr>
          <w:spacing w:val="-86"/>
        </w:rPr>
        <w:t> </w:t>
      </w:r>
      <w:r>
        <w:rPr>
          <w:spacing w:val="-86"/>
        </w:rPr>
      </w:r>
      <w:r>
        <w:rPr>
          <w:spacing w:val="-1"/>
        </w:rPr>
        <w:t>考虑其他相关因素的基础上做出的。这些判断、估计和假设会影响收入、费用、资产和负债的报告金额以</w:t>
      </w:r>
      <w:r>
        <w:rPr>
          <w:spacing w:val="-85"/>
        </w:rPr>
        <w:t> </w:t>
      </w:r>
      <w:r>
        <w:rPr>
          <w:spacing w:val="-85"/>
        </w:rPr>
      </w:r>
      <w:r>
        <w:rPr>
          <w:spacing w:val="-1"/>
        </w:rPr>
        <w:t>及资产负债表日或有负债的披露。然而，这些估计的不确定性所导致的实际结果可能与本公司管理层当前</w:t>
      </w:r>
      <w:r>
        <w:rPr>
          <w:spacing w:val="-81"/>
        </w:rPr>
        <w:t> </w:t>
      </w:r>
      <w:r>
        <w:rPr>
          <w:spacing w:val="-81"/>
        </w:rPr>
      </w:r>
      <w:r>
        <w:rPr/>
        <w:t>的估计存在差异，进而造成对未来受影响的资产或负债的账面金额进行重大调整。</w:t>
      </w:r>
    </w:p>
    <w:p>
      <w:pPr>
        <w:spacing w:line="240" w:lineRule="auto" w:before="6"/>
        <w:rPr>
          <w:rFonts w:ascii="宋体" w:hAnsi="宋体" w:cs="宋体" w:eastAsia="宋体" w:hint="default"/>
          <w:sz w:val="15"/>
          <w:szCs w:val="15"/>
        </w:rPr>
      </w:pPr>
    </w:p>
    <w:p>
      <w:pPr>
        <w:pStyle w:val="BodyText"/>
        <w:spacing w:line="408" w:lineRule="auto"/>
        <w:ind w:right="1131" w:firstLine="420"/>
        <w:jc w:val="both"/>
      </w:pPr>
      <w:r>
        <w:rPr>
          <w:spacing w:val="-1"/>
        </w:rPr>
        <w:t>本公司对前述判断、估计和假设在持续经营的基础上进行定期复核，会计估计的变更仅影响变更当期</w:t>
      </w:r>
      <w:r>
        <w:rPr/>
        <w:t> </w:t>
      </w:r>
      <w:r>
        <w:rPr>
          <w:spacing w:val="-1"/>
        </w:rPr>
        <w:t>的，其影响数在变更当期予以确认；既影响变更当期又影响未来期间的，其影响数在变更当期和未来期间</w:t>
      </w:r>
      <w:r>
        <w:rPr>
          <w:spacing w:val="-83"/>
        </w:rPr>
        <w:t> </w:t>
      </w:r>
      <w:r>
        <w:rPr>
          <w:spacing w:val="-83"/>
        </w:rPr>
      </w:r>
      <w:r>
        <w:rPr/>
        <w:t>予以确认。</w:t>
      </w:r>
    </w:p>
    <w:p>
      <w:pPr>
        <w:spacing w:line="240" w:lineRule="auto" w:before="6"/>
        <w:rPr>
          <w:rFonts w:ascii="宋体" w:hAnsi="宋体" w:cs="宋体" w:eastAsia="宋体" w:hint="default"/>
          <w:sz w:val="15"/>
          <w:szCs w:val="15"/>
        </w:rPr>
      </w:pPr>
    </w:p>
    <w:p>
      <w:pPr>
        <w:pStyle w:val="BodyText"/>
        <w:spacing w:line="240" w:lineRule="auto"/>
        <w:ind w:left="574" w:right="0"/>
        <w:jc w:val="left"/>
      </w:pPr>
      <w:r>
        <w:rPr/>
        <w:t>于资产负债表日，本公司需对财务报表项目金额进行判断、估计和假设的重要领域如下：</w:t>
      </w:r>
    </w:p>
    <w:p>
      <w:pPr>
        <w:spacing w:line="240" w:lineRule="auto" w:before="9"/>
        <w:rPr>
          <w:rFonts w:ascii="宋体" w:hAnsi="宋体" w:cs="宋体" w:eastAsia="宋体" w:hint="default"/>
          <w:sz w:val="26"/>
          <w:szCs w:val="26"/>
        </w:rPr>
      </w:pPr>
    </w:p>
    <w:p>
      <w:pPr>
        <w:pStyle w:val="BodyText"/>
        <w:spacing w:line="516" w:lineRule="auto"/>
        <w:ind w:left="573" w:right="0"/>
        <w:jc w:val="left"/>
      </w:pPr>
      <w:r>
        <w:rPr/>
        <w:t>（</w:t>
      </w:r>
      <w:r>
        <w:rPr>
          <w:rFonts w:ascii="Arial" w:hAnsi="Arial" w:cs="Arial" w:eastAsia="Arial" w:hint="default"/>
        </w:rPr>
        <w:t>1</w:t>
      </w:r>
      <w:r>
        <w:rPr/>
        <w:t>）坏账准备计提 </w:t>
      </w:r>
      <w:r>
        <w:rPr>
          <w:spacing w:val="-1"/>
        </w:rPr>
        <w:t>本公司根据应收款项的会计政策，采用备抵法核算坏账损失。应收账款减值是基于评估应收账款的可</w:t>
      </w:r>
    </w:p>
    <w:p>
      <w:pPr>
        <w:pStyle w:val="BodyText"/>
        <w:spacing w:line="226" w:lineRule="exact"/>
        <w:ind w:right="0"/>
        <w:jc w:val="left"/>
      </w:pPr>
      <w:r>
        <w:rPr/>
        <w:t>收回性。鉴定应收账款减值要求管理层的判断和估计。实际的结果与原先估计的差异将在估计被改变的期</w:t>
      </w:r>
    </w:p>
    <w:p>
      <w:pPr>
        <w:spacing w:line="240" w:lineRule="auto" w:before="10"/>
        <w:rPr>
          <w:rFonts w:ascii="宋体" w:hAnsi="宋体" w:cs="宋体" w:eastAsia="宋体" w:hint="default"/>
          <w:sz w:val="14"/>
          <w:szCs w:val="14"/>
        </w:rPr>
      </w:pPr>
    </w:p>
    <w:p>
      <w:pPr>
        <w:pStyle w:val="BodyText"/>
        <w:spacing w:line="240" w:lineRule="auto"/>
        <w:ind w:right="0"/>
        <w:jc w:val="left"/>
      </w:pPr>
      <w:r>
        <w:rPr/>
        <w:t>间影响应收账款的账面价值及应收账款坏账准备的计提或转回。</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516" w:lineRule="auto" w:before="18"/>
        <w:ind w:left="573" w:right="0"/>
        <w:jc w:val="left"/>
      </w:pPr>
      <w:r>
        <w:rPr/>
        <w:t>（</w:t>
      </w:r>
      <w:r>
        <w:rPr>
          <w:rFonts w:ascii="Arial" w:hAnsi="Arial" w:cs="Arial" w:eastAsia="Arial" w:hint="default"/>
        </w:rPr>
        <w:t>2</w:t>
      </w:r>
      <w:r>
        <w:rPr/>
        <w:t>）存货跌价准备 </w:t>
      </w:r>
      <w:r>
        <w:rPr>
          <w:spacing w:val="-1"/>
        </w:rPr>
        <w:t>本公司根据存货会计政策，按照成本与可变现净值孰低计量，对成本高于可变现净值及陈旧和滞销的</w:t>
      </w:r>
    </w:p>
    <w:p>
      <w:pPr>
        <w:pStyle w:val="BodyText"/>
        <w:spacing w:line="227" w:lineRule="exact"/>
        <w:ind w:right="0"/>
        <w:jc w:val="both"/>
      </w:pPr>
      <w:r>
        <w:rPr/>
        <w:t>存货，计提存货跌价准备。存货减值至可变现净值是基于评估存货的可售性及其可变现净值。鉴定存货减</w:t>
      </w:r>
    </w:p>
    <w:p>
      <w:pPr>
        <w:spacing w:line="240" w:lineRule="auto" w:before="10"/>
        <w:rPr>
          <w:rFonts w:ascii="宋体" w:hAnsi="宋体" w:cs="宋体" w:eastAsia="宋体" w:hint="default"/>
          <w:sz w:val="14"/>
          <w:szCs w:val="14"/>
        </w:rPr>
      </w:pPr>
    </w:p>
    <w:p>
      <w:pPr>
        <w:pStyle w:val="BodyText"/>
        <w:spacing w:line="408" w:lineRule="auto"/>
        <w:ind w:right="1131"/>
        <w:jc w:val="both"/>
      </w:pPr>
      <w:r>
        <w:rPr>
          <w:spacing w:val="-1"/>
        </w:rPr>
        <w:t>值要求管理层在取得确凿证据，并且考虑持有存货的目的、资产负债表日后事项的影响等因素的基础上作</w:t>
      </w:r>
      <w:r>
        <w:rPr>
          <w:spacing w:val="-81"/>
        </w:rPr>
        <w:t> </w:t>
      </w:r>
      <w:r>
        <w:rPr>
          <w:spacing w:val="-81"/>
        </w:rPr>
      </w:r>
      <w:r>
        <w:rPr>
          <w:spacing w:val="-1"/>
        </w:rPr>
        <w:t>出判断和估计。实际的结果与原先估计的差异将在估计被改变的期间影响存货的账面价值及存货跌价准备</w:t>
      </w:r>
      <w:r>
        <w:rPr>
          <w:spacing w:val="-81"/>
        </w:rPr>
        <w:t> </w:t>
      </w:r>
      <w:r>
        <w:rPr>
          <w:spacing w:val="-81"/>
        </w:rPr>
      </w:r>
      <w:r>
        <w:rPr/>
        <w:t>的计提或转回。</w:t>
      </w:r>
    </w:p>
    <w:p>
      <w:pPr>
        <w:spacing w:line="240" w:lineRule="auto" w:before="6"/>
        <w:rPr>
          <w:rFonts w:ascii="宋体" w:hAnsi="宋体" w:cs="宋体" w:eastAsia="宋体" w:hint="default"/>
          <w:sz w:val="15"/>
          <w:szCs w:val="15"/>
        </w:rPr>
      </w:pPr>
    </w:p>
    <w:p>
      <w:pPr>
        <w:pStyle w:val="BodyText"/>
        <w:spacing w:line="516" w:lineRule="auto"/>
        <w:ind w:left="573" w:right="0"/>
        <w:jc w:val="left"/>
      </w:pPr>
      <w:r>
        <w:rPr/>
        <w:t>（</w:t>
      </w:r>
      <w:r>
        <w:rPr>
          <w:rFonts w:ascii="Arial" w:hAnsi="Arial" w:cs="Arial" w:eastAsia="Arial" w:hint="default"/>
        </w:rPr>
        <w:t>3</w:t>
      </w:r>
      <w:r>
        <w:rPr/>
        <w:t>）可供出售金融资产减值 </w:t>
      </w:r>
      <w:r>
        <w:rPr>
          <w:spacing w:val="-1"/>
        </w:rPr>
        <w:t>本公司确定可供出售金融资产是否减值在很大程度上依赖于管理层的判断和假设，以确定是否需要在</w:t>
      </w:r>
    </w:p>
    <w:p>
      <w:pPr>
        <w:pStyle w:val="BodyText"/>
        <w:spacing w:line="227" w:lineRule="exact"/>
        <w:ind w:right="0"/>
        <w:jc w:val="both"/>
      </w:pPr>
      <w:r>
        <w:rPr/>
        <w:t>利润表中确认其减值损失。在进行判断和作出假设的过程中，本公司需评估该项投资的公允价值低于成本</w:t>
      </w:r>
    </w:p>
    <w:p>
      <w:pPr>
        <w:spacing w:line="240" w:lineRule="auto" w:before="10"/>
        <w:rPr>
          <w:rFonts w:ascii="宋体" w:hAnsi="宋体" w:cs="宋体" w:eastAsia="宋体" w:hint="default"/>
          <w:sz w:val="14"/>
          <w:szCs w:val="14"/>
        </w:rPr>
      </w:pPr>
    </w:p>
    <w:p>
      <w:pPr>
        <w:pStyle w:val="BodyText"/>
        <w:spacing w:line="408" w:lineRule="auto"/>
        <w:ind w:right="1035"/>
        <w:jc w:val="both"/>
      </w:pPr>
      <w:r>
        <w:rPr/>
        <w:t>的程度和持续期间，以及被投资对象的财务状况和短期业务展望，包括行业状况、技术变革、信用评级、</w:t>
      </w:r>
      <w:r>
        <w:rPr>
          <w:spacing w:val="-35"/>
        </w:rPr>
        <w:t> </w:t>
      </w:r>
      <w:r>
        <w:rPr>
          <w:spacing w:val="-35"/>
        </w:rPr>
      </w:r>
      <w:r>
        <w:rPr/>
        <w:t>违约率和对手方的风险。</w:t>
      </w:r>
    </w:p>
    <w:p>
      <w:pPr>
        <w:spacing w:line="240" w:lineRule="auto" w:before="6"/>
        <w:rPr>
          <w:rFonts w:ascii="宋体" w:hAnsi="宋体" w:cs="宋体" w:eastAsia="宋体" w:hint="default"/>
          <w:sz w:val="15"/>
          <w:szCs w:val="15"/>
        </w:rPr>
      </w:pPr>
    </w:p>
    <w:p>
      <w:pPr>
        <w:pStyle w:val="BodyText"/>
        <w:spacing w:line="516" w:lineRule="auto"/>
        <w:ind w:left="573" w:right="0"/>
        <w:jc w:val="left"/>
      </w:pPr>
      <w:r>
        <w:rPr/>
        <w:t>（</w:t>
      </w:r>
      <w:r>
        <w:rPr>
          <w:rFonts w:ascii="Arial" w:hAnsi="Arial" w:cs="Arial" w:eastAsia="Arial" w:hint="default"/>
        </w:rPr>
        <w:t>4</w:t>
      </w:r>
      <w:r>
        <w:rPr/>
        <w:t>）非金融非流动资产减值准备 </w:t>
      </w:r>
      <w:r>
        <w:rPr>
          <w:spacing w:val="-1"/>
        </w:rPr>
        <w:t>本公司于资产负债表日对除金融资产之外的非流动资产判断是否存在可能发生减值的迹象。对使用寿</w:t>
      </w:r>
    </w:p>
    <w:p>
      <w:pPr>
        <w:pStyle w:val="BodyText"/>
        <w:spacing w:line="227" w:lineRule="exact"/>
        <w:ind w:right="0"/>
        <w:jc w:val="both"/>
      </w:pPr>
      <w:r>
        <w:rPr/>
        <w:t>命不确定的无形资产，除每年进行的减值测试外，当其存在减值迹象时，也进行减值测试。其他除金融资</w:t>
      </w:r>
    </w:p>
    <w:p>
      <w:pPr>
        <w:spacing w:line="240" w:lineRule="auto" w:before="10"/>
        <w:rPr>
          <w:rFonts w:ascii="宋体" w:hAnsi="宋体" w:cs="宋体" w:eastAsia="宋体" w:hint="default"/>
          <w:sz w:val="14"/>
          <w:szCs w:val="14"/>
        </w:rPr>
      </w:pPr>
    </w:p>
    <w:p>
      <w:pPr>
        <w:pStyle w:val="BodyText"/>
        <w:spacing w:line="240" w:lineRule="auto"/>
        <w:ind w:right="0"/>
        <w:jc w:val="both"/>
      </w:pPr>
      <w:r>
        <w:rPr/>
        <w:t>产之外的非流动资产，当存在迹象表明其账面金额不可收回时，进行减值测试。</w:t>
      </w:r>
    </w:p>
    <w:p>
      <w:pPr>
        <w:spacing w:line="240" w:lineRule="auto" w:before="9"/>
        <w:rPr>
          <w:rFonts w:ascii="宋体" w:hAnsi="宋体" w:cs="宋体" w:eastAsia="宋体" w:hint="default"/>
          <w:sz w:val="26"/>
          <w:szCs w:val="26"/>
        </w:rPr>
      </w:pPr>
    </w:p>
    <w:p>
      <w:pPr>
        <w:pStyle w:val="BodyText"/>
        <w:spacing w:line="408" w:lineRule="auto"/>
        <w:ind w:right="1132" w:firstLine="420"/>
        <w:jc w:val="both"/>
      </w:pPr>
      <w:r>
        <w:rPr>
          <w:spacing w:val="-1"/>
        </w:rPr>
        <w:t>当资产或资产组的账面价值高于可收回金额，即公允价值减去处置费用后的净额和预计未来现金流量</w:t>
      </w:r>
      <w:r>
        <w:rPr/>
        <w:t> 的现值中的较高者，表明发生了减值。</w:t>
      </w:r>
    </w:p>
    <w:p>
      <w:pPr>
        <w:spacing w:line="240" w:lineRule="auto" w:before="6"/>
        <w:rPr>
          <w:rFonts w:ascii="宋体" w:hAnsi="宋体" w:cs="宋体" w:eastAsia="宋体" w:hint="default"/>
          <w:sz w:val="15"/>
          <w:szCs w:val="15"/>
        </w:rPr>
      </w:pPr>
    </w:p>
    <w:p>
      <w:pPr>
        <w:pStyle w:val="BodyText"/>
        <w:spacing w:line="408" w:lineRule="auto"/>
        <w:ind w:right="1037" w:firstLine="420"/>
        <w:jc w:val="both"/>
      </w:pPr>
      <w:r>
        <w:rPr/>
        <w:t>公允价值减去处置费用后的净额，参考公平交易中类似资产的销售协议价格或可观察到的市场价格， 减去可直接归属于该资产处置的增量成本确定。</w:t>
      </w:r>
    </w:p>
    <w:p>
      <w:pPr>
        <w:spacing w:line="240" w:lineRule="auto" w:before="6"/>
        <w:rPr>
          <w:rFonts w:ascii="宋体" w:hAnsi="宋体" w:cs="宋体" w:eastAsia="宋体" w:hint="default"/>
          <w:sz w:val="15"/>
          <w:szCs w:val="15"/>
        </w:rPr>
      </w:pPr>
    </w:p>
    <w:p>
      <w:pPr>
        <w:pStyle w:val="BodyText"/>
        <w:spacing w:line="408" w:lineRule="auto"/>
        <w:ind w:left="154" w:right="1131" w:firstLine="420"/>
        <w:jc w:val="both"/>
      </w:pPr>
      <w:r>
        <w:rPr>
          <w:spacing w:val="-1"/>
        </w:rPr>
        <w:t>在预计未来现金流量现值时，需要对该资产（或资产组）的产量、售价、相关经营成本以及计算现值</w:t>
      </w:r>
      <w:r>
        <w:rPr/>
        <w:t> </w:t>
      </w:r>
      <w:r>
        <w:rPr>
          <w:spacing w:val="-1"/>
        </w:rPr>
        <w:t>时使用的折现率等作出重大判断。本公司在估计可收回金额时会采用所有能够获得的相关资料，包括根据</w:t>
      </w:r>
      <w:r>
        <w:rPr>
          <w:spacing w:val="-81"/>
        </w:rPr>
        <w:t> </w:t>
      </w:r>
      <w:r>
        <w:rPr>
          <w:spacing w:val="-81"/>
        </w:rPr>
      </w:r>
      <w:r>
        <w:rPr/>
        <w:t>合理和可支持的假设所作出有关产量、售价和相关经营成本的预测。</w:t>
      </w:r>
    </w:p>
    <w:p>
      <w:pPr>
        <w:spacing w:line="240" w:lineRule="auto" w:before="6"/>
        <w:rPr>
          <w:rFonts w:ascii="宋体" w:hAnsi="宋体" w:cs="宋体" w:eastAsia="宋体" w:hint="default"/>
          <w:sz w:val="15"/>
          <w:szCs w:val="15"/>
        </w:rPr>
      </w:pPr>
    </w:p>
    <w:p>
      <w:pPr>
        <w:pStyle w:val="BodyText"/>
        <w:spacing w:line="408" w:lineRule="auto"/>
        <w:ind w:right="1131" w:firstLine="420"/>
        <w:jc w:val="both"/>
      </w:pPr>
      <w:r>
        <w:rPr>
          <w:spacing w:val="-1"/>
        </w:rPr>
        <w:t>本公司至少每年测试商誉是否发生减值。这要求对分配了商誉的资产组或者资产组组合的未来现金流</w:t>
      </w:r>
      <w:r>
        <w:rPr/>
        <w:t> </w:t>
      </w:r>
      <w:r>
        <w:rPr>
          <w:spacing w:val="-1"/>
        </w:rPr>
        <w:t>量的现值进行预计。对未来现金流量的现值进行预计时，本公司需要预计未来资产组或者资产组组合产生</w:t>
      </w:r>
      <w:r>
        <w:rPr>
          <w:spacing w:val="-81"/>
        </w:rPr>
        <w:t> </w:t>
      </w:r>
      <w:r>
        <w:rPr>
          <w:spacing w:val="-81"/>
        </w:rPr>
      </w:r>
      <w:r>
        <w:rPr/>
        <w:t>的现金流量，同时选择恰当的折现率确定未来现金流量的现值。</w:t>
      </w:r>
    </w:p>
    <w:p>
      <w:pPr>
        <w:spacing w:line="240" w:lineRule="auto" w:before="6"/>
        <w:rPr>
          <w:rFonts w:ascii="宋体" w:hAnsi="宋体" w:cs="宋体" w:eastAsia="宋体" w:hint="default"/>
          <w:sz w:val="15"/>
          <w:szCs w:val="15"/>
        </w:rPr>
      </w:pPr>
    </w:p>
    <w:p>
      <w:pPr>
        <w:pStyle w:val="BodyText"/>
        <w:spacing w:line="240" w:lineRule="auto"/>
        <w:ind w:left="573" w:right="0"/>
        <w:jc w:val="left"/>
      </w:pPr>
      <w:r>
        <w:rPr/>
        <w:t>（</w:t>
      </w:r>
      <w:r>
        <w:rPr>
          <w:rFonts w:ascii="Arial" w:hAnsi="Arial" w:cs="Arial" w:eastAsia="Arial" w:hint="default"/>
        </w:rPr>
        <w:t>5</w:t>
      </w:r>
      <w:r>
        <w:rPr/>
        <w:t>）折旧和摊销</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408" w:lineRule="auto" w:before="18"/>
        <w:ind w:left="213" w:right="1131" w:firstLine="420"/>
        <w:jc w:val="both"/>
      </w:pPr>
      <w:r>
        <w:rPr>
          <w:spacing w:val="-1"/>
        </w:rPr>
        <w:t>本公司对投资性房地产、固定资产和无形资产在考虑其残值后，在使用寿命内按直线法计提折旧和摊</w:t>
      </w:r>
      <w:r>
        <w:rPr/>
        <w:t> </w:t>
      </w:r>
      <w:r>
        <w:rPr>
          <w:spacing w:val="-1"/>
        </w:rPr>
        <w:t>销。本公司定期复核使用寿命，以决定将计入每个报告期的折旧和摊销费用数额。使用寿命是本公司根据</w:t>
      </w:r>
      <w:r>
        <w:rPr>
          <w:spacing w:val="-83"/>
        </w:rPr>
        <w:t> </w:t>
      </w:r>
      <w:r>
        <w:rPr>
          <w:spacing w:val="-83"/>
        </w:rPr>
      </w:r>
      <w:r>
        <w:rPr>
          <w:spacing w:val="-1"/>
        </w:rPr>
        <w:t>对同类资产的以往经验并结合预期的技术更新而确定的。如果以前的估计发生重大变化，则会在未来期间</w:t>
      </w:r>
      <w:r>
        <w:rPr>
          <w:spacing w:val="-81"/>
        </w:rPr>
        <w:t> </w:t>
      </w:r>
      <w:r>
        <w:rPr>
          <w:spacing w:val="-81"/>
        </w:rPr>
      </w:r>
      <w:r>
        <w:rPr/>
        <w:t>对折旧和摊销费用进行调整。</w:t>
      </w:r>
    </w:p>
    <w:p>
      <w:pPr>
        <w:spacing w:line="240" w:lineRule="auto" w:before="6"/>
        <w:rPr>
          <w:rFonts w:ascii="宋体" w:hAnsi="宋体" w:cs="宋体" w:eastAsia="宋体" w:hint="default"/>
          <w:sz w:val="15"/>
          <w:szCs w:val="15"/>
        </w:rPr>
      </w:pPr>
    </w:p>
    <w:p>
      <w:pPr>
        <w:pStyle w:val="BodyText"/>
        <w:spacing w:line="516" w:lineRule="auto"/>
        <w:ind w:left="633" w:right="419"/>
        <w:jc w:val="left"/>
      </w:pPr>
      <w:r>
        <w:rPr/>
        <w:t>（</w:t>
      </w:r>
      <w:r>
        <w:rPr>
          <w:rFonts w:ascii="Arial" w:hAnsi="Arial" w:cs="Arial" w:eastAsia="Arial" w:hint="default"/>
        </w:rPr>
        <w:t>6</w:t>
      </w:r>
      <w:r>
        <w:rPr/>
        <w:t>）递延所得税资产 </w:t>
      </w:r>
      <w:r>
        <w:rPr>
          <w:spacing w:val="-1"/>
        </w:rPr>
        <w:t>在很有可能有足够的应纳税利润来抵扣亏损的限度内，本公司就所有未利用的税务亏损确认递延所得</w:t>
      </w:r>
    </w:p>
    <w:p>
      <w:pPr>
        <w:pStyle w:val="BodyText"/>
        <w:spacing w:line="227" w:lineRule="exact"/>
        <w:ind w:left="213" w:right="419"/>
        <w:jc w:val="left"/>
      </w:pPr>
      <w:r>
        <w:rPr/>
        <w:t>税资产。这需要本公司管理层运用大量的判断来估计未来应纳税利润发生的时间和金额，结合纳税筹划策</w:t>
      </w:r>
    </w:p>
    <w:p>
      <w:pPr>
        <w:spacing w:line="240" w:lineRule="auto" w:before="10"/>
        <w:rPr>
          <w:rFonts w:ascii="宋体" w:hAnsi="宋体" w:cs="宋体" w:eastAsia="宋体" w:hint="default"/>
          <w:sz w:val="14"/>
          <w:szCs w:val="14"/>
        </w:rPr>
      </w:pPr>
    </w:p>
    <w:p>
      <w:pPr>
        <w:pStyle w:val="BodyText"/>
        <w:spacing w:line="240" w:lineRule="auto"/>
        <w:ind w:left="213" w:right="1513"/>
        <w:jc w:val="left"/>
      </w:pPr>
      <w:r>
        <w:rPr/>
        <w:t>略，以决定应确认的递延所得税资产的金额。</w:t>
      </w:r>
    </w:p>
    <w:p>
      <w:pPr>
        <w:spacing w:line="240" w:lineRule="auto" w:before="9"/>
        <w:rPr>
          <w:rFonts w:ascii="宋体" w:hAnsi="宋体" w:cs="宋体" w:eastAsia="宋体" w:hint="default"/>
          <w:sz w:val="26"/>
          <w:szCs w:val="26"/>
        </w:rPr>
      </w:pPr>
    </w:p>
    <w:p>
      <w:pPr>
        <w:pStyle w:val="BodyText"/>
        <w:spacing w:line="516" w:lineRule="auto"/>
        <w:ind w:left="633" w:right="419"/>
        <w:jc w:val="left"/>
      </w:pPr>
      <w:r>
        <w:rPr/>
        <w:t>（</w:t>
      </w:r>
      <w:r>
        <w:rPr>
          <w:rFonts w:ascii="Arial" w:hAnsi="Arial" w:cs="Arial" w:eastAsia="Arial" w:hint="default"/>
        </w:rPr>
        <w:t>7</w:t>
      </w:r>
      <w:r>
        <w:rPr/>
        <w:t>）所得税 </w:t>
      </w:r>
      <w:r>
        <w:rPr>
          <w:spacing w:val="-1"/>
        </w:rPr>
        <w:t>本公司在正常的经营活动中，有部分交易其最终的税务处理和计算存在一定的不确定性。部分项目是</w:t>
      </w:r>
    </w:p>
    <w:p>
      <w:pPr>
        <w:pStyle w:val="BodyText"/>
        <w:spacing w:line="226" w:lineRule="exact"/>
        <w:ind w:left="213" w:right="419"/>
        <w:jc w:val="left"/>
      </w:pPr>
      <w:r>
        <w:rPr/>
        <w:t>否能够在税前列支需要税收主管机关的审批。如果这些税务事项的最终认定结果同最初估计的金额存在差</w:t>
      </w:r>
    </w:p>
    <w:p>
      <w:pPr>
        <w:spacing w:line="240" w:lineRule="auto" w:before="10"/>
        <w:rPr>
          <w:rFonts w:ascii="宋体" w:hAnsi="宋体" w:cs="宋体" w:eastAsia="宋体" w:hint="default"/>
          <w:sz w:val="14"/>
          <w:szCs w:val="14"/>
        </w:rPr>
      </w:pPr>
    </w:p>
    <w:p>
      <w:pPr>
        <w:pStyle w:val="BodyText"/>
        <w:spacing w:line="240" w:lineRule="auto"/>
        <w:ind w:left="213" w:right="1513"/>
        <w:jc w:val="left"/>
      </w:pPr>
      <w:r>
        <w:rPr/>
        <w:t>异，则该差异将对其最终认定期间的当期所得税和递延所得税产生影响。</w:t>
      </w:r>
    </w:p>
    <w:p>
      <w:pPr>
        <w:spacing w:line="240" w:lineRule="auto" w:before="9"/>
        <w:rPr>
          <w:rFonts w:ascii="宋体" w:hAnsi="宋体" w:cs="宋体" w:eastAsia="宋体" w:hint="default"/>
          <w:sz w:val="26"/>
          <w:szCs w:val="26"/>
        </w:rPr>
      </w:pPr>
    </w:p>
    <w:p>
      <w:pPr>
        <w:pStyle w:val="BodyText"/>
        <w:spacing w:line="516" w:lineRule="auto"/>
        <w:ind w:left="633" w:right="419"/>
        <w:jc w:val="left"/>
      </w:pPr>
      <w:r>
        <w:rPr/>
        <w:t>（</w:t>
      </w:r>
      <w:r>
        <w:rPr>
          <w:rFonts w:ascii="Arial" w:hAnsi="Arial" w:cs="Arial" w:eastAsia="Arial" w:hint="default"/>
        </w:rPr>
        <w:t>8</w:t>
      </w:r>
      <w:r>
        <w:rPr/>
        <w:t>）股份支付 </w:t>
      </w:r>
      <w:r>
        <w:rPr>
          <w:spacing w:val="-1"/>
        </w:rPr>
        <w:t>本公司于资产负债表日根据最新取得的后续信息作出最佳估计，修正预计可行权的权益工具数量。这</w:t>
      </w:r>
    </w:p>
    <w:p>
      <w:pPr>
        <w:pStyle w:val="BodyText"/>
        <w:spacing w:line="227" w:lineRule="exact"/>
        <w:ind w:left="213" w:right="419"/>
        <w:jc w:val="left"/>
      </w:pPr>
      <w:r>
        <w:rPr/>
        <w:t>需要本公司管理层运用大量的判断来估计服务条件或者非市场的业绩条件满足的可能性，以决定应确认的</w:t>
      </w:r>
    </w:p>
    <w:p>
      <w:pPr>
        <w:spacing w:line="240" w:lineRule="auto" w:before="10"/>
        <w:rPr>
          <w:rFonts w:ascii="宋体" w:hAnsi="宋体" w:cs="宋体" w:eastAsia="宋体" w:hint="default"/>
          <w:sz w:val="14"/>
          <w:szCs w:val="14"/>
        </w:rPr>
      </w:pPr>
    </w:p>
    <w:p>
      <w:pPr>
        <w:pStyle w:val="BodyText"/>
        <w:spacing w:line="240" w:lineRule="auto"/>
        <w:ind w:left="213" w:right="1513"/>
        <w:jc w:val="left"/>
      </w:pPr>
      <w:r>
        <w:rPr/>
        <w:t>股份支付的金额。</w:t>
      </w:r>
    </w:p>
    <w:p>
      <w:pPr>
        <w:spacing w:line="240" w:lineRule="auto" w:before="9"/>
        <w:rPr>
          <w:rFonts w:ascii="宋体" w:hAnsi="宋体" w:cs="宋体" w:eastAsia="宋体" w:hint="default"/>
          <w:sz w:val="26"/>
          <w:szCs w:val="26"/>
        </w:rPr>
      </w:pPr>
    </w:p>
    <w:p>
      <w:pPr>
        <w:pStyle w:val="BodyText"/>
        <w:spacing w:line="516" w:lineRule="auto"/>
        <w:ind w:left="633" w:right="419"/>
        <w:jc w:val="left"/>
      </w:pPr>
      <w:r>
        <w:rPr/>
        <w:t>（</w:t>
      </w:r>
      <w:r>
        <w:rPr>
          <w:rFonts w:ascii="Arial" w:hAnsi="Arial" w:cs="Arial" w:eastAsia="Arial" w:hint="default"/>
        </w:rPr>
        <w:t>9</w:t>
      </w:r>
      <w:r>
        <w:rPr/>
        <w:t>）公允价值计量 </w:t>
      </w:r>
      <w:r>
        <w:rPr>
          <w:spacing w:val="-1"/>
        </w:rPr>
        <w:t>本公司的某些资产和负债在财务报表中按公允价值计量。在对某项资产或负债的公允价值作出估计时，</w:t>
      </w:r>
    </w:p>
    <w:p>
      <w:pPr>
        <w:pStyle w:val="BodyText"/>
        <w:spacing w:line="226" w:lineRule="exact"/>
        <w:ind w:left="213" w:right="419"/>
        <w:jc w:val="left"/>
      </w:pPr>
      <w:r>
        <w:rPr/>
        <w:t>本公司采用可获得的可观察市场数据。如果无法获得第一层次输入值，本公司会聘用第三方有资质的评估</w:t>
      </w:r>
    </w:p>
    <w:p>
      <w:pPr>
        <w:spacing w:line="240" w:lineRule="auto" w:before="10"/>
        <w:rPr>
          <w:rFonts w:ascii="宋体" w:hAnsi="宋体" w:cs="宋体" w:eastAsia="宋体" w:hint="default"/>
          <w:sz w:val="14"/>
          <w:szCs w:val="14"/>
        </w:rPr>
      </w:pPr>
    </w:p>
    <w:p>
      <w:pPr>
        <w:pStyle w:val="BodyText"/>
        <w:spacing w:line="240" w:lineRule="auto"/>
        <w:ind w:left="213" w:right="419"/>
        <w:jc w:val="left"/>
      </w:pPr>
      <w:r>
        <w:rPr/>
        <w:t>师来执行估价。公司与有资质的外部估价师紧密合作，以确定适当的估值技术和相关模型的输入值。</w:t>
      </w:r>
    </w:p>
    <w:p>
      <w:pPr>
        <w:spacing w:line="240" w:lineRule="auto" w:before="6"/>
        <w:rPr>
          <w:rFonts w:ascii="宋体" w:hAnsi="宋体" w:cs="宋体" w:eastAsia="宋体" w:hint="default"/>
          <w:sz w:val="19"/>
          <w:szCs w:val="19"/>
        </w:rPr>
      </w:pPr>
    </w:p>
    <w:p>
      <w:pPr>
        <w:pStyle w:val="Heading2"/>
        <w:spacing w:line="240" w:lineRule="auto"/>
        <w:ind w:left="213" w:right="1513"/>
        <w:jc w:val="left"/>
        <w:rPr>
          <w:rFonts w:ascii="宋体" w:hAnsi="宋体" w:cs="宋体" w:eastAsia="宋体" w:hint="default"/>
          <w:b w:val="0"/>
          <w:bCs w:val="0"/>
        </w:rPr>
      </w:pPr>
      <w:bookmarkStart w:name="六、税项" w:id="276"/>
      <w:bookmarkEnd w:id="276"/>
      <w:r>
        <w:rPr>
          <w:b w:val="0"/>
          <w:bCs w:val="0"/>
        </w:rPr>
      </w:r>
      <w:bookmarkStart w:name="_bookmark79" w:id="277"/>
      <w:bookmarkEnd w:id="277"/>
      <w:r>
        <w:rPr>
          <w:b w:val="0"/>
          <w:bCs w:val="0"/>
        </w:rPr>
      </w:r>
      <w:r>
        <w:rPr>
          <w:rFonts w:ascii="宋体" w:hAnsi="宋体" w:cs="宋体" w:eastAsia="宋体" w:hint="default"/>
        </w:rPr>
        <w:t>六、税项</w:t>
      </w:r>
      <w:r>
        <w:rPr>
          <w:rFonts w:ascii="宋体" w:hAnsi="宋体" w:cs="宋体" w:eastAsia="宋体" w:hint="default"/>
          <w:b w:val="0"/>
          <w:bCs w:val="0"/>
        </w:rPr>
      </w:r>
    </w:p>
    <w:p>
      <w:pPr>
        <w:spacing w:line="240" w:lineRule="auto" w:before="3"/>
        <w:rPr>
          <w:rFonts w:ascii="宋体" w:hAnsi="宋体" w:cs="宋体" w:eastAsia="宋体" w:hint="default"/>
          <w:b/>
          <w:bCs/>
          <w:sz w:val="24"/>
          <w:szCs w:val="24"/>
        </w:rPr>
      </w:pPr>
    </w:p>
    <w:p>
      <w:pPr>
        <w:pStyle w:val="Heading5"/>
        <w:spacing w:line="240" w:lineRule="auto" w:before="0"/>
        <w:ind w:right="1513"/>
        <w:jc w:val="left"/>
        <w:rPr>
          <w:b w:val="0"/>
          <w:bCs w:val="0"/>
        </w:rPr>
      </w:pPr>
      <w:bookmarkStart w:name="1、主要税种及税率" w:id="278"/>
      <w:bookmarkEnd w:id="278"/>
      <w:r>
        <w:rPr>
          <w:b w:val="0"/>
          <w:bCs w:val="0"/>
        </w:rPr>
      </w:r>
      <w:r>
        <w:rPr>
          <w:rFonts w:ascii="Trebuchet MS" w:hAnsi="Trebuchet MS" w:cs="Trebuchet MS" w:eastAsia="Trebuchet MS" w:hint="default"/>
        </w:rPr>
        <w:t>1</w:t>
      </w:r>
      <w:r>
        <w:rPr/>
        <w:t>、主要税种及税率</w:t>
      </w:r>
      <w:r>
        <w:rPr>
          <w:b w:val="0"/>
          <w:bCs w:val="0"/>
        </w:rPr>
      </w:r>
    </w:p>
    <w:p>
      <w:pPr>
        <w:spacing w:line="240" w:lineRule="auto" w:before="13"/>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3190"/>
        <w:gridCol w:w="3190"/>
        <w:gridCol w:w="3190"/>
      </w:tblGrid>
      <w:tr>
        <w:trPr>
          <w:trHeight w:val="322" w:hRule="exact"/>
        </w:trPr>
        <w:tc>
          <w:tcPr>
            <w:tcW w:w="9570" w:type="dxa"/>
            <w:gridSpan w:val="3"/>
            <w:tcBorders>
              <w:top w:val="single" w:sz="4" w:space="0" w:color="5B9BD4"/>
              <w:left w:val="nil" w:sz="6" w:space="0" w:color="auto"/>
              <w:bottom w:val="single" w:sz="4" w:space="0" w:color="5B9BD4"/>
              <w:right w:val="nil" w:sz="6" w:space="0" w:color="auto"/>
            </w:tcBorders>
            <w:shd w:val="clear" w:color="auto" w:fill="DEEAF6"/>
          </w:tcPr>
          <w:p>
            <w:pPr>
              <w:pStyle w:val="TableParagraph"/>
              <w:tabs>
                <w:tab w:pos="4423" w:val="left" w:leader="none"/>
                <w:tab w:pos="7795" w:val="left" w:leader="none"/>
              </w:tabs>
              <w:spacing w:line="240" w:lineRule="auto" w:before="5"/>
              <w:ind w:left="1414" w:right="0"/>
              <w:jc w:val="left"/>
              <w:rPr>
                <w:rFonts w:ascii="宋体" w:hAnsi="宋体" w:cs="宋体" w:eastAsia="宋体" w:hint="default"/>
                <w:sz w:val="18"/>
                <w:szCs w:val="18"/>
              </w:rPr>
            </w:pPr>
            <w:r>
              <w:rPr>
                <w:rFonts w:ascii="宋体" w:hAnsi="宋体" w:cs="宋体" w:eastAsia="宋体" w:hint="default"/>
                <w:sz w:val="18"/>
                <w:szCs w:val="18"/>
              </w:rPr>
              <w:t>税种</w:t>
              <w:tab/>
              <w:t>计税依据</w:t>
              <w:tab/>
              <w:t>税率</w:t>
            </w:r>
          </w:p>
        </w:tc>
      </w:tr>
      <w:tr>
        <w:trPr>
          <w:trHeight w:val="947"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309" w:lineRule="auto" w:before="6"/>
              <w:ind w:left="106" w:right="107" w:firstLine="31"/>
              <w:jc w:val="right"/>
              <w:rPr>
                <w:rFonts w:ascii="宋体" w:hAnsi="宋体" w:cs="宋体" w:eastAsia="宋体" w:hint="default"/>
                <w:sz w:val="18"/>
                <w:szCs w:val="18"/>
              </w:rPr>
            </w:pPr>
            <w:r>
              <w:rPr>
                <w:rFonts w:ascii="宋体" w:hAnsi="宋体" w:cs="宋体" w:eastAsia="宋体" w:hint="default"/>
                <w:w w:val="95"/>
                <w:sz w:val="18"/>
                <w:szCs w:val="18"/>
              </w:rPr>
              <w:t>应税收入按</w:t>
            </w:r>
            <w:r>
              <w:rPr>
                <w:rFonts w:ascii="宋体" w:hAnsi="宋体" w:cs="宋体" w:eastAsia="宋体" w:hint="default"/>
                <w:spacing w:val="36"/>
                <w:w w:val="95"/>
                <w:sz w:val="18"/>
                <w:szCs w:val="18"/>
              </w:rPr>
              <w:t> </w:t>
            </w:r>
            <w:r>
              <w:rPr>
                <w:rFonts w:ascii="Arial" w:hAnsi="Arial" w:cs="Arial" w:eastAsia="Arial" w:hint="default"/>
                <w:w w:val="95"/>
                <w:sz w:val="18"/>
                <w:szCs w:val="18"/>
              </w:rPr>
              <w:t>6%</w:t>
            </w:r>
            <w:r>
              <w:rPr>
                <w:rFonts w:ascii="宋体" w:hAnsi="宋体" w:cs="宋体" w:eastAsia="宋体" w:hint="default"/>
                <w:w w:val="95"/>
                <w:sz w:val="18"/>
                <w:szCs w:val="18"/>
              </w:rPr>
              <w:t>、</w:t>
            </w:r>
            <w:r>
              <w:rPr>
                <w:rFonts w:ascii="Arial" w:hAnsi="Arial" w:cs="Arial" w:eastAsia="Arial" w:hint="default"/>
                <w:w w:val="95"/>
                <w:sz w:val="18"/>
                <w:szCs w:val="18"/>
              </w:rPr>
              <w:t>11%</w:t>
            </w:r>
            <w:r>
              <w:rPr>
                <w:rFonts w:ascii="宋体" w:hAnsi="宋体" w:cs="宋体" w:eastAsia="宋体" w:hint="default"/>
                <w:w w:val="95"/>
                <w:sz w:val="18"/>
                <w:szCs w:val="18"/>
              </w:rPr>
              <w:t>、</w:t>
            </w:r>
            <w:r>
              <w:rPr>
                <w:rFonts w:ascii="Arial" w:hAnsi="Arial" w:cs="Arial" w:eastAsia="Arial" w:hint="default"/>
                <w:w w:val="95"/>
                <w:sz w:val="18"/>
                <w:szCs w:val="18"/>
              </w:rPr>
              <w:t>17%</w:t>
            </w:r>
            <w:r>
              <w:rPr>
                <w:rFonts w:ascii="宋体" w:hAnsi="宋体" w:cs="宋体" w:eastAsia="宋体" w:hint="default"/>
                <w:w w:val="95"/>
                <w:sz w:val="18"/>
                <w:szCs w:val="18"/>
              </w:rPr>
              <w:t>的税率计</w:t>
            </w:r>
            <w:r>
              <w:rPr>
                <w:rFonts w:ascii="宋体" w:hAnsi="宋体" w:cs="宋体" w:eastAsia="宋体" w:hint="default"/>
                <w:sz w:val="18"/>
                <w:szCs w:val="18"/>
              </w:rPr>
              <w:t> </w:t>
            </w:r>
            <w:r>
              <w:rPr>
                <w:rFonts w:ascii="宋体" w:hAnsi="宋体" w:cs="宋体" w:eastAsia="宋体" w:hint="default"/>
                <w:spacing w:val="-6"/>
                <w:sz w:val="18"/>
                <w:szCs w:val="18"/>
              </w:rPr>
              <w:t>算销项税，并按扣除当期允许抵扣的进</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项税额后的差额计缴增值税。</w:t>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105"/>
              <w:jc w:val="right"/>
              <w:rPr>
                <w:rFonts w:ascii="Arial" w:hAnsi="Arial" w:cs="Arial" w:eastAsia="Arial" w:hint="default"/>
                <w:sz w:val="18"/>
                <w:szCs w:val="18"/>
              </w:rPr>
            </w:pPr>
            <w:r>
              <w:rPr>
                <w:rFonts w:ascii="Arial" w:hAnsi="Arial" w:cs="Arial" w:eastAsia="Arial" w:hint="default"/>
                <w:spacing w:val="-1"/>
                <w:w w:val="95"/>
                <w:sz w:val="18"/>
                <w:szCs w:val="18"/>
              </w:rPr>
              <w:t>6%</w:t>
            </w:r>
            <w:r>
              <w:rPr>
                <w:rFonts w:ascii="宋体" w:hAnsi="宋体" w:cs="宋体" w:eastAsia="宋体" w:hint="default"/>
                <w:spacing w:val="-1"/>
                <w:w w:val="95"/>
                <w:sz w:val="18"/>
                <w:szCs w:val="18"/>
              </w:rPr>
              <w:t>、</w:t>
            </w:r>
            <w:r>
              <w:rPr>
                <w:rFonts w:ascii="Arial" w:hAnsi="Arial" w:cs="Arial" w:eastAsia="Arial" w:hint="default"/>
                <w:spacing w:val="-1"/>
                <w:w w:val="95"/>
                <w:sz w:val="18"/>
                <w:szCs w:val="18"/>
              </w:rPr>
              <w:t>11%</w:t>
            </w:r>
            <w:r>
              <w:rPr>
                <w:rFonts w:ascii="宋体" w:hAnsi="宋体" w:cs="宋体" w:eastAsia="宋体" w:hint="default"/>
                <w:spacing w:val="-1"/>
                <w:w w:val="95"/>
                <w:sz w:val="18"/>
                <w:szCs w:val="18"/>
              </w:rPr>
              <w:t>、</w:t>
            </w:r>
            <w:r>
              <w:rPr>
                <w:rFonts w:ascii="Arial" w:hAnsi="Arial" w:cs="Arial" w:eastAsia="Arial" w:hint="default"/>
                <w:spacing w:val="-1"/>
                <w:w w:val="95"/>
                <w:sz w:val="18"/>
                <w:szCs w:val="18"/>
              </w:rPr>
              <w:t>17%</w:t>
            </w:r>
            <w:r>
              <w:rPr>
                <w:rFonts w:ascii="Arial" w:hAnsi="Arial" w:cs="Arial" w:eastAsia="Arial" w:hint="default"/>
                <w:spacing w:val="-1"/>
                <w:sz w:val="18"/>
                <w:szCs w:val="18"/>
              </w:rPr>
            </w: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tcBorders>
              <w:top w:val="single" w:sz="4" w:space="0" w:color="5B9BD4"/>
              <w:left w:val="nil" w:sz="6" w:space="0" w:color="auto"/>
              <w:bottom w:val="single" w:sz="4" w:space="0" w:color="5B9BD4"/>
              <w:right w:val="nil" w:sz="6" w:space="0" w:color="auto"/>
            </w:tcBorders>
          </w:tcPr>
          <w:p>
            <w:pP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3"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left="106" w:right="0"/>
              <w:jc w:val="left"/>
              <w:rPr>
                <w:rFonts w:ascii="宋体" w:hAnsi="宋体" w:cs="宋体" w:eastAsia="宋体" w:hint="default"/>
                <w:sz w:val="18"/>
                <w:szCs w:val="18"/>
              </w:rPr>
            </w:pPr>
            <w:r>
              <w:rPr>
                <w:rFonts w:ascii="宋体" w:hAnsi="宋体" w:cs="宋体" w:eastAsia="宋体" w:hint="default"/>
                <w:w w:val="95"/>
                <w:sz w:val="18"/>
                <w:szCs w:val="18"/>
              </w:rPr>
              <w:t>按应税营业额的</w:t>
            </w:r>
            <w:r>
              <w:rPr>
                <w:rFonts w:ascii="宋体" w:hAnsi="宋体" w:cs="宋体" w:eastAsia="宋体" w:hint="default"/>
                <w:spacing w:val="65"/>
                <w:w w:val="95"/>
                <w:sz w:val="18"/>
                <w:szCs w:val="18"/>
              </w:rPr>
              <w:t> </w:t>
            </w:r>
            <w:r>
              <w:rPr>
                <w:rFonts w:ascii="Arial" w:hAnsi="Arial" w:cs="Arial" w:eastAsia="Arial" w:hint="default"/>
                <w:w w:val="95"/>
                <w:sz w:val="18"/>
                <w:szCs w:val="18"/>
              </w:rPr>
              <w:t>3%</w:t>
            </w:r>
            <w:r>
              <w:rPr>
                <w:rFonts w:ascii="宋体" w:hAnsi="宋体" w:cs="宋体" w:eastAsia="宋体" w:hint="default"/>
                <w:w w:val="95"/>
                <w:sz w:val="18"/>
                <w:szCs w:val="18"/>
              </w:rPr>
              <w:t>、</w:t>
            </w:r>
            <w:r>
              <w:rPr>
                <w:rFonts w:ascii="Arial" w:hAnsi="Arial" w:cs="Arial" w:eastAsia="Arial" w:hint="default"/>
                <w:w w:val="95"/>
                <w:sz w:val="18"/>
                <w:szCs w:val="18"/>
              </w:rPr>
              <w:t>5%</w:t>
            </w:r>
            <w:r>
              <w:rPr>
                <w:rFonts w:ascii="宋体" w:hAnsi="宋体" w:cs="宋体" w:eastAsia="宋体" w:hint="default"/>
                <w:w w:val="95"/>
                <w:sz w:val="18"/>
                <w:szCs w:val="18"/>
              </w:rPr>
              <w:t>计缴营业税。</w:t>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07"/>
              <w:jc w:val="right"/>
              <w:rPr>
                <w:rFonts w:ascii="Arial" w:hAnsi="Arial" w:cs="Arial" w:eastAsia="Arial" w:hint="default"/>
                <w:sz w:val="18"/>
                <w:szCs w:val="18"/>
              </w:rPr>
            </w:pPr>
            <w:r>
              <w:rPr>
                <w:rFonts w:ascii="Arial" w:hAnsi="Arial" w:cs="Arial" w:eastAsia="Arial" w:hint="default"/>
                <w:spacing w:val="-1"/>
                <w:w w:val="90"/>
                <w:sz w:val="18"/>
                <w:szCs w:val="18"/>
              </w:rPr>
              <w:t>3%</w:t>
            </w:r>
            <w:r>
              <w:rPr>
                <w:rFonts w:ascii="宋体" w:hAnsi="宋体" w:cs="宋体" w:eastAsia="宋体" w:hint="default"/>
                <w:spacing w:val="-1"/>
                <w:w w:val="90"/>
                <w:sz w:val="18"/>
                <w:szCs w:val="18"/>
              </w:rPr>
              <w:t>、</w:t>
            </w:r>
            <w:r>
              <w:rPr>
                <w:rFonts w:ascii="Arial" w:hAnsi="Arial" w:cs="Arial" w:eastAsia="Arial" w:hint="default"/>
                <w:spacing w:val="-1"/>
                <w:w w:val="90"/>
                <w:sz w:val="18"/>
                <w:szCs w:val="18"/>
              </w:rPr>
              <w:t>5%</w:t>
            </w:r>
            <w:r>
              <w:rPr>
                <w:rFonts w:ascii="Arial" w:hAnsi="Arial" w:cs="Arial" w:eastAsia="Arial" w:hint="default"/>
                <w:sz w:val="18"/>
                <w:szCs w:val="18"/>
              </w:rPr>
            </w:r>
          </w:p>
        </w:tc>
      </w:tr>
    </w:tbl>
    <w:p>
      <w:pPr>
        <w:spacing w:after="0" w:line="240" w:lineRule="auto"/>
        <w:jc w:val="right"/>
        <w:rPr>
          <w:rFonts w:ascii="Arial" w:hAnsi="Arial" w:cs="Arial" w:eastAsia="Arial" w:hint="default"/>
          <w:sz w:val="18"/>
          <w:szCs w:val="18"/>
        </w:rPr>
        <w:sectPr>
          <w:pgSz w:w="11910" w:h="16840"/>
          <w:pgMar w:header="877" w:footer="979" w:top="1100" w:bottom="1160" w:left="920" w:right="0"/>
        </w:sectPr>
      </w:pPr>
    </w:p>
    <w:p>
      <w:pPr>
        <w:spacing w:line="240" w:lineRule="auto" w:before="6"/>
        <w:rPr>
          <w:rFonts w:ascii="宋体" w:hAnsi="宋体" w:cs="宋体" w:eastAsia="宋体" w:hint="default"/>
          <w:b/>
          <w:bCs/>
          <w:sz w:val="24"/>
          <w:szCs w:val="24"/>
        </w:rPr>
      </w:pPr>
    </w:p>
    <w:tbl>
      <w:tblPr>
        <w:tblW w:w="0" w:type="auto"/>
        <w:jc w:val="left"/>
        <w:tblInd w:w="101" w:type="dxa"/>
        <w:tblLayout w:type="fixed"/>
        <w:tblCellMar>
          <w:top w:w="0" w:type="dxa"/>
          <w:left w:w="0" w:type="dxa"/>
          <w:bottom w:w="0" w:type="dxa"/>
          <w:right w:w="0" w:type="dxa"/>
        </w:tblCellMar>
        <w:tblLook w:val="01E0"/>
      </w:tblPr>
      <w:tblGrid>
        <w:gridCol w:w="3190"/>
        <w:gridCol w:w="3190"/>
        <w:gridCol w:w="3190"/>
      </w:tblGrid>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107"/>
              <w:jc w:val="righ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68"/>
                <w:sz w:val="18"/>
                <w:szCs w:val="18"/>
              </w:rPr>
              <w:t> </w:t>
            </w:r>
            <w:r>
              <w:rPr>
                <w:rFonts w:ascii="Arial" w:hAnsi="Arial" w:cs="Arial" w:eastAsia="Arial" w:hint="default"/>
                <w:sz w:val="18"/>
                <w:szCs w:val="18"/>
              </w:rPr>
              <w:t>7%</w:t>
            </w:r>
            <w:r>
              <w:rPr>
                <w:rFonts w:ascii="宋体" w:hAnsi="宋体" w:cs="宋体" w:eastAsia="宋体" w:hint="default"/>
                <w:sz w:val="18"/>
                <w:szCs w:val="18"/>
              </w:rPr>
              <w:t>计缴。</w:t>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spacing w:val="-2"/>
                <w:w w:val="90"/>
                <w:sz w:val="18"/>
              </w:rPr>
              <w:t>7%</w:t>
            </w:r>
            <w:r>
              <w:rPr>
                <w:rFonts w:ascii="Arial"/>
                <w:sz w:val="18"/>
              </w:rPr>
            </w:r>
          </w:p>
        </w:tc>
      </w:tr>
      <w:tr>
        <w:trPr>
          <w:trHeight w:val="946"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316" w:lineRule="auto" w:before="6"/>
              <w:ind w:left="176" w:right="107" w:firstLine="24"/>
              <w:jc w:val="right"/>
              <w:rPr>
                <w:rFonts w:ascii="宋体" w:hAnsi="宋体" w:cs="宋体" w:eastAsia="宋体" w:hint="default"/>
                <w:sz w:val="18"/>
                <w:szCs w:val="18"/>
              </w:rPr>
            </w:pPr>
            <w:r>
              <w:rPr>
                <w:rFonts w:ascii="宋体" w:hAnsi="宋体" w:cs="宋体" w:eastAsia="宋体" w:hint="default"/>
                <w:sz w:val="18"/>
                <w:szCs w:val="18"/>
              </w:rPr>
              <w:t>于中国境内注册的公司之企业所得税 税率为</w:t>
            </w:r>
            <w:r>
              <w:rPr>
                <w:rFonts w:ascii="宋体" w:hAnsi="宋体" w:cs="宋体" w:eastAsia="宋体" w:hint="default"/>
                <w:spacing w:val="-70"/>
                <w:sz w:val="18"/>
                <w:szCs w:val="18"/>
              </w:rPr>
              <w:t> </w:t>
            </w:r>
            <w:r>
              <w:rPr>
                <w:rFonts w:ascii="Arial" w:hAnsi="Arial" w:cs="Arial" w:eastAsia="Arial" w:hint="default"/>
                <w:sz w:val="18"/>
                <w:szCs w:val="18"/>
              </w:rPr>
              <w:t>25%</w:t>
            </w:r>
            <w:r>
              <w:rPr>
                <w:rFonts w:ascii="宋体" w:hAnsi="宋体" w:cs="宋体" w:eastAsia="宋体" w:hint="default"/>
                <w:sz w:val="18"/>
                <w:szCs w:val="18"/>
              </w:rPr>
              <w:t>，其他详见税收优惠及批</w:t>
            </w:r>
          </w:p>
          <w:p>
            <w:pPr>
              <w:pStyle w:val="TableParagraph"/>
              <w:spacing w:line="235" w:lineRule="exact"/>
              <w:ind w:right="107"/>
              <w:jc w:val="right"/>
              <w:rPr>
                <w:rFonts w:ascii="宋体" w:hAnsi="宋体" w:cs="宋体" w:eastAsia="宋体" w:hint="default"/>
                <w:sz w:val="18"/>
                <w:szCs w:val="18"/>
              </w:rPr>
            </w:pPr>
            <w:r>
              <w:rPr>
                <w:rFonts w:ascii="宋体" w:hAnsi="宋体" w:cs="宋体" w:eastAsia="宋体" w:hint="default"/>
                <w:sz w:val="18"/>
                <w:szCs w:val="18"/>
              </w:rPr>
              <w:t>文</w:t>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07"/>
              <w:jc w:val="right"/>
              <w:rPr>
                <w:rFonts w:ascii="宋体" w:hAnsi="宋体" w:cs="宋体" w:eastAsia="宋体" w:hint="default"/>
                <w:sz w:val="18"/>
                <w:szCs w:val="18"/>
              </w:rPr>
            </w:pPr>
            <w:r>
              <w:rPr>
                <w:rFonts w:ascii="Arial" w:hAnsi="Arial" w:cs="Arial" w:eastAsia="Arial" w:hint="default"/>
                <w:w w:val="95"/>
                <w:sz w:val="18"/>
                <w:szCs w:val="18"/>
              </w:rPr>
              <w:t>25%</w:t>
            </w:r>
            <w:r>
              <w:rPr>
                <w:rFonts w:ascii="宋体" w:hAnsi="宋体" w:cs="宋体" w:eastAsia="宋体" w:hint="default"/>
                <w:w w:val="95"/>
                <w:sz w:val="18"/>
                <w:szCs w:val="18"/>
              </w:rPr>
              <w:t>、</w:t>
            </w:r>
            <w:r>
              <w:rPr>
                <w:rFonts w:ascii="Arial" w:hAnsi="Arial" w:cs="Arial" w:eastAsia="Arial" w:hint="default"/>
                <w:w w:val="95"/>
                <w:sz w:val="18"/>
                <w:szCs w:val="18"/>
              </w:rPr>
              <w:t>20%</w:t>
            </w:r>
            <w:r>
              <w:rPr>
                <w:rFonts w:ascii="宋体" w:hAnsi="宋体" w:cs="宋体" w:eastAsia="宋体" w:hint="default"/>
                <w:w w:val="95"/>
                <w:sz w:val="18"/>
                <w:szCs w:val="18"/>
              </w:rPr>
              <w:t>、</w:t>
            </w:r>
            <w:r>
              <w:rPr>
                <w:rFonts w:ascii="Arial" w:hAnsi="Arial" w:cs="Arial" w:eastAsia="Arial" w:hint="default"/>
                <w:w w:val="95"/>
                <w:sz w:val="18"/>
                <w:szCs w:val="18"/>
              </w:rPr>
              <w:t>16.5%</w:t>
            </w:r>
            <w:r>
              <w:rPr>
                <w:rFonts w:ascii="宋体" w:hAnsi="宋体" w:cs="宋体" w:eastAsia="宋体" w:hint="default"/>
                <w:w w:val="95"/>
                <w:sz w:val="18"/>
                <w:szCs w:val="18"/>
              </w:rPr>
              <w:t>、</w:t>
            </w:r>
            <w:r>
              <w:rPr>
                <w:rFonts w:ascii="Arial" w:hAnsi="Arial" w:cs="Arial" w:eastAsia="Arial" w:hint="default"/>
                <w:w w:val="95"/>
                <w:sz w:val="18"/>
                <w:szCs w:val="18"/>
              </w:rPr>
              <w:t>15%</w:t>
            </w:r>
            <w:r>
              <w:rPr>
                <w:rFonts w:ascii="宋体" w:hAnsi="宋体" w:cs="宋体" w:eastAsia="宋体" w:hint="default"/>
                <w:w w:val="95"/>
                <w:sz w:val="18"/>
                <w:szCs w:val="18"/>
              </w:rPr>
              <w:t>、</w:t>
            </w:r>
            <w:r>
              <w:rPr>
                <w:rFonts w:ascii="Arial" w:hAnsi="Arial" w:cs="Arial" w:eastAsia="Arial" w:hint="default"/>
                <w:w w:val="95"/>
                <w:sz w:val="18"/>
                <w:szCs w:val="18"/>
              </w:rPr>
              <w:t>12.5%</w:t>
            </w:r>
            <w:r>
              <w:rPr>
                <w:rFonts w:ascii="宋体" w:hAnsi="宋体" w:cs="宋体" w:eastAsia="宋体" w:hint="default"/>
                <w:w w:val="95"/>
                <w:sz w:val="18"/>
                <w:szCs w:val="18"/>
              </w:rPr>
              <w:t>、</w:t>
            </w:r>
          </w:p>
          <w:p>
            <w:pPr>
              <w:pStyle w:val="TableParagraph"/>
              <w:spacing w:line="240" w:lineRule="auto" w:before="63"/>
              <w:ind w:right="107"/>
              <w:jc w:val="right"/>
              <w:rPr>
                <w:rFonts w:ascii="Arial" w:hAnsi="Arial" w:cs="Arial" w:eastAsia="Arial" w:hint="default"/>
                <w:sz w:val="18"/>
                <w:szCs w:val="18"/>
              </w:rPr>
            </w:pPr>
            <w:r>
              <w:rPr>
                <w:rFonts w:ascii="Arial" w:hAnsi="Arial" w:cs="Arial" w:eastAsia="Arial" w:hint="default"/>
                <w:spacing w:val="-1"/>
                <w:w w:val="90"/>
                <w:sz w:val="18"/>
                <w:szCs w:val="18"/>
              </w:rPr>
              <w:t>10%</w:t>
            </w:r>
            <w:r>
              <w:rPr>
                <w:rFonts w:ascii="宋体" w:hAnsi="宋体" w:cs="宋体" w:eastAsia="宋体" w:hint="default"/>
                <w:spacing w:val="-1"/>
                <w:w w:val="90"/>
                <w:sz w:val="18"/>
                <w:szCs w:val="18"/>
              </w:rPr>
              <w:t>、</w:t>
            </w:r>
            <w:r>
              <w:rPr>
                <w:rFonts w:ascii="Arial" w:hAnsi="Arial" w:cs="Arial" w:eastAsia="Arial" w:hint="default"/>
                <w:spacing w:val="-1"/>
                <w:w w:val="90"/>
                <w:sz w:val="18"/>
                <w:szCs w:val="18"/>
              </w:rPr>
              <w:t>9%</w:t>
            </w:r>
            <w:r>
              <w:rPr>
                <w:rFonts w:ascii="Arial" w:hAnsi="Arial" w:cs="Arial" w:eastAsia="Arial" w:hint="default"/>
                <w:sz w:val="18"/>
                <w:szCs w:val="18"/>
              </w:rPr>
            </w:r>
          </w:p>
        </w:tc>
      </w:tr>
      <w:tr>
        <w:trPr>
          <w:trHeight w:val="634"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教育税附加</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240" w:lineRule="auto" w:before="6"/>
              <w:ind w:right="108"/>
              <w:jc w:val="right"/>
              <w:rPr>
                <w:rFonts w:ascii="宋体" w:hAnsi="宋体" w:cs="宋体" w:eastAsia="宋体" w:hint="default"/>
                <w:sz w:val="18"/>
                <w:szCs w:val="18"/>
              </w:rPr>
            </w:pPr>
            <w:r>
              <w:rPr>
                <w:rFonts w:ascii="宋体" w:hAnsi="宋体" w:cs="宋体" w:eastAsia="宋体" w:hint="default"/>
                <w:w w:val="95"/>
                <w:sz w:val="18"/>
                <w:szCs w:val="18"/>
              </w:rPr>
              <w:t>按实际缴纳的流转税</w:t>
            </w:r>
            <w:r>
              <w:rPr>
                <w:rFonts w:ascii="宋体" w:hAnsi="宋体" w:cs="宋体" w:eastAsia="宋体" w:hint="default"/>
                <w:spacing w:val="38"/>
                <w:w w:val="95"/>
                <w:sz w:val="18"/>
                <w:szCs w:val="18"/>
              </w:rPr>
              <w:t> </w:t>
            </w:r>
            <w:r>
              <w:rPr>
                <w:rFonts w:ascii="Arial" w:hAnsi="Arial" w:cs="Arial" w:eastAsia="Arial" w:hint="default"/>
                <w:w w:val="95"/>
                <w:sz w:val="18"/>
                <w:szCs w:val="18"/>
              </w:rPr>
              <w:t>3%</w:t>
            </w:r>
            <w:r>
              <w:rPr>
                <w:rFonts w:ascii="宋体" w:hAnsi="宋体" w:cs="宋体" w:eastAsia="宋体" w:hint="default"/>
                <w:w w:val="95"/>
                <w:sz w:val="18"/>
                <w:szCs w:val="18"/>
              </w:rPr>
              <w:t>、</w:t>
            </w:r>
            <w:r>
              <w:rPr>
                <w:rFonts w:ascii="Arial" w:hAnsi="Arial" w:cs="Arial" w:eastAsia="Arial" w:hint="default"/>
                <w:w w:val="95"/>
                <w:sz w:val="18"/>
                <w:szCs w:val="18"/>
              </w:rPr>
              <w:t>4%</w:t>
            </w:r>
            <w:r>
              <w:rPr>
                <w:rFonts w:ascii="宋体" w:hAnsi="宋体" w:cs="宋体" w:eastAsia="宋体" w:hint="default"/>
                <w:w w:val="95"/>
                <w:sz w:val="18"/>
                <w:szCs w:val="18"/>
              </w:rPr>
              <w:t>、</w:t>
            </w:r>
            <w:r>
              <w:rPr>
                <w:rFonts w:ascii="Arial" w:hAnsi="Arial" w:cs="Arial" w:eastAsia="Arial" w:hint="default"/>
                <w:w w:val="95"/>
                <w:sz w:val="18"/>
                <w:szCs w:val="18"/>
              </w:rPr>
              <w:t>5%</w:t>
            </w:r>
            <w:r>
              <w:rPr>
                <w:rFonts w:ascii="宋体" w:hAnsi="宋体" w:cs="宋体" w:eastAsia="宋体" w:hint="default"/>
                <w:w w:val="95"/>
                <w:sz w:val="18"/>
                <w:szCs w:val="18"/>
              </w:rPr>
              <w:t>计</w:t>
            </w:r>
          </w:p>
          <w:p>
            <w:pPr>
              <w:pStyle w:val="TableParagraph"/>
              <w:spacing w:line="240" w:lineRule="auto" w:before="63"/>
              <w:ind w:right="107"/>
              <w:jc w:val="right"/>
              <w:rPr>
                <w:rFonts w:ascii="宋体" w:hAnsi="宋体" w:cs="宋体" w:eastAsia="宋体" w:hint="default"/>
                <w:sz w:val="18"/>
                <w:szCs w:val="18"/>
              </w:rPr>
            </w:pPr>
            <w:r>
              <w:rPr>
                <w:rFonts w:ascii="宋体" w:hAnsi="宋体" w:cs="宋体" w:eastAsia="宋体" w:hint="default"/>
                <w:sz w:val="18"/>
                <w:szCs w:val="18"/>
              </w:rPr>
              <w:t>缴。</w:t>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07"/>
              <w:jc w:val="right"/>
              <w:rPr>
                <w:rFonts w:ascii="Arial" w:hAnsi="Arial" w:cs="Arial" w:eastAsia="Arial" w:hint="default"/>
                <w:sz w:val="18"/>
                <w:szCs w:val="18"/>
              </w:rPr>
            </w:pPr>
            <w:r>
              <w:rPr>
                <w:rFonts w:ascii="Arial" w:hAnsi="Arial" w:cs="Arial" w:eastAsia="Arial" w:hint="default"/>
                <w:spacing w:val="-1"/>
                <w:w w:val="90"/>
                <w:sz w:val="18"/>
                <w:szCs w:val="18"/>
              </w:rPr>
              <w:t>3%</w:t>
            </w:r>
            <w:r>
              <w:rPr>
                <w:rFonts w:ascii="宋体" w:hAnsi="宋体" w:cs="宋体" w:eastAsia="宋体" w:hint="default"/>
                <w:spacing w:val="-1"/>
                <w:w w:val="90"/>
                <w:sz w:val="18"/>
                <w:szCs w:val="18"/>
              </w:rPr>
              <w:t>、</w:t>
            </w:r>
            <w:r>
              <w:rPr>
                <w:rFonts w:ascii="Arial" w:hAnsi="Arial" w:cs="Arial" w:eastAsia="Arial" w:hint="default"/>
                <w:spacing w:val="-1"/>
                <w:w w:val="90"/>
                <w:sz w:val="18"/>
                <w:szCs w:val="18"/>
              </w:rPr>
              <w:t>4%</w:t>
            </w:r>
            <w:r>
              <w:rPr>
                <w:rFonts w:ascii="宋体" w:hAnsi="宋体" w:cs="宋体" w:eastAsia="宋体" w:hint="default"/>
                <w:spacing w:val="-1"/>
                <w:w w:val="90"/>
                <w:sz w:val="18"/>
                <w:szCs w:val="18"/>
              </w:rPr>
              <w:t>、</w:t>
            </w:r>
            <w:r>
              <w:rPr>
                <w:rFonts w:ascii="Arial" w:hAnsi="Arial" w:cs="Arial" w:eastAsia="Arial" w:hint="default"/>
                <w:spacing w:val="-1"/>
                <w:w w:val="90"/>
                <w:sz w:val="18"/>
                <w:szCs w:val="18"/>
              </w:rPr>
              <w:t>5%</w:t>
            </w:r>
            <w:r>
              <w:rPr>
                <w:rFonts w:ascii="Arial" w:hAnsi="Arial" w:cs="Arial" w:eastAsia="Arial" w:hint="default"/>
                <w:sz w:val="18"/>
                <w:szCs w:val="18"/>
              </w:rPr>
            </w:r>
          </w:p>
        </w:tc>
      </w:tr>
      <w:tr>
        <w:trPr>
          <w:trHeight w:val="323"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107"/>
              <w:jc w:val="right"/>
              <w:rPr>
                <w:rFonts w:ascii="宋体" w:hAnsi="宋体" w:cs="宋体" w:eastAsia="宋体" w:hint="default"/>
                <w:sz w:val="18"/>
                <w:szCs w:val="18"/>
              </w:rPr>
            </w:pPr>
            <w:r>
              <w:rPr>
                <w:rFonts w:ascii="宋体" w:hAnsi="宋体" w:cs="宋体" w:eastAsia="宋体" w:hint="default"/>
                <w:sz w:val="18"/>
                <w:szCs w:val="18"/>
              </w:rPr>
              <w:t>按房产原值的</w:t>
            </w:r>
            <w:r>
              <w:rPr>
                <w:rFonts w:ascii="宋体" w:hAnsi="宋体" w:cs="宋体" w:eastAsia="宋体" w:hint="default"/>
                <w:spacing w:val="-68"/>
                <w:sz w:val="18"/>
                <w:szCs w:val="18"/>
              </w:rPr>
              <w:t> </w:t>
            </w:r>
            <w:r>
              <w:rPr>
                <w:rFonts w:ascii="Arial" w:hAnsi="Arial" w:cs="Arial" w:eastAsia="Arial" w:hint="default"/>
                <w:sz w:val="18"/>
                <w:szCs w:val="18"/>
              </w:rPr>
              <w:t>70%</w:t>
            </w:r>
            <w:r>
              <w:rPr>
                <w:rFonts w:ascii="宋体" w:hAnsi="宋体" w:cs="宋体" w:eastAsia="宋体" w:hint="default"/>
                <w:sz w:val="18"/>
                <w:szCs w:val="18"/>
              </w:rPr>
              <w:t>的</w:t>
            </w:r>
            <w:r>
              <w:rPr>
                <w:rFonts w:ascii="宋体" w:hAnsi="宋体" w:cs="宋体" w:eastAsia="宋体" w:hint="default"/>
                <w:spacing w:val="-68"/>
                <w:sz w:val="18"/>
                <w:szCs w:val="18"/>
              </w:rPr>
              <w:t> </w:t>
            </w:r>
            <w:r>
              <w:rPr>
                <w:rFonts w:ascii="Arial" w:hAnsi="Arial" w:cs="Arial" w:eastAsia="Arial" w:hint="default"/>
                <w:sz w:val="18"/>
                <w:szCs w:val="18"/>
              </w:rPr>
              <w:t>1.2%</w:t>
            </w:r>
            <w:r>
              <w:rPr>
                <w:rFonts w:ascii="宋体" w:hAnsi="宋体" w:cs="宋体" w:eastAsia="宋体" w:hint="default"/>
                <w:sz w:val="18"/>
                <w:szCs w:val="18"/>
              </w:rPr>
              <w:t>计缴。</w:t>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w w:val="90"/>
                <w:sz w:val="18"/>
              </w:rPr>
              <w:t>1.2%</w:t>
            </w:r>
            <w:r>
              <w:rPr>
                <w:rFonts w:ascii="Arial"/>
                <w:sz w:val="18"/>
              </w:rPr>
            </w:r>
          </w:p>
        </w:tc>
      </w:tr>
    </w:tbl>
    <w:p>
      <w:pPr>
        <w:spacing w:line="240" w:lineRule="auto" w:before="0"/>
        <w:rPr>
          <w:rFonts w:ascii="宋体" w:hAnsi="宋体" w:cs="宋体" w:eastAsia="宋体" w:hint="default"/>
          <w:b/>
          <w:bCs/>
          <w:sz w:val="15"/>
          <w:szCs w:val="15"/>
        </w:rPr>
      </w:pPr>
    </w:p>
    <w:p>
      <w:pPr>
        <w:pStyle w:val="BodyText"/>
        <w:spacing w:line="240" w:lineRule="auto" w:before="18"/>
        <w:ind w:left="634" w:right="1513"/>
        <w:jc w:val="left"/>
      </w:pPr>
      <w:r>
        <w:rPr/>
        <w:t>存在不同企业所得税税率纳税主体的，披露情况说明</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4783"/>
        <w:gridCol w:w="4786"/>
      </w:tblGrid>
      <w:tr>
        <w:trPr>
          <w:trHeight w:val="317" w:hRule="exact"/>
        </w:trPr>
        <w:tc>
          <w:tcPr>
            <w:tcW w:w="478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327" w:hRule="exact"/>
        </w:trPr>
        <w:tc>
          <w:tcPr>
            <w:tcW w:w="478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西藏酷爱通信有限公司</w:t>
            </w:r>
          </w:p>
        </w:tc>
        <w:tc>
          <w:tcPr>
            <w:tcW w:w="4786"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2"/>
                <w:w w:val="90"/>
                <w:sz w:val="18"/>
              </w:rPr>
              <w:t>9%</w:t>
            </w:r>
            <w:r>
              <w:rPr>
                <w:rFonts w:ascii="Arial"/>
                <w:sz w:val="18"/>
              </w:rPr>
            </w:r>
          </w:p>
        </w:tc>
      </w:tr>
      <w:tr>
        <w:trPr>
          <w:trHeight w:val="322" w:hRule="exact"/>
        </w:trPr>
        <w:tc>
          <w:tcPr>
            <w:tcW w:w="478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西藏晟祥通讯器材有限公司</w:t>
            </w:r>
          </w:p>
        </w:tc>
        <w:tc>
          <w:tcPr>
            <w:tcW w:w="478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spacing w:val="-2"/>
                <w:w w:val="90"/>
                <w:sz w:val="18"/>
              </w:rPr>
              <w:t>9%</w:t>
            </w:r>
            <w:r>
              <w:rPr>
                <w:rFonts w:ascii="Arial"/>
                <w:sz w:val="18"/>
              </w:rPr>
            </w:r>
          </w:p>
        </w:tc>
      </w:tr>
      <w:tr>
        <w:trPr>
          <w:trHeight w:val="322" w:hRule="exact"/>
        </w:trPr>
        <w:tc>
          <w:tcPr>
            <w:tcW w:w="478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西藏乐意数码有限公司</w:t>
            </w:r>
          </w:p>
        </w:tc>
        <w:tc>
          <w:tcPr>
            <w:tcW w:w="478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spacing w:val="-2"/>
                <w:w w:val="90"/>
                <w:sz w:val="18"/>
              </w:rPr>
              <w:t>9%</w:t>
            </w:r>
            <w:r>
              <w:rPr>
                <w:rFonts w:ascii="Arial"/>
                <w:sz w:val="18"/>
              </w:rPr>
            </w:r>
          </w:p>
        </w:tc>
      </w:tr>
      <w:tr>
        <w:trPr>
          <w:trHeight w:val="322" w:hRule="exact"/>
        </w:trPr>
        <w:tc>
          <w:tcPr>
            <w:tcW w:w="478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彩梦科技公司</w:t>
            </w:r>
          </w:p>
        </w:tc>
        <w:tc>
          <w:tcPr>
            <w:tcW w:w="478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spacing w:val="-2"/>
                <w:w w:val="90"/>
                <w:sz w:val="18"/>
              </w:rPr>
              <w:t>15%</w:t>
            </w:r>
            <w:r>
              <w:rPr>
                <w:rFonts w:ascii="Arial"/>
                <w:sz w:val="18"/>
              </w:rPr>
            </w:r>
          </w:p>
        </w:tc>
      </w:tr>
      <w:tr>
        <w:trPr>
          <w:trHeight w:val="634" w:hRule="exact"/>
        </w:trPr>
        <w:tc>
          <w:tcPr>
            <w:tcW w:w="478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迈奔灵动公司</w:t>
            </w:r>
          </w:p>
        </w:tc>
        <w:tc>
          <w:tcPr>
            <w:tcW w:w="4786" w:type="dxa"/>
            <w:tcBorders>
              <w:top w:val="single" w:sz="4" w:space="0" w:color="5B9BD4"/>
              <w:left w:val="nil" w:sz="6" w:space="0" w:color="auto"/>
              <w:bottom w:val="single" w:sz="4" w:space="0" w:color="5B9BD4"/>
              <w:right w:val="nil" w:sz="6" w:space="0" w:color="auto"/>
            </w:tcBorders>
          </w:tcPr>
          <w:p>
            <w:pPr>
              <w:pStyle w:val="TableParagraph"/>
              <w:spacing w:line="302" w:lineRule="auto" w:before="6"/>
              <w:ind w:left="107" w:right="17" w:firstLine="36"/>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7"/>
                <w:sz w:val="18"/>
                <w:szCs w:val="18"/>
              </w:rPr>
              <w:t> </w:t>
            </w:r>
            <w:r>
              <w:rPr>
                <w:rFonts w:ascii="宋体" w:hAnsi="宋体" w:cs="宋体" w:eastAsia="宋体" w:hint="default"/>
                <w:sz w:val="18"/>
                <w:szCs w:val="18"/>
              </w:rPr>
              <w:t>年和</w:t>
            </w:r>
            <w:r>
              <w:rPr>
                <w:rFonts w:ascii="宋体" w:hAnsi="宋体" w:cs="宋体" w:eastAsia="宋体" w:hint="default"/>
                <w:spacing w:val="-47"/>
                <w:sz w:val="18"/>
                <w:szCs w:val="18"/>
              </w:rPr>
              <w:t> </w:t>
            </w:r>
            <w:r>
              <w:rPr>
                <w:rFonts w:ascii="Arial" w:hAnsi="Arial" w:cs="Arial" w:eastAsia="Arial" w:hint="default"/>
                <w:sz w:val="18"/>
                <w:szCs w:val="18"/>
              </w:rPr>
              <w:t>2014</w:t>
            </w:r>
            <w:r>
              <w:rPr>
                <w:rFonts w:ascii="Arial" w:hAnsi="Arial" w:cs="Arial" w:eastAsia="Arial" w:hint="default"/>
                <w:spacing w:val="-7"/>
                <w:sz w:val="18"/>
                <w:szCs w:val="18"/>
              </w:rPr>
              <w:t> </w:t>
            </w:r>
            <w:r>
              <w:rPr>
                <w:rFonts w:ascii="宋体" w:hAnsi="宋体" w:cs="宋体" w:eastAsia="宋体" w:hint="default"/>
                <w:sz w:val="18"/>
                <w:szCs w:val="18"/>
              </w:rPr>
              <w:t>年分别为获利第一年和第二年减免企业所 </w:t>
            </w:r>
            <w:r>
              <w:rPr>
                <w:rFonts w:ascii="宋体" w:hAnsi="宋体" w:cs="宋体" w:eastAsia="宋体" w:hint="default"/>
                <w:spacing w:val="-8"/>
                <w:sz w:val="18"/>
                <w:szCs w:val="18"/>
              </w:rPr>
              <w:t>得税，</w:t>
            </w:r>
            <w:r>
              <w:rPr>
                <w:rFonts w:ascii="Arial" w:hAnsi="Arial" w:cs="Arial" w:eastAsia="Arial" w:hint="default"/>
                <w:spacing w:val="-8"/>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年至</w:t>
            </w:r>
            <w:r>
              <w:rPr>
                <w:rFonts w:ascii="宋体" w:hAnsi="宋体" w:cs="宋体" w:eastAsia="宋体" w:hint="default"/>
                <w:spacing w:val="-51"/>
                <w:sz w:val="18"/>
                <w:szCs w:val="18"/>
              </w:rPr>
              <w:t> </w:t>
            </w:r>
            <w:r>
              <w:rPr>
                <w:rFonts w:ascii="Arial" w:hAnsi="Arial" w:cs="Arial" w:eastAsia="Arial" w:hint="default"/>
                <w:sz w:val="18"/>
                <w:szCs w:val="18"/>
              </w:rPr>
              <w:t>2017</w:t>
            </w:r>
            <w:r>
              <w:rPr>
                <w:rFonts w:ascii="Arial" w:hAnsi="Arial" w:cs="Arial" w:eastAsia="Arial" w:hint="default"/>
                <w:spacing w:val="-11"/>
                <w:sz w:val="18"/>
                <w:szCs w:val="18"/>
              </w:rPr>
              <w:t> </w:t>
            </w:r>
            <w:r>
              <w:rPr>
                <w:rFonts w:ascii="宋体" w:hAnsi="宋体" w:cs="宋体" w:eastAsia="宋体" w:hint="default"/>
                <w:sz w:val="18"/>
                <w:szCs w:val="18"/>
              </w:rPr>
              <w:t>年按</w:t>
            </w:r>
            <w:r>
              <w:rPr>
                <w:rFonts w:ascii="宋体" w:hAnsi="宋体" w:cs="宋体" w:eastAsia="宋体" w:hint="default"/>
                <w:spacing w:val="-51"/>
                <w:sz w:val="18"/>
                <w:szCs w:val="18"/>
              </w:rPr>
              <w:t> </w:t>
            </w:r>
            <w:r>
              <w:rPr>
                <w:rFonts w:ascii="Arial" w:hAnsi="Arial" w:cs="Arial" w:eastAsia="Arial" w:hint="default"/>
                <w:sz w:val="18"/>
                <w:szCs w:val="18"/>
              </w:rPr>
              <w:t>12.5%</w:t>
            </w:r>
            <w:r>
              <w:rPr>
                <w:rFonts w:ascii="宋体" w:hAnsi="宋体" w:cs="宋体" w:eastAsia="宋体" w:hint="default"/>
                <w:sz w:val="18"/>
                <w:szCs w:val="18"/>
              </w:rPr>
              <w:t>的税率计缴企业所得税。</w:t>
            </w:r>
          </w:p>
        </w:tc>
      </w:tr>
      <w:tr>
        <w:trPr>
          <w:trHeight w:val="634" w:hRule="exact"/>
        </w:trPr>
        <w:tc>
          <w:tcPr>
            <w:tcW w:w="478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left="108" w:right="0"/>
              <w:jc w:val="left"/>
              <w:rPr>
                <w:rFonts w:ascii="宋体" w:hAnsi="宋体" w:cs="宋体" w:eastAsia="宋体" w:hint="default"/>
                <w:sz w:val="18"/>
                <w:szCs w:val="18"/>
              </w:rPr>
            </w:pPr>
            <w:r>
              <w:rPr>
                <w:rFonts w:ascii="宋体" w:hAnsi="宋体" w:cs="宋体" w:eastAsia="宋体" w:hint="default"/>
                <w:sz w:val="18"/>
                <w:szCs w:val="18"/>
              </w:rPr>
              <w:t>爱施德（香港）有限公司</w:t>
            </w:r>
          </w:p>
        </w:tc>
        <w:tc>
          <w:tcPr>
            <w:tcW w:w="4786" w:type="dxa"/>
            <w:tcBorders>
              <w:top w:val="single" w:sz="4" w:space="0" w:color="5B9BD4"/>
              <w:left w:val="nil" w:sz="6" w:space="0" w:color="auto"/>
              <w:bottom w:val="single" w:sz="4" w:space="0" w:color="5B9BD4"/>
              <w:right w:val="nil" w:sz="6" w:space="0" w:color="auto"/>
            </w:tcBorders>
          </w:tcPr>
          <w:p>
            <w:pPr>
              <w:pStyle w:val="TableParagraph"/>
              <w:spacing w:line="302" w:lineRule="auto" w:before="5"/>
              <w:ind w:left="1077" w:right="104" w:hanging="894"/>
              <w:jc w:val="left"/>
              <w:rPr>
                <w:rFonts w:ascii="宋体" w:hAnsi="宋体" w:cs="宋体" w:eastAsia="宋体" w:hint="default"/>
                <w:sz w:val="18"/>
                <w:szCs w:val="18"/>
              </w:rPr>
            </w:pPr>
            <w:r>
              <w:rPr>
                <w:rFonts w:ascii="宋体" w:hAnsi="宋体" w:cs="宋体" w:eastAsia="宋体" w:hint="default"/>
                <w:sz w:val="18"/>
                <w:szCs w:val="18"/>
              </w:rPr>
              <w:t>采用地域来源原则征税，源至香港利润部分为</w:t>
            </w:r>
            <w:r>
              <w:rPr>
                <w:rFonts w:ascii="宋体" w:hAnsi="宋体" w:cs="宋体" w:eastAsia="宋体" w:hint="default"/>
                <w:spacing w:val="-65"/>
                <w:sz w:val="18"/>
                <w:szCs w:val="18"/>
              </w:rPr>
              <w:t> </w:t>
            </w:r>
            <w:r>
              <w:rPr>
                <w:rFonts w:ascii="Arial" w:hAnsi="Arial" w:cs="Arial" w:eastAsia="Arial" w:hint="default"/>
                <w:sz w:val="18"/>
                <w:szCs w:val="18"/>
              </w:rPr>
              <w:t>16.5%</w:t>
            </w:r>
            <w:r>
              <w:rPr>
                <w:rFonts w:ascii="宋体" w:hAnsi="宋体" w:cs="宋体" w:eastAsia="宋体" w:hint="default"/>
                <w:sz w:val="18"/>
                <w:szCs w:val="18"/>
              </w:rPr>
              <w:t>，源</w:t>
            </w:r>
            <w:r>
              <w:rPr>
                <w:rFonts w:ascii="宋体" w:hAnsi="宋体" w:cs="宋体" w:eastAsia="宋体" w:hint="default"/>
                <w:spacing w:val="1"/>
                <w:sz w:val="18"/>
                <w:szCs w:val="18"/>
              </w:rPr>
              <w:t> </w:t>
            </w:r>
            <w:r>
              <w:rPr>
                <w:rFonts w:ascii="宋体" w:hAnsi="宋体" w:cs="宋体" w:eastAsia="宋体" w:hint="default"/>
                <w:sz w:val="18"/>
                <w:szCs w:val="18"/>
              </w:rPr>
              <w:t>自其他地方的利润则不需在香港缴纳利得税。</w:t>
            </w:r>
          </w:p>
        </w:tc>
      </w:tr>
      <w:tr>
        <w:trPr>
          <w:trHeight w:val="322" w:hRule="exact"/>
        </w:trPr>
        <w:tc>
          <w:tcPr>
            <w:tcW w:w="478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江西爱施德通信科技有限公司</w:t>
            </w:r>
          </w:p>
        </w:tc>
        <w:tc>
          <w:tcPr>
            <w:tcW w:w="478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spacing w:val="-2"/>
                <w:w w:val="90"/>
                <w:sz w:val="18"/>
              </w:rPr>
              <w:t>20%</w:t>
            </w:r>
            <w:r>
              <w:rPr>
                <w:rFonts w:ascii="Arial"/>
                <w:sz w:val="18"/>
              </w:rPr>
            </w:r>
          </w:p>
        </w:tc>
      </w:tr>
      <w:tr>
        <w:trPr>
          <w:trHeight w:val="322" w:hRule="exact"/>
        </w:trPr>
        <w:tc>
          <w:tcPr>
            <w:tcW w:w="478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合肥酷动数码科技有限公司</w:t>
            </w:r>
          </w:p>
        </w:tc>
        <w:tc>
          <w:tcPr>
            <w:tcW w:w="478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spacing w:val="-2"/>
                <w:w w:val="90"/>
                <w:sz w:val="18"/>
              </w:rPr>
              <w:t>20%</w:t>
            </w:r>
            <w:r>
              <w:rPr>
                <w:rFonts w:ascii="Arial"/>
                <w:sz w:val="18"/>
              </w:rPr>
            </w:r>
          </w:p>
        </w:tc>
      </w:tr>
      <w:tr>
        <w:trPr>
          <w:trHeight w:val="322" w:hRule="exact"/>
        </w:trPr>
        <w:tc>
          <w:tcPr>
            <w:tcW w:w="478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南昌市酷动数码有限责任公司</w:t>
            </w:r>
          </w:p>
        </w:tc>
        <w:tc>
          <w:tcPr>
            <w:tcW w:w="478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spacing w:val="-2"/>
                <w:w w:val="90"/>
                <w:sz w:val="18"/>
              </w:rPr>
              <w:t>20%</w:t>
            </w:r>
            <w:r>
              <w:rPr>
                <w:rFonts w:ascii="Arial"/>
                <w:sz w:val="18"/>
              </w:rPr>
            </w:r>
          </w:p>
        </w:tc>
      </w:tr>
      <w:tr>
        <w:trPr>
          <w:trHeight w:val="323" w:hRule="exact"/>
        </w:trPr>
        <w:tc>
          <w:tcPr>
            <w:tcW w:w="478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金华酷动数码有限公司</w:t>
            </w:r>
          </w:p>
        </w:tc>
        <w:tc>
          <w:tcPr>
            <w:tcW w:w="478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spacing w:val="-2"/>
                <w:w w:val="90"/>
                <w:sz w:val="18"/>
              </w:rPr>
              <w:t>10%</w:t>
            </w:r>
            <w:r>
              <w:rPr>
                <w:rFonts w:ascii="Arial"/>
                <w:sz w:val="18"/>
              </w:rPr>
            </w:r>
          </w:p>
        </w:tc>
      </w:tr>
      <w:tr>
        <w:trPr>
          <w:trHeight w:val="322" w:hRule="exact"/>
        </w:trPr>
        <w:tc>
          <w:tcPr>
            <w:tcW w:w="478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唐山酷动商贸有限公司</w:t>
            </w:r>
          </w:p>
        </w:tc>
        <w:tc>
          <w:tcPr>
            <w:tcW w:w="478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spacing w:val="-2"/>
                <w:w w:val="90"/>
                <w:sz w:val="18"/>
              </w:rPr>
              <w:t>10%</w:t>
            </w:r>
            <w:r>
              <w:rPr>
                <w:rFonts w:ascii="Arial"/>
                <w:sz w:val="18"/>
              </w:rPr>
            </w:r>
          </w:p>
        </w:tc>
      </w:tr>
      <w:tr>
        <w:trPr>
          <w:trHeight w:val="322" w:hRule="exact"/>
        </w:trPr>
        <w:tc>
          <w:tcPr>
            <w:tcW w:w="478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南京酷之动数码产品有限公司</w:t>
            </w:r>
          </w:p>
        </w:tc>
        <w:tc>
          <w:tcPr>
            <w:tcW w:w="478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spacing w:val="-2"/>
                <w:w w:val="90"/>
                <w:sz w:val="18"/>
              </w:rPr>
              <w:t>10%</w:t>
            </w:r>
            <w:r>
              <w:rPr>
                <w:rFonts w:ascii="Arial"/>
                <w:sz w:val="18"/>
              </w:rPr>
            </w:r>
          </w:p>
        </w:tc>
      </w:tr>
      <w:tr>
        <w:trPr>
          <w:trHeight w:val="323" w:hRule="exact"/>
        </w:trPr>
        <w:tc>
          <w:tcPr>
            <w:tcW w:w="478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深圳市网爱金融服务有限公司</w:t>
            </w:r>
          </w:p>
        </w:tc>
        <w:tc>
          <w:tcPr>
            <w:tcW w:w="478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spacing w:val="-2"/>
                <w:w w:val="90"/>
                <w:sz w:val="18"/>
              </w:rPr>
              <w:t>10%</w:t>
            </w:r>
            <w:r>
              <w:rPr>
                <w:rFonts w:ascii="Arial"/>
                <w:sz w:val="18"/>
              </w:rPr>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2、税收优惠" w:id="279"/>
      <w:bookmarkEnd w:id="279"/>
      <w:r>
        <w:rPr>
          <w:b w:val="0"/>
          <w:bCs w:val="0"/>
        </w:rPr>
      </w:r>
      <w:r>
        <w:rPr>
          <w:rFonts w:ascii="Trebuchet MS" w:hAnsi="Trebuchet MS" w:cs="Trebuchet MS" w:eastAsia="Trebuchet MS" w:hint="default"/>
        </w:rPr>
        <w:t>2</w:t>
      </w:r>
      <w:r>
        <w:rPr/>
        <w:t>、税收优惠</w:t>
      </w:r>
      <w:r>
        <w:rPr>
          <w:b w:val="0"/>
          <w:bCs w:val="0"/>
        </w:rPr>
      </w:r>
    </w:p>
    <w:p>
      <w:pPr>
        <w:spacing w:line="240" w:lineRule="auto" w:before="5"/>
        <w:rPr>
          <w:rFonts w:ascii="宋体" w:hAnsi="宋体" w:cs="宋体" w:eastAsia="宋体" w:hint="default"/>
          <w:b/>
          <w:bCs/>
          <w:sz w:val="30"/>
          <w:szCs w:val="30"/>
        </w:rPr>
      </w:pPr>
    </w:p>
    <w:p>
      <w:pPr>
        <w:pStyle w:val="BodyText"/>
        <w:spacing w:line="388" w:lineRule="auto"/>
        <w:ind w:left="213" w:right="1132" w:firstLine="420"/>
        <w:jc w:val="both"/>
      </w:pPr>
      <w:r>
        <w:rPr>
          <w:spacing w:val="-1"/>
        </w:rPr>
        <w:t>①根据西藏自治区人民政府颁发的藏政发</w:t>
      </w:r>
      <w:r>
        <w:rPr>
          <w:rFonts w:ascii="Arial" w:hAnsi="Arial" w:cs="Arial" w:eastAsia="Arial" w:hint="default"/>
          <w:spacing w:val="-1"/>
        </w:rPr>
        <w:t>[2014]51</w:t>
      </w:r>
      <w:r>
        <w:rPr>
          <w:spacing w:val="-1"/>
        </w:rPr>
        <w:t>号文，西藏自治区的企业统一执行西部大开发战略</w:t>
      </w:r>
      <w:r>
        <w:rPr/>
        <w:t> 中企业所得税</w:t>
      </w:r>
      <w:r>
        <w:rPr>
          <w:rFonts w:ascii="Arial" w:hAnsi="Arial" w:cs="Arial" w:eastAsia="Arial" w:hint="default"/>
        </w:rPr>
        <w:t>15%</w:t>
      </w:r>
      <w:r>
        <w:rPr/>
        <w:t>的税率，并自</w:t>
      </w:r>
      <w:r>
        <w:rPr>
          <w:rFonts w:ascii="Arial" w:hAnsi="Arial" w:cs="Arial" w:eastAsia="Arial" w:hint="default"/>
        </w:rPr>
        <w:t>2015</w:t>
      </w:r>
      <w:r>
        <w:rPr/>
        <w:t>年</w:t>
      </w:r>
      <w:r>
        <w:rPr>
          <w:rFonts w:ascii="Arial" w:hAnsi="Arial" w:cs="Arial" w:eastAsia="Arial" w:hint="default"/>
        </w:rPr>
        <w:t>1</w:t>
      </w:r>
      <w:r>
        <w:rPr/>
        <w:t>月</w:t>
      </w:r>
      <w:r>
        <w:rPr>
          <w:rFonts w:ascii="Arial" w:hAnsi="Arial" w:cs="Arial" w:eastAsia="Arial" w:hint="default"/>
        </w:rPr>
        <w:t>1</w:t>
      </w:r>
      <w:r>
        <w:rPr/>
        <w:t>日起至</w:t>
      </w:r>
      <w:r>
        <w:rPr>
          <w:rFonts w:ascii="Arial" w:hAnsi="Arial" w:cs="Arial" w:eastAsia="Arial" w:hint="default"/>
        </w:rPr>
        <w:t>2017</w:t>
      </w:r>
      <w:r>
        <w:rPr/>
        <w:t>年</w:t>
      </w:r>
      <w:r>
        <w:rPr>
          <w:rFonts w:ascii="Arial" w:hAnsi="Arial" w:cs="Arial" w:eastAsia="Arial" w:hint="default"/>
        </w:rPr>
        <w:t>12</w:t>
      </w:r>
      <w:r>
        <w:rPr/>
        <w:t>月</w:t>
      </w:r>
      <w:r>
        <w:rPr>
          <w:rFonts w:ascii="Arial" w:hAnsi="Arial" w:cs="Arial" w:eastAsia="Arial" w:hint="default"/>
        </w:rPr>
        <w:t>31</w:t>
      </w:r>
      <w:r>
        <w:rPr/>
        <w:t>日止，暂免征收西藏自治区企业应缴纳</w:t>
      </w:r>
      <w:r>
        <w:rPr>
          <w:spacing w:val="-94"/>
        </w:rPr>
        <w:t> </w:t>
      </w:r>
      <w:r>
        <w:rPr>
          <w:spacing w:val="-94"/>
        </w:rPr>
      </w:r>
      <w:r>
        <w:rPr/>
        <w:t>的企业所得税中属于地方分享的部分，即实际税率为</w:t>
      </w:r>
      <w:r>
        <w:rPr>
          <w:rFonts w:ascii="Arial" w:hAnsi="Arial" w:cs="Arial" w:eastAsia="Arial" w:hint="default"/>
        </w:rPr>
        <w:t>9%</w:t>
      </w:r>
      <w:r>
        <w:rPr/>
        <w:t>。</w:t>
      </w:r>
    </w:p>
    <w:p>
      <w:pPr>
        <w:spacing w:line="240" w:lineRule="auto" w:before="6"/>
        <w:rPr>
          <w:rFonts w:ascii="宋体" w:hAnsi="宋体" w:cs="宋体" w:eastAsia="宋体" w:hint="default"/>
          <w:sz w:val="14"/>
          <w:szCs w:val="14"/>
        </w:rPr>
      </w:pPr>
    </w:p>
    <w:p>
      <w:pPr>
        <w:pStyle w:val="BodyText"/>
        <w:spacing w:line="388" w:lineRule="auto"/>
        <w:ind w:left="213" w:right="1029" w:firstLine="420"/>
        <w:jc w:val="both"/>
      </w:pPr>
      <w:r>
        <w:rPr/>
        <w:t>②根据</w:t>
      </w:r>
      <w:r>
        <w:rPr>
          <w:rFonts w:ascii="Arial" w:hAnsi="Arial" w:cs="Arial" w:eastAsia="Arial" w:hint="default"/>
        </w:rPr>
        <w:t>2008</w:t>
      </w:r>
      <w:r>
        <w:rPr/>
        <w:t>年</w:t>
      </w:r>
      <w:r>
        <w:rPr>
          <w:rFonts w:ascii="Arial" w:hAnsi="Arial" w:cs="Arial" w:eastAsia="Arial" w:hint="default"/>
        </w:rPr>
        <w:t>1</w:t>
      </w:r>
      <w:r>
        <w:rPr/>
        <w:t>月</w:t>
      </w:r>
      <w:r>
        <w:rPr>
          <w:rFonts w:ascii="Arial" w:hAnsi="Arial" w:cs="Arial" w:eastAsia="Arial" w:hint="default"/>
        </w:rPr>
        <w:t>1</w:t>
      </w:r>
      <w:r>
        <w:rPr/>
        <w:t>月实施的《中华人民共和国企业所得税法》，国家需要重点扶持的高新技术企业， 按</w:t>
      </w:r>
      <w:r>
        <w:rPr>
          <w:rFonts w:ascii="Arial" w:hAnsi="Arial" w:cs="Arial" w:eastAsia="Arial" w:hint="default"/>
        </w:rPr>
        <w:t>15</w:t>
      </w:r>
      <w:r>
        <w:rPr/>
        <w:t>％的税率征收企业所得税。本公司之控股子公司彩梦科技公司按</w:t>
      </w:r>
      <w:r>
        <w:rPr>
          <w:rFonts w:ascii="Arial" w:hAnsi="Arial" w:cs="Arial" w:eastAsia="Arial" w:hint="default"/>
        </w:rPr>
        <w:t>15%</w:t>
      </w:r>
      <w:r>
        <w:rPr/>
        <w:t>的税率计缴企业所得税。</w:t>
      </w:r>
    </w:p>
    <w:p>
      <w:pPr>
        <w:spacing w:line="240" w:lineRule="auto" w:before="6"/>
        <w:rPr>
          <w:rFonts w:ascii="宋体" w:hAnsi="宋体" w:cs="宋体" w:eastAsia="宋体" w:hint="default"/>
          <w:sz w:val="14"/>
          <w:szCs w:val="14"/>
        </w:rPr>
      </w:pPr>
    </w:p>
    <w:p>
      <w:pPr>
        <w:pStyle w:val="BodyText"/>
        <w:spacing w:line="388" w:lineRule="auto"/>
        <w:ind w:left="213" w:right="1129" w:firstLine="420"/>
        <w:jc w:val="both"/>
      </w:pPr>
      <w:r>
        <w:rPr/>
        <w:t>③根据财政部、国家税务总局颁布的财税</w:t>
      </w:r>
      <w:r>
        <w:rPr>
          <w:rFonts w:ascii="Arial" w:hAnsi="Arial" w:cs="Arial" w:eastAsia="Arial" w:hint="default"/>
        </w:rPr>
        <w:t>[2008]1</w:t>
      </w:r>
      <w:r>
        <w:rPr/>
        <w:t>号文件规定，本公司之子公司迈奔灵动公司</w:t>
      </w:r>
      <w:r>
        <w:rPr>
          <w:rFonts w:ascii="Arial" w:hAnsi="Arial" w:cs="Arial" w:eastAsia="Arial" w:hint="default"/>
        </w:rPr>
        <w:t>2013</w:t>
      </w:r>
      <w:r>
        <w:rPr/>
        <w:t>年 </w:t>
      </w:r>
      <w:r>
        <w:rPr>
          <w:rFonts w:ascii="Arial" w:hAnsi="Arial" w:cs="Arial" w:eastAsia="Arial" w:hint="default"/>
        </w:rPr>
        <w:t>12</w:t>
      </w:r>
      <w:r>
        <w:rPr/>
        <w:t>月取得软件生产企业认定证书，</w:t>
      </w:r>
      <w:r>
        <w:rPr>
          <w:rFonts w:ascii="Arial" w:hAnsi="Arial" w:cs="Arial" w:eastAsia="Arial" w:hint="default"/>
        </w:rPr>
        <w:t>2013</w:t>
      </w:r>
      <w:r>
        <w:rPr/>
        <w:t>年和</w:t>
      </w:r>
      <w:r>
        <w:rPr>
          <w:rFonts w:ascii="Arial" w:hAnsi="Arial" w:cs="Arial" w:eastAsia="Arial" w:hint="default"/>
        </w:rPr>
        <w:t>2014</w:t>
      </w:r>
      <w:r>
        <w:rPr/>
        <w:t>年减免企业所得税，</w:t>
      </w:r>
      <w:r>
        <w:rPr>
          <w:rFonts w:ascii="Arial" w:hAnsi="Arial" w:cs="Arial" w:eastAsia="Arial" w:hint="default"/>
        </w:rPr>
        <w:t>2015</w:t>
      </w:r>
      <w:r>
        <w:rPr/>
        <w:t>年至</w:t>
      </w:r>
      <w:r>
        <w:rPr>
          <w:rFonts w:ascii="Arial" w:hAnsi="Arial" w:cs="Arial" w:eastAsia="Arial" w:hint="default"/>
        </w:rPr>
        <w:t>2017</w:t>
      </w:r>
      <w:r>
        <w:rPr/>
        <w:t>年按</w:t>
      </w:r>
      <w:r>
        <w:rPr>
          <w:rFonts w:ascii="Arial" w:hAnsi="Arial" w:cs="Arial" w:eastAsia="Arial" w:hint="default"/>
        </w:rPr>
        <w:t>12.5%</w:t>
      </w:r>
      <w:r>
        <w:rPr/>
        <w:t>的税率计</w:t>
      </w:r>
      <w:r>
        <w:rPr>
          <w:spacing w:val="-102"/>
        </w:rPr>
        <w:t> </w:t>
      </w:r>
      <w:r>
        <w:rPr>
          <w:spacing w:val="-102"/>
        </w:rPr>
      </w:r>
      <w:r>
        <w:rPr/>
        <w:t>缴企业所得税。</w:t>
      </w:r>
    </w:p>
    <w:p>
      <w:pPr>
        <w:spacing w:line="240" w:lineRule="auto" w:before="10"/>
        <w:rPr>
          <w:rFonts w:ascii="宋体" w:hAnsi="宋体" w:cs="宋体" w:eastAsia="宋体" w:hint="default"/>
          <w:sz w:val="16"/>
          <w:szCs w:val="16"/>
        </w:rPr>
      </w:pPr>
    </w:p>
    <w:p>
      <w:pPr>
        <w:pStyle w:val="BodyText"/>
        <w:spacing w:line="388" w:lineRule="auto"/>
        <w:ind w:left="213" w:right="1131" w:firstLine="420"/>
        <w:jc w:val="both"/>
      </w:pPr>
      <w:r>
        <w:rPr>
          <w:spacing w:val="-6"/>
          <w:w w:val="95"/>
        </w:rPr>
        <w:t>根据</w:t>
      </w:r>
      <w:r>
        <w:rPr>
          <w:rFonts w:ascii="Arial" w:hAnsi="Arial" w:cs="Arial" w:eastAsia="Arial" w:hint="default"/>
          <w:spacing w:val="-6"/>
          <w:w w:val="95"/>
        </w:rPr>
        <w:t>2008</w:t>
      </w:r>
      <w:r>
        <w:rPr>
          <w:spacing w:val="-6"/>
          <w:w w:val="95"/>
        </w:rPr>
        <w:t>年</w:t>
      </w:r>
      <w:r>
        <w:rPr>
          <w:rFonts w:ascii="Arial" w:hAnsi="Arial" w:cs="Arial" w:eastAsia="Arial" w:hint="default"/>
          <w:spacing w:val="-6"/>
          <w:w w:val="95"/>
        </w:rPr>
        <w:t>1</w:t>
      </w:r>
      <w:r>
        <w:rPr>
          <w:spacing w:val="-6"/>
          <w:w w:val="95"/>
        </w:rPr>
        <w:t>月</w:t>
      </w:r>
      <w:r>
        <w:rPr>
          <w:rFonts w:ascii="Arial" w:hAnsi="Arial" w:cs="Arial" w:eastAsia="Arial" w:hint="default"/>
          <w:spacing w:val="-6"/>
          <w:w w:val="95"/>
        </w:rPr>
        <w:t>1</w:t>
      </w:r>
      <w:r>
        <w:rPr>
          <w:spacing w:val="-6"/>
          <w:w w:val="95"/>
        </w:rPr>
        <w:t>日实施的《中华人民共和国企业所得税》，国家需要重点扶持的高新技术企业，按</w:t>
      </w:r>
      <w:r>
        <w:rPr>
          <w:rFonts w:ascii="Arial" w:hAnsi="Arial" w:cs="Arial" w:eastAsia="Arial" w:hint="default"/>
          <w:spacing w:val="-6"/>
          <w:w w:val="95"/>
        </w:rPr>
        <w:t>15%</w:t>
      </w:r>
      <w:r>
        <w:rPr>
          <w:rFonts w:ascii="Arial" w:hAnsi="Arial" w:cs="Arial" w:eastAsia="Arial" w:hint="default"/>
          <w:spacing w:val="-12"/>
          <w:w w:val="95"/>
        </w:rPr>
        <w:t> </w:t>
      </w:r>
      <w:r>
        <w:rPr>
          <w:rFonts w:ascii="Arial" w:hAnsi="Arial" w:cs="Arial" w:eastAsia="Arial" w:hint="default"/>
          <w:spacing w:val="-12"/>
          <w:w w:val="95"/>
        </w:rPr>
      </w:r>
      <w:r>
        <w:rPr/>
        <w:t>的税率计缴企业所得税。本公司之子公司迈奔灵动公司于</w:t>
      </w:r>
      <w:r>
        <w:rPr>
          <w:rFonts w:ascii="Arial" w:hAnsi="Arial" w:cs="Arial" w:eastAsia="Arial" w:hint="default"/>
        </w:rPr>
        <w:t>2014</w:t>
      </w:r>
      <w:r>
        <w:rPr/>
        <w:t>年</w:t>
      </w:r>
      <w:r>
        <w:rPr>
          <w:rFonts w:ascii="Arial" w:hAnsi="Arial" w:cs="Arial" w:eastAsia="Arial" w:hint="default"/>
        </w:rPr>
        <w:t>10</w:t>
      </w:r>
      <w:r>
        <w:rPr/>
        <w:t>月</w:t>
      </w:r>
      <w:r>
        <w:rPr>
          <w:rFonts w:ascii="Arial" w:hAnsi="Arial" w:cs="Arial" w:eastAsia="Arial" w:hint="default"/>
        </w:rPr>
        <w:t>22</w:t>
      </w:r>
      <w:r>
        <w:rPr/>
        <w:t>日取得高新技术企业证书，有效</w:t>
      </w:r>
    </w:p>
    <w:p>
      <w:pPr>
        <w:spacing w:after="0" w:line="388" w:lineRule="auto"/>
        <w:jc w:val="both"/>
        <w:sectPr>
          <w:pgSz w:w="11910" w:h="16840"/>
          <w:pgMar w:header="877" w:footer="979" w:top="1100" w:bottom="1160" w:left="920" w:right="0"/>
        </w:sectPr>
      </w:pPr>
    </w:p>
    <w:p>
      <w:pPr>
        <w:spacing w:line="240" w:lineRule="auto" w:before="7"/>
        <w:rPr>
          <w:rFonts w:ascii="宋体" w:hAnsi="宋体" w:cs="宋体" w:eastAsia="宋体" w:hint="default"/>
          <w:sz w:val="27"/>
          <w:szCs w:val="27"/>
        </w:rPr>
      </w:pPr>
    </w:p>
    <w:p>
      <w:pPr>
        <w:pStyle w:val="BodyText"/>
        <w:spacing w:line="240" w:lineRule="auto" w:before="18"/>
        <w:ind w:left="213" w:right="1513"/>
        <w:jc w:val="left"/>
      </w:pPr>
      <w:r>
        <w:rPr/>
        <w:t>期三年。</w:t>
      </w:r>
    </w:p>
    <w:p>
      <w:pPr>
        <w:spacing w:line="240" w:lineRule="auto" w:before="9"/>
        <w:rPr>
          <w:rFonts w:ascii="宋体" w:hAnsi="宋体" w:cs="宋体" w:eastAsia="宋体" w:hint="default"/>
          <w:sz w:val="26"/>
          <w:szCs w:val="26"/>
        </w:rPr>
      </w:pPr>
    </w:p>
    <w:p>
      <w:pPr>
        <w:pStyle w:val="BodyText"/>
        <w:spacing w:line="388" w:lineRule="auto"/>
        <w:ind w:left="213" w:right="1131" w:firstLine="420"/>
        <w:jc w:val="both"/>
      </w:pPr>
      <w:r>
        <w:rPr/>
        <w:t>④根据《香港法例》第</w:t>
      </w:r>
      <w:r>
        <w:rPr>
          <w:rFonts w:ascii="Arial" w:hAnsi="Arial" w:cs="Arial" w:eastAsia="Arial" w:hint="default"/>
        </w:rPr>
        <w:t>112</w:t>
      </w:r>
      <w:r>
        <w:rPr/>
        <w:t>章，《税务条例》第</w:t>
      </w:r>
      <w:r>
        <w:rPr>
          <w:rFonts w:ascii="Arial" w:hAnsi="Arial" w:cs="Arial" w:eastAsia="Arial" w:hint="default"/>
        </w:rPr>
        <w:t>14</w:t>
      </w:r>
      <w:r>
        <w:rPr/>
        <w:t>条，香港采用地域来源原则征税，即只有源自香港 的利润才需在香港课税，而源自其他地方的利润则不需在香港缴纳利得税。</w:t>
      </w:r>
    </w:p>
    <w:p>
      <w:pPr>
        <w:spacing w:line="240" w:lineRule="auto" w:before="10"/>
        <w:rPr>
          <w:rFonts w:ascii="宋体" w:hAnsi="宋体" w:cs="宋体" w:eastAsia="宋体" w:hint="default"/>
          <w:sz w:val="16"/>
          <w:szCs w:val="16"/>
        </w:rPr>
      </w:pPr>
    </w:p>
    <w:p>
      <w:pPr>
        <w:pStyle w:val="BodyText"/>
        <w:spacing w:line="388" w:lineRule="auto"/>
        <w:ind w:left="213" w:right="1131" w:firstLine="420"/>
        <w:jc w:val="both"/>
      </w:pPr>
      <w:r>
        <w:rPr>
          <w:spacing w:val="-2"/>
        </w:rPr>
        <w:t>⑤根据</w:t>
      </w:r>
      <w:r>
        <w:rPr>
          <w:rFonts w:ascii="Arial" w:hAnsi="Arial" w:cs="Arial" w:eastAsia="Arial" w:hint="default"/>
          <w:spacing w:val="-2"/>
        </w:rPr>
        <w:t>2008</w:t>
      </w:r>
      <w:r>
        <w:rPr>
          <w:spacing w:val="-2"/>
        </w:rPr>
        <w:t>年</w:t>
      </w:r>
      <w:r>
        <w:rPr>
          <w:rFonts w:ascii="Arial" w:hAnsi="Arial" w:cs="Arial" w:eastAsia="Arial" w:hint="default"/>
          <w:spacing w:val="-2"/>
        </w:rPr>
        <w:t>1</w:t>
      </w:r>
      <w:r>
        <w:rPr>
          <w:spacing w:val="-2"/>
        </w:rPr>
        <w:t>月</w:t>
      </w:r>
      <w:r>
        <w:rPr>
          <w:rFonts w:ascii="Arial" w:hAnsi="Arial" w:cs="Arial" w:eastAsia="Arial" w:hint="default"/>
          <w:spacing w:val="-2"/>
        </w:rPr>
        <w:t>1</w:t>
      </w:r>
      <w:r>
        <w:rPr>
          <w:spacing w:val="-2"/>
        </w:rPr>
        <w:t>日实施的《中华人民共和国企业所得税》，本公司之子公司江西爱施德通信科技有</w:t>
      </w:r>
      <w:r>
        <w:rPr/>
        <w:t> </w:t>
      </w:r>
      <w:r>
        <w:rPr>
          <w:spacing w:val="-2"/>
        </w:rPr>
        <w:t>限公司、合肥酷动数码科技有限公司和南昌市酷动数码有限责任公司</w:t>
      </w:r>
      <w:r>
        <w:rPr>
          <w:rFonts w:ascii="Arial" w:hAnsi="Arial" w:cs="Arial" w:eastAsia="Arial" w:hint="default"/>
          <w:spacing w:val="-2"/>
        </w:rPr>
        <w:t>2015</w:t>
      </w:r>
      <w:r>
        <w:rPr>
          <w:spacing w:val="-2"/>
        </w:rPr>
        <w:t>年度符合小型微利企业的规定条</w:t>
      </w:r>
      <w:r>
        <w:rPr>
          <w:spacing w:val="-79"/>
        </w:rPr>
        <w:t> </w:t>
      </w:r>
      <w:r>
        <w:rPr/>
        <w:t>件，企业所得税减按</w:t>
      </w:r>
      <w:r>
        <w:rPr>
          <w:rFonts w:ascii="Arial" w:hAnsi="Arial" w:cs="Arial" w:eastAsia="Arial" w:hint="default"/>
        </w:rPr>
        <w:t>20%</w:t>
      </w:r>
      <w:r>
        <w:rPr/>
        <w:t>计缴。</w:t>
      </w:r>
    </w:p>
    <w:p>
      <w:pPr>
        <w:spacing w:line="240" w:lineRule="auto" w:before="6"/>
        <w:rPr>
          <w:rFonts w:ascii="宋体" w:hAnsi="宋体" w:cs="宋体" w:eastAsia="宋体" w:hint="default"/>
          <w:sz w:val="14"/>
          <w:szCs w:val="14"/>
        </w:rPr>
      </w:pPr>
    </w:p>
    <w:p>
      <w:pPr>
        <w:pStyle w:val="BodyText"/>
        <w:spacing w:line="388" w:lineRule="auto"/>
        <w:ind w:left="213" w:right="1130" w:firstLine="420"/>
        <w:jc w:val="both"/>
      </w:pPr>
      <w:r>
        <w:rPr>
          <w:spacing w:val="-4"/>
          <w:w w:val="100"/>
        </w:rPr>
        <w:t>⑥根据财政部、国家税务总局颁布的财税</w:t>
      </w:r>
      <w:r>
        <w:rPr>
          <w:rFonts w:ascii="Arial" w:hAnsi="Arial" w:cs="Arial" w:eastAsia="Arial" w:hint="default"/>
          <w:spacing w:val="-4"/>
          <w:w w:val="100"/>
        </w:rPr>
        <w:t>[2014]34</w:t>
      </w:r>
      <w:r>
        <w:rPr>
          <w:spacing w:val="-4"/>
          <w:w w:val="100"/>
        </w:rPr>
        <w:t>号文件规定，自</w:t>
      </w:r>
      <w:r>
        <w:rPr>
          <w:rFonts w:ascii="Arial" w:hAnsi="Arial" w:cs="Arial" w:eastAsia="Arial" w:hint="default"/>
          <w:spacing w:val="-4"/>
          <w:w w:val="100"/>
        </w:rPr>
        <w:t>2014</w:t>
      </w:r>
      <w:r>
        <w:rPr>
          <w:spacing w:val="-4"/>
          <w:w w:val="100"/>
        </w:rPr>
        <w:t>年</w:t>
      </w:r>
      <w:r>
        <w:rPr>
          <w:rFonts w:ascii="Arial" w:hAnsi="Arial" w:cs="Arial" w:eastAsia="Arial" w:hint="default"/>
          <w:spacing w:val="-4"/>
          <w:w w:val="100"/>
        </w:rPr>
        <w:t>1</w:t>
      </w:r>
      <w:r>
        <w:rPr>
          <w:spacing w:val="-4"/>
          <w:w w:val="100"/>
        </w:rPr>
        <w:t>月</w:t>
      </w:r>
      <w:r>
        <w:rPr>
          <w:rFonts w:ascii="Arial" w:hAnsi="Arial" w:cs="Arial" w:eastAsia="Arial" w:hint="default"/>
          <w:spacing w:val="-4"/>
          <w:w w:val="100"/>
        </w:rPr>
        <w:t>1</w:t>
      </w:r>
      <w:r>
        <w:rPr>
          <w:spacing w:val="-4"/>
          <w:w w:val="100"/>
        </w:rPr>
        <w:t>日至</w:t>
      </w:r>
      <w:r>
        <w:rPr>
          <w:rFonts w:ascii="Arial" w:hAnsi="Arial" w:cs="Arial" w:eastAsia="Arial" w:hint="default"/>
          <w:spacing w:val="-4"/>
          <w:w w:val="100"/>
        </w:rPr>
        <w:t>2016</w:t>
      </w:r>
      <w:r>
        <w:rPr>
          <w:spacing w:val="-4"/>
          <w:w w:val="100"/>
        </w:rPr>
        <w:t>年</w:t>
      </w:r>
      <w:r>
        <w:rPr>
          <w:rFonts w:ascii="Arial" w:hAnsi="Arial" w:cs="Arial" w:eastAsia="Arial" w:hint="default"/>
          <w:spacing w:val="-4"/>
          <w:w w:val="100"/>
        </w:rPr>
        <w:t>12</w:t>
      </w:r>
      <w:r>
        <w:rPr>
          <w:spacing w:val="-4"/>
          <w:w w:val="100"/>
        </w:rPr>
        <w:t>月</w:t>
      </w:r>
      <w:r>
        <w:rPr>
          <w:rFonts w:ascii="Arial" w:hAnsi="Arial" w:cs="Arial" w:eastAsia="Arial" w:hint="default"/>
          <w:spacing w:val="-4"/>
          <w:w w:val="100"/>
        </w:rPr>
        <w:t>31</w:t>
      </w:r>
      <w:r>
        <w:rPr>
          <w:spacing w:val="-4"/>
          <w:w w:val="100"/>
        </w:rPr>
        <w:t>日，</w:t>
      </w:r>
      <w:r>
        <w:rPr/>
        <w:t> </w:t>
      </w:r>
      <w:r>
        <w:rPr>
          <w:spacing w:val="-2"/>
        </w:rPr>
        <w:t>对年应纳税所得额低于</w:t>
      </w:r>
      <w:r>
        <w:rPr>
          <w:rFonts w:ascii="Arial" w:hAnsi="Arial" w:cs="Arial" w:eastAsia="Arial" w:hint="default"/>
          <w:spacing w:val="-2"/>
        </w:rPr>
        <w:t>10</w:t>
      </w:r>
      <w:r>
        <w:rPr>
          <w:spacing w:val="-2"/>
        </w:rPr>
        <w:t>万元（含</w:t>
      </w:r>
      <w:r>
        <w:rPr>
          <w:rFonts w:ascii="Arial" w:hAnsi="Arial" w:cs="Arial" w:eastAsia="Arial" w:hint="default"/>
          <w:spacing w:val="-2"/>
        </w:rPr>
        <w:t>10</w:t>
      </w:r>
      <w:r>
        <w:rPr>
          <w:spacing w:val="-2"/>
        </w:rPr>
        <w:t>万元）的小型微利企业，其所得减按</w:t>
      </w:r>
      <w:r>
        <w:rPr>
          <w:rFonts w:ascii="Arial" w:hAnsi="Arial" w:cs="Arial" w:eastAsia="Arial" w:hint="default"/>
          <w:spacing w:val="-2"/>
        </w:rPr>
        <w:t>50</w:t>
      </w:r>
      <w:r>
        <w:rPr>
          <w:spacing w:val="-2"/>
        </w:rPr>
        <w:t>％计入应纳税所得额，按</w:t>
      </w:r>
      <w:r>
        <w:rPr>
          <w:rFonts w:ascii="Arial" w:hAnsi="Arial" w:cs="Arial" w:eastAsia="Arial" w:hint="default"/>
          <w:spacing w:val="-2"/>
        </w:rPr>
        <w:t>20%</w:t>
      </w:r>
      <w:r>
        <w:rPr>
          <w:rFonts w:ascii="Arial" w:hAnsi="Arial" w:cs="Arial" w:eastAsia="Arial" w:hint="default"/>
          <w:spacing w:val="-54"/>
        </w:rPr>
        <w:t> </w:t>
      </w:r>
      <w:r>
        <w:rPr>
          <w:w w:val="95"/>
        </w:rPr>
        <w:t>的税率缴纳企业所得税，即实际税率为</w:t>
      </w:r>
      <w:r>
        <w:rPr>
          <w:rFonts w:ascii="Arial" w:hAnsi="Arial" w:cs="Arial" w:eastAsia="Arial" w:hint="default"/>
          <w:w w:val="95"/>
        </w:rPr>
        <w:t>10%</w:t>
      </w:r>
      <w:r>
        <w:rPr>
          <w:w w:val="95"/>
        </w:rPr>
        <w:t>。本公司之子公司金华酷动数码有限公司、唐山酷动商贸有限</w:t>
      </w:r>
      <w:r>
        <w:rPr>
          <w:spacing w:val="60"/>
          <w:w w:val="95"/>
        </w:rPr>
        <w:t> </w:t>
      </w:r>
      <w:r>
        <w:rPr>
          <w:spacing w:val="60"/>
          <w:w w:val="95"/>
        </w:rPr>
      </w:r>
      <w:r>
        <w:rPr/>
        <w:t>公司、南京酷之动数码产品有限公司和深圳市网爱金融服务有限公司符合规定条件，减按</w:t>
      </w:r>
      <w:r>
        <w:rPr>
          <w:rFonts w:ascii="Arial" w:hAnsi="Arial" w:cs="Arial" w:eastAsia="Arial" w:hint="default"/>
        </w:rPr>
        <w:t>10%</w:t>
      </w:r>
      <w:r>
        <w:rPr/>
        <w:t>计缴。</w:t>
      </w:r>
    </w:p>
    <w:p>
      <w:pPr>
        <w:pStyle w:val="Heading2"/>
        <w:spacing w:line="240" w:lineRule="auto" w:before="93"/>
        <w:ind w:left="213" w:right="1513"/>
        <w:jc w:val="left"/>
        <w:rPr>
          <w:rFonts w:ascii="宋体" w:hAnsi="宋体" w:cs="宋体" w:eastAsia="宋体" w:hint="default"/>
          <w:b w:val="0"/>
          <w:bCs w:val="0"/>
        </w:rPr>
      </w:pPr>
      <w:bookmarkStart w:name="七、合并财务报表项目注释" w:id="280"/>
      <w:bookmarkEnd w:id="280"/>
      <w:r>
        <w:rPr>
          <w:b w:val="0"/>
          <w:bCs w:val="0"/>
        </w:rPr>
      </w:r>
      <w:bookmarkStart w:name="_bookmark80" w:id="281"/>
      <w:bookmarkEnd w:id="281"/>
      <w:r>
        <w:rPr>
          <w:b w:val="0"/>
          <w:bCs w:val="0"/>
        </w:rPr>
      </w:r>
      <w:r>
        <w:rPr>
          <w:rFonts w:ascii="宋体" w:hAnsi="宋体" w:cs="宋体" w:eastAsia="宋体" w:hint="default"/>
        </w:rPr>
        <w:t>七、合并财务报表项目注释</w:t>
      </w:r>
      <w:r>
        <w:rPr>
          <w:rFonts w:ascii="宋体" w:hAnsi="宋体" w:cs="宋体" w:eastAsia="宋体" w:hint="default"/>
          <w:b w:val="0"/>
          <w:bCs w:val="0"/>
        </w:rPr>
      </w:r>
    </w:p>
    <w:p>
      <w:pPr>
        <w:spacing w:line="240" w:lineRule="auto" w:before="3"/>
        <w:rPr>
          <w:rFonts w:ascii="宋体" w:hAnsi="宋体" w:cs="宋体" w:eastAsia="宋体" w:hint="default"/>
          <w:b/>
          <w:bCs/>
          <w:sz w:val="24"/>
          <w:szCs w:val="24"/>
        </w:rPr>
      </w:pPr>
    </w:p>
    <w:p>
      <w:pPr>
        <w:pStyle w:val="Heading5"/>
        <w:spacing w:line="240" w:lineRule="auto" w:before="0"/>
        <w:ind w:right="1513"/>
        <w:jc w:val="left"/>
        <w:rPr>
          <w:b w:val="0"/>
          <w:bCs w:val="0"/>
        </w:rPr>
      </w:pPr>
      <w:bookmarkStart w:name="1、货币资金" w:id="282"/>
      <w:bookmarkEnd w:id="282"/>
      <w:r>
        <w:rPr>
          <w:b w:val="0"/>
          <w:bCs w:val="0"/>
        </w:rPr>
      </w:r>
      <w:r>
        <w:rPr>
          <w:rFonts w:ascii="Trebuchet MS" w:hAnsi="Trebuchet MS" w:cs="Trebuchet MS" w:eastAsia="Trebuchet MS" w:hint="default"/>
        </w:rPr>
        <w:t>1</w:t>
      </w:r>
      <w:r>
        <w:rPr/>
        <w:t>、货币资金</w:t>
      </w:r>
      <w:r>
        <w:rPr>
          <w:b w:val="0"/>
          <w:bCs w:val="0"/>
        </w:rPr>
      </w:r>
    </w:p>
    <w:p>
      <w:pPr>
        <w:spacing w:line="240" w:lineRule="auto" w:before="5"/>
        <w:rPr>
          <w:rFonts w:ascii="宋体" w:hAnsi="宋体" w:cs="宋体" w:eastAsia="宋体" w:hint="default"/>
          <w:b/>
          <w:bCs/>
          <w:sz w:val="30"/>
          <w:szCs w:val="30"/>
        </w:rPr>
      </w:pPr>
    </w:p>
    <w:p>
      <w:pPr>
        <w:pStyle w:val="BodyText"/>
        <w:spacing w:line="240" w:lineRule="auto"/>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190"/>
        <w:gridCol w:w="3190"/>
        <w:gridCol w:w="3190"/>
      </w:tblGrid>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355,890.17</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3,565,598.63</w:t>
            </w:r>
            <w:r>
              <w:rPr>
                <w:rFonts w:ascii="Arial"/>
                <w:sz w:val="18"/>
              </w:rPr>
            </w: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spacing w:val="-1"/>
                <w:sz w:val="18"/>
              </w:rPr>
              <w:t>1,509,729,407.63</w:t>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1,210,548,991.59</w:t>
            </w: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spacing w:val="-1"/>
                <w:sz w:val="18"/>
              </w:rPr>
              <w:t>1,519,737,309.71</w:t>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972,534,612.72</w:t>
            </w:r>
            <w:r>
              <w:rPr>
                <w:rFonts w:ascii="Arial"/>
                <w:sz w:val="18"/>
              </w:rPr>
            </w: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spacing w:val="-1"/>
                <w:sz w:val="18"/>
              </w:rPr>
              <w:t>3,029,822,607.51</w:t>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2,186,649,202.94</w:t>
            </w: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288"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26,857,589.20</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148,504,225.68</w:t>
            </w:r>
            <w:r>
              <w:rPr>
                <w:rFonts w:ascii="Arial"/>
                <w:sz w:val="18"/>
              </w:rPr>
            </w:r>
          </w:p>
        </w:tc>
      </w:tr>
    </w:tbl>
    <w:p>
      <w:pPr>
        <w:spacing w:line="240" w:lineRule="auto" w:before="0"/>
        <w:rPr>
          <w:rFonts w:ascii="宋体" w:hAnsi="宋体" w:cs="宋体" w:eastAsia="宋体" w:hint="default"/>
          <w:sz w:val="15"/>
          <w:szCs w:val="15"/>
        </w:rPr>
      </w:pPr>
    </w:p>
    <w:p>
      <w:pPr>
        <w:pStyle w:val="BodyText"/>
        <w:spacing w:line="240" w:lineRule="auto" w:before="18"/>
        <w:ind w:left="634" w:right="1513"/>
        <w:jc w:val="left"/>
      </w:pPr>
      <w:r>
        <w:rPr/>
        <w:t>其他说明</w:t>
      </w:r>
    </w:p>
    <w:p>
      <w:pPr>
        <w:spacing w:line="240" w:lineRule="auto" w:before="9"/>
        <w:rPr>
          <w:rFonts w:ascii="宋体" w:hAnsi="宋体" w:cs="宋体" w:eastAsia="宋体" w:hint="default"/>
          <w:sz w:val="26"/>
          <w:szCs w:val="26"/>
        </w:rPr>
      </w:pPr>
    </w:p>
    <w:p>
      <w:pPr>
        <w:pStyle w:val="BodyText"/>
        <w:spacing w:line="388" w:lineRule="auto"/>
        <w:ind w:left="213" w:right="419" w:firstLine="420"/>
        <w:jc w:val="left"/>
      </w:pPr>
      <w:r>
        <w:rPr/>
        <w:t>注：其他货币资金年末余额主要为银行承兑汇票保证金</w:t>
      </w:r>
      <w:r>
        <w:rPr>
          <w:rFonts w:ascii="Arial" w:hAnsi="Arial" w:cs="Arial" w:eastAsia="Arial" w:hint="default"/>
        </w:rPr>
        <w:t>212,326.40</w:t>
      </w:r>
      <w:r>
        <w:rPr/>
        <w:t>元，保函保证金</w:t>
      </w:r>
      <w:r>
        <w:rPr>
          <w:rFonts w:ascii="Arial" w:hAnsi="Arial" w:cs="Arial" w:eastAsia="Arial" w:hint="default"/>
        </w:rPr>
        <w:t>1,512,476,510.75</w:t>
      </w:r>
      <w:r>
        <w:rPr>
          <w:rFonts w:ascii="Arial" w:hAnsi="Arial" w:cs="Arial" w:eastAsia="Arial" w:hint="default"/>
          <w:w w:val="99"/>
        </w:rPr>
        <w:t> </w:t>
      </w:r>
      <w:r>
        <w:rPr/>
        <w:t>元，在途资金</w:t>
      </w:r>
      <w:r>
        <w:rPr>
          <w:rFonts w:ascii="Arial" w:hAnsi="Arial" w:cs="Arial" w:eastAsia="Arial" w:hint="default"/>
        </w:rPr>
        <w:t>6,848,472.56</w:t>
      </w:r>
      <w:r>
        <w:rPr/>
        <w:t>元，其他保证金</w:t>
      </w:r>
      <w:r>
        <w:rPr>
          <w:rFonts w:ascii="Arial" w:hAnsi="Arial" w:cs="Arial" w:eastAsia="Arial" w:hint="default"/>
        </w:rPr>
        <w:t>200,000.00</w:t>
      </w:r>
      <w:r>
        <w:rPr/>
        <w:t>元。</w:t>
      </w:r>
    </w:p>
    <w:p>
      <w:pPr>
        <w:pStyle w:val="Heading5"/>
        <w:spacing w:line="240" w:lineRule="auto" w:before="112"/>
        <w:ind w:right="1513"/>
        <w:jc w:val="left"/>
        <w:rPr>
          <w:b w:val="0"/>
          <w:bCs w:val="0"/>
        </w:rPr>
      </w:pPr>
      <w:bookmarkStart w:name="2、以公允价值计量且其变动计入当期损益的金融资产" w:id="283"/>
      <w:bookmarkEnd w:id="283"/>
      <w:r>
        <w:rPr>
          <w:b w:val="0"/>
          <w:bCs w:val="0"/>
        </w:rPr>
      </w:r>
      <w:r>
        <w:rPr>
          <w:rFonts w:ascii="Trebuchet MS" w:hAnsi="Trebuchet MS" w:cs="Trebuchet MS" w:eastAsia="Trebuchet MS" w:hint="default"/>
        </w:rPr>
        <w:t>2</w:t>
      </w:r>
      <w:r>
        <w:rPr/>
        <w:t>、以公允价值计量且其变动计入当期损益的金融资产</w:t>
      </w:r>
      <w:r>
        <w:rPr>
          <w:b w:val="0"/>
          <w:bCs w:val="0"/>
        </w:rPr>
      </w:r>
    </w:p>
    <w:p>
      <w:pPr>
        <w:spacing w:line="240" w:lineRule="auto" w:before="5"/>
        <w:rPr>
          <w:rFonts w:ascii="宋体" w:hAnsi="宋体" w:cs="宋体" w:eastAsia="宋体" w:hint="default"/>
          <w:b/>
          <w:bCs/>
          <w:sz w:val="30"/>
          <w:szCs w:val="30"/>
        </w:rPr>
      </w:pPr>
    </w:p>
    <w:p>
      <w:pPr>
        <w:pStyle w:val="BodyText"/>
        <w:spacing w:line="240" w:lineRule="auto"/>
        <w:ind w:left="0" w:right="1129"/>
        <w:jc w:val="right"/>
      </w:pPr>
      <w:r>
        <w:rPr/>
        <w:t>单位： 元</w:t>
      </w:r>
    </w:p>
    <w:p>
      <w:pPr>
        <w:spacing w:line="240" w:lineRule="auto" w:before="5"/>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190"/>
        <w:gridCol w:w="3190"/>
        <w:gridCol w:w="3190"/>
      </w:tblGrid>
      <w:tr>
        <w:trPr>
          <w:trHeight w:val="317"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6"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90" w:type="dxa"/>
            <w:tcBorders>
              <w:top w:val="single" w:sz="4" w:space="0" w:color="5B9BD4"/>
              <w:left w:val="nil" w:sz="6" w:space="0" w:color="auto"/>
              <w:bottom w:val="single" w:sz="4" w:space="0" w:color="5B9BD4"/>
              <w:right w:val="nil" w:sz="6" w:space="0" w:color="auto"/>
            </w:tcBorders>
          </w:tcPr>
          <w:p>
            <w:pP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5"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201"/>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 期损益的金融资产</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18"/>
                <w:szCs w:val="18"/>
              </w:rPr>
            </w:pPr>
            <w:r>
              <w:rPr>
                <w:rFonts w:ascii="Arial"/>
                <w:w w:val="95"/>
                <w:sz w:val="18"/>
              </w:rPr>
              <w:t>30,565,784.60</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7,480,141.92</w:t>
            </w:r>
            <w:r>
              <w:rPr>
                <w:rFonts w:ascii="Arial"/>
                <w:sz w:val="18"/>
              </w:rPr>
            </w: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1281"/>
              <w:jc w:val="right"/>
              <w:rPr>
                <w:rFonts w:ascii="宋体" w:hAnsi="宋体" w:cs="宋体" w:eastAsia="宋体" w:hint="default"/>
                <w:sz w:val="18"/>
                <w:szCs w:val="18"/>
              </w:rPr>
            </w:pPr>
            <w:r>
              <w:rPr>
                <w:rFonts w:ascii="宋体" w:hAnsi="宋体" w:cs="宋体" w:eastAsia="宋体" w:hint="default"/>
                <w:sz w:val="18"/>
                <w:szCs w:val="18"/>
              </w:rPr>
              <w:t>其中：债务工具投资</w:t>
            </w:r>
          </w:p>
        </w:tc>
        <w:tc>
          <w:tcPr>
            <w:tcW w:w="3190" w:type="dxa"/>
            <w:tcBorders>
              <w:top w:val="single" w:sz="4" w:space="0" w:color="5B9BD4"/>
              <w:left w:val="nil" w:sz="6" w:space="0" w:color="auto"/>
              <w:bottom w:val="single" w:sz="4" w:space="0" w:color="5B9BD4"/>
              <w:right w:val="nil" w:sz="6" w:space="0" w:color="auto"/>
            </w:tcBorders>
          </w:tcPr>
          <w:p>
            <w:pP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279"/>
              <w:jc w:val="right"/>
              <w:rPr>
                <w:rFonts w:ascii="宋体" w:hAnsi="宋体" w:cs="宋体" w:eastAsia="宋体" w:hint="default"/>
                <w:sz w:val="18"/>
                <w:szCs w:val="18"/>
              </w:rPr>
            </w:pPr>
            <w:r>
              <w:rPr>
                <w:rFonts w:ascii="宋体" w:hAnsi="宋体" w:cs="宋体" w:eastAsia="宋体" w:hint="default"/>
                <w:sz w:val="18"/>
                <w:szCs w:val="18"/>
              </w:rPr>
              <w:t>权益工具投资</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30,565,784.60</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7,480,141.92</w:t>
            </w:r>
            <w:r>
              <w:rPr>
                <w:rFonts w:ascii="Arial"/>
                <w:sz w:val="18"/>
              </w:rPr>
            </w:r>
          </w:p>
        </w:tc>
      </w:tr>
    </w:tbl>
    <w:p>
      <w:pPr>
        <w:spacing w:after="0" w:line="240" w:lineRule="auto"/>
        <w:jc w:val="right"/>
        <w:rPr>
          <w:rFonts w:ascii="Arial" w:hAnsi="Arial" w:cs="Arial" w:eastAsia="Arial" w:hint="default"/>
          <w:sz w:val="18"/>
          <w:szCs w:val="18"/>
        </w:rPr>
        <w:sectPr>
          <w:pgSz w:w="11910" w:h="16840"/>
          <w:pgMar w:header="877" w:footer="979" w:top="1100" w:bottom="1160" w:left="920" w:right="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3190"/>
        <w:gridCol w:w="3190"/>
        <w:gridCol w:w="3190"/>
      </w:tblGrid>
      <w:tr>
        <w:trPr>
          <w:trHeight w:val="323"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933" w:right="0"/>
              <w:jc w:val="left"/>
              <w:rPr>
                <w:rFonts w:ascii="Arial" w:hAnsi="Arial" w:cs="Arial" w:eastAsia="Arial" w:hint="default"/>
                <w:sz w:val="18"/>
                <w:szCs w:val="18"/>
              </w:rPr>
            </w:pPr>
            <w:r>
              <w:rPr>
                <w:rFonts w:ascii="Arial"/>
                <w:sz w:val="18"/>
              </w:rPr>
              <w:t>30,565,784.60</w:t>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2035" w:right="0"/>
              <w:jc w:val="left"/>
              <w:rPr>
                <w:rFonts w:ascii="Arial" w:hAnsi="Arial" w:cs="Arial" w:eastAsia="Arial" w:hint="default"/>
                <w:sz w:val="18"/>
                <w:szCs w:val="18"/>
              </w:rPr>
            </w:pPr>
            <w:r>
              <w:rPr>
                <w:rFonts w:ascii="Arial"/>
                <w:sz w:val="18"/>
              </w:rPr>
              <w:t>7,480,141.92</w:t>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3、应收票据" w:id="284"/>
      <w:bookmarkEnd w:id="284"/>
      <w:r>
        <w:rPr>
          <w:b w:val="0"/>
          <w:bCs w:val="0"/>
        </w:rPr>
      </w:r>
      <w:r>
        <w:rPr>
          <w:rFonts w:ascii="Trebuchet MS" w:hAnsi="Trebuchet MS" w:cs="Trebuchet MS" w:eastAsia="Trebuchet MS" w:hint="default"/>
        </w:rPr>
        <w:t>3</w:t>
      </w:r>
      <w:r>
        <w:rPr/>
        <w:t>、应收票据</w:t>
      </w:r>
      <w:r>
        <w:rPr>
          <w:b w:val="0"/>
          <w:bCs w:val="0"/>
        </w:rPr>
      </w:r>
    </w:p>
    <w:p>
      <w:pPr>
        <w:spacing w:line="240" w:lineRule="auto" w:before="7"/>
        <w:rPr>
          <w:rFonts w:ascii="宋体" w:hAnsi="宋体" w:cs="宋体" w:eastAsia="宋体" w:hint="default"/>
          <w:b/>
          <w:bCs/>
          <w:sz w:val="24"/>
          <w:szCs w:val="24"/>
        </w:rPr>
      </w:pPr>
    </w:p>
    <w:p>
      <w:pPr>
        <w:spacing w:before="0"/>
        <w:ind w:left="636" w:right="1513" w:firstLine="0"/>
        <w:jc w:val="left"/>
        <w:rPr>
          <w:rFonts w:ascii="宋体" w:hAnsi="宋体" w:cs="宋体" w:eastAsia="宋体" w:hint="default"/>
          <w:sz w:val="21"/>
          <w:szCs w:val="21"/>
        </w:rPr>
      </w:pPr>
      <w:bookmarkStart w:name="（1）应收票据分类列示" w:id="285"/>
      <w:bookmarkEnd w:id="285"/>
      <w:r>
        <w:rPr/>
      </w:r>
      <w:r>
        <w:rPr>
          <w:rFonts w:ascii="宋体" w:hAnsi="宋体" w:cs="宋体" w:eastAsia="宋体" w:hint="default"/>
          <w:b/>
          <w:bCs/>
          <w:sz w:val="21"/>
          <w:szCs w:val="21"/>
        </w:rPr>
        <w:t>（</w:t>
      </w:r>
      <w:r>
        <w:rPr>
          <w:rFonts w:ascii="Trebuchet MS" w:hAnsi="Trebuchet MS" w:cs="Trebuchet MS" w:eastAsia="Trebuchet MS" w:hint="default"/>
          <w:b/>
          <w:bCs/>
          <w:sz w:val="21"/>
          <w:szCs w:val="21"/>
        </w:rPr>
        <w:t>1</w:t>
      </w:r>
      <w:r>
        <w:rPr>
          <w:rFonts w:ascii="宋体" w:hAnsi="宋体" w:cs="宋体" w:eastAsia="宋体" w:hint="default"/>
          <w:b/>
          <w:bCs/>
          <w:sz w:val="21"/>
          <w:szCs w:val="21"/>
        </w:rPr>
        <w:t>）应收票据分类列示</w:t>
      </w:r>
      <w:r>
        <w:rPr>
          <w:rFonts w:ascii="宋体" w:hAnsi="宋体" w:cs="宋体" w:eastAsia="宋体" w:hint="default"/>
          <w:sz w:val="21"/>
          <w:szCs w:val="21"/>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190"/>
        <w:gridCol w:w="3190"/>
        <w:gridCol w:w="3190"/>
      </w:tblGrid>
      <w:tr>
        <w:trPr>
          <w:trHeight w:val="317"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7"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right="107"/>
              <w:jc w:val="right"/>
              <w:rPr>
                <w:rFonts w:ascii="Arial" w:hAnsi="Arial" w:cs="Arial" w:eastAsia="Arial" w:hint="default"/>
                <w:sz w:val="18"/>
                <w:szCs w:val="18"/>
              </w:rPr>
            </w:pPr>
            <w:r>
              <w:rPr>
                <w:rFonts w:ascii="Arial"/>
                <w:w w:val="95"/>
                <w:sz w:val="18"/>
              </w:rPr>
              <w:t>231,556,788.67</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2"/>
              <w:ind w:right="105"/>
              <w:jc w:val="right"/>
              <w:rPr>
                <w:rFonts w:ascii="Arial" w:hAnsi="Arial" w:cs="Arial" w:eastAsia="Arial" w:hint="default"/>
                <w:sz w:val="18"/>
                <w:szCs w:val="18"/>
              </w:rPr>
            </w:pPr>
            <w:r>
              <w:rPr>
                <w:rFonts w:ascii="Arial"/>
                <w:w w:val="95"/>
                <w:sz w:val="18"/>
              </w:rPr>
              <w:t>741,070,598.98</w:t>
            </w:r>
            <w:r>
              <w:rPr>
                <w:rFonts w:ascii="Arial"/>
                <w:sz w:val="18"/>
              </w:rPr>
            </w: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231,556,788.67</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741,070,598.98</w:t>
            </w:r>
            <w:r>
              <w:rPr>
                <w:rFonts w:ascii="Arial"/>
                <w:sz w:val="18"/>
              </w:rPr>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2）期末公司已质押的应收票据" w:id="286"/>
      <w:bookmarkEnd w:id="286"/>
      <w:r>
        <w:rPr>
          <w:b w:val="0"/>
          <w:bCs w:val="0"/>
        </w:rPr>
      </w:r>
      <w:r>
        <w:rPr/>
        <w:t>（</w:t>
      </w:r>
      <w:r>
        <w:rPr>
          <w:rFonts w:ascii="Trebuchet MS" w:hAnsi="Trebuchet MS" w:cs="Trebuchet MS" w:eastAsia="Trebuchet MS" w:hint="default"/>
        </w:rPr>
        <w:t>2</w:t>
      </w:r>
      <w:r>
        <w:rPr/>
        <w:t>）期末公司已质押的应收票据</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5"/>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4785"/>
        <w:gridCol w:w="4784"/>
      </w:tblGrid>
      <w:tr>
        <w:trPr>
          <w:trHeight w:val="317" w:hRule="exact"/>
        </w:trPr>
        <w:tc>
          <w:tcPr>
            <w:tcW w:w="478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326" w:hRule="exact"/>
        </w:trPr>
        <w:tc>
          <w:tcPr>
            <w:tcW w:w="478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84"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right="104"/>
              <w:jc w:val="right"/>
              <w:rPr>
                <w:rFonts w:ascii="Arial" w:hAnsi="Arial" w:cs="Arial" w:eastAsia="Arial" w:hint="default"/>
                <w:sz w:val="18"/>
                <w:szCs w:val="18"/>
              </w:rPr>
            </w:pPr>
            <w:r>
              <w:rPr>
                <w:rFonts w:ascii="Arial"/>
                <w:w w:val="95"/>
                <w:sz w:val="18"/>
              </w:rPr>
              <w:t>144,676,258.00</w:t>
            </w:r>
            <w:r>
              <w:rPr>
                <w:rFonts w:ascii="Arial"/>
                <w:sz w:val="18"/>
              </w:rPr>
            </w:r>
          </w:p>
        </w:tc>
      </w:tr>
      <w:tr>
        <w:trPr>
          <w:trHeight w:val="323" w:hRule="exact"/>
        </w:trPr>
        <w:tc>
          <w:tcPr>
            <w:tcW w:w="478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144,676,258.00</w:t>
            </w:r>
            <w:r>
              <w:rPr>
                <w:rFonts w:ascii="Arial"/>
                <w:sz w:val="18"/>
              </w:rPr>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3）期末公司已背书或贴现且在资产负债表日尚未到期的应收票据" w:id="287"/>
      <w:bookmarkEnd w:id="287"/>
      <w:r>
        <w:rPr>
          <w:b w:val="0"/>
          <w:bCs w:val="0"/>
        </w:rPr>
      </w:r>
      <w:r>
        <w:rPr/>
        <w:t>（</w:t>
      </w:r>
      <w:r>
        <w:rPr>
          <w:rFonts w:ascii="Trebuchet MS" w:hAnsi="Trebuchet MS" w:cs="Trebuchet MS" w:eastAsia="Trebuchet MS" w:hint="default"/>
        </w:rPr>
        <w:t>3</w:t>
      </w:r>
      <w:r>
        <w:rPr/>
        <w:t>）期末公司已背书或贴现且在资产负债表日尚未到期的应收票据</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190"/>
        <w:gridCol w:w="3190"/>
        <w:gridCol w:w="3190"/>
      </w:tblGrid>
      <w:tr>
        <w:trPr>
          <w:trHeight w:val="317" w:hRule="exact"/>
        </w:trPr>
        <w:tc>
          <w:tcPr>
            <w:tcW w:w="9570" w:type="dxa"/>
            <w:gridSpan w:val="3"/>
            <w:tcBorders>
              <w:top w:val="single" w:sz="4" w:space="0" w:color="5B9BD4"/>
              <w:left w:val="nil" w:sz="6" w:space="0" w:color="auto"/>
              <w:bottom w:val="single" w:sz="4" w:space="0" w:color="5B9BD4"/>
              <w:right w:val="nil" w:sz="6" w:space="0" w:color="auto"/>
            </w:tcBorders>
            <w:shd w:val="clear" w:color="auto" w:fill="DEEAF6"/>
          </w:tcPr>
          <w:p>
            <w:pPr>
              <w:pStyle w:val="TableParagraph"/>
              <w:tabs>
                <w:tab w:pos="4063" w:val="left" w:leader="none"/>
                <w:tab w:pos="7165" w:val="left" w:leader="none"/>
              </w:tabs>
              <w:spacing w:line="240" w:lineRule="auto" w:before="5"/>
              <w:ind w:left="1414" w:right="0"/>
              <w:jc w:val="left"/>
              <w:rPr>
                <w:rFonts w:ascii="宋体" w:hAnsi="宋体" w:cs="宋体" w:eastAsia="宋体" w:hint="default"/>
                <w:sz w:val="18"/>
                <w:szCs w:val="18"/>
              </w:rPr>
            </w:pPr>
            <w:r>
              <w:rPr>
                <w:rFonts w:ascii="宋体" w:hAnsi="宋体" w:cs="宋体" w:eastAsia="宋体" w:hint="default"/>
                <w:sz w:val="18"/>
                <w:szCs w:val="18"/>
              </w:rPr>
              <w:t>项目</w:t>
              <w:tab/>
              <w:t>期末终止确认金额</w:t>
              <w:tab/>
              <w:t>期末未终止确认金额</w:t>
            </w:r>
          </w:p>
        </w:tc>
      </w:tr>
      <w:tr>
        <w:trPr>
          <w:trHeight w:val="327"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right="107"/>
              <w:jc w:val="right"/>
              <w:rPr>
                <w:rFonts w:ascii="Arial" w:hAnsi="Arial" w:cs="Arial" w:eastAsia="Arial" w:hint="default"/>
                <w:sz w:val="18"/>
                <w:szCs w:val="18"/>
              </w:rPr>
            </w:pPr>
            <w:r>
              <w:rPr>
                <w:rFonts w:ascii="Arial"/>
                <w:w w:val="95"/>
                <w:sz w:val="18"/>
              </w:rPr>
              <w:t>12,340,000.00</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12,340,000.00</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4、应收账款" w:id="288"/>
      <w:bookmarkEnd w:id="288"/>
      <w:r>
        <w:rPr>
          <w:b w:val="0"/>
          <w:bCs w:val="0"/>
        </w:rPr>
      </w:r>
      <w:r>
        <w:rPr>
          <w:rFonts w:ascii="Trebuchet MS" w:hAnsi="Trebuchet MS" w:cs="Trebuchet MS" w:eastAsia="Trebuchet MS" w:hint="default"/>
        </w:rPr>
        <w:t>4</w:t>
      </w:r>
      <w:r>
        <w:rPr/>
        <w:t>、应收账款</w:t>
      </w:r>
      <w:r>
        <w:rPr>
          <w:b w:val="0"/>
          <w:bCs w:val="0"/>
        </w:rPr>
      </w:r>
    </w:p>
    <w:p>
      <w:pPr>
        <w:spacing w:line="240" w:lineRule="auto" w:before="7"/>
        <w:rPr>
          <w:rFonts w:ascii="宋体" w:hAnsi="宋体" w:cs="宋体" w:eastAsia="宋体" w:hint="default"/>
          <w:b/>
          <w:bCs/>
          <w:sz w:val="24"/>
          <w:szCs w:val="24"/>
        </w:rPr>
      </w:pPr>
    </w:p>
    <w:p>
      <w:pPr>
        <w:spacing w:before="0"/>
        <w:ind w:left="636" w:right="1513" w:firstLine="0"/>
        <w:jc w:val="left"/>
        <w:rPr>
          <w:rFonts w:ascii="宋体" w:hAnsi="宋体" w:cs="宋体" w:eastAsia="宋体" w:hint="default"/>
          <w:sz w:val="21"/>
          <w:szCs w:val="21"/>
        </w:rPr>
      </w:pPr>
      <w:bookmarkStart w:name="（1）应收账款分类披露" w:id="289"/>
      <w:bookmarkEnd w:id="289"/>
      <w:r>
        <w:rPr/>
      </w:r>
      <w:r>
        <w:rPr>
          <w:rFonts w:ascii="宋体" w:hAnsi="宋体" w:cs="宋体" w:eastAsia="宋体" w:hint="default"/>
          <w:b/>
          <w:bCs/>
          <w:sz w:val="21"/>
          <w:szCs w:val="21"/>
        </w:rPr>
        <w:t>（</w:t>
      </w:r>
      <w:r>
        <w:rPr>
          <w:rFonts w:ascii="Trebuchet MS" w:hAnsi="Trebuchet MS" w:cs="Trebuchet MS" w:eastAsia="Trebuchet MS"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635"/>
        <w:gridCol w:w="762"/>
        <w:gridCol w:w="763"/>
        <w:gridCol w:w="761"/>
        <w:gridCol w:w="763"/>
        <w:gridCol w:w="790"/>
        <w:gridCol w:w="654"/>
        <w:gridCol w:w="762"/>
        <w:gridCol w:w="813"/>
        <w:gridCol w:w="932"/>
        <w:gridCol w:w="932"/>
      </w:tblGrid>
      <w:tr>
        <w:trPr>
          <w:trHeight w:val="322" w:hRule="exact"/>
        </w:trPr>
        <w:tc>
          <w:tcPr>
            <w:tcW w:w="1635"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类别</w:t>
            </w:r>
          </w:p>
        </w:tc>
        <w:tc>
          <w:tcPr>
            <w:tcW w:w="762" w:type="dxa"/>
            <w:tcBorders>
              <w:top w:val="single" w:sz="4" w:space="0" w:color="5B9BD4"/>
              <w:left w:val="nil" w:sz="6" w:space="0" w:color="auto"/>
              <w:bottom w:val="single" w:sz="4" w:space="0" w:color="5B9BD4"/>
              <w:right w:val="nil" w:sz="6" w:space="0" w:color="auto"/>
            </w:tcBorders>
            <w:shd w:val="clear" w:color="auto" w:fill="DEEAF6"/>
          </w:tcPr>
          <w:p>
            <w:pPr/>
          </w:p>
        </w:tc>
        <w:tc>
          <w:tcPr>
            <w:tcW w:w="763" w:type="dxa"/>
            <w:tcBorders>
              <w:top w:val="single" w:sz="4" w:space="0" w:color="5B9BD4"/>
              <w:left w:val="nil" w:sz="6" w:space="0" w:color="auto"/>
              <w:bottom w:val="single" w:sz="4" w:space="0" w:color="5B9BD4"/>
              <w:right w:val="nil" w:sz="6" w:space="0" w:color="auto"/>
            </w:tcBorders>
            <w:shd w:val="clear" w:color="auto" w:fill="DEEAF6"/>
          </w:tcPr>
          <w:p>
            <w:pPr/>
          </w:p>
        </w:tc>
        <w:tc>
          <w:tcPr>
            <w:tcW w:w="76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2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763" w:type="dxa"/>
            <w:tcBorders>
              <w:top w:val="single" w:sz="4" w:space="0" w:color="5B9BD4"/>
              <w:left w:val="nil" w:sz="6" w:space="0" w:color="auto"/>
              <w:bottom w:val="single" w:sz="4" w:space="0" w:color="5B9BD4"/>
              <w:right w:val="nil" w:sz="6" w:space="0" w:color="auto"/>
            </w:tcBorders>
            <w:shd w:val="clear" w:color="auto" w:fill="DEEAF6"/>
          </w:tcPr>
          <w:p>
            <w:pPr/>
          </w:p>
        </w:tc>
        <w:tc>
          <w:tcPr>
            <w:tcW w:w="790" w:type="dxa"/>
            <w:tcBorders>
              <w:top w:val="single" w:sz="4" w:space="0" w:color="5B9BD4"/>
              <w:left w:val="nil" w:sz="6" w:space="0" w:color="auto"/>
              <w:bottom w:val="single" w:sz="4" w:space="0" w:color="5B9BD4"/>
              <w:right w:val="nil" w:sz="6" w:space="0" w:color="auto"/>
            </w:tcBorders>
            <w:shd w:val="clear" w:color="auto" w:fill="DEEAF6"/>
          </w:tcPr>
          <w:p>
            <w:pPr/>
          </w:p>
        </w:tc>
        <w:tc>
          <w:tcPr>
            <w:tcW w:w="654" w:type="dxa"/>
            <w:tcBorders>
              <w:top w:val="single" w:sz="4" w:space="0" w:color="5B9BD4"/>
              <w:left w:val="nil" w:sz="6" w:space="0" w:color="auto"/>
              <w:bottom w:val="single" w:sz="4" w:space="0" w:color="5B9BD4"/>
              <w:right w:val="nil" w:sz="6" w:space="0" w:color="auto"/>
            </w:tcBorders>
            <w:shd w:val="clear" w:color="auto" w:fill="DEEAF6"/>
          </w:tcPr>
          <w:p>
            <w:pPr/>
          </w:p>
        </w:tc>
        <w:tc>
          <w:tcPr>
            <w:tcW w:w="762" w:type="dxa"/>
            <w:tcBorders>
              <w:top w:val="single" w:sz="4" w:space="0" w:color="5B9BD4"/>
              <w:left w:val="nil" w:sz="6" w:space="0" w:color="auto"/>
              <w:bottom w:val="single" w:sz="4" w:space="0" w:color="5B9BD4"/>
              <w:right w:val="nil" w:sz="6" w:space="0" w:color="auto"/>
            </w:tcBorders>
            <w:shd w:val="clear" w:color="auto" w:fill="DEEAF6"/>
          </w:tcPr>
          <w:p>
            <w:pPr/>
          </w:p>
        </w:tc>
        <w:tc>
          <w:tcPr>
            <w:tcW w:w="1745"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2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1635" w:type="dxa"/>
            <w:vMerge/>
            <w:tcBorders>
              <w:left w:val="nil" w:sz="6" w:space="0" w:color="auto"/>
              <w:right w:val="nil" w:sz="6" w:space="0" w:color="auto"/>
            </w:tcBorders>
            <w:shd w:val="clear" w:color="auto" w:fill="DEEAF6"/>
          </w:tcPr>
          <w:p>
            <w:pPr/>
          </w:p>
        </w:tc>
        <w:tc>
          <w:tcPr>
            <w:tcW w:w="1525"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0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03" w:right="125"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34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51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75" w:right="194"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634" w:hRule="exact"/>
        </w:trPr>
        <w:tc>
          <w:tcPr>
            <w:tcW w:w="1635" w:type="dxa"/>
            <w:vMerge/>
            <w:tcBorders>
              <w:left w:val="nil" w:sz="6" w:space="0" w:color="auto"/>
              <w:bottom w:val="single" w:sz="4" w:space="0" w:color="5B9BD4"/>
              <w:right w:val="nil" w:sz="6" w:space="0" w:color="auto"/>
            </w:tcBorders>
            <w:shd w:val="clear" w:color="auto" w:fill="DEEAF6"/>
          </w:tcPr>
          <w:p>
            <w:pPr/>
          </w:p>
        </w:tc>
        <w:tc>
          <w:tcPr>
            <w:tcW w:w="76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left="20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291" w:right="109"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nil" w:sz="6" w:space="0" w:color="auto"/>
              <w:bottom w:val="single" w:sz="4" w:space="0" w:color="5B9BD4"/>
              <w:right w:val="nil" w:sz="6" w:space="0" w:color="auto"/>
            </w:tcBorders>
            <w:shd w:val="clear" w:color="auto" w:fill="DEEAF6"/>
          </w:tcPr>
          <w:p>
            <w:pPr/>
          </w:p>
        </w:tc>
        <w:tc>
          <w:tcPr>
            <w:tcW w:w="65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left="14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left="20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left="22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375" w:right="19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nil" w:sz="6" w:space="0" w:color="auto"/>
              <w:bottom w:val="single" w:sz="4" w:space="0" w:color="5B9BD4"/>
              <w:right w:val="nil" w:sz="6" w:space="0" w:color="auto"/>
            </w:tcBorders>
            <w:shd w:val="clear" w:color="auto" w:fill="DEEAF6"/>
          </w:tcPr>
          <w:p>
            <w:pPr/>
          </w:p>
        </w:tc>
      </w:tr>
      <w:tr>
        <w:trPr>
          <w:trHeight w:val="946" w:hRule="exact"/>
        </w:trPr>
        <w:tc>
          <w:tcPr>
            <w:tcW w:w="163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264"/>
              <w:jc w:val="both"/>
              <w:rPr>
                <w:rFonts w:ascii="宋体" w:hAnsi="宋体" w:cs="宋体" w:eastAsia="宋体" w:hint="default"/>
                <w:sz w:val="18"/>
                <w:szCs w:val="18"/>
              </w:rPr>
            </w:pPr>
            <w:r>
              <w:rPr>
                <w:rFonts w:ascii="宋体" w:hAnsi="宋体" w:cs="宋体" w:eastAsia="宋体" w:hint="default"/>
                <w:sz w:val="18"/>
                <w:szCs w:val="18"/>
              </w:rPr>
              <w:t>单项金额重大并 单独计提坏账准 备的应收账款</w:t>
            </w:r>
          </w:p>
        </w:tc>
        <w:tc>
          <w:tcPr>
            <w:tcW w:w="762"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206" w:right="0"/>
              <w:jc w:val="left"/>
              <w:rPr>
                <w:rFonts w:ascii="Arial" w:hAnsi="Arial" w:cs="Arial" w:eastAsia="Arial" w:hint="default"/>
                <w:sz w:val="18"/>
                <w:szCs w:val="18"/>
              </w:rPr>
            </w:pPr>
            <w:r>
              <w:rPr>
                <w:rFonts w:ascii="Arial"/>
                <w:sz w:val="18"/>
              </w:rPr>
              <w:t>31,45</w:t>
            </w:r>
          </w:p>
          <w:p>
            <w:pPr>
              <w:pStyle w:val="TableParagraph"/>
              <w:spacing w:line="240" w:lineRule="auto" w:before="105"/>
              <w:ind w:left="157" w:right="0"/>
              <w:jc w:val="left"/>
              <w:rPr>
                <w:rFonts w:ascii="Arial" w:hAnsi="Arial" w:cs="Arial" w:eastAsia="Arial" w:hint="default"/>
                <w:sz w:val="18"/>
                <w:szCs w:val="18"/>
              </w:rPr>
            </w:pPr>
            <w:r>
              <w:rPr>
                <w:rFonts w:ascii="Arial"/>
                <w:sz w:val="18"/>
              </w:rPr>
              <w:t>8,896.</w:t>
            </w:r>
          </w:p>
          <w:p>
            <w:pPr>
              <w:pStyle w:val="TableParagraph"/>
              <w:spacing w:line="240" w:lineRule="auto" w:before="105"/>
              <w:ind w:left="456" w:right="0"/>
              <w:jc w:val="left"/>
              <w:rPr>
                <w:rFonts w:ascii="Arial" w:hAnsi="Arial" w:cs="Arial" w:eastAsia="Arial" w:hint="default"/>
                <w:sz w:val="18"/>
                <w:szCs w:val="18"/>
              </w:rPr>
            </w:pPr>
            <w:r>
              <w:rPr>
                <w:rFonts w:ascii="Arial"/>
                <w:sz w:val="18"/>
              </w:rPr>
              <w:t>22</w:t>
            </w:r>
          </w:p>
        </w:tc>
        <w:tc>
          <w:tcPr>
            <w:tcW w:w="7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65" w:right="0"/>
              <w:jc w:val="left"/>
              <w:rPr>
                <w:rFonts w:ascii="Arial" w:hAnsi="Arial" w:cs="Arial" w:eastAsia="Arial" w:hint="default"/>
                <w:sz w:val="18"/>
                <w:szCs w:val="18"/>
              </w:rPr>
            </w:pPr>
            <w:r>
              <w:rPr>
                <w:rFonts w:ascii="Arial"/>
                <w:sz w:val="18"/>
              </w:rPr>
              <w:t>3.64%</w:t>
            </w:r>
          </w:p>
        </w:tc>
        <w:tc>
          <w:tcPr>
            <w:tcW w:w="76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203" w:right="0"/>
              <w:jc w:val="left"/>
              <w:rPr>
                <w:rFonts w:ascii="Arial" w:hAnsi="Arial" w:cs="Arial" w:eastAsia="Arial" w:hint="default"/>
                <w:sz w:val="18"/>
                <w:szCs w:val="18"/>
              </w:rPr>
            </w:pPr>
            <w:r>
              <w:rPr>
                <w:rFonts w:ascii="Arial"/>
                <w:sz w:val="18"/>
              </w:rPr>
              <w:t>31,45</w:t>
            </w:r>
          </w:p>
          <w:p>
            <w:pPr>
              <w:pStyle w:val="TableParagraph"/>
              <w:spacing w:line="240" w:lineRule="auto" w:before="105"/>
              <w:ind w:left="154" w:right="0"/>
              <w:jc w:val="left"/>
              <w:rPr>
                <w:rFonts w:ascii="Arial" w:hAnsi="Arial" w:cs="Arial" w:eastAsia="Arial" w:hint="default"/>
                <w:sz w:val="18"/>
                <w:szCs w:val="18"/>
              </w:rPr>
            </w:pPr>
            <w:r>
              <w:rPr>
                <w:rFonts w:ascii="Arial"/>
                <w:sz w:val="18"/>
              </w:rPr>
              <w:t>8,896.</w:t>
            </w:r>
          </w:p>
          <w:p>
            <w:pPr>
              <w:pStyle w:val="TableParagraph"/>
              <w:spacing w:line="240" w:lineRule="auto" w:before="105"/>
              <w:ind w:left="453" w:right="0"/>
              <w:jc w:val="left"/>
              <w:rPr>
                <w:rFonts w:ascii="Arial" w:hAnsi="Arial" w:cs="Arial" w:eastAsia="Arial" w:hint="default"/>
                <w:sz w:val="18"/>
                <w:szCs w:val="18"/>
              </w:rPr>
            </w:pPr>
            <w:r>
              <w:rPr>
                <w:rFonts w:ascii="Arial"/>
                <w:sz w:val="18"/>
              </w:rPr>
              <w:t>22</w:t>
            </w:r>
          </w:p>
        </w:tc>
        <w:tc>
          <w:tcPr>
            <w:tcW w:w="7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06" w:right="0"/>
              <w:jc w:val="left"/>
              <w:rPr>
                <w:rFonts w:ascii="Arial" w:hAnsi="Arial" w:cs="Arial" w:eastAsia="Arial" w:hint="default"/>
                <w:sz w:val="18"/>
                <w:szCs w:val="18"/>
              </w:rPr>
            </w:pPr>
            <w:r>
              <w:rPr>
                <w:rFonts w:ascii="Arial"/>
                <w:sz w:val="18"/>
              </w:rPr>
              <w:t>100.0</w:t>
            </w:r>
          </w:p>
          <w:p>
            <w:pPr>
              <w:pStyle w:val="TableParagraph"/>
              <w:spacing w:line="240" w:lineRule="auto" w:before="105"/>
              <w:ind w:left="416" w:right="0"/>
              <w:jc w:val="left"/>
              <w:rPr>
                <w:rFonts w:ascii="Arial" w:hAnsi="Arial" w:cs="Arial" w:eastAsia="Arial" w:hint="default"/>
                <w:sz w:val="18"/>
                <w:szCs w:val="18"/>
              </w:rPr>
            </w:pPr>
            <w:r>
              <w:rPr>
                <w:rFonts w:ascii="Arial"/>
                <w:sz w:val="18"/>
              </w:rPr>
              <w:t>0%</w:t>
            </w:r>
          </w:p>
        </w:tc>
        <w:tc>
          <w:tcPr>
            <w:tcW w:w="790" w:type="dxa"/>
            <w:tcBorders>
              <w:top w:val="single" w:sz="4" w:space="0" w:color="5B9BD4"/>
              <w:left w:val="nil" w:sz="6" w:space="0" w:color="auto"/>
              <w:bottom w:val="single" w:sz="4" w:space="0" w:color="5B9BD4"/>
              <w:right w:val="nil" w:sz="6" w:space="0" w:color="auto"/>
            </w:tcBorders>
          </w:tcPr>
          <w:p>
            <w:pPr/>
          </w:p>
        </w:tc>
        <w:tc>
          <w:tcPr>
            <w:tcW w:w="654" w:type="dxa"/>
            <w:tcBorders>
              <w:top w:val="single" w:sz="4" w:space="0" w:color="5B9BD4"/>
              <w:left w:val="nil" w:sz="6" w:space="0" w:color="auto"/>
              <w:bottom w:val="single" w:sz="4" w:space="0" w:color="5B9BD4"/>
              <w:right w:val="nil" w:sz="6" w:space="0" w:color="auto"/>
            </w:tcBorders>
            <w:shd w:val="clear" w:color="auto" w:fill="DEEAF6"/>
          </w:tcPr>
          <w:p>
            <w:pPr/>
          </w:p>
        </w:tc>
        <w:tc>
          <w:tcPr>
            <w:tcW w:w="762" w:type="dxa"/>
            <w:tcBorders>
              <w:top w:val="single" w:sz="4" w:space="0" w:color="5B9BD4"/>
              <w:left w:val="nil" w:sz="6" w:space="0" w:color="auto"/>
              <w:bottom w:val="single" w:sz="4" w:space="0" w:color="5B9BD4"/>
              <w:right w:val="nil" w:sz="6" w:space="0" w:color="auto"/>
            </w:tcBorders>
          </w:tcPr>
          <w:p>
            <w:pPr/>
          </w:p>
        </w:tc>
        <w:tc>
          <w:tcPr>
            <w:tcW w:w="813" w:type="dxa"/>
            <w:tcBorders>
              <w:top w:val="single" w:sz="4" w:space="0" w:color="5B9BD4"/>
              <w:left w:val="nil" w:sz="6" w:space="0" w:color="auto"/>
              <w:bottom w:val="single" w:sz="4" w:space="0" w:color="5B9BD4"/>
              <w:right w:val="nil" w:sz="6" w:space="0" w:color="auto"/>
            </w:tcBorders>
            <w:shd w:val="clear" w:color="auto" w:fill="DEEAF6"/>
          </w:tcPr>
          <w:p>
            <w:pPr/>
          </w:p>
        </w:tc>
        <w:tc>
          <w:tcPr>
            <w:tcW w:w="932" w:type="dxa"/>
            <w:tcBorders>
              <w:top w:val="single" w:sz="4" w:space="0" w:color="5B9BD4"/>
              <w:left w:val="nil" w:sz="6" w:space="0" w:color="auto"/>
              <w:bottom w:val="single" w:sz="4" w:space="0" w:color="5B9BD4"/>
              <w:right w:val="nil" w:sz="6" w:space="0" w:color="auto"/>
            </w:tcBorders>
          </w:tcPr>
          <w:p>
            <w:pPr/>
          </w:p>
        </w:tc>
        <w:tc>
          <w:tcPr>
            <w:tcW w:w="93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1259" w:hRule="exact"/>
        </w:trPr>
        <w:tc>
          <w:tcPr>
            <w:tcW w:w="163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sz w:val="12"/>
                <w:szCs w:val="12"/>
              </w:rPr>
            </w:pPr>
          </w:p>
          <w:p>
            <w:pPr>
              <w:pStyle w:val="TableParagraph"/>
              <w:spacing w:line="319" w:lineRule="auto"/>
              <w:ind w:left="108" w:right="264"/>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62"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06" w:right="0"/>
              <w:jc w:val="left"/>
              <w:rPr>
                <w:rFonts w:ascii="Arial" w:hAnsi="Arial" w:cs="Arial" w:eastAsia="Arial" w:hint="default"/>
                <w:sz w:val="18"/>
                <w:szCs w:val="18"/>
              </w:rPr>
            </w:pPr>
            <w:r>
              <w:rPr>
                <w:rFonts w:ascii="Arial"/>
                <w:sz w:val="18"/>
              </w:rPr>
              <w:t>821,4</w:t>
            </w:r>
          </w:p>
          <w:p>
            <w:pPr>
              <w:pStyle w:val="TableParagraph"/>
              <w:spacing w:line="240" w:lineRule="auto" w:before="105"/>
              <w:ind w:left="206" w:right="0"/>
              <w:jc w:val="left"/>
              <w:rPr>
                <w:rFonts w:ascii="Arial" w:hAnsi="Arial" w:cs="Arial" w:eastAsia="Arial" w:hint="default"/>
                <w:sz w:val="18"/>
                <w:szCs w:val="18"/>
              </w:rPr>
            </w:pPr>
            <w:r>
              <w:rPr>
                <w:rFonts w:ascii="Arial"/>
                <w:sz w:val="18"/>
              </w:rPr>
              <w:t>16,39</w:t>
            </w:r>
          </w:p>
          <w:p>
            <w:pPr>
              <w:pStyle w:val="TableParagraph"/>
              <w:spacing w:line="240" w:lineRule="auto" w:before="105"/>
              <w:ind w:left="306" w:right="0"/>
              <w:jc w:val="left"/>
              <w:rPr>
                <w:rFonts w:ascii="Arial" w:hAnsi="Arial" w:cs="Arial" w:eastAsia="Arial" w:hint="default"/>
                <w:sz w:val="18"/>
                <w:szCs w:val="18"/>
              </w:rPr>
            </w:pPr>
            <w:r>
              <w:rPr>
                <w:rFonts w:ascii="Arial"/>
                <w:sz w:val="18"/>
              </w:rPr>
              <w:t>3.62</w:t>
            </w:r>
          </w:p>
        </w:tc>
        <w:tc>
          <w:tcPr>
            <w:tcW w:w="7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7"/>
              <w:jc w:val="right"/>
              <w:rPr>
                <w:rFonts w:ascii="Arial" w:hAnsi="Arial" w:cs="Arial" w:eastAsia="Arial" w:hint="default"/>
                <w:sz w:val="18"/>
                <w:szCs w:val="18"/>
              </w:rPr>
            </w:pPr>
            <w:r>
              <w:rPr>
                <w:rFonts w:ascii="Arial"/>
                <w:w w:val="95"/>
                <w:sz w:val="18"/>
              </w:rPr>
              <w:t>95.00</w:t>
            </w:r>
            <w:r>
              <w:rPr>
                <w:rFonts w:ascii="Arial"/>
                <w:sz w:val="18"/>
              </w:rPr>
            </w:r>
          </w:p>
          <w:p>
            <w:pPr>
              <w:pStyle w:val="TableParagraph"/>
              <w:spacing w:line="240" w:lineRule="auto" w:before="105"/>
              <w:ind w:right="106"/>
              <w:jc w:val="right"/>
              <w:rPr>
                <w:rFonts w:ascii="Arial" w:hAnsi="Arial" w:cs="Arial" w:eastAsia="Arial" w:hint="default"/>
                <w:sz w:val="18"/>
                <w:szCs w:val="18"/>
              </w:rPr>
            </w:pPr>
            <w:r>
              <w:rPr>
                <w:rFonts w:ascii="Arial"/>
                <w:w w:val="87"/>
                <w:sz w:val="18"/>
              </w:rPr>
              <w:t>%</w:t>
            </w:r>
            <w:r>
              <w:rPr>
                <w:rFonts w:ascii="Arial"/>
                <w:sz w:val="18"/>
              </w:rPr>
            </w:r>
          </w:p>
        </w:tc>
        <w:tc>
          <w:tcPr>
            <w:tcW w:w="761"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03" w:right="0"/>
              <w:jc w:val="left"/>
              <w:rPr>
                <w:rFonts w:ascii="Arial" w:hAnsi="Arial" w:cs="Arial" w:eastAsia="Arial" w:hint="default"/>
                <w:sz w:val="18"/>
                <w:szCs w:val="18"/>
              </w:rPr>
            </w:pPr>
            <w:r>
              <w:rPr>
                <w:rFonts w:ascii="Arial"/>
                <w:sz w:val="18"/>
              </w:rPr>
              <w:t>20,94</w:t>
            </w:r>
          </w:p>
          <w:p>
            <w:pPr>
              <w:pStyle w:val="TableParagraph"/>
              <w:spacing w:line="240" w:lineRule="auto" w:before="105"/>
              <w:ind w:left="154" w:right="0"/>
              <w:jc w:val="left"/>
              <w:rPr>
                <w:rFonts w:ascii="Arial" w:hAnsi="Arial" w:cs="Arial" w:eastAsia="Arial" w:hint="default"/>
                <w:sz w:val="18"/>
                <w:szCs w:val="18"/>
              </w:rPr>
            </w:pPr>
            <w:r>
              <w:rPr>
                <w:rFonts w:ascii="Arial"/>
                <w:sz w:val="18"/>
              </w:rPr>
              <w:t>1,700.</w:t>
            </w:r>
          </w:p>
          <w:p>
            <w:pPr>
              <w:pStyle w:val="TableParagraph"/>
              <w:spacing w:line="240" w:lineRule="auto" w:before="105"/>
              <w:ind w:left="453" w:right="0"/>
              <w:jc w:val="left"/>
              <w:rPr>
                <w:rFonts w:ascii="Arial" w:hAnsi="Arial" w:cs="Arial" w:eastAsia="Arial" w:hint="default"/>
                <w:sz w:val="18"/>
                <w:szCs w:val="18"/>
              </w:rPr>
            </w:pPr>
            <w:r>
              <w:rPr>
                <w:rFonts w:ascii="Arial"/>
                <w:sz w:val="18"/>
              </w:rPr>
              <w:t>54</w:t>
            </w:r>
          </w:p>
        </w:tc>
        <w:tc>
          <w:tcPr>
            <w:tcW w:w="7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66" w:right="0"/>
              <w:jc w:val="left"/>
              <w:rPr>
                <w:rFonts w:ascii="Arial" w:hAnsi="Arial" w:cs="Arial" w:eastAsia="Arial" w:hint="default"/>
                <w:sz w:val="18"/>
                <w:szCs w:val="18"/>
              </w:rPr>
            </w:pPr>
            <w:r>
              <w:rPr>
                <w:rFonts w:ascii="Arial"/>
                <w:sz w:val="18"/>
              </w:rPr>
              <w:t>2.55%</w:t>
            </w:r>
          </w:p>
        </w:tc>
        <w:tc>
          <w:tcPr>
            <w:tcW w:w="790"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32" w:right="0"/>
              <w:jc w:val="left"/>
              <w:rPr>
                <w:rFonts w:ascii="Arial" w:hAnsi="Arial" w:cs="Arial" w:eastAsia="Arial" w:hint="default"/>
                <w:sz w:val="18"/>
                <w:szCs w:val="18"/>
              </w:rPr>
            </w:pPr>
            <w:r>
              <w:rPr>
                <w:rFonts w:ascii="Arial"/>
                <w:sz w:val="18"/>
              </w:rPr>
              <w:t>800,47</w:t>
            </w:r>
          </w:p>
          <w:p>
            <w:pPr>
              <w:pStyle w:val="TableParagraph"/>
              <w:spacing w:line="240" w:lineRule="auto" w:before="105"/>
              <w:ind w:left="182" w:right="0"/>
              <w:jc w:val="left"/>
              <w:rPr>
                <w:rFonts w:ascii="Arial" w:hAnsi="Arial" w:cs="Arial" w:eastAsia="Arial" w:hint="default"/>
                <w:sz w:val="18"/>
                <w:szCs w:val="18"/>
              </w:rPr>
            </w:pPr>
            <w:r>
              <w:rPr>
                <w:rFonts w:ascii="Arial"/>
                <w:sz w:val="18"/>
              </w:rPr>
              <w:t>4,693.</w:t>
            </w:r>
          </w:p>
          <w:p>
            <w:pPr>
              <w:pStyle w:val="TableParagraph"/>
              <w:spacing w:line="240" w:lineRule="auto" w:before="105"/>
              <w:ind w:left="481" w:right="0"/>
              <w:jc w:val="left"/>
              <w:rPr>
                <w:rFonts w:ascii="Arial" w:hAnsi="Arial" w:cs="Arial" w:eastAsia="Arial" w:hint="default"/>
                <w:sz w:val="18"/>
                <w:szCs w:val="18"/>
              </w:rPr>
            </w:pPr>
            <w:r>
              <w:rPr>
                <w:rFonts w:ascii="Arial"/>
                <w:sz w:val="18"/>
              </w:rPr>
              <w:t>08</w:t>
            </w:r>
          </w:p>
        </w:tc>
        <w:tc>
          <w:tcPr>
            <w:tcW w:w="65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96" w:right="0"/>
              <w:jc w:val="left"/>
              <w:rPr>
                <w:rFonts w:ascii="Arial" w:hAnsi="Arial" w:cs="Arial" w:eastAsia="Arial" w:hint="default"/>
                <w:sz w:val="18"/>
                <w:szCs w:val="18"/>
              </w:rPr>
            </w:pPr>
            <w:r>
              <w:rPr>
                <w:rFonts w:ascii="Arial"/>
                <w:sz w:val="18"/>
              </w:rPr>
              <w:t>1,33</w:t>
            </w:r>
          </w:p>
          <w:p>
            <w:pPr>
              <w:pStyle w:val="TableParagraph"/>
              <w:spacing w:line="240" w:lineRule="auto" w:before="105"/>
              <w:ind w:left="196" w:right="0"/>
              <w:jc w:val="left"/>
              <w:rPr>
                <w:rFonts w:ascii="Arial" w:hAnsi="Arial" w:cs="Arial" w:eastAsia="Arial" w:hint="default"/>
                <w:sz w:val="18"/>
                <w:szCs w:val="18"/>
              </w:rPr>
            </w:pPr>
            <w:r>
              <w:rPr>
                <w:rFonts w:ascii="Arial"/>
                <w:sz w:val="18"/>
              </w:rPr>
              <w:t>6,70</w:t>
            </w:r>
          </w:p>
          <w:p>
            <w:pPr>
              <w:pStyle w:val="TableParagraph"/>
              <w:spacing w:line="240" w:lineRule="auto" w:before="105"/>
              <w:ind w:left="196" w:right="0"/>
              <w:jc w:val="left"/>
              <w:rPr>
                <w:rFonts w:ascii="Arial" w:hAnsi="Arial" w:cs="Arial" w:eastAsia="Arial" w:hint="default"/>
                <w:sz w:val="18"/>
                <w:szCs w:val="18"/>
              </w:rPr>
            </w:pPr>
            <w:r>
              <w:rPr>
                <w:rFonts w:ascii="Arial"/>
                <w:sz w:val="18"/>
              </w:rPr>
              <w:t>6,42</w:t>
            </w:r>
          </w:p>
          <w:p>
            <w:pPr>
              <w:pStyle w:val="TableParagraph"/>
              <w:spacing w:line="240" w:lineRule="auto" w:before="105"/>
              <w:ind w:left="196" w:right="0"/>
              <w:jc w:val="left"/>
              <w:rPr>
                <w:rFonts w:ascii="Arial" w:hAnsi="Arial" w:cs="Arial" w:eastAsia="Arial" w:hint="default"/>
                <w:sz w:val="18"/>
                <w:szCs w:val="18"/>
              </w:rPr>
            </w:pPr>
            <w:r>
              <w:rPr>
                <w:rFonts w:ascii="Arial"/>
                <w:sz w:val="18"/>
              </w:rPr>
              <w:t>9.06</w:t>
            </w:r>
          </w:p>
        </w:tc>
        <w:tc>
          <w:tcPr>
            <w:tcW w:w="762"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05" w:right="0"/>
              <w:jc w:val="left"/>
              <w:rPr>
                <w:rFonts w:ascii="Arial" w:hAnsi="Arial" w:cs="Arial" w:eastAsia="Arial" w:hint="default"/>
                <w:sz w:val="18"/>
                <w:szCs w:val="18"/>
              </w:rPr>
            </w:pPr>
            <w:r>
              <w:rPr>
                <w:rFonts w:ascii="Arial"/>
                <w:sz w:val="18"/>
              </w:rPr>
              <w:t>100.0</w:t>
            </w:r>
          </w:p>
          <w:p>
            <w:pPr>
              <w:pStyle w:val="TableParagraph"/>
              <w:spacing w:line="240" w:lineRule="auto" w:before="105"/>
              <w:ind w:left="415" w:right="0"/>
              <w:jc w:val="left"/>
              <w:rPr>
                <w:rFonts w:ascii="Arial" w:hAnsi="Arial" w:cs="Arial" w:eastAsia="Arial" w:hint="default"/>
                <w:sz w:val="18"/>
                <w:szCs w:val="18"/>
              </w:rPr>
            </w:pPr>
            <w:r>
              <w:rPr>
                <w:rFonts w:ascii="Arial"/>
                <w:sz w:val="18"/>
              </w:rPr>
              <w:t>0%</w:t>
            </w:r>
          </w:p>
        </w:tc>
        <w:tc>
          <w:tcPr>
            <w:tcW w:w="81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28,995</w:t>
            </w:r>
            <w:r>
              <w:rPr>
                <w:rFonts w:ascii="Arial"/>
                <w:sz w:val="18"/>
              </w:rPr>
            </w:r>
          </w:p>
          <w:p>
            <w:pPr>
              <w:pStyle w:val="TableParagraph"/>
              <w:spacing w:line="240" w:lineRule="auto" w:before="105"/>
              <w:ind w:right="103"/>
              <w:jc w:val="right"/>
              <w:rPr>
                <w:rFonts w:ascii="Arial" w:hAnsi="Arial" w:cs="Arial" w:eastAsia="Arial" w:hint="default"/>
                <w:sz w:val="18"/>
                <w:szCs w:val="18"/>
              </w:rPr>
            </w:pPr>
            <w:r>
              <w:rPr>
                <w:rFonts w:ascii="Arial"/>
                <w:w w:val="95"/>
                <w:sz w:val="18"/>
              </w:rPr>
              <w:t>,927.2</w:t>
            </w:r>
            <w:r>
              <w:rPr>
                <w:rFonts w:ascii="Arial"/>
                <w:sz w:val="18"/>
              </w:rPr>
            </w:r>
          </w:p>
          <w:p>
            <w:pPr>
              <w:pStyle w:val="TableParagraph"/>
              <w:spacing w:line="240" w:lineRule="auto" w:before="105"/>
              <w:ind w:right="104"/>
              <w:jc w:val="right"/>
              <w:rPr>
                <w:rFonts w:ascii="Arial" w:hAnsi="Arial" w:cs="Arial" w:eastAsia="Arial" w:hint="default"/>
                <w:sz w:val="18"/>
                <w:szCs w:val="18"/>
              </w:rPr>
            </w:pPr>
            <w:r>
              <w:rPr>
                <w:rFonts w:ascii="Arial"/>
                <w:w w:val="99"/>
                <w:sz w:val="18"/>
              </w:rPr>
              <w:t>1</w:t>
            </w:r>
            <w:r>
              <w:rPr>
                <w:rFonts w:ascii="Arial"/>
                <w:sz w:val="18"/>
              </w:rPr>
            </w:r>
          </w:p>
        </w:tc>
        <w:tc>
          <w:tcPr>
            <w:tcW w:w="932"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336" w:right="0"/>
              <w:jc w:val="left"/>
              <w:rPr>
                <w:rFonts w:ascii="Arial" w:hAnsi="Arial" w:cs="Arial" w:eastAsia="Arial" w:hint="default"/>
                <w:sz w:val="18"/>
                <w:szCs w:val="18"/>
              </w:rPr>
            </w:pPr>
            <w:r>
              <w:rPr>
                <w:rFonts w:ascii="Arial"/>
                <w:sz w:val="18"/>
              </w:rPr>
              <w:t>2.17%</w:t>
            </w:r>
          </w:p>
        </w:tc>
        <w:tc>
          <w:tcPr>
            <w:tcW w:w="93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26" w:right="0"/>
              <w:jc w:val="left"/>
              <w:rPr>
                <w:rFonts w:ascii="Arial" w:hAnsi="Arial" w:cs="Arial" w:eastAsia="Arial" w:hint="default"/>
                <w:sz w:val="18"/>
                <w:szCs w:val="18"/>
              </w:rPr>
            </w:pPr>
            <w:r>
              <w:rPr>
                <w:rFonts w:ascii="Arial"/>
                <w:sz w:val="18"/>
              </w:rPr>
              <w:t>1,307,71</w:t>
            </w:r>
          </w:p>
          <w:p>
            <w:pPr>
              <w:pStyle w:val="TableParagraph"/>
              <w:spacing w:line="240" w:lineRule="auto" w:before="105"/>
              <w:ind w:left="126" w:right="0"/>
              <w:jc w:val="left"/>
              <w:rPr>
                <w:rFonts w:ascii="Arial" w:hAnsi="Arial" w:cs="Arial" w:eastAsia="Arial" w:hint="default"/>
                <w:sz w:val="18"/>
                <w:szCs w:val="18"/>
              </w:rPr>
            </w:pPr>
            <w:r>
              <w:rPr>
                <w:rFonts w:ascii="Arial"/>
                <w:sz w:val="18"/>
              </w:rPr>
              <w:t>0,501.85</w:t>
            </w:r>
          </w:p>
        </w:tc>
      </w:tr>
      <w:tr>
        <w:trPr>
          <w:trHeight w:val="946" w:hRule="exact"/>
        </w:trPr>
        <w:tc>
          <w:tcPr>
            <w:tcW w:w="163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264"/>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准备的应收账款</w:t>
            </w:r>
          </w:p>
        </w:tc>
        <w:tc>
          <w:tcPr>
            <w:tcW w:w="762"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206" w:right="0"/>
              <w:jc w:val="left"/>
              <w:rPr>
                <w:rFonts w:ascii="Arial" w:hAnsi="Arial" w:cs="Arial" w:eastAsia="Arial" w:hint="default"/>
                <w:sz w:val="18"/>
                <w:szCs w:val="18"/>
              </w:rPr>
            </w:pPr>
            <w:r>
              <w:rPr>
                <w:rFonts w:ascii="Arial"/>
                <w:sz w:val="18"/>
              </w:rPr>
              <w:t>11,73</w:t>
            </w:r>
          </w:p>
          <w:p>
            <w:pPr>
              <w:pStyle w:val="TableParagraph"/>
              <w:spacing w:line="240" w:lineRule="auto" w:before="105"/>
              <w:ind w:left="157" w:right="0"/>
              <w:jc w:val="left"/>
              <w:rPr>
                <w:rFonts w:ascii="Arial" w:hAnsi="Arial" w:cs="Arial" w:eastAsia="Arial" w:hint="default"/>
                <w:sz w:val="18"/>
                <w:szCs w:val="18"/>
              </w:rPr>
            </w:pPr>
            <w:r>
              <w:rPr>
                <w:rFonts w:ascii="Arial"/>
                <w:sz w:val="18"/>
              </w:rPr>
              <w:t>8,769.</w:t>
            </w:r>
          </w:p>
          <w:p>
            <w:pPr>
              <w:pStyle w:val="TableParagraph"/>
              <w:spacing w:line="240" w:lineRule="auto" w:before="105"/>
              <w:ind w:left="456" w:right="0"/>
              <w:jc w:val="left"/>
              <w:rPr>
                <w:rFonts w:ascii="Arial" w:hAnsi="Arial" w:cs="Arial" w:eastAsia="Arial" w:hint="default"/>
                <w:sz w:val="18"/>
                <w:szCs w:val="18"/>
              </w:rPr>
            </w:pPr>
            <w:r>
              <w:rPr>
                <w:rFonts w:ascii="Arial"/>
                <w:sz w:val="18"/>
              </w:rPr>
              <w:t>99</w:t>
            </w:r>
          </w:p>
        </w:tc>
        <w:tc>
          <w:tcPr>
            <w:tcW w:w="7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65" w:right="0"/>
              <w:jc w:val="left"/>
              <w:rPr>
                <w:rFonts w:ascii="Arial" w:hAnsi="Arial" w:cs="Arial" w:eastAsia="Arial" w:hint="default"/>
                <w:sz w:val="18"/>
                <w:szCs w:val="18"/>
              </w:rPr>
            </w:pPr>
            <w:r>
              <w:rPr>
                <w:rFonts w:ascii="Arial"/>
                <w:sz w:val="18"/>
              </w:rPr>
              <w:t>1.36%</w:t>
            </w:r>
          </w:p>
        </w:tc>
        <w:tc>
          <w:tcPr>
            <w:tcW w:w="76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203" w:right="0"/>
              <w:jc w:val="left"/>
              <w:rPr>
                <w:rFonts w:ascii="Arial" w:hAnsi="Arial" w:cs="Arial" w:eastAsia="Arial" w:hint="default"/>
                <w:sz w:val="18"/>
                <w:szCs w:val="18"/>
              </w:rPr>
            </w:pPr>
            <w:r>
              <w:rPr>
                <w:rFonts w:ascii="Arial"/>
                <w:sz w:val="18"/>
              </w:rPr>
              <w:t>11,73</w:t>
            </w:r>
          </w:p>
          <w:p>
            <w:pPr>
              <w:pStyle w:val="TableParagraph"/>
              <w:spacing w:line="240" w:lineRule="auto" w:before="105"/>
              <w:ind w:left="154" w:right="0"/>
              <w:jc w:val="left"/>
              <w:rPr>
                <w:rFonts w:ascii="Arial" w:hAnsi="Arial" w:cs="Arial" w:eastAsia="Arial" w:hint="default"/>
                <w:sz w:val="18"/>
                <w:szCs w:val="18"/>
              </w:rPr>
            </w:pPr>
            <w:r>
              <w:rPr>
                <w:rFonts w:ascii="Arial"/>
                <w:sz w:val="18"/>
              </w:rPr>
              <w:t>8,769.</w:t>
            </w:r>
          </w:p>
          <w:p>
            <w:pPr>
              <w:pStyle w:val="TableParagraph"/>
              <w:spacing w:line="240" w:lineRule="auto" w:before="105"/>
              <w:ind w:left="453" w:right="0"/>
              <w:jc w:val="left"/>
              <w:rPr>
                <w:rFonts w:ascii="Arial" w:hAnsi="Arial" w:cs="Arial" w:eastAsia="Arial" w:hint="default"/>
                <w:sz w:val="18"/>
                <w:szCs w:val="18"/>
              </w:rPr>
            </w:pPr>
            <w:r>
              <w:rPr>
                <w:rFonts w:ascii="Arial"/>
                <w:sz w:val="18"/>
              </w:rPr>
              <w:t>99</w:t>
            </w:r>
          </w:p>
        </w:tc>
        <w:tc>
          <w:tcPr>
            <w:tcW w:w="7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06" w:right="0"/>
              <w:jc w:val="left"/>
              <w:rPr>
                <w:rFonts w:ascii="Arial" w:hAnsi="Arial" w:cs="Arial" w:eastAsia="Arial" w:hint="default"/>
                <w:sz w:val="18"/>
                <w:szCs w:val="18"/>
              </w:rPr>
            </w:pPr>
            <w:r>
              <w:rPr>
                <w:rFonts w:ascii="Arial"/>
                <w:sz w:val="18"/>
              </w:rPr>
              <w:t>100.0</w:t>
            </w:r>
          </w:p>
          <w:p>
            <w:pPr>
              <w:pStyle w:val="TableParagraph"/>
              <w:spacing w:line="240" w:lineRule="auto" w:before="105"/>
              <w:ind w:left="416" w:right="0"/>
              <w:jc w:val="left"/>
              <w:rPr>
                <w:rFonts w:ascii="Arial" w:hAnsi="Arial" w:cs="Arial" w:eastAsia="Arial" w:hint="default"/>
                <w:sz w:val="18"/>
                <w:szCs w:val="18"/>
              </w:rPr>
            </w:pPr>
            <w:r>
              <w:rPr>
                <w:rFonts w:ascii="Arial"/>
                <w:sz w:val="18"/>
              </w:rPr>
              <w:t>0%</w:t>
            </w:r>
          </w:p>
        </w:tc>
        <w:tc>
          <w:tcPr>
            <w:tcW w:w="790" w:type="dxa"/>
            <w:tcBorders>
              <w:top w:val="single" w:sz="4" w:space="0" w:color="5B9BD4"/>
              <w:left w:val="nil" w:sz="6" w:space="0" w:color="auto"/>
              <w:bottom w:val="single" w:sz="4" w:space="0" w:color="5B9BD4"/>
              <w:right w:val="nil" w:sz="6" w:space="0" w:color="auto"/>
            </w:tcBorders>
          </w:tcPr>
          <w:p>
            <w:pPr/>
          </w:p>
        </w:tc>
        <w:tc>
          <w:tcPr>
            <w:tcW w:w="654" w:type="dxa"/>
            <w:tcBorders>
              <w:top w:val="single" w:sz="4" w:space="0" w:color="5B9BD4"/>
              <w:left w:val="nil" w:sz="6" w:space="0" w:color="auto"/>
              <w:bottom w:val="single" w:sz="4" w:space="0" w:color="5B9BD4"/>
              <w:right w:val="nil" w:sz="6" w:space="0" w:color="auto"/>
            </w:tcBorders>
            <w:shd w:val="clear" w:color="auto" w:fill="DEEAF6"/>
          </w:tcPr>
          <w:p>
            <w:pPr/>
          </w:p>
        </w:tc>
        <w:tc>
          <w:tcPr>
            <w:tcW w:w="762" w:type="dxa"/>
            <w:tcBorders>
              <w:top w:val="single" w:sz="4" w:space="0" w:color="5B9BD4"/>
              <w:left w:val="nil" w:sz="6" w:space="0" w:color="auto"/>
              <w:bottom w:val="single" w:sz="4" w:space="0" w:color="5B9BD4"/>
              <w:right w:val="nil" w:sz="6" w:space="0" w:color="auto"/>
            </w:tcBorders>
          </w:tcPr>
          <w:p>
            <w:pPr/>
          </w:p>
        </w:tc>
        <w:tc>
          <w:tcPr>
            <w:tcW w:w="813" w:type="dxa"/>
            <w:tcBorders>
              <w:top w:val="single" w:sz="4" w:space="0" w:color="5B9BD4"/>
              <w:left w:val="nil" w:sz="6" w:space="0" w:color="auto"/>
              <w:bottom w:val="single" w:sz="4" w:space="0" w:color="5B9BD4"/>
              <w:right w:val="nil" w:sz="6" w:space="0" w:color="auto"/>
            </w:tcBorders>
            <w:shd w:val="clear" w:color="auto" w:fill="DEEAF6"/>
          </w:tcPr>
          <w:p>
            <w:pPr/>
          </w:p>
        </w:tc>
        <w:tc>
          <w:tcPr>
            <w:tcW w:w="932" w:type="dxa"/>
            <w:tcBorders>
              <w:top w:val="single" w:sz="4" w:space="0" w:color="5B9BD4"/>
              <w:left w:val="nil" w:sz="6" w:space="0" w:color="auto"/>
              <w:bottom w:val="single" w:sz="4" w:space="0" w:color="5B9BD4"/>
              <w:right w:val="nil" w:sz="6" w:space="0" w:color="auto"/>
            </w:tcBorders>
          </w:tcPr>
          <w:p>
            <w:pPr/>
          </w:p>
        </w:tc>
        <w:tc>
          <w:tcPr>
            <w:tcW w:w="932" w:type="dxa"/>
            <w:tcBorders>
              <w:top w:val="single" w:sz="4" w:space="0" w:color="5B9BD4"/>
              <w:left w:val="nil" w:sz="6" w:space="0" w:color="auto"/>
              <w:bottom w:val="single" w:sz="4" w:space="0" w:color="5B9BD4"/>
              <w:right w:val="nil" w:sz="6" w:space="0" w:color="auto"/>
            </w:tcBorders>
            <w:shd w:val="clear" w:color="auto" w:fill="DEEAF6"/>
          </w:tcPr>
          <w:p>
            <w:pPr/>
          </w:p>
        </w:tc>
      </w:tr>
    </w:tbl>
    <w:p>
      <w:pPr>
        <w:spacing w:after="0"/>
        <w:sectPr>
          <w:pgSz w:w="11910" w:h="16840"/>
          <w:pgMar w:header="877" w:footer="979" w:top="1100" w:bottom="1160" w:left="920" w:right="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1635"/>
        <w:gridCol w:w="762"/>
        <w:gridCol w:w="763"/>
        <w:gridCol w:w="761"/>
        <w:gridCol w:w="763"/>
        <w:gridCol w:w="790"/>
        <w:gridCol w:w="654"/>
        <w:gridCol w:w="762"/>
        <w:gridCol w:w="813"/>
        <w:gridCol w:w="932"/>
        <w:gridCol w:w="932"/>
      </w:tblGrid>
      <w:tr>
        <w:trPr>
          <w:trHeight w:val="1259" w:hRule="exact"/>
        </w:trPr>
        <w:tc>
          <w:tcPr>
            <w:tcW w:w="163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2"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06" w:right="0"/>
              <w:jc w:val="left"/>
              <w:rPr>
                <w:rFonts w:ascii="Arial" w:hAnsi="Arial" w:cs="Arial" w:eastAsia="Arial" w:hint="default"/>
                <w:sz w:val="18"/>
                <w:szCs w:val="18"/>
              </w:rPr>
            </w:pPr>
            <w:r>
              <w:rPr>
                <w:rFonts w:ascii="Arial"/>
                <w:sz w:val="18"/>
              </w:rPr>
              <w:t>864,6</w:t>
            </w:r>
          </w:p>
          <w:p>
            <w:pPr>
              <w:pStyle w:val="TableParagraph"/>
              <w:spacing w:line="240" w:lineRule="auto" w:before="105"/>
              <w:ind w:left="206" w:right="0"/>
              <w:jc w:val="left"/>
              <w:rPr>
                <w:rFonts w:ascii="Arial" w:hAnsi="Arial" w:cs="Arial" w:eastAsia="Arial" w:hint="default"/>
                <w:sz w:val="18"/>
                <w:szCs w:val="18"/>
              </w:rPr>
            </w:pPr>
            <w:r>
              <w:rPr>
                <w:rFonts w:ascii="Arial"/>
                <w:sz w:val="18"/>
              </w:rPr>
              <w:t>14,05</w:t>
            </w:r>
          </w:p>
          <w:p>
            <w:pPr>
              <w:pStyle w:val="TableParagraph"/>
              <w:spacing w:line="240" w:lineRule="auto" w:before="105"/>
              <w:ind w:left="306" w:right="0"/>
              <w:jc w:val="left"/>
              <w:rPr>
                <w:rFonts w:ascii="Arial" w:hAnsi="Arial" w:cs="Arial" w:eastAsia="Arial" w:hint="default"/>
                <w:sz w:val="18"/>
                <w:szCs w:val="18"/>
              </w:rPr>
            </w:pPr>
            <w:r>
              <w:rPr>
                <w:rFonts w:ascii="Arial"/>
                <w:sz w:val="18"/>
              </w:rPr>
              <w:t>9.83</w:t>
            </w:r>
          </w:p>
        </w:tc>
        <w:tc>
          <w:tcPr>
            <w:tcW w:w="7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05" w:right="0"/>
              <w:jc w:val="left"/>
              <w:rPr>
                <w:rFonts w:ascii="Arial" w:hAnsi="Arial" w:cs="Arial" w:eastAsia="Arial" w:hint="default"/>
                <w:sz w:val="18"/>
                <w:szCs w:val="18"/>
              </w:rPr>
            </w:pPr>
            <w:r>
              <w:rPr>
                <w:rFonts w:ascii="Arial"/>
                <w:sz w:val="18"/>
              </w:rPr>
              <w:t>100.0</w:t>
            </w:r>
          </w:p>
          <w:p>
            <w:pPr>
              <w:pStyle w:val="TableParagraph"/>
              <w:spacing w:line="240" w:lineRule="auto" w:before="105"/>
              <w:ind w:left="415" w:right="0"/>
              <w:jc w:val="left"/>
              <w:rPr>
                <w:rFonts w:ascii="Arial" w:hAnsi="Arial" w:cs="Arial" w:eastAsia="Arial" w:hint="default"/>
                <w:sz w:val="18"/>
                <w:szCs w:val="18"/>
              </w:rPr>
            </w:pPr>
            <w:r>
              <w:rPr>
                <w:rFonts w:ascii="Arial"/>
                <w:sz w:val="18"/>
              </w:rPr>
              <w:t>0%</w:t>
            </w:r>
          </w:p>
        </w:tc>
        <w:tc>
          <w:tcPr>
            <w:tcW w:w="761"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03" w:right="0"/>
              <w:jc w:val="left"/>
              <w:rPr>
                <w:rFonts w:ascii="Arial" w:hAnsi="Arial" w:cs="Arial" w:eastAsia="Arial" w:hint="default"/>
                <w:sz w:val="18"/>
                <w:szCs w:val="18"/>
              </w:rPr>
            </w:pPr>
            <w:r>
              <w:rPr>
                <w:rFonts w:ascii="Arial"/>
                <w:sz w:val="18"/>
              </w:rPr>
              <w:t>64,13</w:t>
            </w:r>
          </w:p>
          <w:p>
            <w:pPr>
              <w:pStyle w:val="TableParagraph"/>
              <w:spacing w:line="240" w:lineRule="auto" w:before="105"/>
              <w:ind w:left="154" w:right="0"/>
              <w:jc w:val="left"/>
              <w:rPr>
                <w:rFonts w:ascii="Arial" w:hAnsi="Arial" w:cs="Arial" w:eastAsia="Arial" w:hint="default"/>
                <w:sz w:val="18"/>
                <w:szCs w:val="18"/>
              </w:rPr>
            </w:pPr>
            <w:r>
              <w:rPr>
                <w:rFonts w:ascii="Arial"/>
                <w:sz w:val="18"/>
              </w:rPr>
              <w:t>9,366.</w:t>
            </w:r>
          </w:p>
          <w:p>
            <w:pPr>
              <w:pStyle w:val="TableParagraph"/>
              <w:spacing w:line="240" w:lineRule="auto" w:before="105"/>
              <w:ind w:left="453" w:right="0"/>
              <w:jc w:val="left"/>
              <w:rPr>
                <w:rFonts w:ascii="Arial" w:hAnsi="Arial" w:cs="Arial" w:eastAsia="Arial" w:hint="default"/>
                <w:sz w:val="18"/>
                <w:szCs w:val="18"/>
              </w:rPr>
            </w:pPr>
            <w:r>
              <w:rPr>
                <w:rFonts w:ascii="Arial"/>
                <w:sz w:val="18"/>
              </w:rPr>
              <w:t>75</w:t>
            </w:r>
          </w:p>
        </w:tc>
        <w:tc>
          <w:tcPr>
            <w:tcW w:w="7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66" w:right="0"/>
              <w:jc w:val="left"/>
              <w:rPr>
                <w:rFonts w:ascii="Arial" w:hAnsi="Arial" w:cs="Arial" w:eastAsia="Arial" w:hint="default"/>
                <w:sz w:val="18"/>
                <w:szCs w:val="18"/>
              </w:rPr>
            </w:pPr>
            <w:r>
              <w:rPr>
                <w:rFonts w:ascii="Arial"/>
                <w:sz w:val="18"/>
              </w:rPr>
              <w:t>7.42%</w:t>
            </w:r>
          </w:p>
        </w:tc>
        <w:tc>
          <w:tcPr>
            <w:tcW w:w="790"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32" w:right="0"/>
              <w:jc w:val="left"/>
              <w:rPr>
                <w:rFonts w:ascii="Arial" w:hAnsi="Arial" w:cs="Arial" w:eastAsia="Arial" w:hint="default"/>
                <w:sz w:val="18"/>
                <w:szCs w:val="18"/>
              </w:rPr>
            </w:pPr>
            <w:r>
              <w:rPr>
                <w:rFonts w:ascii="Arial"/>
                <w:sz w:val="18"/>
              </w:rPr>
              <w:t>800,47</w:t>
            </w:r>
          </w:p>
          <w:p>
            <w:pPr>
              <w:pStyle w:val="TableParagraph"/>
              <w:spacing w:line="240" w:lineRule="auto" w:before="105"/>
              <w:ind w:left="182" w:right="0"/>
              <w:jc w:val="left"/>
              <w:rPr>
                <w:rFonts w:ascii="Arial" w:hAnsi="Arial" w:cs="Arial" w:eastAsia="Arial" w:hint="default"/>
                <w:sz w:val="18"/>
                <w:szCs w:val="18"/>
              </w:rPr>
            </w:pPr>
            <w:r>
              <w:rPr>
                <w:rFonts w:ascii="Arial"/>
                <w:sz w:val="18"/>
              </w:rPr>
              <w:t>4,693.</w:t>
            </w:r>
          </w:p>
          <w:p>
            <w:pPr>
              <w:pStyle w:val="TableParagraph"/>
              <w:spacing w:line="240" w:lineRule="auto" w:before="105"/>
              <w:ind w:left="481" w:right="0"/>
              <w:jc w:val="left"/>
              <w:rPr>
                <w:rFonts w:ascii="Arial" w:hAnsi="Arial" w:cs="Arial" w:eastAsia="Arial" w:hint="default"/>
                <w:sz w:val="18"/>
                <w:szCs w:val="18"/>
              </w:rPr>
            </w:pPr>
            <w:r>
              <w:rPr>
                <w:rFonts w:ascii="Arial"/>
                <w:sz w:val="18"/>
              </w:rPr>
              <w:t>08</w:t>
            </w:r>
          </w:p>
        </w:tc>
        <w:tc>
          <w:tcPr>
            <w:tcW w:w="65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96" w:right="0"/>
              <w:jc w:val="left"/>
              <w:rPr>
                <w:rFonts w:ascii="Arial" w:hAnsi="Arial" w:cs="Arial" w:eastAsia="Arial" w:hint="default"/>
                <w:sz w:val="18"/>
                <w:szCs w:val="18"/>
              </w:rPr>
            </w:pPr>
            <w:r>
              <w:rPr>
                <w:rFonts w:ascii="Arial"/>
                <w:sz w:val="18"/>
              </w:rPr>
              <w:t>1,33</w:t>
            </w:r>
          </w:p>
          <w:p>
            <w:pPr>
              <w:pStyle w:val="TableParagraph"/>
              <w:spacing w:line="240" w:lineRule="auto" w:before="105"/>
              <w:ind w:left="196" w:right="0"/>
              <w:jc w:val="left"/>
              <w:rPr>
                <w:rFonts w:ascii="Arial" w:hAnsi="Arial" w:cs="Arial" w:eastAsia="Arial" w:hint="default"/>
                <w:sz w:val="18"/>
                <w:szCs w:val="18"/>
              </w:rPr>
            </w:pPr>
            <w:r>
              <w:rPr>
                <w:rFonts w:ascii="Arial"/>
                <w:sz w:val="18"/>
              </w:rPr>
              <w:t>6,70</w:t>
            </w:r>
          </w:p>
          <w:p>
            <w:pPr>
              <w:pStyle w:val="TableParagraph"/>
              <w:spacing w:line="240" w:lineRule="auto" w:before="105"/>
              <w:ind w:left="196" w:right="0"/>
              <w:jc w:val="left"/>
              <w:rPr>
                <w:rFonts w:ascii="Arial" w:hAnsi="Arial" w:cs="Arial" w:eastAsia="Arial" w:hint="default"/>
                <w:sz w:val="18"/>
                <w:szCs w:val="18"/>
              </w:rPr>
            </w:pPr>
            <w:r>
              <w:rPr>
                <w:rFonts w:ascii="Arial"/>
                <w:sz w:val="18"/>
              </w:rPr>
              <w:t>6,42</w:t>
            </w:r>
          </w:p>
          <w:p>
            <w:pPr>
              <w:pStyle w:val="TableParagraph"/>
              <w:spacing w:line="240" w:lineRule="auto" w:before="105"/>
              <w:ind w:left="196" w:right="0"/>
              <w:jc w:val="left"/>
              <w:rPr>
                <w:rFonts w:ascii="Arial" w:hAnsi="Arial" w:cs="Arial" w:eastAsia="Arial" w:hint="default"/>
                <w:sz w:val="18"/>
                <w:szCs w:val="18"/>
              </w:rPr>
            </w:pPr>
            <w:r>
              <w:rPr>
                <w:rFonts w:ascii="Arial"/>
                <w:sz w:val="18"/>
              </w:rPr>
              <w:t>9.06</w:t>
            </w:r>
          </w:p>
        </w:tc>
        <w:tc>
          <w:tcPr>
            <w:tcW w:w="762"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05" w:right="0"/>
              <w:jc w:val="left"/>
              <w:rPr>
                <w:rFonts w:ascii="Arial" w:hAnsi="Arial" w:cs="Arial" w:eastAsia="Arial" w:hint="default"/>
                <w:sz w:val="18"/>
                <w:szCs w:val="18"/>
              </w:rPr>
            </w:pPr>
            <w:r>
              <w:rPr>
                <w:rFonts w:ascii="Arial"/>
                <w:sz w:val="18"/>
              </w:rPr>
              <w:t>100.0</w:t>
            </w:r>
          </w:p>
          <w:p>
            <w:pPr>
              <w:pStyle w:val="TableParagraph"/>
              <w:spacing w:line="240" w:lineRule="auto" w:before="105"/>
              <w:ind w:left="415" w:right="0"/>
              <w:jc w:val="left"/>
              <w:rPr>
                <w:rFonts w:ascii="Arial" w:hAnsi="Arial" w:cs="Arial" w:eastAsia="Arial" w:hint="default"/>
                <w:sz w:val="18"/>
                <w:szCs w:val="18"/>
              </w:rPr>
            </w:pPr>
            <w:r>
              <w:rPr>
                <w:rFonts w:ascii="Arial"/>
                <w:sz w:val="18"/>
              </w:rPr>
              <w:t>0%</w:t>
            </w:r>
          </w:p>
        </w:tc>
        <w:tc>
          <w:tcPr>
            <w:tcW w:w="81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28,995</w:t>
            </w:r>
            <w:r>
              <w:rPr>
                <w:rFonts w:ascii="Arial"/>
                <w:sz w:val="18"/>
              </w:rPr>
            </w:r>
          </w:p>
          <w:p>
            <w:pPr>
              <w:pStyle w:val="TableParagraph"/>
              <w:spacing w:line="240" w:lineRule="auto" w:before="105"/>
              <w:ind w:right="103"/>
              <w:jc w:val="right"/>
              <w:rPr>
                <w:rFonts w:ascii="Arial" w:hAnsi="Arial" w:cs="Arial" w:eastAsia="Arial" w:hint="default"/>
                <w:sz w:val="18"/>
                <w:szCs w:val="18"/>
              </w:rPr>
            </w:pPr>
            <w:r>
              <w:rPr>
                <w:rFonts w:ascii="Arial"/>
                <w:w w:val="95"/>
                <w:sz w:val="18"/>
              </w:rPr>
              <w:t>,927.2</w:t>
            </w:r>
            <w:r>
              <w:rPr>
                <w:rFonts w:ascii="Arial"/>
                <w:sz w:val="18"/>
              </w:rPr>
            </w:r>
          </w:p>
          <w:p>
            <w:pPr>
              <w:pStyle w:val="TableParagraph"/>
              <w:spacing w:line="240" w:lineRule="auto" w:before="105"/>
              <w:ind w:right="104"/>
              <w:jc w:val="right"/>
              <w:rPr>
                <w:rFonts w:ascii="Arial" w:hAnsi="Arial" w:cs="Arial" w:eastAsia="Arial" w:hint="default"/>
                <w:sz w:val="18"/>
                <w:szCs w:val="18"/>
              </w:rPr>
            </w:pPr>
            <w:r>
              <w:rPr>
                <w:rFonts w:ascii="Arial"/>
                <w:w w:val="99"/>
                <w:sz w:val="18"/>
              </w:rPr>
              <w:t>1</w:t>
            </w:r>
            <w:r>
              <w:rPr>
                <w:rFonts w:ascii="Arial"/>
                <w:sz w:val="18"/>
              </w:rPr>
            </w:r>
          </w:p>
        </w:tc>
        <w:tc>
          <w:tcPr>
            <w:tcW w:w="932"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336" w:right="0"/>
              <w:jc w:val="left"/>
              <w:rPr>
                <w:rFonts w:ascii="Arial" w:hAnsi="Arial" w:cs="Arial" w:eastAsia="Arial" w:hint="default"/>
                <w:sz w:val="18"/>
                <w:szCs w:val="18"/>
              </w:rPr>
            </w:pPr>
            <w:r>
              <w:rPr>
                <w:rFonts w:ascii="Arial"/>
                <w:sz w:val="18"/>
              </w:rPr>
              <w:t>2.17%</w:t>
            </w:r>
          </w:p>
        </w:tc>
        <w:tc>
          <w:tcPr>
            <w:tcW w:w="93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26" w:right="0"/>
              <w:jc w:val="left"/>
              <w:rPr>
                <w:rFonts w:ascii="Arial" w:hAnsi="Arial" w:cs="Arial" w:eastAsia="Arial" w:hint="default"/>
                <w:sz w:val="18"/>
                <w:szCs w:val="18"/>
              </w:rPr>
            </w:pPr>
            <w:r>
              <w:rPr>
                <w:rFonts w:ascii="Arial"/>
                <w:sz w:val="18"/>
              </w:rPr>
              <w:t>1,307,71</w:t>
            </w:r>
          </w:p>
          <w:p>
            <w:pPr>
              <w:pStyle w:val="TableParagraph"/>
              <w:spacing w:line="240" w:lineRule="auto" w:before="105"/>
              <w:ind w:left="126" w:right="0"/>
              <w:jc w:val="left"/>
              <w:rPr>
                <w:rFonts w:ascii="Arial" w:hAnsi="Arial" w:cs="Arial" w:eastAsia="Arial" w:hint="default"/>
                <w:sz w:val="18"/>
                <w:szCs w:val="18"/>
              </w:rPr>
            </w:pPr>
            <w:r>
              <w:rPr>
                <w:rFonts w:ascii="Arial"/>
                <w:sz w:val="18"/>
              </w:rPr>
              <w:t>0,501.85</w:t>
            </w:r>
          </w:p>
        </w:tc>
      </w:tr>
    </w:tbl>
    <w:p>
      <w:pPr>
        <w:spacing w:line="240" w:lineRule="auto" w:before="1"/>
        <w:rPr>
          <w:rFonts w:ascii="宋体" w:hAnsi="宋体" w:cs="宋体" w:eastAsia="宋体" w:hint="default"/>
          <w:sz w:val="15"/>
          <w:szCs w:val="15"/>
        </w:rPr>
      </w:pPr>
    </w:p>
    <w:p>
      <w:pPr>
        <w:pStyle w:val="BodyText"/>
        <w:spacing w:line="240" w:lineRule="auto" w:before="18"/>
        <w:ind w:left="634" w:right="1513"/>
        <w:jc w:val="left"/>
      </w:pPr>
      <w:r>
        <w:rPr/>
        <w:t>期末单项金额重大并单项计提坏账准备的应收账款：</w:t>
      </w:r>
    </w:p>
    <w:p>
      <w:pPr>
        <w:spacing w:line="240" w:lineRule="auto" w:before="4"/>
        <w:rPr>
          <w:rFonts w:ascii="宋体" w:hAnsi="宋体" w:cs="宋体" w:eastAsia="宋体" w:hint="default"/>
          <w:sz w:val="25"/>
          <w:szCs w:val="25"/>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322" w:hRule="exact"/>
        </w:trPr>
        <w:tc>
          <w:tcPr>
            <w:tcW w:w="1913"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17" w:hRule="exact"/>
        </w:trPr>
        <w:tc>
          <w:tcPr>
            <w:tcW w:w="1913" w:type="dxa"/>
            <w:vMerge/>
            <w:tcBorders>
              <w:left w:val="nil" w:sz="6" w:space="0" w:color="auto"/>
              <w:bottom w:val="single" w:sz="4" w:space="0" w:color="5B9BD4"/>
              <w:right w:val="nil" w:sz="6" w:space="0" w:color="auto"/>
            </w:tcBorders>
            <w:shd w:val="clear" w:color="auto" w:fill="DEEAF6"/>
          </w:tcPr>
          <w:p>
            <w:pPr/>
          </w:p>
        </w:tc>
        <w:tc>
          <w:tcPr>
            <w:tcW w:w="191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59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5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59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596"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28" w:hRule="exact"/>
        </w:trPr>
        <w:tc>
          <w:tcPr>
            <w:tcW w:w="191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1"/>
              <w:ind w:left="108" w:right="0"/>
              <w:jc w:val="left"/>
              <w:rPr>
                <w:rFonts w:ascii="Arial" w:hAnsi="Arial" w:cs="Arial" w:eastAsia="Arial" w:hint="default"/>
                <w:sz w:val="18"/>
                <w:szCs w:val="18"/>
              </w:rPr>
            </w:pPr>
            <w:r>
              <w:rPr>
                <w:rFonts w:ascii="宋体" w:hAnsi="宋体" w:cs="宋体" w:eastAsia="宋体" w:hint="default"/>
                <w:w w:val="105"/>
                <w:sz w:val="18"/>
                <w:szCs w:val="18"/>
              </w:rPr>
              <w:t>公司</w:t>
            </w:r>
            <w:r>
              <w:rPr>
                <w:rFonts w:ascii="宋体" w:hAnsi="宋体" w:cs="宋体" w:eastAsia="宋体" w:hint="default"/>
                <w:spacing w:val="-62"/>
                <w:w w:val="105"/>
                <w:sz w:val="18"/>
                <w:szCs w:val="18"/>
              </w:rPr>
              <w:t> </w:t>
            </w:r>
            <w:r>
              <w:rPr>
                <w:rFonts w:ascii="Arial" w:hAnsi="Arial" w:cs="Arial" w:eastAsia="Arial" w:hint="default"/>
                <w:w w:val="105"/>
                <w:sz w:val="18"/>
                <w:szCs w:val="18"/>
              </w:rPr>
              <w:t>A</w:t>
            </w:r>
            <w:r>
              <w:rPr>
                <w:rFonts w:ascii="Arial" w:hAnsi="Arial" w:cs="Arial" w:eastAsia="Arial" w:hint="default"/>
                <w:sz w:val="18"/>
                <w:szCs w:val="18"/>
              </w:rPr>
            </w:r>
          </w:p>
        </w:tc>
        <w:tc>
          <w:tcPr>
            <w:tcW w:w="1915" w:type="dxa"/>
            <w:tcBorders>
              <w:top w:val="single" w:sz="4" w:space="0" w:color="5B9BD4"/>
              <w:left w:val="nil" w:sz="6" w:space="0" w:color="auto"/>
              <w:bottom w:val="single" w:sz="4" w:space="0" w:color="5B9BD4"/>
              <w:right w:val="nil" w:sz="6" w:space="0" w:color="auto"/>
            </w:tcBorders>
          </w:tcPr>
          <w:p>
            <w:pPr>
              <w:pStyle w:val="TableParagraph"/>
              <w:spacing w:line="240" w:lineRule="auto" w:before="53"/>
              <w:ind w:right="105"/>
              <w:jc w:val="right"/>
              <w:rPr>
                <w:rFonts w:ascii="Arial" w:hAnsi="Arial" w:cs="Arial" w:eastAsia="Arial" w:hint="default"/>
                <w:sz w:val="18"/>
                <w:szCs w:val="18"/>
              </w:rPr>
            </w:pPr>
            <w:r>
              <w:rPr>
                <w:rFonts w:ascii="Arial"/>
                <w:w w:val="95"/>
                <w:sz w:val="18"/>
              </w:rPr>
              <w:t>11,598,248.72</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3"/>
              <w:ind w:right="105"/>
              <w:jc w:val="right"/>
              <w:rPr>
                <w:rFonts w:ascii="Arial" w:hAnsi="Arial" w:cs="Arial" w:eastAsia="Arial" w:hint="default"/>
                <w:sz w:val="18"/>
                <w:szCs w:val="18"/>
              </w:rPr>
            </w:pPr>
            <w:r>
              <w:rPr>
                <w:rFonts w:ascii="Arial"/>
                <w:w w:val="95"/>
                <w:sz w:val="18"/>
              </w:rPr>
              <w:t>11,598,248.72</w:t>
            </w:r>
            <w:r>
              <w:rPr>
                <w:rFonts w:ascii="Arial"/>
                <w:sz w:val="18"/>
              </w:rPr>
            </w:r>
          </w:p>
        </w:tc>
        <w:tc>
          <w:tcPr>
            <w:tcW w:w="1914" w:type="dxa"/>
            <w:tcBorders>
              <w:top w:val="single" w:sz="4" w:space="0" w:color="5B9BD4"/>
              <w:left w:val="nil" w:sz="6" w:space="0" w:color="auto"/>
              <w:bottom w:val="single" w:sz="4" w:space="0" w:color="5B9BD4"/>
              <w:right w:val="nil" w:sz="6" w:space="0" w:color="auto"/>
            </w:tcBorders>
          </w:tcPr>
          <w:p>
            <w:pPr>
              <w:pStyle w:val="TableParagraph"/>
              <w:spacing w:line="240" w:lineRule="auto" w:before="53"/>
              <w:ind w:right="106"/>
              <w:jc w:val="right"/>
              <w:rPr>
                <w:rFonts w:ascii="Arial" w:hAnsi="Arial" w:cs="Arial" w:eastAsia="Arial" w:hint="default"/>
                <w:sz w:val="18"/>
                <w:szCs w:val="18"/>
              </w:rPr>
            </w:pPr>
            <w:r>
              <w:rPr>
                <w:rFonts w:ascii="Arial"/>
                <w:w w:val="95"/>
                <w:sz w:val="18"/>
              </w:rPr>
              <w:t>100.00%</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1"/>
              <w:ind w:right="107"/>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22" w:hRule="exact"/>
        </w:trPr>
        <w:tc>
          <w:tcPr>
            <w:tcW w:w="191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Arial" w:hAnsi="Arial" w:cs="Arial" w:eastAsia="Arial" w:hint="default"/>
                <w:sz w:val="18"/>
                <w:szCs w:val="18"/>
              </w:rPr>
            </w:pPr>
            <w:r>
              <w:rPr>
                <w:rFonts w:ascii="宋体" w:hAnsi="宋体" w:cs="宋体" w:eastAsia="宋体" w:hint="default"/>
                <w:sz w:val="18"/>
                <w:szCs w:val="18"/>
              </w:rPr>
              <w:t>公司</w:t>
            </w:r>
            <w:r>
              <w:rPr>
                <w:rFonts w:ascii="宋体" w:hAnsi="宋体" w:cs="宋体" w:eastAsia="宋体" w:hint="default"/>
                <w:spacing w:val="-63"/>
                <w:sz w:val="18"/>
                <w:szCs w:val="18"/>
              </w:rPr>
              <w:t> </w:t>
            </w:r>
            <w:r>
              <w:rPr>
                <w:rFonts w:ascii="Arial" w:hAnsi="Arial" w:cs="Arial" w:eastAsia="Arial" w:hint="default"/>
                <w:sz w:val="18"/>
                <w:szCs w:val="18"/>
              </w:rPr>
              <w:t>B</w:t>
            </w:r>
          </w:p>
        </w:tc>
        <w:tc>
          <w:tcPr>
            <w:tcW w:w="1915"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10,400,000.00</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10,400,000.00</w:t>
            </w:r>
            <w:r>
              <w:rPr>
                <w:rFonts w:ascii="Arial"/>
                <w:sz w:val="18"/>
              </w:rPr>
            </w:r>
          </w:p>
        </w:tc>
        <w:tc>
          <w:tcPr>
            <w:tcW w:w="191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100.00%</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07"/>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22" w:hRule="exact"/>
        </w:trPr>
        <w:tc>
          <w:tcPr>
            <w:tcW w:w="191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Arial" w:hAnsi="Arial" w:cs="Arial" w:eastAsia="Arial" w:hint="default"/>
                <w:sz w:val="18"/>
                <w:szCs w:val="18"/>
              </w:rPr>
            </w:pPr>
            <w:r>
              <w:rPr>
                <w:rFonts w:ascii="宋体" w:hAnsi="宋体" w:cs="宋体" w:eastAsia="宋体" w:hint="default"/>
                <w:w w:val="105"/>
                <w:sz w:val="18"/>
                <w:szCs w:val="18"/>
              </w:rPr>
              <w:t>公司</w:t>
            </w:r>
            <w:r>
              <w:rPr>
                <w:rFonts w:ascii="宋体" w:hAnsi="宋体" w:cs="宋体" w:eastAsia="宋体" w:hint="default"/>
                <w:spacing w:val="-59"/>
                <w:w w:val="105"/>
                <w:sz w:val="18"/>
                <w:szCs w:val="18"/>
              </w:rPr>
              <w:t> </w:t>
            </w:r>
            <w:r>
              <w:rPr>
                <w:rFonts w:ascii="Arial" w:hAnsi="Arial" w:cs="Arial" w:eastAsia="Arial" w:hint="default"/>
                <w:w w:val="105"/>
                <w:sz w:val="18"/>
                <w:szCs w:val="18"/>
              </w:rPr>
              <w:t>C</w:t>
            </w:r>
            <w:r>
              <w:rPr>
                <w:rFonts w:ascii="Arial" w:hAnsi="Arial" w:cs="Arial" w:eastAsia="Arial" w:hint="default"/>
                <w:sz w:val="18"/>
                <w:szCs w:val="18"/>
              </w:rPr>
            </w:r>
          </w:p>
        </w:tc>
        <w:tc>
          <w:tcPr>
            <w:tcW w:w="1915"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9,460,647.50</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9,460,647.50</w:t>
            </w:r>
            <w:r>
              <w:rPr>
                <w:rFonts w:ascii="Arial"/>
                <w:sz w:val="18"/>
              </w:rPr>
            </w:r>
          </w:p>
        </w:tc>
        <w:tc>
          <w:tcPr>
            <w:tcW w:w="191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100.00%</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07"/>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22" w:hRule="exact"/>
        </w:trPr>
        <w:tc>
          <w:tcPr>
            <w:tcW w:w="191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107"/>
              <w:jc w:val="righ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31,458,896.22</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31,458,896.22</w:t>
            </w:r>
            <w:r>
              <w:rPr>
                <w:rFonts w:ascii="Arial"/>
                <w:sz w:val="18"/>
              </w:rPr>
            </w:r>
          </w:p>
        </w:tc>
        <w:tc>
          <w:tcPr>
            <w:tcW w:w="191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w w:val="95"/>
                <w:sz w:val="18"/>
              </w:rPr>
              <w:t>--</w:t>
            </w:r>
            <w:r>
              <w:rPr>
                <w:rFonts w:ascii="Arial"/>
                <w:sz w:val="18"/>
              </w:rPr>
            </w:r>
          </w:p>
        </w:tc>
      </w:tr>
    </w:tbl>
    <w:p>
      <w:pPr>
        <w:spacing w:line="240" w:lineRule="auto" w:before="0"/>
        <w:rPr>
          <w:rFonts w:ascii="宋体" w:hAnsi="宋体" w:cs="宋体" w:eastAsia="宋体" w:hint="default"/>
          <w:sz w:val="15"/>
          <w:szCs w:val="15"/>
        </w:rPr>
      </w:pPr>
    </w:p>
    <w:p>
      <w:pPr>
        <w:pStyle w:val="BodyText"/>
        <w:spacing w:line="240" w:lineRule="auto" w:before="18"/>
        <w:ind w:left="634" w:right="1513"/>
        <w:jc w:val="left"/>
      </w:pPr>
      <w:r>
        <w:rPr/>
        <w:t>组合中，按账龄分析法计提坏账准备的应收账款：</w:t>
      </w:r>
    </w:p>
    <w:p>
      <w:pPr>
        <w:spacing w:line="240" w:lineRule="auto" w:before="4"/>
        <w:rPr>
          <w:rFonts w:ascii="宋体" w:hAnsi="宋体" w:cs="宋体" w:eastAsia="宋体" w:hint="default"/>
          <w:sz w:val="25"/>
          <w:szCs w:val="25"/>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2392"/>
        <w:gridCol w:w="2393"/>
        <w:gridCol w:w="2392"/>
        <w:gridCol w:w="2392"/>
      </w:tblGrid>
      <w:tr>
        <w:trPr>
          <w:trHeight w:val="322" w:hRule="exact"/>
        </w:trPr>
        <w:tc>
          <w:tcPr>
            <w:tcW w:w="2392"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2392" w:type="dxa"/>
            <w:vMerge/>
            <w:tcBorders>
              <w:left w:val="nil" w:sz="6" w:space="0" w:color="auto"/>
              <w:bottom w:val="single" w:sz="4" w:space="0" w:color="5B9BD4"/>
              <w:right w:val="nil" w:sz="6" w:space="0" w:color="auto"/>
            </w:tcBorders>
            <w:shd w:val="clear" w:color="auto" w:fill="DEEAF6"/>
          </w:tcPr>
          <w:p>
            <w:pPr/>
          </w:p>
        </w:tc>
        <w:tc>
          <w:tcPr>
            <w:tcW w:w="239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17" w:hRule="exact"/>
        </w:trPr>
        <w:tc>
          <w:tcPr>
            <w:tcW w:w="9569" w:type="dxa"/>
            <w:gridSpan w:val="4"/>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07"/>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年以内分项</w:t>
            </w:r>
          </w:p>
        </w:tc>
      </w:tr>
      <w:tr>
        <w:trPr>
          <w:trHeight w:val="327" w:hRule="exact"/>
        </w:trPr>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left="108"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个月以内</w:t>
            </w:r>
          </w:p>
        </w:tc>
        <w:tc>
          <w:tcPr>
            <w:tcW w:w="2393"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right="107"/>
              <w:jc w:val="right"/>
              <w:rPr>
                <w:rFonts w:ascii="Arial" w:hAnsi="Arial" w:cs="Arial" w:eastAsia="Arial" w:hint="default"/>
                <w:sz w:val="18"/>
                <w:szCs w:val="18"/>
              </w:rPr>
            </w:pPr>
            <w:r>
              <w:rPr>
                <w:rFonts w:ascii="Arial"/>
                <w:w w:val="95"/>
                <w:sz w:val="18"/>
              </w:rPr>
              <w:t>750,350,800.01</w:t>
            </w:r>
            <w:r>
              <w:rPr>
                <w:rFonts w:ascii="Arial"/>
                <w:sz w:val="18"/>
              </w:rPr>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2"/>
              <w:ind w:right="106"/>
              <w:jc w:val="right"/>
              <w:rPr>
                <w:rFonts w:ascii="Arial" w:hAnsi="Arial" w:cs="Arial" w:eastAsia="Arial" w:hint="default"/>
                <w:sz w:val="18"/>
                <w:szCs w:val="18"/>
              </w:rPr>
            </w:pPr>
            <w:r>
              <w:rPr>
                <w:rFonts w:ascii="Arial"/>
                <w:w w:val="95"/>
                <w:sz w:val="18"/>
              </w:rPr>
              <w:t>791,512.29</w:t>
            </w:r>
            <w:r>
              <w:rPr>
                <w:rFonts w:ascii="Arial"/>
                <w:sz w:val="18"/>
              </w:rPr>
            </w: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w w:val="95"/>
                <w:sz w:val="18"/>
              </w:rPr>
              <w:t>0.11%</w:t>
            </w:r>
            <w:r>
              <w:rPr>
                <w:rFonts w:ascii="Arial"/>
                <w:sz w:val="18"/>
              </w:rPr>
            </w:r>
          </w:p>
        </w:tc>
      </w:tr>
      <w:tr>
        <w:trPr>
          <w:trHeight w:val="322" w:hRule="exact"/>
        </w:trPr>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Arial" w:hAnsi="Arial" w:cs="Arial" w:eastAsia="Arial" w:hint="default"/>
                <w:sz w:val="18"/>
                <w:szCs w:val="18"/>
              </w:rPr>
              <w:t>3-6</w:t>
            </w:r>
            <w:r>
              <w:rPr>
                <w:rFonts w:ascii="Arial" w:hAnsi="Arial" w:cs="Arial" w:eastAsia="Arial" w:hint="default"/>
                <w:spacing w:val="-8"/>
                <w:sz w:val="18"/>
                <w:szCs w:val="18"/>
              </w:rPr>
              <w:t> </w:t>
            </w:r>
            <w:r>
              <w:rPr>
                <w:rFonts w:ascii="宋体" w:hAnsi="宋体" w:cs="宋体" w:eastAsia="宋体" w:hint="default"/>
                <w:sz w:val="18"/>
                <w:szCs w:val="18"/>
              </w:rPr>
              <w:t>个月</w:t>
            </w:r>
          </w:p>
        </w:tc>
        <w:tc>
          <w:tcPr>
            <w:tcW w:w="2393"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32,279,108.76</w:t>
            </w:r>
            <w:r>
              <w:rPr>
                <w:rFonts w:ascii="Arial"/>
                <w:sz w:val="18"/>
              </w:rPr>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2,858,571.79</w:t>
            </w:r>
            <w:r>
              <w:rPr>
                <w:rFonts w:ascii="Arial"/>
                <w:sz w:val="18"/>
              </w:rPr>
            </w: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8.86%</w:t>
            </w:r>
            <w:r>
              <w:rPr>
                <w:rFonts w:ascii="Arial"/>
                <w:sz w:val="18"/>
              </w:rPr>
            </w:r>
          </w:p>
        </w:tc>
      </w:tr>
      <w:tr>
        <w:trPr>
          <w:trHeight w:val="322" w:hRule="exact"/>
        </w:trPr>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6-12</w:t>
            </w:r>
            <w:r>
              <w:rPr>
                <w:rFonts w:ascii="Arial" w:hAnsi="Arial" w:cs="Arial" w:eastAsia="Arial" w:hint="default"/>
                <w:spacing w:val="-10"/>
                <w:sz w:val="18"/>
                <w:szCs w:val="18"/>
              </w:rPr>
              <w:t> </w:t>
            </w:r>
            <w:r>
              <w:rPr>
                <w:rFonts w:ascii="宋体" w:hAnsi="宋体" w:cs="宋体" w:eastAsia="宋体" w:hint="default"/>
                <w:sz w:val="18"/>
                <w:szCs w:val="18"/>
              </w:rPr>
              <w:t>个月</w:t>
            </w:r>
          </w:p>
        </w:tc>
        <w:tc>
          <w:tcPr>
            <w:tcW w:w="2393"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18,106,170.94</w:t>
            </w:r>
            <w:r>
              <w:rPr>
                <w:rFonts w:ascii="Arial"/>
                <w:sz w:val="18"/>
              </w:rPr>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4,326,057.40</w:t>
            </w:r>
            <w:r>
              <w:rPr>
                <w:rFonts w:ascii="Arial"/>
                <w:sz w:val="18"/>
              </w:rPr>
            </w: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23.89%</w:t>
            </w:r>
            <w:r>
              <w:rPr>
                <w:rFonts w:ascii="Arial"/>
                <w:sz w:val="18"/>
              </w:rPr>
            </w:r>
          </w:p>
        </w:tc>
      </w:tr>
      <w:tr>
        <w:trPr>
          <w:trHeight w:val="322" w:hRule="exact"/>
        </w:trPr>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年以内小计</w:t>
            </w:r>
          </w:p>
        </w:tc>
        <w:tc>
          <w:tcPr>
            <w:tcW w:w="2393"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800,736,079.71</w:t>
            </w:r>
            <w:r>
              <w:rPr>
                <w:rFonts w:ascii="Arial"/>
                <w:sz w:val="18"/>
              </w:rPr>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7,976,141.48</w:t>
            </w:r>
            <w:r>
              <w:rPr>
                <w:rFonts w:ascii="Arial"/>
                <w:sz w:val="18"/>
              </w:rPr>
            </w: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1.00%</w:t>
            </w:r>
            <w:r>
              <w:rPr>
                <w:rFonts w:ascii="Arial"/>
                <w:sz w:val="18"/>
              </w:rPr>
            </w:r>
          </w:p>
        </w:tc>
      </w:tr>
      <w:tr>
        <w:trPr>
          <w:trHeight w:val="322" w:hRule="exact"/>
        </w:trPr>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2393"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12,626,016.49</w:t>
            </w:r>
            <w:r>
              <w:rPr>
                <w:rFonts w:ascii="Arial"/>
                <w:sz w:val="18"/>
              </w:rPr>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5,309,204.74</w:t>
            </w:r>
            <w:r>
              <w:rPr>
                <w:rFonts w:ascii="Arial"/>
                <w:sz w:val="18"/>
              </w:rPr>
            </w: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42.05%</w:t>
            </w:r>
            <w:r>
              <w:rPr>
                <w:rFonts w:ascii="Arial"/>
                <w:sz w:val="18"/>
              </w:rPr>
            </w:r>
          </w:p>
        </w:tc>
      </w:tr>
      <w:tr>
        <w:trPr>
          <w:trHeight w:val="322" w:hRule="exact"/>
        </w:trPr>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7"/>
                <w:sz w:val="18"/>
                <w:szCs w:val="18"/>
              </w:rPr>
              <w:t> </w:t>
            </w:r>
            <w:r>
              <w:rPr>
                <w:rFonts w:ascii="宋体" w:hAnsi="宋体" w:cs="宋体" w:eastAsia="宋体" w:hint="default"/>
                <w:sz w:val="18"/>
                <w:szCs w:val="18"/>
              </w:rPr>
              <w:t>年以上</w:t>
            </w:r>
          </w:p>
        </w:tc>
        <w:tc>
          <w:tcPr>
            <w:tcW w:w="2393"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8,054,297.42</w:t>
            </w:r>
            <w:r>
              <w:rPr>
                <w:rFonts w:ascii="Arial"/>
                <w:sz w:val="18"/>
              </w:rPr>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7,656,354.32</w:t>
            </w:r>
            <w:r>
              <w:rPr>
                <w:rFonts w:ascii="Arial"/>
                <w:sz w:val="18"/>
              </w:rPr>
            </w: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95.06%</w:t>
            </w:r>
            <w:r>
              <w:rPr>
                <w:rFonts w:ascii="Arial"/>
                <w:sz w:val="18"/>
              </w:rPr>
            </w:r>
          </w:p>
        </w:tc>
      </w:tr>
      <w:tr>
        <w:trPr>
          <w:trHeight w:val="323" w:hRule="exact"/>
        </w:trPr>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821,416,393.62</w:t>
            </w:r>
            <w:r>
              <w:rPr>
                <w:rFonts w:ascii="Arial"/>
                <w:sz w:val="18"/>
              </w:rPr>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20,941,700.54</w:t>
            </w:r>
            <w:r>
              <w:rPr>
                <w:rFonts w:ascii="Arial"/>
                <w:sz w:val="18"/>
              </w:rPr>
            </w: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2.55%</w:t>
            </w:r>
            <w:r>
              <w:rPr>
                <w:rFonts w:ascii="Arial"/>
                <w:sz w:val="18"/>
              </w:rPr>
            </w:r>
          </w:p>
        </w:tc>
      </w:tr>
    </w:tbl>
    <w:p>
      <w:pPr>
        <w:spacing w:line="240" w:lineRule="auto" w:before="0"/>
        <w:rPr>
          <w:rFonts w:ascii="宋体" w:hAnsi="宋体" w:cs="宋体" w:eastAsia="宋体" w:hint="default"/>
          <w:sz w:val="15"/>
          <w:szCs w:val="15"/>
        </w:rPr>
      </w:pPr>
    </w:p>
    <w:p>
      <w:pPr>
        <w:pStyle w:val="BodyText"/>
        <w:spacing w:line="240" w:lineRule="auto" w:before="18"/>
        <w:ind w:left="634" w:right="1513"/>
        <w:jc w:val="left"/>
      </w:pPr>
      <w:r>
        <w:rPr/>
        <w:t>单项金额不重大但单独计提坏账准备的应收款项：</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087"/>
        <w:gridCol w:w="1559"/>
        <w:gridCol w:w="1537"/>
        <w:gridCol w:w="1157"/>
        <w:gridCol w:w="1874"/>
      </w:tblGrid>
      <w:tr>
        <w:trPr>
          <w:trHeight w:val="322" w:hRule="exact"/>
        </w:trPr>
        <w:tc>
          <w:tcPr>
            <w:tcW w:w="3087"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33"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6128" w:type="dxa"/>
            <w:gridSpan w:val="4"/>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22" w:hRule="exact"/>
        </w:trPr>
        <w:tc>
          <w:tcPr>
            <w:tcW w:w="3087" w:type="dxa"/>
            <w:vMerge/>
            <w:tcBorders>
              <w:left w:val="nil" w:sz="6" w:space="0" w:color="auto"/>
              <w:bottom w:val="single" w:sz="4" w:space="0" w:color="5B9BD4"/>
              <w:right w:val="nil" w:sz="6" w:space="0" w:color="auto"/>
            </w:tcBorders>
            <w:shd w:val="clear" w:color="auto" w:fill="DEEAF6"/>
          </w:tcPr>
          <w:p>
            <w:pPr/>
          </w:p>
        </w:tc>
        <w:tc>
          <w:tcPr>
            <w:tcW w:w="155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1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3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5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21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87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577"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22" w:hRule="exact"/>
        </w:trPr>
        <w:tc>
          <w:tcPr>
            <w:tcW w:w="308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Arial" w:hAnsi="Arial" w:cs="Arial" w:eastAsia="Arial" w:hint="default"/>
                <w:sz w:val="18"/>
                <w:szCs w:val="18"/>
              </w:rPr>
            </w:pPr>
            <w:r>
              <w:rPr>
                <w:rFonts w:ascii="宋体" w:hAnsi="宋体" w:cs="宋体" w:eastAsia="宋体" w:hint="default"/>
                <w:sz w:val="18"/>
                <w:szCs w:val="18"/>
              </w:rPr>
              <w:t>公司</w:t>
            </w:r>
            <w:r>
              <w:rPr>
                <w:rFonts w:ascii="Arial" w:hAnsi="Arial" w:cs="Arial" w:eastAsia="Arial" w:hint="default"/>
                <w:sz w:val="18"/>
                <w:szCs w:val="18"/>
              </w:rPr>
              <w:t>D</w:t>
            </w:r>
          </w:p>
        </w:tc>
        <w:tc>
          <w:tcPr>
            <w:tcW w:w="155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4,974,969.83</w:t>
            </w:r>
            <w:r>
              <w:rPr>
                <w:rFonts w:ascii="Arial"/>
                <w:sz w:val="18"/>
              </w:rPr>
            </w:r>
          </w:p>
        </w:tc>
        <w:tc>
          <w:tcPr>
            <w:tcW w:w="153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4,974,969.83</w:t>
            </w:r>
            <w:r>
              <w:rPr>
                <w:rFonts w:ascii="Arial"/>
                <w:sz w:val="18"/>
              </w:rPr>
            </w:r>
          </w:p>
        </w:tc>
        <w:tc>
          <w:tcPr>
            <w:tcW w:w="1157"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100.00</w:t>
            </w:r>
            <w:r>
              <w:rPr>
                <w:rFonts w:ascii="Arial"/>
                <w:sz w:val="18"/>
              </w:rPr>
            </w:r>
          </w:p>
        </w:tc>
        <w:tc>
          <w:tcPr>
            <w:tcW w:w="187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107"/>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22" w:hRule="exact"/>
        </w:trPr>
        <w:tc>
          <w:tcPr>
            <w:tcW w:w="308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Arial" w:hAnsi="Arial" w:cs="Arial" w:eastAsia="Arial" w:hint="default"/>
                <w:sz w:val="18"/>
                <w:szCs w:val="18"/>
              </w:rPr>
            </w:pPr>
            <w:r>
              <w:rPr>
                <w:rFonts w:ascii="宋体" w:hAnsi="宋体" w:cs="宋体" w:eastAsia="宋体" w:hint="default"/>
                <w:sz w:val="18"/>
                <w:szCs w:val="18"/>
              </w:rPr>
              <w:t>公司</w:t>
            </w:r>
            <w:r>
              <w:rPr>
                <w:rFonts w:ascii="Arial" w:hAnsi="Arial" w:cs="Arial" w:eastAsia="Arial" w:hint="default"/>
                <w:sz w:val="18"/>
                <w:szCs w:val="18"/>
              </w:rPr>
              <w:t>E</w:t>
            </w:r>
          </w:p>
        </w:tc>
        <w:tc>
          <w:tcPr>
            <w:tcW w:w="155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3,538,100.16</w:t>
            </w:r>
            <w:r>
              <w:rPr>
                <w:rFonts w:ascii="Arial"/>
                <w:sz w:val="18"/>
              </w:rPr>
            </w:r>
          </w:p>
        </w:tc>
        <w:tc>
          <w:tcPr>
            <w:tcW w:w="153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3,538,100.16</w:t>
            </w:r>
            <w:r>
              <w:rPr>
                <w:rFonts w:ascii="Arial"/>
                <w:sz w:val="18"/>
              </w:rPr>
            </w:r>
          </w:p>
        </w:tc>
        <w:tc>
          <w:tcPr>
            <w:tcW w:w="1157"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100.00</w:t>
            </w:r>
            <w:r>
              <w:rPr>
                <w:rFonts w:ascii="Arial"/>
                <w:sz w:val="18"/>
              </w:rPr>
            </w:r>
          </w:p>
        </w:tc>
        <w:tc>
          <w:tcPr>
            <w:tcW w:w="187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07"/>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22" w:hRule="exact"/>
        </w:trPr>
        <w:tc>
          <w:tcPr>
            <w:tcW w:w="308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Arial" w:hAnsi="Arial" w:cs="Arial" w:eastAsia="Arial" w:hint="default"/>
                <w:sz w:val="18"/>
                <w:szCs w:val="18"/>
              </w:rPr>
            </w:pPr>
            <w:r>
              <w:rPr>
                <w:rFonts w:ascii="宋体" w:hAnsi="宋体" w:cs="宋体" w:eastAsia="宋体" w:hint="default"/>
                <w:sz w:val="18"/>
                <w:szCs w:val="18"/>
              </w:rPr>
              <w:t>公司</w:t>
            </w:r>
            <w:r>
              <w:rPr>
                <w:rFonts w:ascii="Arial" w:hAnsi="Arial" w:cs="Arial" w:eastAsia="Arial" w:hint="default"/>
                <w:sz w:val="18"/>
                <w:szCs w:val="18"/>
              </w:rPr>
              <w:t>F</w:t>
            </w:r>
          </w:p>
        </w:tc>
        <w:tc>
          <w:tcPr>
            <w:tcW w:w="155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1,716,557.53</w:t>
            </w:r>
            <w:r>
              <w:rPr>
                <w:rFonts w:ascii="Arial"/>
                <w:sz w:val="18"/>
              </w:rPr>
            </w:r>
          </w:p>
        </w:tc>
        <w:tc>
          <w:tcPr>
            <w:tcW w:w="153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1,716,557.53</w:t>
            </w:r>
            <w:r>
              <w:rPr>
                <w:rFonts w:ascii="Arial"/>
                <w:sz w:val="18"/>
              </w:rPr>
            </w:r>
          </w:p>
        </w:tc>
        <w:tc>
          <w:tcPr>
            <w:tcW w:w="1157"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100.00</w:t>
            </w:r>
            <w:r>
              <w:rPr>
                <w:rFonts w:ascii="Arial"/>
                <w:sz w:val="18"/>
              </w:rPr>
            </w:r>
          </w:p>
        </w:tc>
        <w:tc>
          <w:tcPr>
            <w:tcW w:w="187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07"/>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22" w:hRule="exact"/>
        </w:trPr>
        <w:tc>
          <w:tcPr>
            <w:tcW w:w="308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Arial" w:hAnsi="Arial" w:cs="Arial" w:eastAsia="Arial" w:hint="default"/>
                <w:sz w:val="18"/>
                <w:szCs w:val="18"/>
              </w:rPr>
            </w:pPr>
            <w:r>
              <w:rPr>
                <w:rFonts w:ascii="宋体" w:hAnsi="宋体" w:cs="宋体" w:eastAsia="宋体" w:hint="default"/>
                <w:w w:val="105"/>
                <w:sz w:val="18"/>
                <w:szCs w:val="18"/>
              </w:rPr>
              <w:t>公司</w:t>
            </w:r>
            <w:r>
              <w:rPr>
                <w:rFonts w:ascii="Arial" w:hAnsi="Arial" w:cs="Arial" w:eastAsia="Arial" w:hint="default"/>
                <w:w w:val="105"/>
                <w:sz w:val="18"/>
                <w:szCs w:val="18"/>
              </w:rPr>
              <w:t>G</w:t>
            </w:r>
            <w:r>
              <w:rPr>
                <w:rFonts w:ascii="Arial" w:hAnsi="Arial" w:cs="Arial" w:eastAsia="Arial" w:hint="default"/>
                <w:sz w:val="18"/>
                <w:szCs w:val="18"/>
              </w:rPr>
            </w:r>
          </w:p>
        </w:tc>
        <w:tc>
          <w:tcPr>
            <w:tcW w:w="155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1,142,217.47</w:t>
            </w:r>
            <w:r>
              <w:rPr>
                <w:rFonts w:ascii="Arial"/>
                <w:sz w:val="18"/>
              </w:rPr>
            </w:r>
          </w:p>
        </w:tc>
        <w:tc>
          <w:tcPr>
            <w:tcW w:w="153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1,142,217.47</w:t>
            </w:r>
            <w:r>
              <w:rPr>
                <w:rFonts w:ascii="Arial"/>
                <w:sz w:val="18"/>
              </w:rPr>
            </w:r>
          </w:p>
        </w:tc>
        <w:tc>
          <w:tcPr>
            <w:tcW w:w="1157"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100.00</w:t>
            </w:r>
            <w:r>
              <w:rPr>
                <w:rFonts w:ascii="Arial"/>
                <w:sz w:val="18"/>
              </w:rPr>
            </w:r>
          </w:p>
        </w:tc>
        <w:tc>
          <w:tcPr>
            <w:tcW w:w="187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107"/>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22" w:hRule="exact"/>
        </w:trPr>
        <w:tc>
          <w:tcPr>
            <w:tcW w:w="308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Arial" w:hAnsi="Arial" w:cs="Arial" w:eastAsia="Arial" w:hint="default"/>
                <w:sz w:val="18"/>
                <w:szCs w:val="18"/>
              </w:rPr>
            </w:pPr>
            <w:r>
              <w:rPr>
                <w:rFonts w:ascii="宋体" w:hAnsi="宋体" w:cs="宋体" w:eastAsia="宋体" w:hint="default"/>
                <w:sz w:val="18"/>
                <w:szCs w:val="18"/>
              </w:rPr>
              <w:t>公司</w:t>
            </w:r>
            <w:r>
              <w:rPr>
                <w:rFonts w:ascii="Arial" w:hAnsi="Arial" w:cs="Arial" w:eastAsia="Arial" w:hint="default"/>
                <w:sz w:val="18"/>
                <w:szCs w:val="18"/>
              </w:rPr>
              <w:t>H</w:t>
            </w:r>
          </w:p>
        </w:tc>
        <w:tc>
          <w:tcPr>
            <w:tcW w:w="155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366,925.00</w:t>
            </w:r>
            <w:r>
              <w:rPr>
                <w:rFonts w:ascii="Arial"/>
                <w:sz w:val="18"/>
              </w:rPr>
            </w:r>
          </w:p>
        </w:tc>
        <w:tc>
          <w:tcPr>
            <w:tcW w:w="153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366,925.00</w:t>
            </w:r>
            <w:r>
              <w:rPr>
                <w:rFonts w:ascii="Arial"/>
                <w:sz w:val="18"/>
              </w:rPr>
            </w:r>
          </w:p>
        </w:tc>
        <w:tc>
          <w:tcPr>
            <w:tcW w:w="1157"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100.00</w:t>
            </w:r>
            <w:r>
              <w:rPr>
                <w:rFonts w:ascii="Arial"/>
                <w:sz w:val="18"/>
              </w:rPr>
            </w:r>
          </w:p>
        </w:tc>
        <w:tc>
          <w:tcPr>
            <w:tcW w:w="187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07"/>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23" w:hRule="exact"/>
        </w:trPr>
        <w:tc>
          <w:tcPr>
            <w:tcW w:w="308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8"/>
                <w:sz w:val="18"/>
                <w:szCs w:val="18"/>
              </w:rPr>
              <w:t> </w:t>
            </w:r>
            <w:r>
              <w:rPr>
                <w:rFonts w:ascii="宋体" w:hAnsi="宋体" w:cs="宋体" w:eastAsia="宋体" w:hint="default"/>
                <w:sz w:val="18"/>
                <w:szCs w:val="18"/>
              </w:rPr>
              <w:t>计</w:t>
            </w:r>
          </w:p>
        </w:tc>
        <w:tc>
          <w:tcPr>
            <w:tcW w:w="155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Trebuchet MS" w:hAnsi="Trebuchet MS" w:cs="Trebuchet MS" w:eastAsia="Trebuchet MS" w:hint="default"/>
                <w:sz w:val="18"/>
                <w:szCs w:val="18"/>
              </w:rPr>
            </w:pPr>
            <w:r>
              <w:rPr>
                <w:rFonts w:ascii="Trebuchet MS"/>
                <w:b/>
                <w:w w:val="90"/>
                <w:sz w:val="18"/>
              </w:rPr>
              <w:t>11,738,769.99</w:t>
            </w:r>
            <w:r>
              <w:rPr>
                <w:rFonts w:ascii="Trebuchet MS"/>
                <w:sz w:val="18"/>
              </w:rPr>
            </w:r>
          </w:p>
        </w:tc>
        <w:tc>
          <w:tcPr>
            <w:tcW w:w="153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Trebuchet MS" w:hAnsi="Trebuchet MS" w:cs="Trebuchet MS" w:eastAsia="Trebuchet MS" w:hint="default"/>
                <w:sz w:val="18"/>
                <w:szCs w:val="18"/>
              </w:rPr>
            </w:pPr>
            <w:r>
              <w:rPr>
                <w:rFonts w:ascii="Trebuchet MS"/>
                <w:b/>
                <w:w w:val="90"/>
                <w:sz w:val="18"/>
              </w:rPr>
              <w:t>11,738,769.99</w:t>
            </w:r>
            <w:r>
              <w:rPr>
                <w:rFonts w:ascii="Trebuchet MS"/>
                <w:sz w:val="18"/>
              </w:rPr>
            </w:r>
          </w:p>
        </w:tc>
        <w:tc>
          <w:tcPr>
            <w:tcW w:w="1157"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Trebuchet MS" w:hAnsi="Trebuchet MS" w:cs="Trebuchet MS" w:eastAsia="Trebuchet MS" w:hint="default"/>
                <w:sz w:val="18"/>
                <w:szCs w:val="18"/>
              </w:rPr>
            </w:pPr>
            <w:r>
              <w:rPr>
                <w:rFonts w:ascii="Trebuchet MS"/>
                <w:b/>
                <w:w w:val="90"/>
                <w:sz w:val="18"/>
              </w:rPr>
              <w:t>100.00</w:t>
            </w:r>
            <w:r>
              <w:rPr>
                <w:rFonts w:ascii="Trebuchet MS"/>
                <w:sz w:val="18"/>
              </w:rPr>
            </w:r>
          </w:p>
        </w:tc>
        <w:tc>
          <w:tcPr>
            <w:tcW w:w="1874" w:type="dxa"/>
            <w:tcBorders>
              <w:top w:val="single" w:sz="4" w:space="0" w:color="5B9BD4"/>
              <w:left w:val="nil" w:sz="6" w:space="0" w:color="auto"/>
              <w:bottom w:val="single" w:sz="4" w:space="0" w:color="5B9BD4"/>
              <w:right w:val="nil" w:sz="6" w:space="0" w:color="auto"/>
            </w:tcBorders>
            <w:shd w:val="clear" w:color="auto" w:fill="DEEAF6"/>
          </w:tcPr>
          <w:p>
            <w:pP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2）本期计提、收回或转回的坏账准备情况" w:id="290"/>
      <w:bookmarkEnd w:id="290"/>
      <w:r>
        <w:rPr>
          <w:b w:val="0"/>
          <w:bCs w:val="0"/>
        </w:rPr>
      </w:r>
      <w:r>
        <w:rPr/>
        <w:t>（</w:t>
      </w:r>
      <w:r>
        <w:rPr>
          <w:rFonts w:ascii="Trebuchet MS" w:hAnsi="Trebuchet MS" w:cs="Trebuchet MS" w:eastAsia="Trebuchet MS" w:hint="default"/>
        </w:rPr>
        <w:t>2</w:t>
      </w:r>
      <w:r>
        <w:rPr/>
        <w:t>）本期计提、收回或转回的坏账准备情况</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left="633" w:right="1513"/>
        <w:jc w:val="left"/>
      </w:pPr>
      <w:r>
        <w:rPr/>
        <w:t>本期计提坏账准备金额</w:t>
      </w:r>
      <w:r>
        <w:rPr>
          <w:spacing w:val="-54"/>
        </w:rPr>
        <w:t> </w:t>
      </w:r>
      <w:r>
        <w:rPr>
          <w:rFonts w:ascii="Arial" w:hAnsi="Arial" w:cs="Arial" w:eastAsia="Arial" w:hint="default"/>
        </w:rPr>
        <w:t>35,320,095.09</w:t>
      </w:r>
      <w:r>
        <w:rPr>
          <w:rFonts w:ascii="Arial" w:hAnsi="Arial" w:cs="Arial" w:eastAsia="Arial" w:hint="default"/>
          <w:spacing w:val="-7"/>
        </w:rPr>
        <w:t> </w:t>
      </w:r>
      <w:r>
        <w:rPr/>
        <w:t>元；本期收回或转回坏账准备金额</w:t>
      </w:r>
      <w:r>
        <w:rPr>
          <w:spacing w:val="-54"/>
        </w:rPr>
        <w:t> </w:t>
      </w:r>
      <w:r>
        <w:rPr>
          <w:rFonts w:ascii="Arial" w:hAnsi="Arial" w:cs="Arial" w:eastAsia="Arial" w:hint="default"/>
        </w:rPr>
        <w:t>0.00</w:t>
      </w:r>
      <w:r>
        <w:rPr>
          <w:rFonts w:ascii="Arial" w:hAnsi="Arial" w:cs="Arial" w:eastAsia="Arial" w:hint="default"/>
          <w:spacing w:val="-8"/>
        </w:rPr>
        <w:t> </w:t>
      </w:r>
      <w:r>
        <w:rPr/>
        <w:t>元。</w:t>
      </w:r>
    </w:p>
    <w:p>
      <w:pPr>
        <w:spacing w:after="0" w:line="240" w:lineRule="auto"/>
        <w:jc w:val="left"/>
        <w:sectPr>
          <w:pgSz w:w="11910" w:h="16840"/>
          <w:pgMar w:header="877" w:footer="979" w:top="1100" w:bottom="1160" w:left="920" w:right="0"/>
        </w:sectPr>
      </w:pPr>
    </w:p>
    <w:p>
      <w:pPr>
        <w:spacing w:line="240" w:lineRule="auto" w:before="5"/>
        <w:rPr>
          <w:rFonts w:ascii="宋体" w:hAnsi="宋体" w:cs="宋体" w:eastAsia="宋体" w:hint="default"/>
          <w:sz w:val="20"/>
          <w:szCs w:val="20"/>
        </w:rPr>
      </w:pPr>
    </w:p>
    <w:p>
      <w:pPr>
        <w:pStyle w:val="Heading5"/>
        <w:spacing w:line="240" w:lineRule="auto"/>
        <w:ind w:right="1513"/>
        <w:jc w:val="left"/>
        <w:rPr>
          <w:b w:val="0"/>
          <w:bCs w:val="0"/>
        </w:rPr>
      </w:pPr>
      <w:bookmarkStart w:name="（3）本期实际核销的应收账款情况" w:id="291"/>
      <w:bookmarkEnd w:id="291"/>
      <w:r>
        <w:rPr>
          <w:b w:val="0"/>
          <w:bCs w:val="0"/>
        </w:rPr>
      </w:r>
      <w:r>
        <w:rPr/>
        <w:t>（</w:t>
      </w:r>
      <w:r>
        <w:rPr>
          <w:rFonts w:ascii="Trebuchet MS" w:hAnsi="Trebuchet MS" w:cs="Trebuchet MS" w:eastAsia="Trebuchet MS" w:hint="default"/>
        </w:rPr>
        <w:t>3</w:t>
      </w:r>
      <w:r>
        <w:rPr/>
        <w:t>）本期实际核销的应收账款情况</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4785"/>
        <w:gridCol w:w="4784"/>
      </w:tblGrid>
      <w:tr>
        <w:trPr>
          <w:trHeight w:val="323" w:hRule="exact"/>
        </w:trPr>
        <w:tc>
          <w:tcPr>
            <w:tcW w:w="478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322" w:hRule="exact"/>
        </w:trPr>
        <w:tc>
          <w:tcPr>
            <w:tcW w:w="478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176,655.55</w:t>
            </w:r>
            <w:r>
              <w:rPr>
                <w:rFonts w:ascii="Arial"/>
                <w:sz w:val="18"/>
              </w:rPr>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4）按欠款方归集的期末余额前五名的应收账款情况" w:id="292"/>
      <w:bookmarkEnd w:id="292"/>
      <w:r>
        <w:rPr>
          <w:b w:val="0"/>
          <w:bCs w:val="0"/>
        </w:rPr>
      </w:r>
      <w:r>
        <w:rPr/>
        <w:t>（</w:t>
      </w:r>
      <w:r>
        <w:rPr>
          <w:rFonts w:ascii="Trebuchet MS" w:hAnsi="Trebuchet MS" w:cs="Trebuchet MS" w:eastAsia="Trebuchet MS" w:hint="default"/>
        </w:rPr>
        <w:t>4</w:t>
      </w:r>
      <w:r>
        <w:rPr/>
        <w:t>）按欠款方归集的期末余额前五名的应收账款情况</w:t>
      </w:r>
      <w:r>
        <w:rPr>
          <w:b w:val="0"/>
          <w:bCs w:val="0"/>
        </w:rPr>
      </w:r>
    </w:p>
    <w:p>
      <w:pPr>
        <w:spacing w:line="240" w:lineRule="auto" w:before="5"/>
        <w:rPr>
          <w:rFonts w:ascii="宋体" w:hAnsi="宋体" w:cs="宋体" w:eastAsia="宋体" w:hint="default"/>
          <w:b/>
          <w:bCs/>
          <w:sz w:val="30"/>
          <w:szCs w:val="30"/>
        </w:rPr>
      </w:pPr>
    </w:p>
    <w:p>
      <w:pPr>
        <w:pStyle w:val="BodyText"/>
        <w:spacing w:line="388" w:lineRule="auto"/>
        <w:ind w:left="213" w:right="419" w:firstLine="420"/>
        <w:jc w:val="left"/>
      </w:pPr>
      <w:r>
        <w:rPr/>
        <w:t>本公司本年按欠款方归集的年末余额前五名应收账款汇总金额为</w:t>
      </w:r>
      <w:r>
        <w:rPr>
          <w:rFonts w:ascii="Arial" w:hAnsi="Arial" w:cs="Arial" w:eastAsia="Arial" w:hint="default"/>
        </w:rPr>
        <w:t>401,881,881.62</w:t>
      </w:r>
      <w:r>
        <w:rPr/>
        <w:t>元，占应收账款 年末余额合计数的比例为</w:t>
      </w:r>
      <w:r>
        <w:rPr>
          <w:rFonts w:ascii="Arial" w:hAnsi="Arial" w:cs="Arial" w:eastAsia="Arial" w:hint="default"/>
        </w:rPr>
        <w:t>46.48%</w:t>
      </w:r>
      <w:r>
        <w:rPr/>
        <w:t>，相应计提的坏账准备年末余额汇总金额为</w:t>
      </w:r>
      <w:r>
        <w:rPr>
          <w:rFonts w:ascii="Arial" w:hAnsi="Arial" w:cs="Arial" w:eastAsia="Arial" w:hint="default"/>
        </w:rPr>
        <w:t>6,330,969.22</w:t>
      </w:r>
      <w:r>
        <w:rPr/>
        <w:t>元。</w:t>
      </w:r>
    </w:p>
    <w:p>
      <w:pPr>
        <w:pStyle w:val="Heading5"/>
        <w:spacing w:line="240" w:lineRule="auto" w:before="112"/>
        <w:ind w:right="1513"/>
        <w:jc w:val="left"/>
        <w:rPr>
          <w:b w:val="0"/>
          <w:bCs w:val="0"/>
        </w:rPr>
      </w:pPr>
      <w:bookmarkStart w:name="5、预付款项" w:id="293"/>
      <w:bookmarkEnd w:id="293"/>
      <w:r>
        <w:rPr>
          <w:b w:val="0"/>
          <w:bCs w:val="0"/>
        </w:rPr>
      </w:r>
      <w:r>
        <w:rPr>
          <w:rFonts w:ascii="Trebuchet MS" w:hAnsi="Trebuchet MS" w:cs="Trebuchet MS" w:eastAsia="Trebuchet MS" w:hint="default"/>
        </w:rPr>
        <w:t>5</w:t>
      </w:r>
      <w:r>
        <w:rPr/>
        <w:t>、预付款项</w:t>
      </w:r>
      <w:r>
        <w:rPr>
          <w:b w:val="0"/>
          <w:bCs w:val="0"/>
        </w:rPr>
      </w:r>
    </w:p>
    <w:p>
      <w:pPr>
        <w:spacing w:line="240" w:lineRule="auto" w:before="7"/>
        <w:rPr>
          <w:rFonts w:ascii="宋体" w:hAnsi="宋体" w:cs="宋体" w:eastAsia="宋体" w:hint="default"/>
          <w:b/>
          <w:bCs/>
          <w:sz w:val="24"/>
          <w:szCs w:val="24"/>
        </w:rPr>
      </w:pPr>
    </w:p>
    <w:p>
      <w:pPr>
        <w:spacing w:before="0"/>
        <w:ind w:left="636" w:right="1513" w:firstLine="0"/>
        <w:jc w:val="left"/>
        <w:rPr>
          <w:rFonts w:ascii="宋体" w:hAnsi="宋体" w:cs="宋体" w:eastAsia="宋体" w:hint="default"/>
          <w:sz w:val="21"/>
          <w:szCs w:val="21"/>
        </w:rPr>
      </w:pPr>
      <w:bookmarkStart w:name="（1）预付款项按账龄列示" w:id="294"/>
      <w:bookmarkEnd w:id="294"/>
      <w:r>
        <w:rPr/>
      </w:r>
      <w:r>
        <w:rPr>
          <w:rFonts w:ascii="宋体" w:hAnsi="宋体" w:cs="宋体" w:eastAsia="宋体" w:hint="default"/>
          <w:b/>
          <w:bCs/>
          <w:sz w:val="21"/>
          <w:szCs w:val="21"/>
        </w:rPr>
        <w:t>（</w:t>
      </w:r>
      <w:r>
        <w:rPr>
          <w:rFonts w:ascii="Trebuchet MS" w:hAnsi="Trebuchet MS" w:cs="Trebuchet MS" w:eastAsia="Trebuchet MS"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5"/>
        <w:rPr>
          <w:rFonts w:ascii="宋体" w:hAnsi="宋体" w:cs="宋体" w:eastAsia="宋体" w:hint="default"/>
          <w:b/>
          <w:bCs/>
          <w:sz w:val="30"/>
          <w:szCs w:val="30"/>
        </w:rPr>
      </w:pPr>
    </w:p>
    <w:p>
      <w:pPr>
        <w:pStyle w:val="BodyText"/>
        <w:spacing w:line="240" w:lineRule="auto"/>
        <w:ind w:left="0" w:right="1129"/>
        <w:jc w:val="right"/>
      </w:pPr>
      <w:r>
        <w:rPr/>
        <w:t>单位： 元</w:t>
      </w:r>
    </w:p>
    <w:p>
      <w:pPr>
        <w:spacing w:line="240" w:lineRule="auto" w:before="5"/>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322" w:hRule="exact"/>
        </w:trPr>
        <w:tc>
          <w:tcPr>
            <w:tcW w:w="1912"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17" w:hRule="exact"/>
        </w:trPr>
        <w:tc>
          <w:tcPr>
            <w:tcW w:w="1912" w:type="dxa"/>
            <w:vMerge/>
            <w:tcBorders>
              <w:left w:val="nil" w:sz="6" w:space="0" w:color="auto"/>
              <w:bottom w:val="single" w:sz="4" w:space="0" w:color="5B9BD4"/>
              <w:right w:val="nil" w:sz="6" w:space="0" w:color="auto"/>
            </w:tcBorders>
            <w:shd w:val="clear" w:color="auto" w:fill="DEEAF6"/>
          </w:tcPr>
          <w:p>
            <w:pPr/>
          </w:p>
        </w:tc>
        <w:tc>
          <w:tcPr>
            <w:tcW w:w="191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27" w:hRule="exact"/>
        </w:trPr>
        <w:tc>
          <w:tcPr>
            <w:tcW w:w="191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left="108"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年以内</w:t>
            </w:r>
          </w:p>
        </w:tc>
        <w:tc>
          <w:tcPr>
            <w:tcW w:w="1915"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right="106"/>
              <w:jc w:val="right"/>
              <w:rPr>
                <w:rFonts w:ascii="Arial" w:hAnsi="Arial" w:cs="Arial" w:eastAsia="Arial" w:hint="default"/>
                <w:sz w:val="18"/>
                <w:szCs w:val="18"/>
              </w:rPr>
            </w:pPr>
            <w:r>
              <w:rPr>
                <w:rFonts w:ascii="Arial"/>
                <w:spacing w:val="-1"/>
                <w:sz w:val="18"/>
              </w:rPr>
              <w:t>1,881,508,526.60</w:t>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2"/>
              <w:ind w:right="105"/>
              <w:jc w:val="right"/>
              <w:rPr>
                <w:rFonts w:ascii="Arial" w:hAnsi="Arial" w:cs="Arial" w:eastAsia="Arial" w:hint="default"/>
                <w:sz w:val="18"/>
                <w:szCs w:val="18"/>
              </w:rPr>
            </w:pPr>
            <w:r>
              <w:rPr>
                <w:rFonts w:ascii="Arial"/>
                <w:w w:val="95"/>
                <w:sz w:val="18"/>
              </w:rPr>
              <w:t>99.57%</w:t>
            </w:r>
            <w:r>
              <w:rPr>
                <w:rFonts w:ascii="Arial"/>
                <w:sz w:val="18"/>
              </w:rPr>
            </w:r>
          </w:p>
        </w:tc>
        <w:tc>
          <w:tcPr>
            <w:tcW w:w="1914"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right="106"/>
              <w:jc w:val="right"/>
              <w:rPr>
                <w:rFonts w:ascii="Arial" w:hAnsi="Arial" w:cs="Arial" w:eastAsia="Arial" w:hint="default"/>
                <w:sz w:val="18"/>
                <w:szCs w:val="18"/>
              </w:rPr>
            </w:pPr>
            <w:r>
              <w:rPr>
                <w:rFonts w:ascii="Arial"/>
                <w:spacing w:val="-1"/>
                <w:sz w:val="18"/>
              </w:rPr>
              <w:t>1,637,725,156.02</w:t>
            </w:r>
          </w:p>
        </w:tc>
        <w:tc>
          <w:tcPr>
            <w:tcW w:w="191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2"/>
              <w:ind w:right="105"/>
              <w:jc w:val="right"/>
              <w:rPr>
                <w:rFonts w:ascii="Arial" w:hAnsi="Arial" w:cs="Arial" w:eastAsia="Arial" w:hint="default"/>
                <w:sz w:val="18"/>
                <w:szCs w:val="18"/>
              </w:rPr>
            </w:pPr>
            <w:r>
              <w:rPr>
                <w:rFonts w:ascii="Arial"/>
                <w:w w:val="95"/>
                <w:sz w:val="18"/>
              </w:rPr>
              <w:t>99.04%</w:t>
            </w:r>
            <w:r>
              <w:rPr>
                <w:rFonts w:ascii="Arial"/>
                <w:sz w:val="18"/>
              </w:rPr>
            </w:r>
          </w:p>
        </w:tc>
      </w:tr>
      <w:tr>
        <w:trPr>
          <w:trHeight w:val="322" w:hRule="exact"/>
        </w:trPr>
        <w:tc>
          <w:tcPr>
            <w:tcW w:w="191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1915"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3,929,865.86</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0.21%</w:t>
            </w:r>
            <w:r>
              <w:rPr>
                <w:rFonts w:ascii="Arial"/>
                <w:sz w:val="18"/>
              </w:rPr>
            </w:r>
          </w:p>
        </w:tc>
        <w:tc>
          <w:tcPr>
            <w:tcW w:w="191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11,444,562.28</w:t>
            </w:r>
            <w:r>
              <w:rPr>
                <w:rFonts w:ascii="Arial"/>
                <w:sz w:val="18"/>
              </w:rPr>
            </w:r>
          </w:p>
        </w:tc>
        <w:tc>
          <w:tcPr>
            <w:tcW w:w="191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0.69%</w:t>
            </w:r>
            <w:r>
              <w:rPr>
                <w:rFonts w:ascii="Arial"/>
                <w:sz w:val="18"/>
              </w:rPr>
            </w:r>
          </w:p>
        </w:tc>
      </w:tr>
      <w:tr>
        <w:trPr>
          <w:trHeight w:val="322" w:hRule="exact"/>
        </w:trPr>
        <w:tc>
          <w:tcPr>
            <w:tcW w:w="191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7"/>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1915"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1,044,248.90</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0.06%</w:t>
            </w:r>
            <w:r>
              <w:rPr>
                <w:rFonts w:ascii="Arial"/>
                <w:sz w:val="18"/>
              </w:rPr>
            </w:r>
          </w:p>
        </w:tc>
        <w:tc>
          <w:tcPr>
            <w:tcW w:w="191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4,090,059.34</w:t>
            </w:r>
            <w:r>
              <w:rPr>
                <w:rFonts w:ascii="Arial"/>
                <w:sz w:val="18"/>
              </w:rPr>
            </w:r>
          </w:p>
        </w:tc>
        <w:tc>
          <w:tcPr>
            <w:tcW w:w="191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0.25%</w:t>
            </w:r>
            <w:r>
              <w:rPr>
                <w:rFonts w:ascii="Arial"/>
                <w:sz w:val="18"/>
              </w:rPr>
            </w:r>
          </w:p>
        </w:tc>
      </w:tr>
      <w:tr>
        <w:trPr>
          <w:trHeight w:val="323" w:hRule="exact"/>
        </w:trPr>
        <w:tc>
          <w:tcPr>
            <w:tcW w:w="191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年以上</w:t>
            </w:r>
          </w:p>
        </w:tc>
        <w:tc>
          <w:tcPr>
            <w:tcW w:w="1915"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3,091,153.26</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0.16%</w:t>
            </w:r>
            <w:r>
              <w:rPr>
                <w:rFonts w:ascii="Arial"/>
                <w:sz w:val="18"/>
              </w:rPr>
            </w:r>
          </w:p>
        </w:tc>
        <w:tc>
          <w:tcPr>
            <w:tcW w:w="191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330,141.11</w:t>
            </w:r>
            <w:r>
              <w:rPr>
                <w:rFonts w:ascii="Arial"/>
                <w:sz w:val="18"/>
              </w:rPr>
            </w:r>
          </w:p>
        </w:tc>
        <w:tc>
          <w:tcPr>
            <w:tcW w:w="191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0.02%</w:t>
            </w:r>
            <w:r>
              <w:rPr>
                <w:rFonts w:ascii="Arial"/>
                <w:sz w:val="18"/>
              </w:rPr>
            </w:r>
          </w:p>
        </w:tc>
      </w:tr>
      <w:tr>
        <w:trPr>
          <w:trHeight w:val="322" w:hRule="exact"/>
        </w:trPr>
        <w:tc>
          <w:tcPr>
            <w:tcW w:w="191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1,889,573,794.62</w:t>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w w:val="95"/>
                <w:sz w:val="18"/>
              </w:rPr>
              <w:t>--</w:t>
            </w:r>
            <w:r>
              <w:rPr>
                <w:rFonts w:ascii="Arial"/>
                <w:sz w:val="18"/>
              </w:rPr>
            </w:r>
          </w:p>
        </w:tc>
        <w:tc>
          <w:tcPr>
            <w:tcW w:w="191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1,653,589,918.75</w:t>
            </w:r>
          </w:p>
        </w:tc>
        <w:tc>
          <w:tcPr>
            <w:tcW w:w="191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w w:val="95"/>
                <w:sz w:val="18"/>
              </w:rPr>
              <w:t>--</w:t>
            </w:r>
            <w:r>
              <w:rPr>
                <w:rFonts w:ascii="Arial"/>
                <w:sz w:val="18"/>
              </w:rPr>
            </w:r>
          </w:p>
        </w:tc>
      </w:tr>
    </w:tbl>
    <w:p>
      <w:pPr>
        <w:spacing w:line="240" w:lineRule="auto" w:before="0"/>
        <w:rPr>
          <w:rFonts w:ascii="宋体" w:hAnsi="宋体" w:cs="宋体" w:eastAsia="宋体" w:hint="default"/>
          <w:sz w:val="15"/>
          <w:szCs w:val="15"/>
        </w:rPr>
      </w:pPr>
    </w:p>
    <w:p>
      <w:pPr>
        <w:pStyle w:val="BodyText"/>
        <w:spacing w:line="516" w:lineRule="auto" w:before="18"/>
        <w:ind w:left="633" w:right="4654"/>
        <w:jc w:val="left"/>
      </w:pPr>
      <w:r>
        <w:rPr/>
        <w:t>账龄超过</w:t>
      </w:r>
      <w:r>
        <w:rPr>
          <w:spacing w:val="-53"/>
        </w:rPr>
        <w:t> </w:t>
      </w:r>
      <w:r>
        <w:rPr>
          <w:rFonts w:ascii="Arial" w:hAnsi="Arial" w:cs="Arial" w:eastAsia="Arial" w:hint="default"/>
        </w:rPr>
        <w:t>1</w:t>
      </w:r>
      <w:r>
        <w:rPr>
          <w:rFonts w:ascii="Arial" w:hAnsi="Arial" w:cs="Arial" w:eastAsia="Arial" w:hint="default"/>
          <w:spacing w:val="-8"/>
        </w:rPr>
        <w:t> </w:t>
      </w:r>
      <w:r>
        <w:rPr/>
        <w:t>年且金额重要的预付款项未及时结算原因的说明： 主要系尚未结算的采购库存商品款。</w:t>
      </w:r>
    </w:p>
    <w:p>
      <w:pPr>
        <w:pStyle w:val="Heading5"/>
        <w:spacing w:line="240" w:lineRule="auto" w:before="31"/>
        <w:ind w:right="1513"/>
        <w:jc w:val="left"/>
        <w:rPr>
          <w:b w:val="0"/>
          <w:bCs w:val="0"/>
        </w:rPr>
      </w:pPr>
      <w:bookmarkStart w:name="（2）按预付对象归集的期末余额前五名的预付款情况" w:id="295"/>
      <w:bookmarkEnd w:id="295"/>
      <w:r>
        <w:rPr>
          <w:b w:val="0"/>
          <w:bCs w:val="0"/>
        </w:rPr>
      </w:r>
      <w:r>
        <w:rPr/>
        <w:t>（</w:t>
      </w:r>
      <w:r>
        <w:rPr>
          <w:rFonts w:ascii="Trebuchet MS" w:hAnsi="Trebuchet MS" w:cs="Trebuchet MS" w:eastAsia="Trebuchet MS" w:hint="default"/>
        </w:rPr>
        <w:t>2</w:t>
      </w:r>
      <w:r>
        <w:rPr/>
        <w:t>）按预付对象归集的期末余额前五名的预付款情况</w:t>
      </w:r>
      <w:r>
        <w:rPr>
          <w:b w:val="0"/>
          <w:bCs w:val="0"/>
        </w:rPr>
      </w:r>
    </w:p>
    <w:p>
      <w:pPr>
        <w:spacing w:line="240" w:lineRule="auto" w:before="5"/>
        <w:rPr>
          <w:rFonts w:ascii="宋体" w:hAnsi="宋体" w:cs="宋体" w:eastAsia="宋体" w:hint="default"/>
          <w:b/>
          <w:bCs/>
          <w:sz w:val="30"/>
          <w:szCs w:val="30"/>
        </w:rPr>
      </w:pPr>
    </w:p>
    <w:p>
      <w:pPr>
        <w:pStyle w:val="BodyText"/>
        <w:spacing w:line="388" w:lineRule="auto"/>
        <w:ind w:left="213" w:right="419" w:firstLine="420"/>
        <w:jc w:val="left"/>
      </w:pPr>
      <w:r>
        <w:rPr/>
        <w:t>本公司按预付对象归集的年末余额前五名预付款项汇总金额为</w:t>
      </w:r>
      <w:r>
        <w:rPr>
          <w:rFonts w:ascii="Arial" w:hAnsi="Arial" w:cs="Arial" w:eastAsia="Arial" w:hint="default"/>
        </w:rPr>
        <w:t>1,662,610,053.47</w:t>
      </w:r>
      <w:r>
        <w:rPr/>
        <w:t>元，占预付款项年末 余额合计数的比例为</w:t>
      </w:r>
      <w:r>
        <w:rPr>
          <w:rFonts w:ascii="Arial" w:hAnsi="Arial" w:cs="Arial" w:eastAsia="Arial" w:hint="default"/>
        </w:rPr>
        <w:t>87.99%</w:t>
      </w:r>
      <w:r>
        <w:rPr/>
        <w:t>。</w:t>
      </w:r>
    </w:p>
    <w:p>
      <w:pPr>
        <w:pStyle w:val="Heading5"/>
        <w:spacing w:line="240" w:lineRule="auto" w:before="112"/>
        <w:ind w:right="1513"/>
        <w:jc w:val="left"/>
        <w:rPr>
          <w:b w:val="0"/>
          <w:bCs w:val="0"/>
        </w:rPr>
      </w:pPr>
      <w:bookmarkStart w:name="6、其他应收款" w:id="296"/>
      <w:bookmarkEnd w:id="296"/>
      <w:r>
        <w:rPr>
          <w:b w:val="0"/>
          <w:bCs w:val="0"/>
        </w:rPr>
      </w:r>
      <w:r>
        <w:rPr>
          <w:rFonts w:ascii="Trebuchet MS" w:hAnsi="Trebuchet MS" w:cs="Trebuchet MS" w:eastAsia="Trebuchet MS" w:hint="default"/>
        </w:rPr>
        <w:t>6</w:t>
      </w:r>
      <w:r>
        <w:rPr/>
        <w:t>、其他应收款</w:t>
      </w:r>
      <w:r>
        <w:rPr>
          <w:b w:val="0"/>
          <w:bCs w:val="0"/>
        </w:rPr>
      </w:r>
    </w:p>
    <w:p>
      <w:pPr>
        <w:spacing w:line="240" w:lineRule="auto" w:before="7"/>
        <w:rPr>
          <w:rFonts w:ascii="宋体" w:hAnsi="宋体" w:cs="宋体" w:eastAsia="宋体" w:hint="default"/>
          <w:b/>
          <w:bCs/>
          <w:sz w:val="24"/>
          <w:szCs w:val="24"/>
        </w:rPr>
      </w:pPr>
    </w:p>
    <w:p>
      <w:pPr>
        <w:spacing w:before="0"/>
        <w:ind w:left="636" w:right="1513" w:firstLine="0"/>
        <w:jc w:val="left"/>
        <w:rPr>
          <w:rFonts w:ascii="宋体" w:hAnsi="宋体" w:cs="宋体" w:eastAsia="宋体" w:hint="default"/>
          <w:sz w:val="21"/>
          <w:szCs w:val="21"/>
        </w:rPr>
      </w:pPr>
      <w:bookmarkStart w:name="（1）其他应收款分类披露" w:id="297"/>
      <w:bookmarkEnd w:id="297"/>
      <w:r>
        <w:rPr/>
      </w:r>
      <w:r>
        <w:rPr>
          <w:rFonts w:ascii="宋体" w:hAnsi="宋体" w:cs="宋体" w:eastAsia="宋体" w:hint="default"/>
          <w:b/>
          <w:bCs/>
          <w:sz w:val="21"/>
          <w:szCs w:val="21"/>
        </w:rPr>
        <w:t>（</w:t>
      </w:r>
      <w:r>
        <w:rPr>
          <w:rFonts w:ascii="Trebuchet MS" w:hAnsi="Trebuchet MS" w:cs="Trebuchet MS" w:eastAsia="Trebuchet MS"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5"/>
        <w:rPr>
          <w:rFonts w:ascii="宋体" w:hAnsi="宋体" w:cs="宋体" w:eastAsia="宋体" w:hint="default"/>
          <w:b/>
          <w:bCs/>
          <w:sz w:val="30"/>
          <w:szCs w:val="30"/>
        </w:rPr>
      </w:pPr>
    </w:p>
    <w:p>
      <w:pPr>
        <w:pStyle w:val="BodyText"/>
        <w:spacing w:line="240" w:lineRule="auto"/>
        <w:ind w:left="0" w:right="1129"/>
        <w:jc w:val="right"/>
      </w:pPr>
      <w:r>
        <w:rPr/>
        <w:pict>
          <v:group style="position:absolute;margin-left:132.800003pt;margin-top:52.723675pt;width:153pt;height:.5pt;mso-position-horizontal-relative:page;mso-position-vertical-relative:paragraph;z-index:-1051120" coordorigin="2656,1054" coordsize="3060,10">
            <v:group style="position:absolute;left:2661;top:1059;width:764;height:2" coordorigin="2661,1059" coordsize="764,2">
              <v:shape style="position:absolute;left:2661;top:1059;width:764;height:2" coordorigin="2661,1059" coordsize="764,0" path="m2661,1059l3424,1059e" filled="false" stroked="true" strokeweight=".48pt" strokecolor="#5b9bd4">
                <v:path arrowok="t"/>
              </v:shape>
            </v:group>
            <v:group style="position:absolute;left:3424;top:1059;width:10;height:2" coordorigin="3424,1059" coordsize="10,2">
              <v:shape style="position:absolute;left:3424;top:1059;width:10;height:2" coordorigin="3424,1059" coordsize="10,0" path="m3424,1059l3434,1059e" filled="false" stroked="true" strokeweight=".48pt" strokecolor="#5b9bd4">
                <v:path arrowok="t"/>
              </v:shape>
            </v:group>
            <v:group style="position:absolute;left:3434;top:1059;width:753;height:2" coordorigin="3434,1059" coordsize="753,2">
              <v:shape style="position:absolute;left:3434;top:1059;width:753;height:2" coordorigin="3434,1059" coordsize="753,0" path="m3434,1059l4186,1059e" filled="false" stroked="true" strokeweight=".48pt" strokecolor="#5b9bd4">
                <v:path arrowok="t"/>
              </v:shape>
            </v:group>
            <v:group style="position:absolute;left:4186;top:1059;width:10;height:2" coordorigin="4186,1059" coordsize="10,2">
              <v:shape style="position:absolute;left:4186;top:1059;width:10;height:2" coordorigin="4186,1059" coordsize="10,0" path="m4186,1059l4196,1059e" filled="false" stroked="true" strokeweight=".48pt" strokecolor="#5b9bd4">
                <v:path arrowok="t"/>
              </v:shape>
            </v:group>
            <v:group style="position:absolute;left:4196;top:1059;width:753;height:2" coordorigin="4196,1059" coordsize="753,2">
              <v:shape style="position:absolute;left:4196;top:1059;width:753;height:2" coordorigin="4196,1059" coordsize="753,0" path="m4196,1059l4948,1059e" filled="false" stroked="true" strokeweight=".48pt" strokecolor="#5b9bd4">
                <v:path arrowok="t"/>
              </v:shape>
            </v:group>
            <v:group style="position:absolute;left:4948;top:1059;width:10;height:2" coordorigin="4948,1059" coordsize="10,2">
              <v:shape style="position:absolute;left:4948;top:1059;width:10;height:2" coordorigin="4948,1059" coordsize="10,0" path="m4948,1059l4958,1059e" filled="false" stroked="true" strokeweight=".48pt" strokecolor="#5b9bd4">
                <v:path arrowok="t"/>
              </v:shape>
            </v:group>
            <v:group style="position:absolute;left:4958;top:1059;width:753;height:2" coordorigin="4958,1059" coordsize="753,2">
              <v:shape style="position:absolute;left:4958;top:1059;width:753;height:2" coordorigin="4958,1059" coordsize="753,0" path="m4958,1059l5710,1059e" filled="false" stroked="true" strokeweight=".48pt" strokecolor="#5b9bd4">
                <v:path arrowok="t"/>
              </v:shape>
            </v:group>
            <w10:wrap type="none"/>
          </v:group>
        </w:pict>
      </w:r>
      <w:r>
        <w:rPr/>
        <w:pict>
          <v:group style="position:absolute;margin-left:324.760010pt;margin-top:52.723675pt;width:158.550pt;height:.5pt;mso-position-horizontal-relative:page;mso-position-vertical-relative:paragraph;z-index:-1051096" coordorigin="6495,1054" coordsize="3171,10">
            <v:group style="position:absolute;left:6500;top:1059;width:654;height:2" coordorigin="6500,1059" coordsize="654,2">
              <v:shape style="position:absolute;left:6500;top:1059;width:654;height:2" coordorigin="6500,1059" coordsize="654,0" path="m6500,1059l7154,1059e" filled="false" stroked="true" strokeweight=".48pt" strokecolor="#5b9bd4">
                <v:path arrowok="t"/>
              </v:shape>
            </v:group>
            <v:group style="position:absolute;left:7154;top:1059;width:10;height:2" coordorigin="7154,1059" coordsize="10,2">
              <v:shape style="position:absolute;left:7154;top:1059;width:10;height:2" coordorigin="7154,1059" coordsize="10,0" path="m7154,1059l7164,1059e" filled="false" stroked="true" strokeweight=".48pt" strokecolor="#5b9bd4">
                <v:path arrowok="t"/>
              </v:shape>
            </v:group>
            <v:group style="position:absolute;left:7164;top:1059;width:753;height:2" coordorigin="7164,1059" coordsize="753,2">
              <v:shape style="position:absolute;left:7164;top:1059;width:753;height:2" coordorigin="7164,1059" coordsize="753,0" path="m7164,1059l7916,1059e" filled="false" stroked="true" strokeweight=".48pt" strokecolor="#5b9bd4">
                <v:path arrowok="t"/>
              </v:shape>
            </v:group>
            <v:group style="position:absolute;left:7916;top:1059;width:10;height:2" coordorigin="7916,1059" coordsize="10,2">
              <v:shape style="position:absolute;left:7916;top:1059;width:10;height:2" coordorigin="7916,1059" coordsize="10,0" path="m7916,1059l7926,1059e" filled="false" stroked="true" strokeweight=".48pt" strokecolor="#5b9bd4">
                <v:path arrowok="t"/>
              </v:shape>
            </v:group>
            <v:group style="position:absolute;left:7926;top:1059;width:804;height:2" coordorigin="7926,1059" coordsize="804,2">
              <v:shape style="position:absolute;left:7926;top:1059;width:804;height:2" coordorigin="7926,1059" coordsize="804,0" path="m7926,1059l8729,1059e" filled="false" stroked="true" strokeweight=".48pt" strokecolor="#5b9bd4">
                <v:path arrowok="t"/>
              </v:shape>
            </v:group>
            <v:group style="position:absolute;left:8729;top:1059;width:10;height:2" coordorigin="8729,1059" coordsize="10,2">
              <v:shape style="position:absolute;left:8729;top:1059;width:10;height:2" coordorigin="8729,1059" coordsize="10,0" path="m8729,1059l8738,1059e" filled="false" stroked="true" strokeweight=".48pt" strokecolor="#5b9bd4">
                <v:path arrowok="t"/>
              </v:shape>
            </v:group>
            <v:group style="position:absolute;left:8738;top:1059;width:923;height:2" coordorigin="8738,1059" coordsize="923,2">
              <v:shape style="position:absolute;left:8738;top:1059;width:923;height:2" coordorigin="8738,1059" coordsize="923,0" path="m8738,1059l9661,1059e" filled="false" stroked="true" strokeweight=".48pt" strokecolor="#5b9bd4">
                <v:path arrowok="t"/>
              </v:shape>
            </v:group>
            <w10:wrap type="none"/>
          </v:group>
        </w:pict>
      </w: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635"/>
        <w:gridCol w:w="762"/>
        <w:gridCol w:w="761"/>
        <w:gridCol w:w="815"/>
        <w:gridCol w:w="717"/>
        <w:gridCol w:w="794"/>
        <w:gridCol w:w="670"/>
        <w:gridCol w:w="748"/>
        <w:gridCol w:w="785"/>
        <w:gridCol w:w="947"/>
        <w:gridCol w:w="933"/>
      </w:tblGrid>
      <w:tr>
        <w:trPr>
          <w:trHeight w:val="323" w:hRule="exact"/>
        </w:trPr>
        <w:tc>
          <w:tcPr>
            <w:tcW w:w="1635"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762" w:type="dxa"/>
            <w:tcBorders>
              <w:top w:val="single" w:sz="4" w:space="0" w:color="5B9BD4"/>
              <w:left w:val="nil" w:sz="6" w:space="0" w:color="auto"/>
              <w:bottom w:val="single" w:sz="4" w:space="0" w:color="5B9BD4"/>
              <w:right w:val="nil" w:sz="6" w:space="0" w:color="auto"/>
            </w:tcBorders>
            <w:shd w:val="clear" w:color="auto" w:fill="DEEAF6"/>
          </w:tcPr>
          <w:p>
            <w:pPr/>
          </w:p>
        </w:tc>
        <w:tc>
          <w:tcPr>
            <w:tcW w:w="761" w:type="dxa"/>
            <w:tcBorders>
              <w:top w:val="single" w:sz="4" w:space="0" w:color="5B9BD4"/>
              <w:left w:val="nil" w:sz="6" w:space="0" w:color="auto"/>
              <w:bottom w:val="single" w:sz="4" w:space="0" w:color="5B9BD4"/>
              <w:right w:val="nil" w:sz="6" w:space="0" w:color="auto"/>
            </w:tcBorders>
            <w:shd w:val="clear" w:color="auto" w:fill="DEEAF6"/>
          </w:tcPr>
          <w:p>
            <w:pPr/>
          </w:p>
        </w:tc>
        <w:tc>
          <w:tcPr>
            <w:tcW w:w="81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2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717" w:type="dxa"/>
            <w:tcBorders>
              <w:top w:val="single" w:sz="4" w:space="0" w:color="5B9BD4"/>
              <w:left w:val="nil" w:sz="6" w:space="0" w:color="auto"/>
              <w:bottom w:val="single" w:sz="4" w:space="0" w:color="5B9BD4"/>
              <w:right w:val="nil" w:sz="6" w:space="0" w:color="auto"/>
            </w:tcBorders>
            <w:shd w:val="clear" w:color="auto" w:fill="DEEAF6"/>
          </w:tcPr>
          <w:p>
            <w:pPr/>
          </w:p>
        </w:tc>
        <w:tc>
          <w:tcPr>
            <w:tcW w:w="794" w:type="dxa"/>
            <w:tcBorders>
              <w:top w:val="single" w:sz="4" w:space="0" w:color="5B9BD4"/>
              <w:left w:val="nil" w:sz="6" w:space="0" w:color="auto"/>
              <w:bottom w:val="single" w:sz="4" w:space="0" w:color="5B9BD4"/>
              <w:right w:val="nil" w:sz="6" w:space="0" w:color="auto"/>
            </w:tcBorders>
            <w:shd w:val="clear" w:color="auto" w:fill="DEEAF6"/>
          </w:tcPr>
          <w:p>
            <w:pPr/>
          </w:p>
        </w:tc>
        <w:tc>
          <w:tcPr>
            <w:tcW w:w="670" w:type="dxa"/>
            <w:tcBorders>
              <w:top w:val="single" w:sz="4" w:space="0" w:color="5B9BD4"/>
              <w:left w:val="nil" w:sz="6" w:space="0" w:color="auto"/>
              <w:bottom w:val="single" w:sz="4" w:space="0" w:color="5B9BD4"/>
              <w:right w:val="nil" w:sz="6" w:space="0" w:color="auto"/>
            </w:tcBorders>
            <w:shd w:val="clear" w:color="auto" w:fill="DEEAF6"/>
          </w:tcPr>
          <w:p>
            <w:pPr/>
          </w:p>
        </w:tc>
        <w:tc>
          <w:tcPr>
            <w:tcW w:w="748" w:type="dxa"/>
            <w:tcBorders>
              <w:top w:val="single" w:sz="4" w:space="0" w:color="5B9BD4"/>
              <w:left w:val="nil" w:sz="6" w:space="0" w:color="auto"/>
              <w:bottom w:val="single" w:sz="4" w:space="0" w:color="5B9BD4"/>
              <w:right w:val="nil" w:sz="6" w:space="0" w:color="auto"/>
            </w:tcBorders>
            <w:shd w:val="clear" w:color="auto" w:fill="DEEAF6"/>
          </w:tcPr>
          <w:p>
            <w:pPr/>
          </w:p>
        </w:tc>
        <w:tc>
          <w:tcPr>
            <w:tcW w:w="1732"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25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3"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252" w:hRule="exact"/>
        </w:trPr>
        <w:tc>
          <w:tcPr>
            <w:tcW w:w="1635" w:type="dxa"/>
            <w:vMerge/>
            <w:tcBorders>
              <w:left w:val="nil" w:sz="6" w:space="0" w:color="auto"/>
              <w:right w:val="nil" w:sz="6" w:space="0" w:color="auto"/>
            </w:tcBorders>
            <w:shd w:val="clear" w:color="auto" w:fill="DEEAF6"/>
          </w:tcPr>
          <w:p>
            <w:pPr/>
          </w:p>
        </w:tc>
        <w:tc>
          <w:tcPr>
            <w:tcW w:w="1523" w:type="dxa"/>
            <w:gridSpan w:val="2"/>
            <w:tcBorders>
              <w:top w:val="single" w:sz="4" w:space="0" w:color="5B9BD4"/>
              <w:left w:val="nil" w:sz="6" w:space="0" w:color="auto"/>
              <w:bottom w:val="nil" w:sz="6" w:space="0" w:color="auto"/>
              <w:right w:val="nil" w:sz="6" w:space="0" w:color="auto"/>
            </w:tcBorders>
            <w:shd w:val="clear" w:color="auto" w:fill="DEEAF6"/>
          </w:tcPr>
          <w:p>
            <w:pPr>
              <w:pStyle w:val="TableParagraph"/>
              <w:spacing w:line="240" w:lineRule="auto" w:before="6"/>
              <w:ind w:left="4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32" w:type="dxa"/>
            <w:gridSpan w:val="2"/>
            <w:tcBorders>
              <w:top w:val="single" w:sz="4" w:space="0" w:color="5B9BD4"/>
              <w:left w:val="nil" w:sz="6" w:space="0" w:color="auto"/>
              <w:bottom w:val="nil" w:sz="6" w:space="0" w:color="auto"/>
              <w:right w:val="nil" w:sz="6" w:space="0" w:color="auto"/>
            </w:tcBorders>
            <w:shd w:val="clear" w:color="auto" w:fill="DEEAF6"/>
          </w:tcPr>
          <w:p>
            <w:pPr>
              <w:pStyle w:val="TableParagraph"/>
              <w:spacing w:line="240" w:lineRule="auto" w:before="6"/>
              <w:ind w:left="40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4" w:type="dxa"/>
            <w:tcBorders>
              <w:top w:val="single" w:sz="4" w:space="0" w:color="5B9BD4"/>
              <w:left w:val="nil" w:sz="6" w:space="0" w:color="auto"/>
              <w:bottom w:val="nil" w:sz="6" w:space="0" w:color="auto"/>
              <w:right w:val="nil" w:sz="6" w:space="0" w:color="auto"/>
            </w:tcBorders>
            <w:shd w:val="clear" w:color="auto" w:fill="DEEAF6"/>
          </w:tcPr>
          <w:p>
            <w:pPr/>
          </w:p>
        </w:tc>
        <w:tc>
          <w:tcPr>
            <w:tcW w:w="1419" w:type="dxa"/>
            <w:gridSpan w:val="2"/>
            <w:tcBorders>
              <w:top w:val="single" w:sz="4" w:space="0" w:color="5B9BD4"/>
              <w:left w:val="nil" w:sz="6" w:space="0" w:color="auto"/>
              <w:bottom w:val="nil" w:sz="6" w:space="0" w:color="auto"/>
              <w:right w:val="nil" w:sz="6" w:space="0" w:color="auto"/>
            </w:tcBorders>
            <w:shd w:val="clear" w:color="auto" w:fill="DEEAF6"/>
          </w:tcPr>
          <w:p>
            <w:pPr>
              <w:pStyle w:val="TableParagraph"/>
              <w:spacing w:line="240" w:lineRule="auto" w:before="6"/>
              <w:ind w:left="33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32" w:type="dxa"/>
            <w:gridSpan w:val="2"/>
            <w:tcBorders>
              <w:top w:val="single" w:sz="4" w:space="0" w:color="5B9BD4"/>
              <w:left w:val="nil" w:sz="6" w:space="0" w:color="auto"/>
              <w:bottom w:val="nil" w:sz="6" w:space="0" w:color="auto"/>
              <w:right w:val="nil" w:sz="6" w:space="0" w:color="auto"/>
            </w:tcBorders>
            <w:shd w:val="clear" w:color="auto" w:fill="DEEAF6"/>
          </w:tcPr>
          <w:p>
            <w:pPr>
              <w:pStyle w:val="TableParagraph"/>
              <w:spacing w:line="240" w:lineRule="auto" w:before="6"/>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3" w:type="dxa"/>
            <w:tcBorders>
              <w:top w:val="single" w:sz="4" w:space="0" w:color="5B9BD4"/>
              <w:left w:val="nil" w:sz="6" w:space="0" w:color="auto"/>
              <w:bottom w:val="nil" w:sz="6" w:space="0" w:color="auto"/>
              <w:right w:val="nil" w:sz="6" w:space="0" w:color="auto"/>
            </w:tcBorders>
            <w:shd w:val="clear" w:color="auto" w:fill="DEEAF6"/>
          </w:tcPr>
          <w:p>
            <w:pPr/>
          </w:p>
        </w:tc>
      </w:tr>
      <w:tr>
        <w:trPr>
          <w:trHeight w:val="704" w:hRule="exact"/>
        </w:trPr>
        <w:tc>
          <w:tcPr>
            <w:tcW w:w="1635" w:type="dxa"/>
            <w:vMerge/>
            <w:tcBorders>
              <w:left w:val="nil" w:sz="6" w:space="0" w:color="auto"/>
              <w:bottom w:val="single" w:sz="4" w:space="0" w:color="5B9BD4"/>
              <w:right w:val="nil" w:sz="6" w:space="0" w:color="auto"/>
            </w:tcBorders>
            <w:shd w:val="clear" w:color="auto" w:fill="DEEAF6"/>
          </w:tcPr>
          <w:p>
            <w:pPr/>
          </w:p>
        </w:tc>
        <w:tc>
          <w:tcPr>
            <w:tcW w:w="762"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5"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金额</w:t>
            </w:r>
          </w:p>
        </w:tc>
        <w:tc>
          <w:tcPr>
            <w:tcW w:w="717"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316" w:lineRule="auto" w:before="81"/>
              <w:ind w:left="239" w:right="11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4"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156" w:lineRule="exact"/>
              <w:ind w:right="16"/>
              <w:jc w:val="center"/>
              <w:rPr>
                <w:rFonts w:ascii="宋体" w:hAnsi="宋体" w:cs="宋体" w:eastAsia="宋体" w:hint="default"/>
                <w:sz w:val="18"/>
                <w:szCs w:val="18"/>
              </w:rPr>
            </w:pPr>
            <w:r>
              <w:rPr>
                <w:rFonts w:ascii="宋体" w:hAnsi="宋体" w:cs="宋体" w:eastAsia="宋体" w:hint="default"/>
                <w:sz w:val="18"/>
                <w:szCs w:val="18"/>
              </w:rPr>
              <w:t>账面价</w:t>
            </w:r>
          </w:p>
          <w:p>
            <w:pPr>
              <w:pStyle w:val="TableParagraph"/>
              <w:spacing w:line="240" w:lineRule="auto" w:before="76"/>
              <w:ind w:right="16"/>
              <w:jc w:val="center"/>
              <w:rPr>
                <w:rFonts w:ascii="宋体" w:hAnsi="宋体" w:cs="宋体" w:eastAsia="宋体" w:hint="default"/>
                <w:sz w:val="18"/>
                <w:szCs w:val="18"/>
              </w:rPr>
            </w:pPr>
            <w:r>
              <w:rPr>
                <w:rFonts w:ascii="宋体" w:hAnsi="宋体" w:cs="宋体" w:eastAsia="宋体" w:hint="default"/>
                <w:sz w:val="18"/>
                <w:szCs w:val="18"/>
              </w:rPr>
              <w:t>值</w:t>
            </w:r>
          </w:p>
        </w:tc>
        <w:tc>
          <w:tcPr>
            <w:tcW w:w="670"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48"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85"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47"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316" w:lineRule="auto" w:before="81"/>
              <w:ind w:left="390" w:right="19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3"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156" w:lineRule="exact"/>
              <w:ind w:right="0"/>
              <w:jc w:val="center"/>
              <w:rPr>
                <w:rFonts w:ascii="宋体" w:hAnsi="宋体" w:cs="宋体" w:eastAsia="宋体" w:hint="default"/>
                <w:sz w:val="18"/>
                <w:szCs w:val="18"/>
              </w:rPr>
            </w:pPr>
            <w:r>
              <w:rPr>
                <w:rFonts w:ascii="宋体" w:hAnsi="宋体" w:cs="宋体" w:eastAsia="宋体" w:hint="default"/>
                <w:sz w:val="18"/>
                <w:szCs w:val="18"/>
              </w:rPr>
              <w:t>账面价</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值</w:t>
            </w:r>
          </w:p>
        </w:tc>
      </w:tr>
    </w:tbl>
    <w:p>
      <w:pPr>
        <w:spacing w:after="0" w:line="240" w:lineRule="auto"/>
        <w:jc w:val="center"/>
        <w:rPr>
          <w:rFonts w:ascii="宋体" w:hAnsi="宋体" w:cs="宋体" w:eastAsia="宋体" w:hint="default"/>
          <w:sz w:val="18"/>
          <w:szCs w:val="18"/>
        </w:rPr>
        <w:sectPr>
          <w:pgSz w:w="11910" w:h="16840"/>
          <w:pgMar w:header="877" w:footer="979" w:top="1100" w:bottom="1160" w:left="920" w:right="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1635"/>
        <w:gridCol w:w="762"/>
        <w:gridCol w:w="763"/>
        <w:gridCol w:w="761"/>
        <w:gridCol w:w="763"/>
        <w:gridCol w:w="790"/>
        <w:gridCol w:w="654"/>
        <w:gridCol w:w="762"/>
        <w:gridCol w:w="813"/>
        <w:gridCol w:w="932"/>
        <w:gridCol w:w="932"/>
      </w:tblGrid>
      <w:tr>
        <w:trPr>
          <w:trHeight w:val="946" w:hRule="exact"/>
        </w:trPr>
        <w:tc>
          <w:tcPr>
            <w:tcW w:w="163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264"/>
              <w:jc w:val="both"/>
              <w:rPr>
                <w:rFonts w:ascii="宋体" w:hAnsi="宋体" w:cs="宋体" w:eastAsia="宋体" w:hint="default"/>
                <w:sz w:val="18"/>
                <w:szCs w:val="18"/>
              </w:rPr>
            </w:pPr>
            <w:r>
              <w:rPr>
                <w:rFonts w:ascii="宋体" w:hAnsi="宋体" w:cs="宋体" w:eastAsia="宋体" w:hint="default"/>
                <w:sz w:val="18"/>
                <w:szCs w:val="18"/>
              </w:rPr>
              <w:t>单项金额重大并 单独计提坏账准 备的其他应收款</w:t>
            </w:r>
          </w:p>
        </w:tc>
        <w:tc>
          <w:tcPr>
            <w:tcW w:w="762" w:type="dxa"/>
            <w:tcBorders>
              <w:top w:val="single" w:sz="4" w:space="0" w:color="5B9BD4"/>
              <w:left w:val="nil" w:sz="6" w:space="0" w:color="auto"/>
              <w:bottom w:val="single" w:sz="4" w:space="0" w:color="5B9BD4"/>
              <w:right w:val="nil" w:sz="6" w:space="0" w:color="auto"/>
            </w:tcBorders>
          </w:tcPr>
          <w:p>
            <w:pPr/>
          </w:p>
        </w:tc>
        <w:tc>
          <w:tcPr>
            <w:tcW w:w="763" w:type="dxa"/>
            <w:tcBorders>
              <w:top w:val="single" w:sz="4" w:space="0" w:color="5B9BD4"/>
              <w:left w:val="nil" w:sz="6" w:space="0" w:color="auto"/>
              <w:bottom w:val="single" w:sz="4" w:space="0" w:color="5B9BD4"/>
              <w:right w:val="nil" w:sz="6" w:space="0" w:color="auto"/>
            </w:tcBorders>
            <w:shd w:val="clear" w:color="auto" w:fill="DEEAF6"/>
          </w:tcPr>
          <w:p>
            <w:pPr/>
          </w:p>
        </w:tc>
        <w:tc>
          <w:tcPr>
            <w:tcW w:w="761" w:type="dxa"/>
            <w:tcBorders>
              <w:top w:val="single" w:sz="4" w:space="0" w:color="5B9BD4"/>
              <w:left w:val="nil" w:sz="6" w:space="0" w:color="auto"/>
              <w:bottom w:val="single" w:sz="4" w:space="0" w:color="5B9BD4"/>
              <w:right w:val="nil" w:sz="6" w:space="0" w:color="auto"/>
            </w:tcBorders>
          </w:tcPr>
          <w:p>
            <w:pPr/>
          </w:p>
        </w:tc>
        <w:tc>
          <w:tcPr>
            <w:tcW w:w="763" w:type="dxa"/>
            <w:tcBorders>
              <w:top w:val="single" w:sz="4" w:space="0" w:color="5B9BD4"/>
              <w:left w:val="nil" w:sz="6" w:space="0" w:color="auto"/>
              <w:bottom w:val="single" w:sz="4" w:space="0" w:color="5B9BD4"/>
              <w:right w:val="nil" w:sz="6" w:space="0" w:color="auto"/>
            </w:tcBorders>
            <w:shd w:val="clear" w:color="auto" w:fill="DEEAF6"/>
          </w:tcPr>
          <w:p>
            <w:pPr/>
          </w:p>
        </w:tc>
        <w:tc>
          <w:tcPr>
            <w:tcW w:w="790" w:type="dxa"/>
            <w:tcBorders>
              <w:top w:val="single" w:sz="4" w:space="0" w:color="5B9BD4"/>
              <w:left w:val="nil" w:sz="6" w:space="0" w:color="auto"/>
              <w:bottom w:val="single" w:sz="4" w:space="0" w:color="5B9BD4"/>
              <w:right w:val="nil" w:sz="6" w:space="0" w:color="auto"/>
            </w:tcBorders>
          </w:tcPr>
          <w:p>
            <w:pPr/>
          </w:p>
        </w:tc>
        <w:tc>
          <w:tcPr>
            <w:tcW w:w="654" w:type="dxa"/>
            <w:tcBorders>
              <w:top w:val="single" w:sz="4" w:space="0" w:color="5B9BD4"/>
              <w:left w:val="nil" w:sz="6" w:space="0" w:color="auto"/>
              <w:bottom w:val="single" w:sz="4" w:space="0" w:color="5B9BD4"/>
              <w:right w:val="nil" w:sz="6" w:space="0" w:color="auto"/>
            </w:tcBorders>
            <w:shd w:val="clear" w:color="auto" w:fill="DEEAF6"/>
          </w:tcPr>
          <w:p>
            <w:pPr/>
          </w:p>
        </w:tc>
        <w:tc>
          <w:tcPr>
            <w:tcW w:w="762" w:type="dxa"/>
            <w:tcBorders>
              <w:top w:val="single" w:sz="4" w:space="0" w:color="5B9BD4"/>
              <w:left w:val="nil" w:sz="6" w:space="0" w:color="auto"/>
              <w:bottom w:val="single" w:sz="4" w:space="0" w:color="5B9BD4"/>
              <w:right w:val="nil" w:sz="6" w:space="0" w:color="auto"/>
            </w:tcBorders>
          </w:tcPr>
          <w:p>
            <w:pPr/>
          </w:p>
        </w:tc>
        <w:tc>
          <w:tcPr>
            <w:tcW w:w="813" w:type="dxa"/>
            <w:tcBorders>
              <w:top w:val="single" w:sz="4" w:space="0" w:color="5B9BD4"/>
              <w:left w:val="nil" w:sz="6" w:space="0" w:color="auto"/>
              <w:bottom w:val="single" w:sz="4" w:space="0" w:color="5B9BD4"/>
              <w:right w:val="nil" w:sz="6" w:space="0" w:color="auto"/>
            </w:tcBorders>
            <w:shd w:val="clear" w:color="auto" w:fill="DEEAF6"/>
          </w:tcPr>
          <w:p>
            <w:pPr/>
          </w:p>
        </w:tc>
        <w:tc>
          <w:tcPr>
            <w:tcW w:w="932" w:type="dxa"/>
            <w:tcBorders>
              <w:top w:val="single" w:sz="4" w:space="0" w:color="5B9BD4"/>
              <w:left w:val="nil" w:sz="6" w:space="0" w:color="auto"/>
              <w:bottom w:val="single" w:sz="4" w:space="0" w:color="5B9BD4"/>
              <w:right w:val="nil" w:sz="6" w:space="0" w:color="auto"/>
            </w:tcBorders>
          </w:tcPr>
          <w:p>
            <w:pPr/>
          </w:p>
        </w:tc>
        <w:tc>
          <w:tcPr>
            <w:tcW w:w="93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1259" w:hRule="exact"/>
        </w:trPr>
        <w:tc>
          <w:tcPr>
            <w:tcW w:w="163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sz w:val="12"/>
                <w:szCs w:val="12"/>
              </w:rPr>
            </w:pPr>
          </w:p>
          <w:p>
            <w:pPr>
              <w:pStyle w:val="TableParagraph"/>
              <w:spacing w:line="319" w:lineRule="auto"/>
              <w:ind w:left="108" w:right="264"/>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2"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06" w:right="0"/>
              <w:jc w:val="left"/>
              <w:rPr>
                <w:rFonts w:ascii="Arial" w:hAnsi="Arial" w:cs="Arial" w:eastAsia="Arial" w:hint="default"/>
                <w:sz w:val="18"/>
                <w:szCs w:val="18"/>
              </w:rPr>
            </w:pPr>
            <w:r>
              <w:rPr>
                <w:rFonts w:ascii="Arial"/>
                <w:sz w:val="18"/>
              </w:rPr>
              <w:t>84,32</w:t>
            </w:r>
          </w:p>
          <w:p>
            <w:pPr>
              <w:pStyle w:val="TableParagraph"/>
              <w:spacing w:line="240" w:lineRule="auto" w:before="105"/>
              <w:ind w:left="157" w:right="0"/>
              <w:jc w:val="left"/>
              <w:rPr>
                <w:rFonts w:ascii="Arial" w:hAnsi="Arial" w:cs="Arial" w:eastAsia="Arial" w:hint="default"/>
                <w:sz w:val="18"/>
                <w:szCs w:val="18"/>
              </w:rPr>
            </w:pPr>
            <w:r>
              <w:rPr>
                <w:rFonts w:ascii="Arial"/>
                <w:sz w:val="18"/>
              </w:rPr>
              <w:t>6,983.</w:t>
            </w:r>
          </w:p>
          <w:p>
            <w:pPr>
              <w:pStyle w:val="TableParagraph"/>
              <w:spacing w:line="240" w:lineRule="auto" w:before="105"/>
              <w:ind w:left="456" w:right="0"/>
              <w:jc w:val="left"/>
              <w:rPr>
                <w:rFonts w:ascii="Arial" w:hAnsi="Arial" w:cs="Arial" w:eastAsia="Arial" w:hint="default"/>
                <w:sz w:val="18"/>
                <w:szCs w:val="18"/>
              </w:rPr>
            </w:pPr>
            <w:r>
              <w:rPr>
                <w:rFonts w:ascii="Arial"/>
                <w:sz w:val="18"/>
              </w:rPr>
              <w:t>00</w:t>
            </w:r>
          </w:p>
        </w:tc>
        <w:tc>
          <w:tcPr>
            <w:tcW w:w="7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7"/>
              <w:jc w:val="right"/>
              <w:rPr>
                <w:rFonts w:ascii="Arial" w:hAnsi="Arial" w:cs="Arial" w:eastAsia="Arial" w:hint="default"/>
                <w:sz w:val="18"/>
                <w:szCs w:val="18"/>
              </w:rPr>
            </w:pPr>
            <w:r>
              <w:rPr>
                <w:rFonts w:ascii="Arial"/>
                <w:w w:val="95"/>
                <w:sz w:val="18"/>
              </w:rPr>
              <w:t>96.98</w:t>
            </w:r>
            <w:r>
              <w:rPr>
                <w:rFonts w:ascii="Arial"/>
                <w:sz w:val="18"/>
              </w:rPr>
            </w:r>
          </w:p>
          <w:p>
            <w:pPr>
              <w:pStyle w:val="TableParagraph"/>
              <w:spacing w:line="240" w:lineRule="auto" w:before="105"/>
              <w:ind w:right="106"/>
              <w:jc w:val="right"/>
              <w:rPr>
                <w:rFonts w:ascii="Arial" w:hAnsi="Arial" w:cs="Arial" w:eastAsia="Arial" w:hint="default"/>
                <w:sz w:val="18"/>
                <w:szCs w:val="18"/>
              </w:rPr>
            </w:pPr>
            <w:r>
              <w:rPr>
                <w:rFonts w:ascii="Arial"/>
                <w:w w:val="87"/>
                <w:sz w:val="18"/>
              </w:rPr>
              <w:t>%</w:t>
            </w:r>
            <w:r>
              <w:rPr>
                <w:rFonts w:ascii="Arial"/>
                <w:sz w:val="18"/>
              </w:rPr>
            </w:r>
          </w:p>
        </w:tc>
        <w:tc>
          <w:tcPr>
            <w:tcW w:w="761"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1,528,</w:t>
            </w:r>
            <w:r>
              <w:rPr>
                <w:rFonts w:ascii="Arial"/>
                <w:sz w:val="18"/>
              </w:rPr>
            </w:r>
          </w:p>
          <w:p>
            <w:pPr>
              <w:pStyle w:val="TableParagraph"/>
              <w:spacing w:line="240" w:lineRule="auto" w:before="105"/>
              <w:ind w:right="106"/>
              <w:jc w:val="right"/>
              <w:rPr>
                <w:rFonts w:ascii="Arial" w:hAnsi="Arial" w:cs="Arial" w:eastAsia="Arial" w:hint="default"/>
                <w:sz w:val="18"/>
                <w:szCs w:val="18"/>
              </w:rPr>
            </w:pPr>
            <w:r>
              <w:rPr>
                <w:rFonts w:ascii="Arial"/>
                <w:w w:val="95"/>
                <w:sz w:val="18"/>
              </w:rPr>
              <w:t>312.5</w:t>
            </w:r>
            <w:r>
              <w:rPr>
                <w:rFonts w:ascii="Arial"/>
                <w:sz w:val="18"/>
              </w:rPr>
            </w:r>
          </w:p>
          <w:p>
            <w:pPr>
              <w:pStyle w:val="TableParagraph"/>
              <w:spacing w:line="240" w:lineRule="auto" w:before="105"/>
              <w:ind w:right="106"/>
              <w:jc w:val="right"/>
              <w:rPr>
                <w:rFonts w:ascii="Arial" w:hAnsi="Arial" w:cs="Arial" w:eastAsia="Arial" w:hint="default"/>
                <w:sz w:val="18"/>
                <w:szCs w:val="18"/>
              </w:rPr>
            </w:pPr>
            <w:r>
              <w:rPr>
                <w:rFonts w:ascii="Arial"/>
                <w:w w:val="99"/>
                <w:sz w:val="18"/>
              </w:rPr>
              <w:t>0</w:t>
            </w:r>
            <w:r>
              <w:rPr>
                <w:rFonts w:ascii="Arial"/>
                <w:sz w:val="18"/>
              </w:rPr>
            </w:r>
          </w:p>
        </w:tc>
        <w:tc>
          <w:tcPr>
            <w:tcW w:w="7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5"/>
              <w:jc w:val="right"/>
              <w:rPr>
                <w:rFonts w:ascii="Arial" w:hAnsi="Arial" w:cs="Arial" w:eastAsia="Arial" w:hint="default"/>
                <w:sz w:val="18"/>
                <w:szCs w:val="18"/>
              </w:rPr>
            </w:pPr>
            <w:r>
              <w:rPr>
                <w:rFonts w:ascii="Arial"/>
                <w:w w:val="95"/>
                <w:sz w:val="18"/>
              </w:rPr>
              <w:t>1.81%</w:t>
            </w:r>
            <w:r>
              <w:rPr>
                <w:rFonts w:ascii="Arial"/>
                <w:sz w:val="18"/>
              </w:rPr>
            </w:r>
          </w:p>
        </w:tc>
        <w:tc>
          <w:tcPr>
            <w:tcW w:w="790"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18"/>
                <w:szCs w:val="18"/>
              </w:rPr>
            </w:pPr>
            <w:r>
              <w:rPr>
                <w:rFonts w:ascii="Arial"/>
                <w:w w:val="95"/>
                <w:sz w:val="18"/>
              </w:rPr>
              <w:t>82,798</w:t>
            </w:r>
            <w:r>
              <w:rPr>
                <w:rFonts w:ascii="Arial"/>
                <w:sz w:val="18"/>
              </w:rPr>
            </w:r>
          </w:p>
          <w:p>
            <w:pPr>
              <w:pStyle w:val="TableParagraph"/>
              <w:spacing w:line="240" w:lineRule="auto" w:before="105"/>
              <w:ind w:right="106"/>
              <w:jc w:val="right"/>
              <w:rPr>
                <w:rFonts w:ascii="Arial" w:hAnsi="Arial" w:cs="Arial" w:eastAsia="Arial" w:hint="default"/>
                <w:sz w:val="18"/>
                <w:szCs w:val="18"/>
              </w:rPr>
            </w:pPr>
            <w:r>
              <w:rPr>
                <w:rFonts w:ascii="Arial"/>
                <w:w w:val="95"/>
                <w:sz w:val="18"/>
              </w:rPr>
              <w:t>,670.5</w:t>
            </w:r>
            <w:r>
              <w:rPr>
                <w:rFonts w:ascii="Arial"/>
                <w:sz w:val="18"/>
              </w:rPr>
            </w:r>
          </w:p>
          <w:p>
            <w:pPr>
              <w:pStyle w:val="TableParagraph"/>
              <w:spacing w:line="240" w:lineRule="auto" w:before="105"/>
              <w:ind w:right="107"/>
              <w:jc w:val="right"/>
              <w:rPr>
                <w:rFonts w:ascii="Arial" w:hAnsi="Arial" w:cs="Arial" w:eastAsia="Arial" w:hint="default"/>
                <w:sz w:val="18"/>
                <w:szCs w:val="18"/>
              </w:rPr>
            </w:pPr>
            <w:r>
              <w:rPr>
                <w:rFonts w:ascii="Arial"/>
                <w:w w:val="99"/>
                <w:sz w:val="18"/>
              </w:rPr>
              <w:t>0</w:t>
            </w:r>
            <w:r>
              <w:rPr>
                <w:rFonts w:ascii="Arial"/>
                <w:sz w:val="18"/>
              </w:rPr>
            </w:r>
          </w:p>
        </w:tc>
        <w:tc>
          <w:tcPr>
            <w:tcW w:w="65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96" w:right="0"/>
              <w:jc w:val="left"/>
              <w:rPr>
                <w:rFonts w:ascii="Arial" w:hAnsi="Arial" w:cs="Arial" w:eastAsia="Arial" w:hint="default"/>
                <w:sz w:val="18"/>
                <w:szCs w:val="18"/>
              </w:rPr>
            </w:pPr>
            <w:r>
              <w:rPr>
                <w:rFonts w:ascii="Arial"/>
                <w:sz w:val="18"/>
              </w:rPr>
              <w:t>77,2</w:t>
            </w:r>
          </w:p>
          <w:p>
            <w:pPr>
              <w:pStyle w:val="TableParagraph"/>
              <w:spacing w:line="240" w:lineRule="auto" w:before="105"/>
              <w:ind w:left="196" w:right="0"/>
              <w:jc w:val="left"/>
              <w:rPr>
                <w:rFonts w:ascii="Arial" w:hAnsi="Arial" w:cs="Arial" w:eastAsia="Arial" w:hint="default"/>
                <w:sz w:val="18"/>
                <w:szCs w:val="18"/>
              </w:rPr>
            </w:pPr>
            <w:r>
              <w:rPr>
                <w:rFonts w:ascii="Arial"/>
                <w:sz w:val="18"/>
              </w:rPr>
              <w:t>17,5</w:t>
            </w:r>
          </w:p>
          <w:p>
            <w:pPr>
              <w:pStyle w:val="TableParagraph"/>
              <w:spacing w:line="240" w:lineRule="auto" w:before="105"/>
              <w:ind w:left="196" w:right="0"/>
              <w:jc w:val="left"/>
              <w:rPr>
                <w:rFonts w:ascii="Arial" w:hAnsi="Arial" w:cs="Arial" w:eastAsia="Arial" w:hint="default"/>
                <w:sz w:val="18"/>
                <w:szCs w:val="18"/>
              </w:rPr>
            </w:pPr>
            <w:r>
              <w:rPr>
                <w:rFonts w:ascii="Arial"/>
                <w:sz w:val="18"/>
              </w:rPr>
              <w:t>05.7</w:t>
            </w:r>
          </w:p>
          <w:p>
            <w:pPr>
              <w:pStyle w:val="TableParagraph"/>
              <w:spacing w:line="240" w:lineRule="auto" w:before="105"/>
              <w:ind w:right="105"/>
              <w:jc w:val="right"/>
              <w:rPr>
                <w:rFonts w:ascii="Arial" w:hAnsi="Arial" w:cs="Arial" w:eastAsia="Arial" w:hint="default"/>
                <w:sz w:val="18"/>
                <w:szCs w:val="18"/>
              </w:rPr>
            </w:pPr>
            <w:r>
              <w:rPr>
                <w:rFonts w:ascii="Arial"/>
                <w:w w:val="99"/>
                <w:sz w:val="18"/>
              </w:rPr>
              <w:t>9</w:t>
            </w:r>
            <w:r>
              <w:rPr>
                <w:rFonts w:ascii="Arial"/>
                <w:sz w:val="18"/>
              </w:rPr>
            </w:r>
          </w:p>
        </w:tc>
        <w:tc>
          <w:tcPr>
            <w:tcW w:w="762"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6"/>
              <w:jc w:val="right"/>
              <w:rPr>
                <w:rFonts w:ascii="Arial" w:hAnsi="Arial" w:cs="Arial" w:eastAsia="Arial" w:hint="default"/>
                <w:sz w:val="18"/>
                <w:szCs w:val="18"/>
              </w:rPr>
            </w:pPr>
            <w:r>
              <w:rPr>
                <w:rFonts w:ascii="Arial"/>
                <w:w w:val="95"/>
                <w:sz w:val="18"/>
              </w:rPr>
              <w:t>99.19</w:t>
            </w:r>
            <w:r>
              <w:rPr>
                <w:rFonts w:ascii="Arial"/>
                <w:sz w:val="18"/>
              </w:rPr>
            </w:r>
          </w:p>
          <w:p>
            <w:pPr>
              <w:pStyle w:val="TableParagraph"/>
              <w:spacing w:line="240" w:lineRule="auto" w:before="105"/>
              <w:ind w:right="105"/>
              <w:jc w:val="right"/>
              <w:rPr>
                <w:rFonts w:ascii="Arial" w:hAnsi="Arial" w:cs="Arial" w:eastAsia="Arial" w:hint="default"/>
                <w:sz w:val="18"/>
                <w:szCs w:val="18"/>
              </w:rPr>
            </w:pPr>
            <w:r>
              <w:rPr>
                <w:rFonts w:ascii="Arial"/>
                <w:w w:val="87"/>
                <w:sz w:val="18"/>
              </w:rPr>
              <w:t>%</w:t>
            </w:r>
            <w:r>
              <w:rPr>
                <w:rFonts w:ascii="Arial"/>
                <w:sz w:val="18"/>
              </w:rPr>
            </w:r>
          </w:p>
        </w:tc>
        <w:tc>
          <w:tcPr>
            <w:tcW w:w="81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07" w:right="0"/>
              <w:jc w:val="left"/>
              <w:rPr>
                <w:rFonts w:ascii="Arial" w:hAnsi="Arial" w:cs="Arial" w:eastAsia="Arial" w:hint="default"/>
                <w:sz w:val="18"/>
                <w:szCs w:val="18"/>
              </w:rPr>
            </w:pPr>
            <w:r>
              <w:rPr>
                <w:rFonts w:ascii="Arial"/>
                <w:sz w:val="18"/>
              </w:rPr>
              <w:t>3,484,</w:t>
            </w:r>
          </w:p>
          <w:p>
            <w:pPr>
              <w:pStyle w:val="TableParagraph"/>
              <w:spacing w:line="240" w:lineRule="auto" w:before="105"/>
              <w:ind w:left="157" w:right="0"/>
              <w:jc w:val="left"/>
              <w:rPr>
                <w:rFonts w:ascii="Arial" w:hAnsi="Arial" w:cs="Arial" w:eastAsia="Arial" w:hint="default"/>
                <w:sz w:val="18"/>
                <w:szCs w:val="18"/>
              </w:rPr>
            </w:pPr>
            <w:r>
              <w:rPr>
                <w:rFonts w:ascii="Arial"/>
                <w:sz w:val="18"/>
              </w:rPr>
              <w:t>329.03</w:t>
            </w:r>
          </w:p>
        </w:tc>
        <w:tc>
          <w:tcPr>
            <w:tcW w:w="932"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5"/>
              <w:jc w:val="right"/>
              <w:rPr>
                <w:rFonts w:ascii="Arial" w:hAnsi="Arial" w:cs="Arial" w:eastAsia="Arial" w:hint="default"/>
                <w:sz w:val="18"/>
                <w:szCs w:val="18"/>
              </w:rPr>
            </w:pPr>
            <w:r>
              <w:rPr>
                <w:rFonts w:ascii="Arial"/>
                <w:w w:val="95"/>
                <w:sz w:val="18"/>
              </w:rPr>
              <w:t>4.51%</w:t>
            </w:r>
            <w:r>
              <w:rPr>
                <w:rFonts w:ascii="Arial"/>
                <w:sz w:val="18"/>
              </w:rPr>
            </w:r>
          </w:p>
        </w:tc>
        <w:tc>
          <w:tcPr>
            <w:tcW w:w="93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26" w:right="0"/>
              <w:jc w:val="left"/>
              <w:rPr>
                <w:rFonts w:ascii="Arial" w:hAnsi="Arial" w:cs="Arial" w:eastAsia="Arial" w:hint="default"/>
                <w:sz w:val="18"/>
                <w:szCs w:val="18"/>
              </w:rPr>
            </w:pPr>
            <w:r>
              <w:rPr>
                <w:rFonts w:ascii="Arial"/>
                <w:sz w:val="18"/>
              </w:rPr>
              <w:t>73,733,1</w:t>
            </w:r>
          </w:p>
          <w:p>
            <w:pPr>
              <w:pStyle w:val="TableParagraph"/>
              <w:spacing w:line="240" w:lineRule="auto" w:before="105"/>
              <w:ind w:left="375" w:right="0"/>
              <w:jc w:val="left"/>
              <w:rPr>
                <w:rFonts w:ascii="Arial" w:hAnsi="Arial" w:cs="Arial" w:eastAsia="Arial" w:hint="default"/>
                <w:sz w:val="18"/>
                <w:szCs w:val="18"/>
              </w:rPr>
            </w:pPr>
            <w:r>
              <w:rPr>
                <w:rFonts w:ascii="Arial"/>
                <w:sz w:val="18"/>
              </w:rPr>
              <w:t>76.76</w:t>
            </w:r>
          </w:p>
        </w:tc>
      </w:tr>
      <w:tr>
        <w:trPr>
          <w:trHeight w:val="1258" w:hRule="exact"/>
        </w:trPr>
        <w:tc>
          <w:tcPr>
            <w:tcW w:w="163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264"/>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准备的其他应收 款</w:t>
            </w:r>
          </w:p>
        </w:tc>
        <w:tc>
          <w:tcPr>
            <w:tcW w:w="762"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2,621,</w:t>
            </w:r>
            <w:r>
              <w:rPr>
                <w:rFonts w:ascii="Arial"/>
                <w:sz w:val="18"/>
              </w:rPr>
            </w:r>
          </w:p>
          <w:p>
            <w:pPr>
              <w:pStyle w:val="TableParagraph"/>
              <w:spacing w:line="240" w:lineRule="auto" w:before="105"/>
              <w:ind w:right="104"/>
              <w:jc w:val="right"/>
              <w:rPr>
                <w:rFonts w:ascii="Arial" w:hAnsi="Arial" w:cs="Arial" w:eastAsia="Arial" w:hint="default"/>
                <w:sz w:val="18"/>
                <w:szCs w:val="18"/>
              </w:rPr>
            </w:pPr>
            <w:r>
              <w:rPr>
                <w:rFonts w:ascii="Arial"/>
                <w:w w:val="95"/>
                <w:sz w:val="18"/>
              </w:rPr>
              <w:t>959.1</w:t>
            </w:r>
            <w:r>
              <w:rPr>
                <w:rFonts w:ascii="Arial"/>
                <w:sz w:val="18"/>
              </w:rPr>
            </w:r>
          </w:p>
          <w:p>
            <w:pPr>
              <w:pStyle w:val="TableParagraph"/>
              <w:spacing w:line="240" w:lineRule="auto" w:before="105"/>
              <w:ind w:right="104"/>
              <w:jc w:val="right"/>
              <w:rPr>
                <w:rFonts w:ascii="Arial" w:hAnsi="Arial" w:cs="Arial" w:eastAsia="Arial" w:hint="default"/>
                <w:sz w:val="18"/>
                <w:szCs w:val="18"/>
              </w:rPr>
            </w:pPr>
            <w:r>
              <w:rPr>
                <w:rFonts w:ascii="Arial"/>
                <w:w w:val="99"/>
                <w:sz w:val="18"/>
              </w:rPr>
              <w:t>0</w:t>
            </w:r>
            <w:r>
              <w:rPr>
                <w:rFonts w:ascii="Arial"/>
                <w:sz w:val="18"/>
              </w:rPr>
            </w:r>
          </w:p>
        </w:tc>
        <w:tc>
          <w:tcPr>
            <w:tcW w:w="7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65" w:right="0"/>
              <w:jc w:val="left"/>
              <w:rPr>
                <w:rFonts w:ascii="Arial" w:hAnsi="Arial" w:cs="Arial" w:eastAsia="Arial" w:hint="default"/>
                <w:sz w:val="18"/>
                <w:szCs w:val="18"/>
              </w:rPr>
            </w:pPr>
            <w:r>
              <w:rPr>
                <w:rFonts w:ascii="Arial"/>
                <w:sz w:val="18"/>
              </w:rPr>
              <w:t>3.02%</w:t>
            </w:r>
          </w:p>
        </w:tc>
        <w:tc>
          <w:tcPr>
            <w:tcW w:w="761"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2,621,</w:t>
            </w:r>
            <w:r>
              <w:rPr>
                <w:rFonts w:ascii="Arial"/>
                <w:sz w:val="18"/>
              </w:rPr>
            </w:r>
          </w:p>
          <w:p>
            <w:pPr>
              <w:pStyle w:val="TableParagraph"/>
              <w:spacing w:line="240" w:lineRule="auto" w:before="105"/>
              <w:ind w:right="106"/>
              <w:jc w:val="right"/>
              <w:rPr>
                <w:rFonts w:ascii="Arial" w:hAnsi="Arial" w:cs="Arial" w:eastAsia="Arial" w:hint="default"/>
                <w:sz w:val="18"/>
                <w:szCs w:val="18"/>
              </w:rPr>
            </w:pPr>
            <w:r>
              <w:rPr>
                <w:rFonts w:ascii="Arial"/>
                <w:w w:val="95"/>
                <w:sz w:val="18"/>
              </w:rPr>
              <w:t>959.1</w:t>
            </w:r>
            <w:r>
              <w:rPr>
                <w:rFonts w:ascii="Arial"/>
                <w:sz w:val="18"/>
              </w:rPr>
            </w:r>
          </w:p>
          <w:p>
            <w:pPr>
              <w:pStyle w:val="TableParagraph"/>
              <w:spacing w:line="240" w:lineRule="auto" w:before="105"/>
              <w:ind w:right="106"/>
              <w:jc w:val="right"/>
              <w:rPr>
                <w:rFonts w:ascii="Arial" w:hAnsi="Arial" w:cs="Arial" w:eastAsia="Arial" w:hint="default"/>
                <w:sz w:val="18"/>
                <w:szCs w:val="18"/>
              </w:rPr>
            </w:pPr>
            <w:r>
              <w:rPr>
                <w:rFonts w:ascii="Arial"/>
                <w:w w:val="99"/>
                <w:sz w:val="18"/>
              </w:rPr>
              <w:t>0</w:t>
            </w:r>
            <w:r>
              <w:rPr>
                <w:rFonts w:ascii="Arial"/>
                <w:sz w:val="18"/>
              </w:rPr>
            </w:r>
          </w:p>
        </w:tc>
        <w:tc>
          <w:tcPr>
            <w:tcW w:w="7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06" w:right="0"/>
              <w:jc w:val="left"/>
              <w:rPr>
                <w:rFonts w:ascii="Arial" w:hAnsi="Arial" w:cs="Arial" w:eastAsia="Arial" w:hint="default"/>
                <w:sz w:val="18"/>
                <w:szCs w:val="18"/>
              </w:rPr>
            </w:pPr>
            <w:r>
              <w:rPr>
                <w:rFonts w:ascii="Arial"/>
                <w:sz w:val="18"/>
              </w:rPr>
              <w:t>100.0</w:t>
            </w:r>
          </w:p>
          <w:p>
            <w:pPr>
              <w:pStyle w:val="TableParagraph"/>
              <w:spacing w:line="240" w:lineRule="auto" w:before="105"/>
              <w:ind w:left="416" w:right="0"/>
              <w:jc w:val="left"/>
              <w:rPr>
                <w:rFonts w:ascii="Arial" w:hAnsi="Arial" w:cs="Arial" w:eastAsia="Arial" w:hint="default"/>
                <w:sz w:val="18"/>
                <w:szCs w:val="18"/>
              </w:rPr>
            </w:pPr>
            <w:r>
              <w:rPr>
                <w:rFonts w:ascii="Arial"/>
                <w:sz w:val="18"/>
              </w:rPr>
              <w:t>0%</w:t>
            </w:r>
          </w:p>
        </w:tc>
        <w:tc>
          <w:tcPr>
            <w:tcW w:w="790" w:type="dxa"/>
            <w:tcBorders>
              <w:top w:val="single" w:sz="4" w:space="0" w:color="5B9BD4"/>
              <w:left w:val="nil" w:sz="6" w:space="0" w:color="auto"/>
              <w:bottom w:val="single" w:sz="4" w:space="0" w:color="5B9BD4"/>
              <w:right w:val="nil" w:sz="6" w:space="0" w:color="auto"/>
            </w:tcBorders>
          </w:tcPr>
          <w:p>
            <w:pPr/>
          </w:p>
        </w:tc>
        <w:tc>
          <w:tcPr>
            <w:tcW w:w="65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88" w:right="0"/>
              <w:jc w:val="center"/>
              <w:rPr>
                <w:rFonts w:ascii="Arial" w:hAnsi="Arial" w:cs="Arial" w:eastAsia="Arial" w:hint="default"/>
                <w:sz w:val="18"/>
                <w:szCs w:val="18"/>
              </w:rPr>
            </w:pPr>
            <w:r>
              <w:rPr>
                <w:rFonts w:ascii="Arial"/>
                <w:sz w:val="18"/>
              </w:rPr>
              <w:t>628,</w:t>
            </w:r>
          </w:p>
          <w:p>
            <w:pPr>
              <w:pStyle w:val="TableParagraph"/>
              <w:spacing w:line="240" w:lineRule="auto" w:before="105"/>
              <w:ind w:left="88" w:right="0"/>
              <w:jc w:val="center"/>
              <w:rPr>
                <w:rFonts w:ascii="Arial" w:hAnsi="Arial" w:cs="Arial" w:eastAsia="Arial" w:hint="default"/>
                <w:sz w:val="18"/>
                <w:szCs w:val="18"/>
              </w:rPr>
            </w:pPr>
            <w:r>
              <w:rPr>
                <w:rFonts w:ascii="Arial"/>
                <w:sz w:val="18"/>
              </w:rPr>
              <w:t>198.</w:t>
            </w:r>
          </w:p>
          <w:p>
            <w:pPr>
              <w:pStyle w:val="TableParagraph"/>
              <w:spacing w:line="240" w:lineRule="auto" w:before="105"/>
              <w:ind w:left="238" w:right="0"/>
              <w:jc w:val="center"/>
              <w:rPr>
                <w:rFonts w:ascii="Arial" w:hAnsi="Arial" w:cs="Arial" w:eastAsia="Arial" w:hint="default"/>
                <w:sz w:val="18"/>
                <w:szCs w:val="18"/>
              </w:rPr>
            </w:pPr>
            <w:r>
              <w:rPr>
                <w:rFonts w:ascii="Arial"/>
                <w:sz w:val="18"/>
              </w:rPr>
              <w:t>92</w:t>
            </w:r>
          </w:p>
        </w:tc>
        <w:tc>
          <w:tcPr>
            <w:tcW w:w="762"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65" w:right="0"/>
              <w:jc w:val="left"/>
              <w:rPr>
                <w:rFonts w:ascii="Arial" w:hAnsi="Arial" w:cs="Arial" w:eastAsia="Arial" w:hint="default"/>
                <w:sz w:val="18"/>
                <w:szCs w:val="18"/>
              </w:rPr>
            </w:pPr>
            <w:r>
              <w:rPr>
                <w:rFonts w:ascii="Arial"/>
                <w:sz w:val="18"/>
              </w:rPr>
              <w:t>0.81%</w:t>
            </w:r>
          </w:p>
        </w:tc>
        <w:tc>
          <w:tcPr>
            <w:tcW w:w="81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50" w:right="0"/>
              <w:jc w:val="center"/>
              <w:rPr>
                <w:rFonts w:ascii="Arial" w:hAnsi="Arial" w:cs="Arial" w:eastAsia="Arial" w:hint="default"/>
                <w:sz w:val="18"/>
                <w:szCs w:val="18"/>
              </w:rPr>
            </w:pPr>
            <w:r>
              <w:rPr>
                <w:rFonts w:ascii="Arial"/>
                <w:sz w:val="18"/>
              </w:rPr>
              <w:t>628,19</w:t>
            </w:r>
          </w:p>
          <w:p>
            <w:pPr>
              <w:pStyle w:val="TableParagraph"/>
              <w:spacing w:line="240" w:lineRule="auto" w:before="105"/>
              <w:ind w:left="249" w:right="0"/>
              <w:jc w:val="center"/>
              <w:rPr>
                <w:rFonts w:ascii="Arial" w:hAnsi="Arial" w:cs="Arial" w:eastAsia="Arial" w:hint="default"/>
                <w:sz w:val="18"/>
                <w:szCs w:val="18"/>
              </w:rPr>
            </w:pPr>
            <w:r>
              <w:rPr>
                <w:rFonts w:ascii="Arial"/>
                <w:sz w:val="18"/>
              </w:rPr>
              <w:t>8.92</w:t>
            </w:r>
          </w:p>
        </w:tc>
        <w:tc>
          <w:tcPr>
            <w:tcW w:w="932"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5"/>
              <w:jc w:val="right"/>
              <w:rPr>
                <w:rFonts w:ascii="Arial" w:hAnsi="Arial" w:cs="Arial" w:eastAsia="Arial" w:hint="default"/>
                <w:sz w:val="18"/>
                <w:szCs w:val="18"/>
              </w:rPr>
            </w:pPr>
            <w:r>
              <w:rPr>
                <w:rFonts w:ascii="Arial"/>
                <w:w w:val="95"/>
                <w:sz w:val="18"/>
              </w:rPr>
              <w:t>100.00%</w:t>
            </w:r>
            <w:r>
              <w:rPr>
                <w:rFonts w:ascii="Arial"/>
                <w:sz w:val="18"/>
              </w:rPr>
            </w:r>
          </w:p>
        </w:tc>
        <w:tc>
          <w:tcPr>
            <w:tcW w:w="93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1259" w:hRule="exact"/>
        </w:trPr>
        <w:tc>
          <w:tcPr>
            <w:tcW w:w="163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2"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06" w:right="0"/>
              <w:jc w:val="left"/>
              <w:rPr>
                <w:rFonts w:ascii="Arial" w:hAnsi="Arial" w:cs="Arial" w:eastAsia="Arial" w:hint="default"/>
                <w:sz w:val="18"/>
                <w:szCs w:val="18"/>
              </w:rPr>
            </w:pPr>
            <w:r>
              <w:rPr>
                <w:rFonts w:ascii="Arial"/>
                <w:sz w:val="18"/>
              </w:rPr>
              <w:t>86,94</w:t>
            </w:r>
          </w:p>
          <w:p>
            <w:pPr>
              <w:pStyle w:val="TableParagraph"/>
              <w:spacing w:line="240" w:lineRule="auto" w:before="105"/>
              <w:ind w:left="157" w:right="0"/>
              <w:jc w:val="left"/>
              <w:rPr>
                <w:rFonts w:ascii="Arial" w:hAnsi="Arial" w:cs="Arial" w:eastAsia="Arial" w:hint="default"/>
                <w:sz w:val="18"/>
                <w:szCs w:val="18"/>
              </w:rPr>
            </w:pPr>
            <w:r>
              <w:rPr>
                <w:rFonts w:ascii="Arial"/>
                <w:sz w:val="18"/>
              </w:rPr>
              <w:t>8,942.</w:t>
            </w:r>
          </w:p>
          <w:p>
            <w:pPr>
              <w:pStyle w:val="TableParagraph"/>
              <w:spacing w:line="240" w:lineRule="auto" w:before="105"/>
              <w:ind w:left="456" w:right="0"/>
              <w:jc w:val="left"/>
              <w:rPr>
                <w:rFonts w:ascii="Arial" w:hAnsi="Arial" w:cs="Arial" w:eastAsia="Arial" w:hint="default"/>
                <w:sz w:val="18"/>
                <w:szCs w:val="18"/>
              </w:rPr>
            </w:pPr>
            <w:r>
              <w:rPr>
                <w:rFonts w:ascii="Arial"/>
                <w:sz w:val="18"/>
              </w:rPr>
              <w:t>10</w:t>
            </w:r>
          </w:p>
        </w:tc>
        <w:tc>
          <w:tcPr>
            <w:tcW w:w="7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05" w:right="0"/>
              <w:jc w:val="left"/>
              <w:rPr>
                <w:rFonts w:ascii="Arial" w:hAnsi="Arial" w:cs="Arial" w:eastAsia="Arial" w:hint="default"/>
                <w:sz w:val="18"/>
                <w:szCs w:val="18"/>
              </w:rPr>
            </w:pPr>
            <w:r>
              <w:rPr>
                <w:rFonts w:ascii="Arial"/>
                <w:sz w:val="18"/>
              </w:rPr>
              <w:t>100.0</w:t>
            </w:r>
          </w:p>
          <w:p>
            <w:pPr>
              <w:pStyle w:val="TableParagraph"/>
              <w:spacing w:line="240" w:lineRule="auto" w:before="105"/>
              <w:ind w:left="415" w:right="0"/>
              <w:jc w:val="left"/>
              <w:rPr>
                <w:rFonts w:ascii="Arial" w:hAnsi="Arial" w:cs="Arial" w:eastAsia="Arial" w:hint="default"/>
                <w:sz w:val="18"/>
                <w:szCs w:val="18"/>
              </w:rPr>
            </w:pPr>
            <w:r>
              <w:rPr>
                <w:rFonts w:ascii="Arial"/>
                <w:sz w:val="18"/>
              </w:rPr>
              <w:t>0%</w:t>
            </w:r>
          </w:p>
        </w:tc>
        <w:tc>
          <w:tcPr>
            <w:tcW w:w="761"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4,150,</w:t>
            </w:r>
            <w:r>
              <w:rPr>
                <w:rFonts w:ascii="Arial"/>
                <w:sz w:val="18"/>
              </w:rPr>
            </w:r>
          </w:p>
          <w:p>
            <w:pPr>
              <w:pStyle w:val="TableParagraph"/>
              <w:spacing w:line="240" w:lineRule="auto" w:before="105"/>
              <w:ind w:right="106"/>
              <w:jc w:val="right"/>
              <w:rPr>
                <w:rFonts w:ascii="Arial" w:hAnsi="Arial" w:cs="Arial" w:eastAsia="Arial" w:hint="default"/>
                <w:sz w:val="18"/>
                <w:szCs w:val="18"/>
              </w:rPr>
            </w:pPr>
            <w:r>
              <w:rPr>
                <w:rFonts w:ascii="Arial"/>
                <w:w w:val="95"/>
                <w:sz w:val="18"/>
              </w:rPr>
              <w:t>271.6</w:t>
            </w:r>
            <w:r>
              <w:rPr>
                <w:rFonts w:ascii="Arial"/>
                <w:sz w:val="18"/>
              </w:rPr>
            </w:r>
          </w:p>
          <w:p>
            <w:pPr>
              <w:pStyle w:val="TableParagraph"/>
              <w:spacing w:line="240" w:lineRule="auto" w:before="105"/>
              <w:ind w:right="106"/>
              <w:jc w:val="right"/>
              <w:rPr>
                <w:rFonts w:ascii="Arial" w:hAnsi="Arial" w:cs="Arial" w:eastAsia="Arial" w:hint="default"/>
                <w:sz w:val="18"/>
                <w:szCs w:val="18"/>
              </w:rPr>
            </w:pPr>
            <w:r>
              <w:rPr>
                <w:rFonts w:ascii="Arial"/>
                <w:w w:val="99"/>
                <w:sz w:val="18"/>
              </w:rPr>
              <w:t>0</w:t>
            </w:r>
            <w:r>
              <w:rPr>
                <w:rFonts w:ascii="Arial"/>
                <w:sz w:val="18"/>
              </w:rPr>
            </w:r>
          </w:p>
        </w:tc>
        <w:tc>
          <w:tcPr>
            <w:tcW w:w="7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5"/>
              <w:jc w:val="right"/>
              <w:rPr>
                <w:rFonts w:ascii="Arial" w:hAnsi="Arial" w:cs="Arial" w:eastAsia="Arial" w:hint="default"/>
                <w:sz w:val="18"/>
                <w:szCs w:val="18"/>
              </w:rPr>
            </w:pPr>
            <w:r>
              <w:rPr>
                <w:rFonts w:ascii="Arial"/>
                <w:w w:val="95"/>
                <w:sz w:val="18"/>
              </w:rPr>
              <w:t>4.77%</w:t>
            </w:r>
            <w:r>
              <w:rPr>
                <w:rFonts w:ascii="Arial"/>
                <w:sz w:val="18"/>
              </w:rPr>
            </w:r>
          </w:p>
        </w:tc>
        <w:tc>
          <w:tcPr>
            <w:tcW w:w="790"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18"/>
                <w:szCs w:val="18"/>
              </w:rPr>
            </w:pPr>
            <w:r>
              <w:rPr>
                <w:rFonts w:ascii="Arial"/>
                <w:w w:val="95"/>
                <w:sz w:val="18"/>
              </w:rPr>
              <w:t>82,798</w:t>
            </w:r>
            <w:r>
              <w:rPr>
                <w:rFonts w:ascii="Arial"/>
                <w:sz w:val="18"/>
              </w:rPr>
            </w:r>
          </w:p>
          <w:p>
            <w:pPr>
              <w:pStyle w:val="TableParagraph"/>
              <w:spacing w:line="240" w:lineRule="auto" w:before="105"/>
              <w:ind w:right="106"/>
              <w:jc w:val="right"/>
              <w:rPr>
                <w:rFonts w:ascii="Arial" w:hAnsi="Arial" w:cs="Arial" w:eastAsia="Arial" w:hint="default"/>
                <w:sz w:val="18"/>
                <w:szCs w:val="18"/>
              </w:rPr>
            </w:pPr>
            <w:r>
              <w:rPr>
                <w:rFonts w:ascii="Arial"/>
                <w:w w:val="95"/>
                <w:sz w:val="18"/>
              </w:rPr>
              <w:t>,670.5</w:t>
            </w:r>
            <w:r>
              <w:rPr>
                <w:rFonts w:ascii="Arial"/>
                <w:sz w:val="18"/>
              </w:rPr>
            </w:r>
          </w:p>
          <w:p>
            <w:pPr>
              <w:pStyle w:val="TableParagraph"/>
              <w:spacing w:line="240" w:lineRule="auto" w:before="105"/>
              <w:ind w:right="107"/>
              <w:jc w:val="right"/>
              <w:rPr>
                <w:rFonts w:ascii="Arial" w:hAnsi="Arial" w:cs="Arial" w:eastAsia="Arial" w:hint="default"/>
                <w:sz w:val="18"/>
                <w:szCs w:val="18"/>
              </w:rPr>
            </w:pPr>
            <w:r>
              <w:rPr>
                <w:rFonts w:ascii="Arial"/>
                <w:w w:val="99"/>
                <w:sz w:val="18"/>
              </w:rPr>
              <w:t>0</w:t>
            </w:r>
            <w:r>
              <w:rPr>
                <w:rFonts w:ascii="Arial"/>
                <w:sz w:val="18"/>
              </w:rPr>
            </w:r>
          </w:p>
        </w:tc>
        <w:tc>
          <w:tcPr>
            <w:tcW w:w="65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96" w:right="0"/>
              <w:jc w:val="left"/>
              <w:rPr>
                <w:rFonts w:ascii="Arial" w:hAnsi="Arial" w:cs="Arial" w:eastAsia="Arial" w:hint="default"/>
                <w:sz w:val="18"/>
                <w:szCs w:val="18"/>
              </w:rPr>
            </w:pPr>
            <w:r>
              <w:rPr>
                <w:rFonts w:ascii="Arial"/>
                <w:sz w:val="18"/>
              </w:rPr>
              <w:t>77,8</w:t>
            </w:r>
          </w:p>
          <w:p>
            <w:pPr>
              <w:pStyle w:val="TableParagraph"/>
              <w:spacing w:line="240" w:lineRule="auto" w:before="105"/>
              <w:ind w:left="196" w:right="0"/>
              <w:jc w:val="left"/>
              <w:rPr>
                <w:rFonts w:ascii="Arial" w:hAnsi="Arial" w:cs="Arial" w:eastAsia="Arial" w:hint="default"/>
                <w:sz w:val="18"/>
                <w:szCs w:val="18"/>
              </w:rPr>
            </w:pPr>
            <w:r>
              <w:rPr>
                <w:rFonts w:ascii="Arial"/>
                <w:sz w:val="18"/>
              </w:rPr>
              <w:t>45,7</w:t>
            </w:r>
          </w:p>
          <w:p>
            <w:pPr>
              <w:pStyle w:val="TableParagraph"/>
              <w:spacing w:line="240" w:lineRule="auto" w:before="105"/>
              <w:ind w:left="196" w:right="0"/>
              <w:jc w:val="left"/>
              <w:rPr>
                <w:rFonts w:ascii="Arial" w:hAnsi="Arial" w:cs="Arial" w:eastAsia="Arial" w:hint="default"/>
                <w:sz w:val="18"/>
                <w:szCs w:val="18"/>
              </w:rPr>
            </w:pPr>
            <w:r>
              <w:rPr>
                <w:rFonts w:ascii="Arial"/>
                <w:sz w:val="18"/>
              </w:rPr>
              <w:t>04.7</w:t>
            </w:r>
          </w:p>
          <w:p>
            <w:pPr>
              <w:pStyle w:val="TableParagraph"/>
              <w:spacing w:line="240" w:lineRule="auto" w:before="105"/>
              <w:ind w:right="105"/>
              <w:jc w:val="right"/>
              <w:rPr>
                <w:rFonts w:ascii="Arial" w:hAnsi="Arial" w:cs="Arial" w:eastAsia="Arial" w:hint="default"/>
                <w:sz w:val="18"/>
                <w:szCs w:val="18"/>
              </w:rPr>
            </w:pPr>
            <w:r>
              <w:rPr>
                <w:rFonts w:ascii="Arial"/>
                <w:w w:val="99"/>
                <w:sz w:val="18"/>
              </w:rPr>
              <w:t>1</w:t>
            </w:r>
            <w:r>
              <w:rPr>
                <w:rFonts w:ascii="Arial"/>
                <w:sz w:val="18"/>
              </w:rPr>
            </w:r>
          </w:p>
        </w:tc>
        <w:tc>
          <w:tcPr>
            <w:tcW w:w="762"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05" w:right="0"/>
              <w:jc w:val="left"/>
              <w:rPr>
                <w:rFonts w:ascii="Arial" w:hAnsi="Arial" w:cs="Arial" w:eastAsia="Arial" w:hint="default"/>
                <w:sz w:val="18"/>
                <w:szCs w:val="18"/>
              </w:rPr>
            </w:pPr>
            <w:r>
              <w:rPr>
                <w:rFonts w:ascii="Arial"/>
                <w:sz w:val="18"/>
              </w:rPr>
              <w:t>100.0</w:t>
            </w:r>
          </w:p>
          <w:p>
            <w:pPr>
              <w:pStyle w:val="TableParagraph"/>
              <w:spacing w:line="240" w:lineRule="auto" w:before="105"/>
              <w:ind w:left="415" w:right="0"/>
              <w:jc w:val="left"/>
              <w:rPr>
                <w:rFonts w:ascii="Arial" w:hAnsi="Arial" w:cs="Arial" w:eastAsia="Arial" w:hint="default"/>
                <w:sz w:val="18"/>
                <w:szCs w:val="18"/>
              </w:rPr>
            </w:pPr>
            <w:r>
              <w:rPr>
                <w:rFonts w:ascii="Arial"/>
                <w:sz w:val="18"/>
              </w:rPr>
              <w:t>0%</w:t>
            </w:r>
          </w:p>
        </w:tc>
        <w:tc>
          <w:tcPr>
            <w:tcW w:w="81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07" w:right="0"/>
              <w:jc w:val="left"/>
              <w:rPr>
                <w:rFonts w:ascii="Arial" w:hAnsi="Arial" w:cs="Arial" w:eastAsia="Arial" w:hint="default"/>
                <w:sz w:val="18"/>
                <w:szCs w:val="18"/>
              </w:rPr>
            </w:pPr>
            <w:r>
              <w:rPr>
                <w:rFonts w:ascii="Arial"/>
                <w:sz w:val="18"/>
              </w:rPr>
              <w:t>4,112,</w:t>
            </w:r>
          </w:p>
          <w:p>
            <w:pPr>
              <w:pStyle w:val="TableParagraph"/>
              <w:spacing w:line="240" w:lineRule="auto" w:before="105"/>
              <w:ind w:left="157" w:right="0"/>
              <w:jc w:val="left"/>
              <w:rPr>
                <w:rFonts w:ascii="Arial" w:hAnsi="Arial" w:cs="Arial" w:eastAsia="Arial" w:hint="default"/>
                <w:sz w:val="18"/>
                <w:szCs w:val="18"/>
              </w:rPr>
            </w:pPr>
            <w:r>
              <w:rPr>
                <w:rFonts w:ascii="Arial"/>
                <w:sz w:val="18"/>
              </w:rPr>
              <w:t>527.95</w:t>
            </w:r>
          </w:p>
        </w:tc>
        <w:tc>
          <w:tcPr>
            <w:tcW w:w="932"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5"/>
              <w:jc w:val="right"/>
              <w:rPr>
                <w:rFonts w:ascii="Arial" w:hAnsi="Arial" w:cs="Arial" w:eastAsia="Arial" w:hint="default"/>
                <w:sz w:val="18"/>
                <w:szCs w:val="18"/>
              </w:rPr>
            </w:pPr>
            <w:r>
              <w:rPr>
                <w:rFonts w:ascii="Arial"/>
                <w:w w:val="95"/>
                <w:sz w:val="18"/>
              </w:rPr>
              <w:t>5.28%</w:t>
            </w:r>
            <w:r>
              <w:rPr>
                <w:rFonts w:ascii="Arial"/>
                <w:sz w:val="18"/>
              </w:rPr>
            </w:r>
          </w:p>
        </w:tc>
        <w:tc>
          <w:tcPr>
            <w:tcW w:w="93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26" w:right="0"/>
              <w:jc w:val="left"/>
              <w:rPr>
                <w:rFonts w:ascii="Arial" w:hAnsi="Arial" w:cs="Arial" w:eastAsia="Arial" w:hint="default"/>
                <w:sz w:val="18"/>
                <w:szCs w:val="18"/>
              </w:rPr>
            </w:pPr>
            <w:r>
              <w:rPr>
                <w:rFonts w:ascii="Arial"/>
                <w:sz w:val="18"/>
              </w:rPr>
              <w:t>73,733,1</w:t>
            </w:r>
          </w:p>
          <w:p>
            <w:pPr>
              <w:pStyle w:val="TableParagraph"/>
              <w:spacing w:line="240" w:lineRule="auto" w:before="105"/>
              <w:ind w:left="375" w:right="0"/>
              <w:jc w:val="left"/>
              <w:rPr>
                <w:rFonts w:ascii="Arial" w:hAnsi="Arial" w:cs="Arial" w:eastAsia="Arial" w:hint="default"/>
                <w:sz w:val="18"/>
                <w:szCs w:val="18"/>
              </w:rPr>
            </w:pPr>
            <w:r>
              <w:rPr>
                <w:rFonts w:ascii="Arial"/>
                <w:sz w:val="18"/>
              </w:rPr>
              <w:t>76.76</w:t>
            </w:r>
          </w:p>
        </w:tc>
      </w:tr>
    </w:tbl>
    <w:p>
      <w:pPr>
        <w:spacing w:line="240" w:lineRule="auto" w:before="0"/>
        <w:rPr>
          <w:rFonts w:ascii="宋体" w:hAnsi="宋体" w:cs="宋体" w:eastAsia="宋体" w:hint="default"/>
          <w:sz w:val="15"/>
          <w:szCs w:val="15"/>
        </w:rPr>
      </w:pPr>
    </w:p>
    <w:p>
      <w:pPr>
        <w:pStyle w:val="BodyText"/>
        <w:spacing w:line="240" w:lineRule="auto" w:before="18"/>
        <w:ind w:left="634" w:right="1513"/>
        <w:jc w:val="left"/>
      </w:pPr>
      <w:r>
        <w:rPr/>
        <w:t>组合中，按账龄分析法计提坏账准备的其他应收款：</w:t>
      </w:r>
    </w:p>
    <w:p>
      <w:pPr>
        <w:spacing w:line="240" w:lineRule="auto" w:before="4"/>
        <w:rPr>
          <w:rFonts w:ascii="宋体" w:hAnsi="宋体" w:cs="宋体" w:eastAsia="宋体" w:hint="default"/>
          <w:sz w:val="25"/>
          <w:szCs w:val="25"/>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2392"/>
        <w:gridCol w:w="2393"/>
        <w:gridCol w:w="2392"/>
        <w:gridCol w:w="2392"/>
      </w:tblGrid>
      <w:tr>
        <w:trPr>
          <w:trHeight w:val="322" w:hRule="exact"/>
        </w:trPr>
        <w:tc>
          <w:tcPr>
            <w:tcW w:w="2392"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2392" w:type="dxa"/>
            <w:vMerge/>
            <w:tcBorders>
              <w:left w:val="nil" w:sz="6" w:space="0" w:color="auto"/>
              <w:bottom w:val="single" w:sz="4" w:space="0" w:color="5B9BD4"/>
              <w:right w:val="nil" w:sz="6" w:space="0" w:color="auto"/>
            </w:tcBorders>
            <w:shd w:val="clear" w:color="auto" w:fill="DEEAF6"/>
          </w:tcPr>
          <w:p>
            <w:pPr/>
          </w:p>
        </w:tc>
        <w:tc>
          <w:tcPr>
            <w:tcW w:w="239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74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17" w:hRule="exact"/>
        </w:trPr>
        <w:tc>
          <w:tcPr>
            <w:tcW w:w="9569" w:type="dxa"/>
            <w:gridSpan w:val="4"/>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107"/>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年以内分项</w:t>
            </w:r>
          </w:p>
        </w:tc>
      </w:tr>
      <w:tr>
        <w:trPr>
          <w:trHeight w:val="327" w:hRule="exact"/>
        </w:trPr>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1"/>
              <w:ind w:left="108"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年以内</w:t>
            </w:r>
          </w:p>
        </w:tc>
        <w:tc>
          <w:tcPr>
            <w:tcW w:w="2393"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right="107"/>
              <w:jc w:val="right"/>
              <w:rPr>
                <w:rFonts w:ascii="Arial" w:hAnsi="Arial" w:cs="Arial" w:eastAsia="Arial" w:hint="default"/>
                <w:sz w:val="18"/>
                <w:szCs w:val="18"/>
              </w:rPr>
            </w:pPr>
            <w:r>
              <w:rPr>
                <w:rFonts w:ascii="Arial"/>
                <w:w w:val="95"/>
                <w:sz w:val="18"/>
              </w:rPr>
              <w:t>19,432,757.34</w:t>
            </w:r>
            <w:r>
              <w:rPr>
                <w:rFonts w:ascii="Arial"/>
                <w:sz w:val="18"/>
              </w:rPr>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2"/>
              <w:ind w:right="106"/>
              <w:jc w:val="right"/>
              <w:rPr>
                <w:rFonts w:ascii="Arial" w:hAnsi="Arial" w:cs="Arial" w:eastAsia="Arial" w:hint="default"/>
                <w:sz w:val="18"/>
                <w:szCs w:val="18"/>
              </w:rPr>
            </w:pPr>
            <w:r>
              <w:rPr>
                <w:rFonts w:ascii="Arial"/>
                <w:w w:val="95"/>
                <w:sz w:val="18"/>
              </w:rPr>
              <w:t>971,637.89</w:t>
            </w:r>
            <w:r>
              <w:rPr>
                <w:rFonts w:ascii="Arial"/>
                <w:sz w:val="18"/>
              </w:rPr>
            </w: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w w:val="95"/>
                <w:sz w:val="18"/>
              </w:rPr>
              <w:t>5.00%</w:t>
            </w:r>
            <w:r>
              <w:rPr>
                <w:rFonts w:ascii="Arial"/>
                <w:sz w:val="18"/>
              </w:rPr>
            </w:r>
          </w:p>
        </w:tc>
      </w:tr>
      <w:tr>
        <w:trPr>
          <w:trHeight w:val="322" w:hRule="exact"/>
        </w:trPr>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2393"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406,479.29</w:t>
            </w:r>
            <w:r>
              <w:rPr>
                <w:rFonts w:ascii="Arial"/>
                <w:sz w:val="18"/>
              </w:rPr>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40,647.93</w:t>
            </w:r>
            <w:r>
              <w:rPr>
                <w:rFonts w:ascii="Arial"/>
                <w:sz w:val="18"/>
              </w:rPr>
            </w: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10.00%</w:t>
            </w:r>
            <w:r>
              <w:rPr>
                <w:rFonts w:ascii="Arial"/>
                <w:sz w:val="18"/>
              </w:rPr>
            </w:r>
          </w:p>
        </w:tc>
      </w:tr>
      <w:tr>
        <w:trPr>
          <w:trHeight w:val="322" w:hRule="exact"/>
        </w:trPr>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7"/>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2393"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839,490.89</w:t>
            </w:r>
            <w:r>
              <w:rPr>
                <w:rFonts w:ascii="Arial"/>
                <w:sz w:val="18"/>
              </w:rPr>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251,847.27</w:t>
            </w:r>
            <w:r>
              <w:rPr>
                <w:rFonts w:ascii="Arial"/>
                <w:sz w:val="18"/>
              </w:rPr>
            </w: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30.00%</w:t>
            </w:r>
            <w:r>
              <w:rPr>
                <w:rFonts w:ascii="Arial"/>
                <w:sz w:val="18"/>
              </w:rPr>
            </w:r>
          </w:p>
        </w:tc>
      </w:tr>
      <w:tr>
        <w:trPr>
          <w:trHeight w:val="322" w:hRule="exact"/>
        </w:trPr>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Arial" w:hAnsi="Arial" w:cs="Arial" w:eastAsia="Arial" w:hint="default"/>
                <w:sz w:val="18"/>
                <w:szCs w:val="18"/>
              </w:rPr>
              <w:t>4</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2393"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96,356.99</w:t>
            </w:r>
            <w:r>
              <w:rPr>
                <w:rFonts w:ascii="Arial"/>
                <w:sz w:val="18"/>
              </w:rPr>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48,178.50</w:t>
            </w:r>
            <w:r>
              <w:rPr>
                <w:rFonts w:ascii="Arial"/>
                <w:sz w:val="18"/>
              </w:rPr>
            </w: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50.00%</w:t>
            </w:r>
            <w:r>
              <w:rPr>
                <w:rFonts w:ascii="Arial"/>
                <w:sz w:val="18"/>
              </w:rPr>
            </w:r>
          </w:p>
        </w:tc>
      </w:tr>
      <w:tr>
        <w:trPr>
          <w:trHeight w:val="322" w:hRule="exact"/>
        </w:trPr>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7"/>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Arial" w:hAnsi="Arial" w:cs="Arial" w:eastAsia="Arial" w:hint="default"/>
                <w:sz w:val="18"/>
                <w:szCs w:val="18"/>
              </w:rPr>
              <w:t>5</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2393"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12,394.83</w:t>
            </w:r>
            <w:r>
              <w:rPr>
                <w:rFonts w:ascii="Arial"/>
                <w:sz w:val="18"/>
              </w:rPr>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9,915.86</w:t>
            </w:r>
            <w:r>
              <w:rPr>
                <w:rFonts w:ascii="Arial"/>
                <w:sz w:val="18"/>
              </w:rPr>
            </w: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80.00%</w:t>
            </w:r>
            <w:r>
              <w:rPr>
                <w:rFonts w:ascii="Arial"/>
                <w:sz w:val="18"/>
              </w:rPr>
            </w:r>
          </w:p>
        </w:tc>
      </w:tr>
      <w:tr>
        <w:trPr>
          <w:trHeight w:val="322" w:hRule="exact"/>
        </w:trPr>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7"/>
                <w:sz w:val="18"/>
                <w:szCs w:val="18"/>
              </w:rPr>
              <w:t> </w:t>
            </w:r>
            <w:r>
              <w:rPr>
                <w:rFonts w:ascii="宋体" w:hAnsi="宋体" w:cs="宋体" w:eastAsia="宋体" w:hint="default"/>
                <w:sz w:val="18"/>
                <w:szCs w:val="18"/>
              </w:rPr>
              <w:t>年以上</w:t>
            </w:r>
          </w:p>
        </w:tc>
        <w:tc>
          <w:tcPr>
            <w:tcW w:w="2393"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206,085.05</w:t>
            </w:r>
            <w:r>
              <w:rPr>
                <w:rFonts w:ascii="Arial"/>
                <w:sz w:val="18"/>
              </w:rPr>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206,085.05</w:t>
            </w:r>
            <w:r>
              <w:rPr>
                <w:rFonts w:ascii="Arial"/>
                <w:sz w:val="18"/>
              </w:rPr>
            </w: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100.00%</w:t>
            </w:r>
            <w:r>
              <w:rPr>
                <w:rFonts w:ascii="Arial"/>
                <w:sz w:val="18"/>
              </w:rPr>
            </w:r>
          </w:p>
        </w:tc>
      </w:tr>
      <w:tr>
        <w:trPr>
          <w:trHeight w:val="322" w:hRule="exact"/>
        </w:trPr>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20,993,564.39</w:t>
            </w:r>
            <w:r>
              <w:rPr>
                <w:rFonts w:ascii="Arial"/>
                <w:sz w:val="18"/>
              </w:rPr>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1,528,312.50</w:t>
            </w:r>
            <w:r>
              <w:rPr>
                <w:rFonts w:ascii="Arial"/>
                <w:sz w:val="18"/>
              </w:rPr>
            </w: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7.28%</w:t>
            </w:r>
            <w:r>
              <w:rPr>
                <w:rFonts w:ascii="Arial"/>
                <w:sz w:val="18"/>
              </w:rPr>
            </w:r>
          </w:p>
        </w:tc>
      </w:tr>
    </w:tbl>
    <w:p>
      <w:pPr>
        <w:spacing w:line="240" w:lineRule="auto" w:before="0"/>
        <w:rPr>
          <w:rFonts w:ascii="宋体" w:hAnsi="宋体" w:cs="宋体" w:eastAsia="宋体" w:hint="default"/>
          <w:sz w:val="15"/>
          <w:szCs w:val="15"/>
        </w:rPr>
      </w:pPr>
    </w:p>
    <w:p>
      <w:pPr>
        <w:pStyle w:val="BodyText"/>
        <w:spacing w:line="240" w:lineRule="auto" w:before="18"/>
        <w:ind w:left="634" w:right="1513"/>
        <w:jc w:val="left"/>
      </w:pPr>
      <w:r>
        <w:rPr/>
        <w:t>确定该组合依据的说明：</w:t>
      </w:r>
    </w:p>
    <w:p>
      <w:pPr>
        <w:spacing w:line="240" w:lineRule="auto" w:before="9"/>
        <w:rPr>
          <w:rFonts w:ascii="宋体" w:hAnsi="宋体" w:cs="宋体" w:eastAsia="宋体" w:hint="default"/>
          <w:sz w:val="26"/>
          <w:szCs w:val="26"/>
        </w:rPr>
      </w:pPr>
    </w:p>
    <w:p>
      <w:pPr>
        <w:pStyle w:val="BodyText"/>
        <w:spacing w:line="388" w:lineRule="auto"/>
        <w:ind w:left="213" w:right="419" w:firstLine="420"/>
        <w:jc w:val="left"/>
      </w:pPr>
      <w:r>
        <w:rPr/>
        <w:t>按信用风险特征组合计提坏账准备的其他应收款分为两类：一类为账龄组合，金额为</w:t>
      </w:r>
      <w:r>
        <w:rPr>
          <w:rFonts w:ascii="Arial" w:hAnsi="Arial" w:cs="Arial" w:eastAsia="Arial" w:hint="default"/>
        </w:rPr>
        <w:t>20,993,564.39</w:t>
      </w:r>
      <w:r>
        <w:rPr>
          <w:rFonts w:ascii="Arial" w:hAnsi="Arial" w:cs="Arial" w:eastAsia="Arial" w:hint="default"/>
          <w:w w:val="99"/>
        </w:rPr>
        <w:t> </w:t>
      </w:r>
      <w:r>
        <w:rPr/>
        <w:t>元，计提坏账准备</w:t>
      </w:r>
      <w:r>
        <w:rPr>
          <w:rFonts w:ascii="Arial" w:hAnsi="Arial" w:cs="Arial" w:eastAsia="Arial" w:hint="default"/>
        </w:rPr>
        <w:t>1,528,312.50</w:t>
      </w:r>
      <w:r>
        <w:rPr/>
        <w:t>元，另一类为保证金组合</w:t>
      </w:r>
      <w:r>
        <w:rPr>
          <w:rFonts w:ascii="Arial" w:hAnsi="Arial" w:cs="Arial" w:eastAsia="Arial" w:hint="default"/>
        </w:rPr>
        <w:t>,</w:t>
      </w:r>
      <w:r>
        <w:rPr/>
        <w:t>金额为</w:t>
      </w:r>
      <w:r>
        <w:rPr>
          <w:rFonts w:ascii="Arial" w:hAnsi="Arial" w:cs="Arial" w:eastAsia="Arial" w:hint="default"/>
        </w:rPr>
        <w:t>63,333,418.61</w:t>
      </w:r>
      <w:r>
        <w:rPr/>
        <w:t>元，不计提坏账准备。</w:t>
      </w:r>
    </w:p>
    <w:p>
      <w:pPr>
        <w:spacing w:line="240" w:lineRule="auto" w:before="6"/>
        <w:rPr>
          <w:rFonts w:ascii="宋体" w:hAnsi="宋体" w:cs="宋体" w:eastAsia="宋体" w:hint="default"/>
          <w:sz w:val="14"/>
          <w:szCs w:val="14"/>
        </w:rPr>
      </w:pPr>
    </w:p>
    <w:p>
      <w:pPr>
        <w:pStyle w:val="BodyText"/>
        <w:spacing w:line="240" w:lineRule="auto"/>
        <w:ind w:left="633" w:right="1513"/>
        <w:jc w:val="left"/>
      </w:pPr>
      <w:r>
        <w:rPr/>
        <w:t>组合中，采用其他方法计提坏账准备的其他应收款：</w:t>
      </w:r>
    </w:p>
    <w:p>
      <w:pPr>
        <w:spacing w:line="240" w:lineRule="auto" w:before="9"/>
        <w:rPr>
          <w:rFonts w:ascii="宋体" w:hAnsi="宋体" w:cs="宋体" w:eastAsia="宋体" w:hint="default"/>
          <w:sz w:val="26"/>
          <w:szCs w:val="26"/>
        </w:rPr>
      </w:pPr>
    </w:p>
    <w:p>
      <w:pPr>
        <w:pStyle w:val="BodyText"/>
        <w:spacing w:line="240" w:lineRule="auto"/>
        <w:ind w:left="634" w:right="1513"/>
        <w:jc w:val="left"/>
      </w:pPr>
      <w:r>
        <w:rPr/>
        <w:t>√ 适用 □</w:t>
      </w:r>
      <w:r>
        <w:rPr>
          <w:spacing w:val="-1"/>
        </w:rPr>
        <w:t> </w:t>
      </w:r>
      <w:r>
        <w:rPr/>
        <w:t>不适用</w:t>
      </w:r>
    </w:p>
    <w:p>
      <w:pPr>
        <w:spacing w:line="240" w:lineRule="auto" w:before="5"/>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119"/>
        <w:gridCol w:w="1702"/>
        <w:gridCol w:w="1417"/>
        <w:gridCol w:w="1559"/>
        <w:gridCol w:w="1560"/>
      </w:tblGrid>
      <w:tr>
        <w:trPr>
          <w:trHeight w:val="322" w:hRule="exact"/>
        </w:trPr>
        <w:tc>
          <w:tcPr>
            <w:tcW w:w="3119"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59"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6238" w:type="dxa"/>
            <w:gridSpan w:val="4"/>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22" w:hRule="exact"/>
        </w:trPr>
        <w:tc>
          <w:tcPr>
            <w:tcW w:w="3119" w:type="dxa"/>
            <w:vMerge/>
            <w:tcBorders>
              <w:left w:val="nil" w:sz="6" w:space="0" w:color="auto"/>
              <w:bottom w:val="single" w:sz="4" w:space="0" w:color="5B9BD4"/>
              <w:right w:val="nil" w:sz="6" w:space="0" w:color="auto"/>
            </w:tcBorders>
            <w:shd w:val="clear" w:color="auto" w:fill="DEEAF6"/>
          </w:tcPr>
          <w:p>
            <w:pPr/>
          </w:p>
        </w:tc>
        <w:tc>
          <w:tcPr>
            <w:tcW w:w="170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0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1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34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5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168"/>
              <w:jc w:val="right"/>
              <w:rPr>
                <w:rFonts w:ascii="宋体" w:hAnsi="宋体" w:cs="宋体" w:eastAsia="宋体" w:hint="default"/>
                <w:sz w:val="18"/>
                <w:szCs w:val="18"/>
              </w:rPr>
            </w:pPr>
            <w:r>
              <w:rPr>
                <w:rFonts w:ascii="宋体" w:hAnsi="宋体" w:cs="宋体" w:eastAsia="宋体" w:hint="default"/>
                <w:w w:val="95"/>
                <w:sz w:val="18"/>
                <w:szCs w:val="18"/>
              </w:rPr>
              <w:t>计提比例（</w:t>
            </w:r>
            <w:r>
              <w:rPr>
                <w:rFonts w:ascii="Arial" w:hAnsi="Arial" w:cs="Arial" w:eastAsia="Arial" w:hint="default"/>
                <w:w w:val="95"/>
                <w:sz w:val="18"/>
                <w:szCs w:val="18"/>
              </w:rPr>
              <w:t>%</w:t>
            </w:r>
            <w:r>
              <w:rPr>
                <w:rFonts w:ascii="宋体" w:hAnsi="宋体" w:cs="宋体" w:eastAsia="宋体" w:hint="default"/>
                <w:w w:val="95"/>
                <w:sz w:val="18"/>
                <w:szCs w:val="18"/>
              </w:rPr>
              <w:t>）</w:t>
            </w:r>
          </w:p>
        </w:tc>
        <w:tc>
          <w:tcPr>
            <w:tcW w:w="156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18"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22" w:hRule="exact"/>
        </w:trPr>
        <w:tc>
          <w:tcPr>
            <w:tcW w:w="31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Arial" w:hAnsi="Arial" w:cs="Arial" w:eastAsia="Arial" w:hint="default"/>
                <w:sz w:val="18"/>
                <w:szCs w:val="18"/>
              </w:rPr>
            </w:pPr>
            <w:r>
              <w:rPr>
                <w:rFonts w:ascii="宋体" w:hAnsi="宋体" w:cs="宋体" w:eastAsia="宋体" w:hint="default"/>
                <w:sz w:val="18"/>
                <w:szCs w:val="18"/>
              </w:rPr>
              <w:t>公司</w:t>
            </w:r>
            <w:r>
              <w:rPr>
                <w:rFonts w:ascii="Arial" w:hAnsi="Arial" w:cs="Arial" w:eastAsia="Arial" w:hint="default"/>
                <w:sz w:val="18"/>
                <w:szCs w:val="18"/>
              </w:rPr>
              <w:t>1</w:t>
            </w:r>
          </w:p>
        </w:tc>
        <w:tc>
          <w:tcPr>
            <w:tcW w:w="1702"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1,326,160.00</w:t>
            </w:r>
            <w:r>
              <w:rPr>
                <w:rFonts w:ascii="Arial"/>
                <w:sz w:val="18"/>
              </w:rPr>
            </w:r>
          </w:p>
        </w:tc>
        <w:tc>
          <w:tcPr>
            <w:tcW w:w="141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1,326,160.00</w:t>
            </w:r>
            <w:r>
              <w:rPr>
                <w:rFonts w:ascii="Arial"/>
                <w:sz w:val="18"/>
              </w:rPr>
            </w:r>
          </w:p>
        </w:tc>
        <w:tc>
          <w:tcPr>
            <w:tcW w:w="155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100.00</w:t>
            </w:r>
            <w:r>
              <w:rPr>
                <w:rFonts w:ascii="Arial"/>
                <w:sz w:val="18"/>
              </w:rPr>
            </w:r>
          </w:p>
        </w:tc>
        <w:tc>
          <w:tcPr>
            <w:tcW w:w="156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07"/>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22" w:hRule="exact"/>
        </w:trPr>
        <w:tc>
          <w:tcPr>
            <w:tcW w:w="31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Arial" w:hAnsi="Arial" w:cs="Arial" w:eastAsia="Arial" w:hint="default"/>
                <w:sz w:val="18"/>
                <w:szCs w:val="18"/>
              </w:rPr>
            </w:pPr>
            <w:r>
              <w:rPr>
                <w:rFonts w:ascii="宋体" w:hAnsi="宋体" w:cs="宋体" w:eastAsia="宋体" w:hint="default"/>
                <w:sz w:val="18"/>
                <w:szCs w:val="18"/>
              </w:rPr>
              <w:t>公司</w:t>
            </w:r>
            <w:r>
              <w:rPr>
                <w:rFonts w:ascii="Arial" w:hAnsi="Arial" w:cs="Arial" w:eastAsia="Arial" w:hint="default"/>
                <w:sz w:val="18"/>
                <w:szCs w:val="18"/>
              </w:rPr>
              <w:t>2</w:t>
            </w:r>
          </w:p>
        </w:tc>
        <w:tc>
          <w:tcPr>
            <w:tcW w:w="1702"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628,198.92</w:t>
            </w:r>
            <w:r>
              <w:rPr>
                <w:rFonts w:ascii="Arial"/>
                <w:sz w:val="18"/>
              </w:rPr>
            </w:r>
          </w:p>
        </w:tc>
        <w:tc>
          <w:tcPr>
            <w:tcW w:w="141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628,198.92</w:t>
            </w:r>
            <w:r>
              <w:rPr>
                <w:rFonts w:ascii="Arial"/>
                <w:sz w:val="18"/>
              </w:rPr>
            </w:r>
          </w:p>
        </w:tc>
        <w:tc>
          <w:tcPr>
            <w:tcW w:w="155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100.00</w:t>
            </w:r>
            <w:r>
              <w:rPr>
                <w:rFonts w:ascii="Arial"/>
                <w:sz w:val="18"/>
              </w:rPr>
            </w:r>
          </w:p>
        </w:tc>
        <w:tc>
          <w:tcPr>
            <w:tcW w:w="156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107"/>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22" w:hRule="exact"/>
        </w:trPr>
        <w:tc>
          <w:tcPr>
            <w:tcW w:w="31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Arial" w:hAnsi="Arial" w:cs="Arial" w:eastAsia="Arial" w:hint="default"/>
                <w:sz w:val="18"/>
                <w:szCs w:val="18"/>
              </w:rPr>
            </w:pPr>
            <w:r>
              <w:rPr>
                <w:rFonts w:ascii="宋体" w:hAnsi="宋体" w:cs="宋体" w:eastAsia="宋体" w:hint="default"/>
                <w:sz w:val="18"/>
                <w:szCs w:val="18"/>
              </w:rPr>
              <w:t>公司</w:t>
            </w:r>
            <w:r>
              <w:rPr>
                <w:rFonts w:ascii="Arial" w:hAnsi="Arial" w:cs="Arial" w:eastAsia="Arial" w:hint="default"/>
                <w:sz w:val="18"/>
                <w:szCs w:val="18"/>
              </w:rPr>
              <w:t>3</w:t>
            </w:r>
          </w:p>
        </w:tc>
        <w:tc>
          <w:tcPr>
            <w:tcW w:w="1702"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199,000.00</w:t>
            </w:r>
            <w:r>
              <w:rPr>
                <w:rFonts w:ascii="Arial"/>
                <w:sz w:val="18"/>
              </w:rPr>
            </w:r>
          </w:p>
        </w:tc>
        <w:tc>
          <w:tcPr>
            <w:tcW w:w="141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199,000.00</w:t>
            </w:r>
            <w:r>
              <w:rPr>
                <w:rFonts w:ascii="Arial"/>
                <w:sz w:val="18"/>
              </w:rPr>
            </w:r>
          </w:p>
        </w:tc>
        <w:tc>
          <w:tcPr>
            <w:tcW w:w="155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100.00</w:t>
            </w:r>
            <w:r>
              <w:rPr>
                <w:rFonts w:ascii="Arial"/>
                <w:sz w:val="18"/>
              </w:rPr>
            </w:r>
          </w:p>
        </w:tc>
        <w:tc>
          <w:tcPr>
            <w:tcW w:w="156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07"/>
              <w:jc w:val="right"/>
              <w:rPr>
                <w:rFonts w:ascii="宋体" w:hAnsi="宋体" w:cs="宋体" w:eastAsia="宋体" w:hint="default"/>
                <w:sz w:val="18"/>
                <w:szCs w:val="18"/>
              </w:rPr>
            </w:pPr>
            <w:r>
              <w:rPr>
                <w:rFonts w:ascii="宋体" w:hAnsi="宋体" w:cs="宋体" w:eastAsia="宋体" w:hint="default"/>
                <w:sz w:val="18"/>
                <w:szCs w:val="18"/>
              </w:rPr>
              <w:t>预计无法收回</w:t>
            </w:r>
          </w:p>
        </w:tc>
      </w:tr>
    </w:tbl>
    <w:p>
      <w:pPr>
        <w:spacing w:after="0" w:line="240" w:lineRule="auto"/>
        <w:jc w:val="right"/>
        <w:rPr>
          <w:rFonts w:ascii="宋体" w:hAnsi="宋体" w:cs="宋体" w:eastAsia="宋体" w:hint="default"/>
          <w:sz w:val="18"/>
          <w:szCs w:val="18"/>
        </w:rPr>
        <w:sectPr>
          <w:pgSz w:w="11910" w:h="16840"/>
          <w:pgMar w:header="877" w:footer="979" w:top="1100" w:bottom="1160" w:left="920" w:right="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3119"/>
        <w:gridCol w:w="1702"/>
        <w:gridCol w:w="1417"/>
        <w:gridCol w:w="1559"/>
        <w:gridCol w:w="1560"/>
      </w:tblGrid>
      <w:tr>
        <w:trPr>
          <w:trHeight w:val="322" w:hRule="exact"/>
        </w:trPr>
        <w:tc>
          <w:tcPr>
            <w:tcW w:w="31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Arial" w:hAnsi="Arial" w:cs="Arial" w:eastAsia="Arial" w:hint="default"/>
                <w:sz w:val="18"/>
                <w:szCs w:val="18"/>
              </w:rPr>
            </w:pPr>
            <w:r>
              <w:rPr>
                <w:rFonts w:ascii="宋体" w:hAnsi="宋体" w:cs="宋体" w:eastAsia="宋体" w:hint="default"/>
                <w:sz w:val="18"/>
                <w:szCs w:val="18"/>
              </w:rPr>
              <w:t>公司</w:t>
            </w:r>
            <w:r>
              <w:rPr>
                <w:rFonts w:ascii="Arial" w:hAnsi="Arial" w:cs="Arial" w:eastAsia="Arial" w:hint="default"/>
                <w:sz w:val="18"/>
                <w:szCs w:val="18"/>
              </w:rPr>
              <w:t>4</w:t>
            </w:r>
          </w:p>
        </w:tc>
        <w:tc>
          <w:tcPr>
            <w:tcW w:w="1702"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177,673.50</w:t>
            </w:r>
            <w:r>
              <w:rPr>
                <w:rFonts w:ascii="Arial"/>
                <w:sz w:val="18"/>
              </w:rPr>
            </w:r>
          </w:p>
        </w:tc>
        <w:tc>
          <w:tcPr>
            <w:tcW w:w="141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177,673.50</w:t>
            </w:r>
            <w:r>
              <w:rPr>
                <w:rFonts w:ascii="Arial"/>
                <w:sz w:val="18"/>
              </w:rPr>
            </w:r>
          </w:p>
        </w:tc>
        <w:tc>
          <w:tcPr>
            <w:tcW w:w="155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100.00</w:t>
            </w:r>
            <w:r>
              <w:rPr>
                <w:rFonts w:ascii="Arial"/>
                <w:sz w:val="18"/>
              </w:rPr>
            </w:r>
          </w:p>
        </w:tc>
        <w:tc>
          <w:tcPr>
            <w:tcW w:w="156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07"/>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22" w:hRule="exact"/>
        </w:trPr>
        <w:tc>
          <w:tcPr>
            <w:tcW w:w="31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Arial" w:hAnsi="Arial" w:cs="Arial" w:eastAsia="Arial" w:hint="default"/>
                <w:sz w:val="18"/>
                <w:szCs w:val="18"/>
              </w:rPr>
            </w:pPr>
            <w:r>
              <w:rPr>
                <w:rFonts w:ascii="宋体" w:hAnsi="宋体" w:cs="宋体" w:eastAsia="宋体" w:hint="default"/>
                <w:sz w:val="18"/>
                <w:szCs w:val="18"/>
              </w:rPr>
              <w:t>公司</w:t>
            </w:r>
            <w:r>
              <w:rPr>
                <w:rFonts w:ascii="Arial" w:hAnsi="Arial" w:cs="Arial" w:eastAsia="Arial" w:hint="default"/>
                <w:sz w:val="18"/>
                <w:szCs w:val="18"/>
              </w:rPr>
              <w:t>5</w:t>
            </w:r>
          </w:p>
        </w:tc>
        <w:tc>
          <w:tcPr>
            <w:tcW w:w="1702"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130,000.00</w:t>
            </w:r>
            <w:r>
              <w:rPr>
                <w:rFonts w:ascii="Arial"/>
                <w:sz w:val="18"/>
              </w:rPr>
            </w:r>
          </w:p>
        </w:tc>
        <w:tc>
          <w:tcPr>
            <w:tcW w:w="141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130,000.00</w:t>
            </w:r>
            <w:r>
              <w:rPr>
                <w:rFonts w:ascii="Arial"/>
                <w:sz w:val="18"/>
              </w:rPr>
            </w:r>
          </w:p>
        </w:tc>
        <w:tc>
          <w:tcPr>
            <w:tcW w:w="155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100.00</w:t>
            </w:r>
            <w:r>
              <w:rPr>
                <w:rFonts w:ascii="Arial"/>
                <w:sz w:val="18"/>
              </w:rPr>
            </w:r>
          </w:p>
        </w:tc>
        <w:tc>
          <w:tcPr>
            <w:tcW w:w="156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107"/>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634" w:hRule="exact"/>
        </w:trPr>
        <w:tc>
          <w:tcPr>
            <w:tcW w:w="31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2" w:lineRule="auto" w:before="5"/>
              <w:ind w:left="108" w:right="109"/>
              <w:jc w:val="left"/>
              <w:rPr>
                <w:rFonts w:ascii="宋体" w:hAnsi="宋体" w:cs="宋体" w:eastAsia="宋体" w:hint="default"/>
                <w:sz w:val="18"/>
                <w:szCs w:val="18"/>
              </w:rPr>
            </w:pPr>
            <w:r>
              <w:rPr>
                <w:rFonts w:ascii="宋体" w:hAnsi="宋体" w:cs="宋体" w:eastAsia="宋体" w:hint="default"/>
                <w:sz w:val="18"/>
                <w:szCs w:val="18"/>
              </w:rPr>
              <w:t>其他单项金额在</w:t>
            </w:r>
            <w:r>
              <w:rPr>
                <w:rFonts w:ascii="Arial" w:hAnsi="Arial" w:cs="Arial" w:eastAsia="Arial" w:hint="default"/>
                <w:sz w:val="18"/>
                <w:szCs w:val="18"/>
              </w:rPr>
              <w:t>10</w:t>
            </w:r>
            <w:r>
              <w:rPr>
                <w:rFonts w:ascii="宋体" w:hAnsi="宋体" w:cs="宋体" w:eastAsia="宋体" w:hint="default"/>
                <w:sz w:val="18"/>
                <w:szCs w:val="18"/>
              </w:rPr>
              <w:t>万元以下的单位或 个人小计</w:t>
            </w:r>
          </w:p>
        </w:tc>
        <w:tc>
          <w:tcPr>
            <w:tcW w:w="1702"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160,926.68</w:t>
            </w:r>
            <w:r>
              <w:rPr>
                <w:rFonts w:ascii="Arial"/>
                <w:sz w:val="18"/>
              </w:rPr>
            </w:r>
          </w:p>
        </w:tc>
        <w:tc>
          <w:tcPr>
            <w:tcW w:w="141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160,926.68</w:t>
            </w:r>
            <w:r>
              <w:rPr>
                <w:rFonts w:ascii="Arial"/>
                <w:sz w:val="18"/>
              </w:rPr>
            </w:r>
          </w:p>
        </w:tc>
        <w:tc>
          <w:tcPr>
            <w:tcW w:w="1559"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100.00</w:t>
            </w:r>
            <w:r>
              <w:rPr>
                <w:rFonts w:ascii="Arial"/>
                <w:sz w:val="18"/>
              </w:rPr>
            </w:r>
          </w:p>
        </w:tc>
        <w:tc>
          <w:tcPr>
            <w:tcW w:w="156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right="107"/>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23" w:hRule="exact"/>
        </w:trPr>
        <w:tc>
          <w:tcPr>
            <w:tcW w:w="31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8"/>
                <w:sz w:val="18"/>
                <w:szCs w:val="18"/>
              </w:rPr>
              <w:t> </w:t>
            </w:r>
            <w:r>
              <w:rPr>
                <w:rFonts w:ascii="宋体" w:hAnsi="宋体" w:cs="宋体" w:eastAsia="宋体" w:hint="default"/>
                <w:sz w:val="18"/>
                <w:szCs w:val="18"/>
              </w:rPr>
              <w:t>计</w:t>
            </w:r>
          </w:p>
        </w:tc>
        <w:tc>
          <w:tcPr>
            <w:tcW w:w="1702"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Trebuchet MS" w:hAnsi="Trebuchet MS" w:cs="Trebuchet MS" w:eastAsia="Trebuchet MS" w:hint="default"/>
                <w:sz w:val="18"/>
                <w:szCs w:val="18"/>
              </w:rPr>
            </w:pPr>
            <w:r>
              <w:rPr>
                <w:rFonts w:ascii="Trebuchet MS"/>
                <w:b/>
                <w:w w:val="90"/>
                <w:sz w:val="18"/>
              </w:rPr>
              <w:t>2,621,959.10</w:t>
            </w:r>
            <w:r>
              <w:rPr>
                <w:rFonts w:ascii="Trebuchet MS"/>
                <w:sz w:val="18"/>
              </w:rPr>
            </w:r>
          </w:p>
        </w:tc>
        <w:tc>
          <w:tcPr>
            <w:tcW w:w="141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Trebuchet MS" w:hAnsi="Trebuchet MS" w:cs="Trebuchet MS" w:eastAsia="Trebuchet MS" w:hint="default"/>
                <w:sz w:val="18"/>
                <w:szCs w:val="18"/>
              </w:rPr>
            </w:pPr>
            <w:r>
              <w:rPr>
                <w:rFonts w:ascii="Trebuchet MS"/>
                <w:b/>
                <w:w w:val="90"/>
                <w:sz w:val="18"/>
              </w:rPr>
              <w:t>2,621,959.10</w:t>
            </w:r>
            <w:r>
              <w:rPr>
                <w:rFonts w:ascii="Trebuchet MS"/>
                <w:sz w:val="18"/>
              </w:rPr>
            </w:r>
          </w:p>
        </w:tc>
        <w:tc>
          <w:tcPr>
            <w:tcW w:w="155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Trebuchet MS" w:hAnsi="Trebuchet MS" w:cs="Trebuchet MS" w:eastAsia="Trebuchet MS" w:hint="default"/>
                <w:sz w:val="18"/>
                <w:szCs w:val="18"/>
              </w:rPr>
            </w:pPr>
            <w:r>
              <w:rPr>
                <w:rFonts w:ascii="Trebuchet MS"/>
                <w:b/>
                <w:w w:val="90"/>
                <w:sz w:val="18"/>
              </w:rPr>
              <w:t>100.00</w:t>
            </w:r>
            <w:r>
              <w:rPr>
                <w:rFonts w:ascii="Trebuchet MS"/>
                <w:sz w:val="18"/>
              </w:rPr>
            </w:r>
          </w:p>
        </w:tc>
        <w:tc>
          <w:tcPr>
            <w:tcW w:w="1560" w:type="dxa"/>
            <w:tcBorders>
              <w:top w:val="single" w:sz="4" w:space="0" w:color="5B9BD4"/>
              <w:left w:val="nil" w:sz="6" w:space="0" w:color="auto"/>
              <w:bottom w:val="single" w:sz="4" w:space="0" w:color="5B9BD4"/>
              <w:right w:val="nil" w:sz="6" w:space="0" w:color="auto"/>
            </w:tcBorders>
            <w:shd w:val="clear" w:color="auto" w:fill="DEEAF6"/>
          </w:tcPr>
          <w:p>
            <w:pP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2）本期计提、收回或转回的坏账准备情况" w:id="298"/>
      <w:bookmarkEnd w:id="298"/>
      <w:r>
        <w:rPr>
          <w:b w:val="0"/>
          <w:bCs w:val="0"/>
        </w:rPr>
      </w:r>
      <w:r>
        <w:rPr/>
        <w:t>（</w:t>
      </w:r>
      <w:r>
        <w:rPr>
          <w:rFonts w:ascii="Trebuchet MS" w:hAnsi="Trebuchet MS" w:cs="Trebuchet MS" w:eastAsia="Trebuchet MS" w:hint="default"/>
        </w:rPr>
        <w:t>2</w:t>
      </w:r>
      <w:r>
        <w:rPr/>
        <w:t>）本期计提、收回或转回的坏账准备情况</w:t>
      </w:r>
      <w:r>
        <w:rPr>
          <w:b w:val="0"/>
          <w:bCs w:val="0"/>
        </w:rPr>
      </w:r>
    </w:p>
    <w:p>
      <w:pPr>
        <w:spacing w:line="240" w:lineRule="auto" w:before="5"/>
        <w:rPr>
          <w:rFonts w:ascii="宋体" w:hAnsi="宋体" w:cs="宋体" w:eastAsia="宋体" w:hint="default"/>
          <w:b/>
          <w:bCs/>
          <w:sz w:val="30"/>
          <w:szCs w:val="30"/>
        </w:rPr>
      </w:pPr>
    </w:p>
    <w:p>
      <w:pPr>
        <w:pStyle w:val="BodyText"/>
        <w:spacing w:line="240" w:lineRule="auto"/>
        <w:ind w:left="633" w:right="1513"/>
        <w:jc w:val="left"/>
      </w:pPr>
      <w:r>
        <w:rPr/>
        <w:t>本期计提坏账准备金额</w:t>
      </w:r>
      <w:r>
        <w:rPr>
          <w:spacing w:val="-54"/>
        </w:rPr>
        <w:t> </w:t>
      </w:r>
      <w:r>
        <w:rPr>
          <w:rFonts w:ascii="Arial" w:hAnsi="Arial" w:cs="Arial" w:eastAsia="Arial" w:hint="default"/>
        </w:rPr>
        <w:t>37,743.65</w:t>
      </w:r>
      <w:r>
        <w:rPr>
          <w:rFonts w:ascii="Arial" w:hAnsi="Arial" w:cs="Arial" w:eastAsia="Arial" w:hint="default"/>
          <w:spacing w:val="-8"/>
        </w:rPr>
        <w:t> </w:t>
      </w:r>
      <w:r>
        <w:rPr/>
        <w:t>元；本期收回或转回坏账准备金额</w:t>
      </w:r>
      <w:r>
        <w:rPr>
          <w:spacing w:val="-54"/>
        </w:rPr>
        <w:t> </w:t>
      </w:r>
      <w:r>
        <w:rPr>
          <w:rFonts w:ascii="Arial" w:hAnsi="Arial" w:cs="Arial" w:eastAsia="Arial" w:hint="default"/>
        </w:rPr>
        <w:t>0.00</w:t>
      </w:r>
      <w:r>
        <w:rPr>
          <w:rFonts w:ascii="Arial" w:hAnsi="Arial" w:cs="Arial" w:eastAsia="Arial" w:hint="default"/>
          <w:spacing w:val="-8"/>
        </w:rPr>
        <w:t> </w:t>
      </w:r>
      <w:r>
        <w:rPr/>
        <w:t>元。</w:t>
      </w:r>
    </w:p>
    <w:p>
      <w:pPr>
        <w:spacing w:line="240" w:lineRule="auto" w:before="9"/>
        <w:rPr>
          <w:rFonts w:ascii="宋体" w:hAnsi="宋体" w:cs="宋体" w:eastAsia="宋体" w:hint="default"/>
          <w:sz w:val="19"/>
          <w:szCs w:val="19"/>
        </w:rPr>
      </w:pPr>
    </w:p>
    <w:p>
      <w:pPr>
        <w:pStyle w:val="Heading5"/>
        <w:spacing w:line="240" w:lineRule="auto" w:before="0"/>
        <w:ind w:right="1513"/>
        <w:jc w:val="left"/>
        <w:rPr>
          <w:b w:val="0"/>
          <w:bCs w:val="0"/>
        </w:rPr>
      </w:pPr>
      <w:bookmarkStart w:name="（3）其他应收款按款项性质分类情况" w:id="299"/>
      <w:bookmarkEnd w:id="299"/>
      <w:r>
        <w:rPr>
          <w:b w:val="0"/>
          <w:bCs w:val="0"/>
        </w:rPr>
      </w:r>
      <w:r>
        <w:rPr/>
        <w:t>（</w:t>
      </w:r>
      <w:r>
        <w:rPr>
          <w:rFonts w:ascii="Trebuchet MS" w:hAnsi="Trebuchet MS" w:cs="Trebuchet MS" w:eastAsia="Trebuchet MS" w:hint="default"/>
        </w:rPr>
        <w:t>3</w:t>
      </w:r>
      <w:r>
        <w:rPr/>
        <w:t>）其他应收款按款项性质分类情况</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188"/>
        <w:gridCol w:w="3191"/>
        <w:gridCol w:w="3191"/>
      </w:tblGrid>
      <w:tr>
        <w:trPr>
          <w:trHeight w:val="317"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5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5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7"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w w:val="95"/>
                <w:sz w:val="18"/>
              </w:rPr>
              <w:t>44,023,418.61</w:t>
            </w:r>
            <w:r>
              <w:rPr>
                <w:rFonts w:ascii="Arial"/>
                <w:sz w:val="18"/>
              </w:rPr>
            </w:r>
          </w:p>
        </w:tc>
        <w:tc>
          <w:tcPr>
            <w:tcW w:w="31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2"/>
              <w:ind w:right="105"/>
              <w:jc w:val="right"/>
              <w:rPr>
                <w:rFonts w:ascii="Arial" w:hAnsi="Arial" w:cs="Arial" w:eastAsia="Arial" w:hint="default"/>
                <w:sz w:val="18"/>
                <w:szCs w:val="18"/>
              </w:rPr>
            </w:pPr>
            <w:r>
              <w:rPr>
                <w:rFonts w:ascii="Arial"/>
                <w:w w:val="95"/>
                <w:sz w:val="18"/>
              </w:rPr>
              <w:t>31,857,892.15</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22,411,044.10</w:t>
            </w:r>
            <w:r>
              <w:rPr>
                <w:rFonts w:ascii="Arial"/>
                <w:sz w:val="18"/>
              </w:rPr>
            </w:r>
          </w:p>
        </w:tc>
        <w:tc>
          <w:tcPr>
            <w:tcW w:w="31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41,736,482.55</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19,310,000.00</w:t>
            </w:r>
            <w:r>
              <w:rPr>
                <w:rFonts w:ascii="Arial"/>
                <w:sz w:val="18"/>
              </w:rPr>
            </w:r>
          </w:p>
        </w:tc>
        <w:tc>
          <w:tcPr>
            <w:tcW w:w="3191"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1,204,479.39</w:t>
            </w:r>
            <w:r>
              <w:rPr>
                <w:rFonts w:ascii="Arial"/>
                <w:sz w:val="18"/>
              </w:rPr>
            </w:r>
          </w:p>
        </w:tc>
        <w:tc>
          <w:tcPr>
            <w:tcW w:w="31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4,251,330.01</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86,948,942.10</w:t>
            </w:r>
            <w:r>
              <w:rPr>
                <w:rFonts w:ascii="Arial"/>
                <w:sz w:val="18"/>
              </w:rPr>
            </w:r>
          </w:p>
        </w:tc>
        <w:tc>
          <w:tcPr>
            <w:tcW w:w="31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77,845,704.71</w:t>
            </w:r>
            <w:r>
              <w:rPr>
                <w:rFonts w:ascii="Arial"/>
                <w:sz w:val="18"/>
              </w:rPr>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4）按欠款方归集的期末余额前五名的其他应收款情况" w:id="300"/>
      <w:bookmarkEnd w:id="300"/>
      <w:r>
        <w:rPr>
          <w:b w:val="0"/>
          <w:bCs w:val="0"/>
        </w:rPr>
      </w:r>
      <w:r>
        <w:rPr/>
        <w:t>（</w:t>
      </w:r>
      <w:r>
        <w:rPr>
          <w:rFonts w:ascii="Trebuchet MS" w:hAnsi="Trebuchet MS" w:cs="Trebuchet MS" w:eastAsia="Trebuchet MS" w:hint="default"/>
        </w:rPr>
        <w:t>4</w:t>
      </w:r>
      <w:r>
        <w:rPr/>
        <w:t>）按欠款方归集的期末余额前五名的其他应收款情况</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5"/>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594"/>
        <w:gridCol w:w="1595"/>
        <w:gridCol w:w="1594"/>
        <w:gridCol w:w="1594"/>
        <w:gridCol w:w="1595"/>
        <w:gridCol w:w="1596"/>
      </w:tblGrid>
      <w:tr>
        <w:trPr>
          <w:trHeight w:val="941" w:hRule="exact"/>
        </w:trPr>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66" w:right="166"/>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59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706" w:right="167"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326" w:hRule="exact"/>
        </w:trPr>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王继军</w:t>
            </w:r>
          </w:p>
        </w:tc>
        <w:tc>
          <w:tcPr>
            <w:tcW w:w="1595" w:type="dxa"/>
            <w:tcBorders>
              <w:top w:val="single" w:sz="4" w:space="0" w:color="5B9BD4"/>
              <w:left w:val="nil" w:sz="6" w:space="0" w:color="auto"/>
              <w:bottom w:val="single" w:sz="4" w:space="0" w:color="5B9BD4"/>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hAnsi="宋体" w:cs="宋体" w:eastAsia="宋体" w:hint="default"/>
                <w:sz w:val="18"/>
                <w:szCs w:val="18"/>
              </w:rPr>
              <w:t>股权转让款</w:t>
            </w: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2"/>
              <w:ind w:right="106"/>
              <w:jc w:val="right"/>
              <w:rPr>
                <w:rFonts w:ascii="Arial" w:hAnsi="Arial" w:cs="Arial" w:eastAsia="Arial" w:hint="default"/>
                <w:sz w:val="18"/>
                <w:szCs w:val="18"/>
              </w:rPr>
            </w:pPr>
            <w:r>
              <w:rPr>
                <w:rFonts w:ascii="Arial"/>
                <w:w w:val="95"/>
                <w:sz w:val="18"/>
              </w:rPr>
              <w:t>18,500,000.00</w:t>
            </w:r>
            <w:r>
              <w:rPr>
                <w:rFonts w:ascii="Arial"/>
                <w:sz w:val="18"/>
              </w:rPr>
            </w:r>
          </w:p>
        </w:tc>
        <w:tc>
          <w:tcPr>
            <w:tcW w:w="1594" w:type="dxa"/>
            <w:tcBorders>
              <w:top w:val="single" w:sz="4" w:space="0" w:color="5B9BD4"/>
              <w:left w:val="nil" w:sz="6" w:space="0" w:color="auto"/>
              <w:bottom w:val="single" w:sz="4" w:space="0" w:color="5B9BD4"/>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年以内</w:t>
            </w:r>
          </w:p>
        </w:tc>
        <w:tc>
          <w:tcPr>
            <w:tcW w:w="15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2"/>
              <w:ind w:right="105"/>
              <w:jc w:val="right"/>
              <w:rPr>
                <w:rFonts w:ascii="Arial" w:hAnsi="Arial" w:cs="Arial" w:eastAsia="Arial" w:hint="default"/>
                <w:sz w:val="18"/>
                <w:szCs w:val="18"/>
              </w:rPr>
            </w:pPr>
            <w:r>
              <w:rPr>
                <w:rFonts w:ascii="Arial"/>
                <w:w w:val="95"/>
                <w:sz w:val="18"/>
              </w:rPr>
              <w:t>21.28%</w:t>
            </w:r>
            <w:r>
              <w:rPr>
                <w:rFonts w:ascii="Arial"/>
                <w:sz w:val="18"/>
              </w:rPr>
            </w:r>
          </w:p>
        </w:tc>
        <w:tc>
          <w:tcPr>
            <w:tcW w:w="1596" w:type="dxa"/>
            <w:tcBorders>
              <w:top w:val="single" w:sz="4" w:space="0" w:color="5B9BD4"/>
              <w:left w:val="nil" w:sz="6" w:space="0" w:color="auto"/>
              <w:bottom w:val="single" w:sz="4" w:space="0" w:color="5B9BD4"/>
              <w:right w:val="nil" w:sz="6" w:space="0" w:color="auto"/>
            </w:tcBorders>
          </w:tcPr>
          <w:p>
            <w:pPr/>
          </w:p>
        </w:tc>
      </w:tr>
      <w:tr>
        <w:trPr>
          <w:trHeight w:val="634" w:hRule="exact"/>
        </w:trPr>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225"/>
              <w:jc w:val="left"/>
              <w:rPr>
                <w:rFonts w:ascii="宋体" w:hAnsi="宋体" w:cs="宋体" w:eastAsia="宋体" w:hint="default"/>
                <w:sz w:val="18"/>
                <w:szCs w:val="18"/>
              </w:rPr>
            </w:pPr>
            <w:r>
              <w:rPr>
                <w:rFonts w:ascii="宋体" w:hAnsi="宋体" w:cs="宋体" w:eastAsia="宋体" w:hint="default"/>
                <w:sz w:val="18"/>
                <w:szCs w:val="18"/>
              </w:rPr>
              <w:t>厦门美图移动科 技有限公司</w:t>
            </w:r>
          </w:p>
        </w:tc>
        <w:tc>
          <w:tcPr>
            <w:tcW w:w="1595" w:type="dxa"/>
            <w:tcBorders>
              <w:top w:val="single" w:sz="4" w:space="0" w:color="5B9BD4"/>
              <w:left w:val="nil" w:sz="6" w:space="0" w:color="auto"/>
              <w:bottom w:val="single" w:sz="4" w:space="0" w:color="5B9BD4"/>
              <w:right w:val="nil" w:sz="6" w:space="0" w:color="auto"/>
            </w:tcBorders>
          </w:tcPr>
          <w:p>
            <w:pPr>
              <w:pStyle w:val="TableParagraph"/>
              <w:spacing w:line="240" w:lineRule="auto" w:before="161"/>
              <w:ind w:right="107"/>
              <w:jc w:val="righ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3,100,500.00</w:t>
            </w:r>
            <w:r>
              <w:rPr>
                <w:rFonts w:ascii="Arial"/>
                <w:sz w:val="18"/>
              </w:rPr>
            </w:r>
          </w:p>
        </w:tc>
        <w:tc>
          <w:tcPr>
            <w:tcW w:w="1594" w:type="dxa"/>
            <w:tcBorders>
              <w:top w:val="single" w:sz="4" w:space="0" w:color="5B9BD4"/>
              <w:left w:val="nil" w:sz="6" w:space="0" w:color="auto"/>
              <w:bottom w:val="single" w:sz="4" w:space="0" w:color="5B9BD4"/>
              <w:right w:val="nil" w:sz="6" w:space="0" w:color="auto"/>
            </w:tcBorders>
          </w:tcPr>
          <w:p>
            <w:pPr>
              <w:pStyle w:val="TableParagraph"/>
              <w:spacing w:line="240" w:lineRule="auto" w:before="161"/>
              <w:ind w:right="107"/>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年以内</w:t>
            </w:r>
          </w:p>
        </w:tc>
        <w:tc>
          <w:tcPr>
            <w:tcW w:w="15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3.57%</w:t>
            </w:r>
            <w:r>
              <w:rPr>
                <w:rFonts w:ascii="Arial"/>
                <w:sz w:val="18"/>
              </w:rPr>
            </w:r>
          </w:p>
        </w:tc>
        <w:tc>
          <w:tcPr>
            <w:tcW w:w="1596" w:type="dxa"/>
            <w:tcBorders>
              <w:top w:val="single" w:sz="4" w:space="0" w:color="5B9BD4"/>
              <w:left w:val="nil" w:sz="6" w:space="0" w:color="auto"/>
              <w:bottom w:val="single" w:sz="4" w:space="0" w:color="5B9BD4"/>
              <w:right w:val="nil" w:sz="6" w:space="0" w:color="auto"/>
            </w:tcBorders>
          </w:tcPr>
          <w:p>
            <w:pPr/>
          </w:p>
        </w:tc>
      </w:tr>
      <w:tr>
        <w:trPr>
          <w:trHeight w:val="634" w:hRule="exact"/>
        </w:trPr>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225"/>
              <w:jc w:val="left"/>
              <w:rPr>
                <w:rFonts w:ascii="宋体" w:hAnsi="宋体" w:cs="宋体" w:eastAsia="宋体" w:hint="default"/>
                <w:sz w:val="18"/>
                <w:szCs w:val="18"/>
              </w:rPr>
            </w:pPr>
            <w:r>
              <w:rPr>
                <w:rFonts w:ascii="宋体" w:hAnsi="宋体" w:cs="宋体" w:eastAsia="宋体" w:hint="default"/>
                <w:sz w:val="18"/>
                <w:szCs w:val="18"/>
              </w:rPr>
              <w:t>中国移动通信集 团广东有限公司</w:t>
            </w:r>
          </w:p>
        </w:tc>
        <w:tc>
          <w:tcPr>
            <w:tcW w:w="1595"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2,000,000.26</w:t>
            </w:r>
            <w:r>
              <w:rPr>
                <w:rFonts w:ascii="Arial"/>
                <w:sz w:val="18"/>
              </w:rPr>
            </w:r>
          </w:p>
        </w:tc>
        <w:tc>
          <w:tcPr>
            <w:tcW w:w="1594"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年以内</w:t>
            </w:r>
          </w:p>
        </w:tc>
        <w:tc>
          <w:tcPr>
            <w:tcW w:w="15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2.30%</w:t>
            </w:r>
            <w:r>
              <w:rPr>
                <w:rFonts w:ascii="Arial"/>
                <w:sz w:val="18"/>
              </w:rPr>
            </w:r>
          </w:p>
        </w:tc>
        <w:tc>
          <w:tcPr>
            <w:tcW w:w="1596" w:type="dxa"/>
            <w:tcBorders>
              <w:top w:val="single" w:sz="4" w:space="0" w:color="5B9BD4"/>
              <w:left w:val="nil" w:sz="6" w:space="0" w:color="auto"/>
              <w:bottom w:val="single" w:sz="4" w:space="0" w:color="5B9BD4"/>
              <w:right w:val="nil" w:sz="6" w:space="0" w:color="auto"/>
            </w:tcBorders>
          </w:tcPr>
          <w:p>
            <w:pPr/>
          </w:p>
        </w:tc>
      </w:tr>
      <w:tr>
        <w:trPr>
          <w:trHeight w:val="634" w:hRule="exact"/>
        </w:trPr>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225"/>
              <w:jc w:val="left"/>
              <w:rPr>
                <w:rFonts w:ascii="宋体" w:hAnsi="宋体" w:cs="宋体" w:eastAsia="宋体" w:hint="default"/>
                <w:sz w:val="18"/>
                <w:szCs w:val="18"/>
              </w:rPr>
            </w:pPr>
            <w:r>
              <w:rPr>
                <w:rFonts w:ascii="宋体" w:hAnsi="宋体" w:cs="宋体" w:eastAsia="宋体" w:hint="default"/>
                <w:sz w:val="18"/>
                <w:szCs w:val="18"/>
              </w:rPr>
              <w:t>中国移动通信集 团江苏有限公司</w:t>
            </w:r>
          </w:p>
        </w:tc>
        <w:tc>
          <w:tcPr>
            <w:tcW w:w="1595" w:type="dxa"/>
            <w:tcBorders>
              <w:top w:val="single" w:sz="4" w:space="0" w:color="5B9BD4"/>
              <w:left w:val="nil" w:sz="6" w:space="0" w:color="auto"/>
              <w:bottom w:val="single" w:sz="4" w:space="0" w:color="5B9BD4"/>
              <w:right w:val="nil" w:sz="6" w:space="0" w:color="auto"/>
            </w:tcBorders>
          </w:tcPr>
          <w:p>
            <w:pPr>
              <w:pStyle w:val="TableParagraph"/>
              <w:spacing w:line="240" w:lineRule="auto" w:before="161"/>
              <w:ind w:right="107"/>
              <w:jc w:val="righ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2,000,000.00</w:t>
            </w:r>
            <w:r>
              <w:rPr>
                <w:rFonts w:ascii="Arial"/>
                <w:sz w:val="18"/>
              </w:rPr>
            </w:r>
          </w:p>
        </w:tc>
        <w:tc>
          <w:tcPr>
            <w:tcW w:w="1594" w:type="dxa"/>
            <w:tcBorders>
              <w:top w:val="single" w:sz="4" w:space="0" w:color="5B9BD4"/>
              <w:left w:val="nil" w:sz="6" w:space="0" w:color="auto"/>
              <w:bottom w:val="single" w:sz="4" w:space="0" w:color="5B9BD4"/>
              <w:right w:val="nil" w:sz="6" w:space="0" w:color="auto"/>
            </w:tcBorders>
          </w:tcPr>
          <w:p>
            <w:pPr>
              <w:pStyle w:val="TableParagraph"/>
              <w:spacing w:line="240" w:lineRule="auto" w:before="161"/>
              <w:ind w:right="107"/>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年以内</w:t>
            </w:r>
          </w:p>
        </w:tc>
        <w:tc>
          <w:tcPr>
            <w:tcW w:w="15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2.30%</w:t>
            </w:r>
            <w:r>
              <w:rPr>
                <w:rFonts w:ascii="Arial"/>
                <w:sz w:val="18"/>
              </w:rPr>
            </w:r>
          </w:p>
        </w:tc>
        <w:tc>
          <w:tcPr>
            <w:tcW w:w="1596" w:type="dxa"/>
            <w:tcBorders>
              <w:top w:val="single" w:sz="4" w:space="0" w:color="5B9BD4"/>
              <w:left w:val="nil" w:sz="6" w:space="0" w:color="auto"/>
              <w:bottom w:val="single" w:sz="4" w:space="0" w:color="5B9BD4"/>
              <w:right w:val="nil" w:sz="6" w:space="0" w:color="auto"/>
            </w:tcBorders>
          </w:tcPr>
          <w:p>
            <w:pPr/>
          </w:p>
        </w:tc>
      </w:tr>
      <w:tr>
        <w:trPr>
          <w:trHeight w:val="634" w:hRule="exact"/>
        </w:trPr>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225"/>
              <w:jc w:val="left"/>
              <w:rPr>
                <w:rFonts w:ascii="宋体" w:hAnsi="宋体" w:cs="宋体" w:eastAsia="宋体" w:hint="default"/>
                <w:sz w:val="18"/>
                <w:szCs w:val="18"/>
              </w:rPr>
            </w:pPr>
            <w:r>
              <w:rPr>
                <w:rFonts w:ascii="宋体" w:hAnsi="宋体" w:cs="宋体" w:eastAsia="宋体" w:hint="default"/>
                <w:sz w:val="18"/>
                <w:szCs w:val="18"/>
              </w:rPr>
              <w:t>北京欢乐瀚商贸 有限公司</w:t>
            </w:r>
          </w:p>
        </w:tc>
        <w:tc>
          <w:tcPr>
            <w:tcW w:w="1595" w:type="dxa"/>
            <w:tcBorders>
              <w:top w:val="single" w:sz="4" w:space="0" w:color="5B9BD4"/>
              <w:left w:val="nil" w:sz="6" w:space="0" w:color="auto"/>
              <w:bottom w:val="single" w:sz="4" w:space="0" w:color="5B9BD4"/>
              <w:right w:val="nil" w:sz="6" w:space="0" w:color="auto"/>
            </w:tcBorders>
          </w:tcPr>
          <w:p>
            <w:pPr>
              <w:pStyle w:val="TableParagraph"/>
              <w:spacing w:line="240" w:lineRule="auto" w:before="161"/>
              <w:ind w:right="107"/>
              <w:jc w:val="righ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1,900,000.00</w:t>
            </w:r>
            <w:r>
              <w:rPr>
                <w:rFonts w:ascii="Arial"/>
                <w:sz w:val="18"/>
              </w:rPr>
            </w:r>
          </w:p>
        </w:tc>
        <w:tc>
          <w:tcPr>
            <w:tcW w:w="1594" w:type="dxa"/>
            <w:tcBorders>
              <w:top w:val="single" w:sz="4" w:space="0" w:color="5B9BD4"/>
              <w:left w:val="nil" w:sz="6" w:space="0" w:color="auto"/>
              <w:bottom w:val="single" w:sz="4" w:space="0" w:color="5B9BD4"/>
              <w:right w:val="nil" w:sz="6" w:space="0" w:color="auto"/>
            </w:tcBorders>
          </w:tcPr>
          <w:p>
            <w:pPr>
              <w:pStyle w:val="TableParagraph"/>
              <w:spacing w:line="240" w:lineRule="auto" w:before="161"/>
              <w:ind w:right="107"/>
              <w:jc w:val="righ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7"/>
                <w:sz w:val="18"/>
                <w:szCs w:val="18"/>
              </w:rPr>
              <w:t> </w:t>
            </w:r>
            <w:r>
              <w:rPr>
                <w:rFonts w:ascii="宋体" w:hAnsi="宋体" w:cs="宋体" w:eastAsia="宋体" w:hint="default"/>
                <w:sz w:val="18"/>
                <w:szCs w:val="18"/>
              </w:rPr>
              <w:t>年以上</w:t>
            </w:r>
          </w:p>
        </w:tc>
        <w:tc>
          <w:tcPr>
            <w:tcW w:w="15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2.19%</w:t>
            </w:r>
            <w:r>
              <w:rPr>
                <w:rFonts w:ascii="Arial"/>
                <w:sz w:val="18"/>
              </w:rPr>
            </w:r>
          </w:p>
        </w:tc>
        <w:tc>
          <w:tcPr>
            <w:tcW w:w="1596" w:type="dxa"/>
            <w:tcBorders>
              <w:top w:val="single" w:sz="4" w:space="0" w:color="5B9BD4"/>
              <w:left w:val="nil" w:sz="6" w:space="0" w:color="auto"/>
              <w:bottom w:val="single" w:sz="4" w:space="0" w:color="5B9BD4"/>
              <w:right w:val="nil" w:sz="6" w:space="0" w:color="auto"/>
            </w:tcBorders>
          </w:tcPr>
          <w:p>
            <w:pPr/>
          </w:p>
        </w:tc>
      </w:tr>
      <w:tr>
        <w:trPr>
          <w:trHeight w:val="322" w:hRule="exact"/>
        </w:trPr>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w:t>
            </w:r>
            <w:r>
              <w:rPr>
                <w:rFonts w:ascii="Arial"/>
                <w:sz w:val="18"/>
              </w:rPr>
            </w: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27,500,500.26</w:t>
            </w:r>
            <w:r>
              <w:rPr>
                <w:rFonts w:ascii="Arial"/>
                <w:sz w:val="18"/>
              </w:rPr>
            </w:r>
          </w:p>
        </w:tc>
        <w:tc>
          <w:tcPr>
            <w:tcW w:w="15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w:t>
            </w:r>
            <w:r>
              <w:rPr>
                <w:rFonts w:ascii="Arial"/>
                <w:sz w:val="18"/>
              </w:rPr>
            </w:r>
          </w:p>
        </w:tc>
        <w:tc>
          <w:tcPr>
            <w:tcW w:w="15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31.64%</w:t>
            </w:r>
            <w:r>
              <w:rPr>
                <w:rFonts w:ascii="Arial"/>
                <w:sz w:val="18"/>
              </w:rPr>
            </w:r>
          </w:p>
        </w:tc>
        <w:tc>
          <w:tcPr>
            <w:tcW w:w="1596" w:type="dxa"/>
            <w:tcBorders>
              <w:top w:val="single" w:sz="4" w:space="0" w:color="5B9BD4"/>
              <w:left w:val="nil" w:sz="6" w:space="0" w:color="auto"/>
              <w:bottom w:val="single" w:sz="4" w:space="0" w:color="5B9BD4"/>
              <w:right w:val="nil" w:sz="6" w:space="0" w:color="auto"/>
            </w:tcBorders>
          </w:tcPr>
          <w:p>
            <w:pP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7、存货" w:id="301"/>
      <w:bookmarkEnd w:id="301"/>
      <w:r>
        <w:rPr>
          <w:b w:val="0"/>
          <w:bCs w:val="0"/>
        </w:rPr>
      </w:r>
      <w:r>
        <w:rPr>
          <w:rFonts w:ascii="Trebuchet MS" w:hAnsi="Trebuchet MS" w:cs="Trebuchet MS" w:eastAsia="Trebuchet MS" w:hint="default"/>
        </w:rPr>
        <w:t>7</w:t>
      </w:r>
      <w:r>
        <w:rPr/>
        <w:t>、存货</w:t>
      </w:r>
      <w:r>
        <w:rPr>
          <w:b w:val="0"/>
          <w:bCs w:val="0"/>
        </w:rPr>
      </w:r>
    </w:p>
    <w:p>
      <w:pPr>
        <w:spacing w:line="240" w:lineRule="auto" w:before="7"/>
        <w:rPr>
          <w:rFonts w:ascii="宋体" w:hAnsi="宋体" w:cs="宋体" w:eastAsia="宋体" w:hint="default"/>
          <w:b/>
          <w:bCs/>
          <w:sz w:val="24"/>
          <w:szCs w:val="24"/>
        </w:rPr>
      </w:pPr>
    </w:p>
    <w:p>
      <w:pPr>
        <w:spacing w:before="0"/>
        <w:ind w:left="636" w:right="1513" w:firstLine="0"/>
        <w:jc w:val="left"/>
        <w:rPr>
          <w:rFonts w:ascii="宋体" w:hAnsi="宋体" w:cs="宋体" w:eastAsia="宋体" w:hint="default"/>
          <w:sz w:val="21"/>
          <w:szCs w:val="21"/>
        </w:rPr>
      </w:pPr>
      <w:bookmarkStart w:name="（1）存货分类" w:id="302"/>
      <w:bookmarkEnd w:id="302"/>
      <w:r>
        <w:rPr/>
      </w:r>
      <w:r>
        <w:rPr>
          <w:rFonts w:ascii="宋体" w:hAnsi="宋体" w:cs="宋体" w:eastAsia="宋体" w:hint="default"/>
          <w:b/>
          <w:bCs/>
          <w:sz w:val="21"/>
          <w:szCs w:val="21"/>
        </w:rPr>
        <w:t>（</w:t>
      </w:r>
      <w:r>
        <w:rPr>
          <w:rFonts w:ascii="Trebuchet MS" w:hAnsi="Trebuchet MS" w:cs="Trebuchet MS" w:eastAsia="Trebuchet MS"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368"/>
        <w:gridCol w:w="1367"/>
        <w:gridCol w:w="1367"/>
        <w:gridCol w:w="1367"/>
        <w:gridCol w:w="1367"/>
        <w:gridCol w:w="1368"/>
        <w:gridCol w:w="1368"/>
      </w:tblGrid>
      <w:tr>
        <w:trPr>
          <w:trHeight w:val="322" w:hRule="exact"/>
        </w:trPr>
        <w:tc>
          <w:tcPr>
            <w:tcW w:w="1368"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
        </w:tc>
        <w:tc>
          <w:tcPr>
            <w:tcW w:w="13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1368" w:type="dxa"/>
            <w:vMerge/>
            <w:tcBorders>
              <w:left w:val="nil" w:sz="6" w:space="0" w:color="auto"/>
              <w:bottom w:val="single" w:sz="4" w:space="0" w:color="5B9BD4"/>
              <w:right w:val="nil" w:sz="6" w:space="0" w:color="auto"/>
            </w:tcBorders>
            <w:shd w:val="clear" w:color="auto" w:fill="DEEAF6"/>
          </w:tcPr>
          <w:p>
            <w:pP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3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32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3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323"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877" w:footer="979" w:top="1100" w:bottom="1160" w:left="920" w:right="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322" w:hRule="exact"/>
        </w:trPr>
        <w:tc>
          <w:tcPr>
            <w:tcW w:w="13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5B9BD4"/>
              <w:left w:val="nil" w:sz="6" w:space="0" w:color="auto"/>
              <w:bottom w:val="single" w:sz="4" w:space="0" w:color="5B9BD4"/>
              <w:right w:val="nil" w:sz="6" w:space="0" w:color="auto"/>
            </w:tcBorders>
          </w:tcPr>
          <w:p>
            <w:pP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
        </w:tc>
        <w:tc>
          <w:tcPr>
            <w:tcW w:w="1367" w:type="dxa"/>
            <w:tcBorders>
              <w:top w:val="single" w:sz="4" w:space="0" w:color="5B9BD4"/>
              <w:left w:val="nil" w:sz="6" w:space="0" w:color="auto"/>
              <w:bottom w:val="single" w:sz="4" w:space="0" w:color="5B9BD4"/>
              <w:right w:val="nil" w:sz="6" w:space="0" w:color="auto"/>
            </w:tcBorders>
          </w:tcPr>
          <w:p>
            <w:pPr/>
          </w:p>
        </w:tc>
        <w:tc>
          <w:tcPr>
            <w:tcW w:w="13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w w:val="95"/>
                <w:sz w:val="18"/>
              </w:rPr>
              <w:t>567,508.12</w:t>
            </w:r>
            <w:r>
              <w:rPr>
                <w:rFonts w:ascii="Arial"/>
                <w:sz w:val="18"/>
              </w:rPr>
            </w:r>
          </w:p>
        </w:tc>
        <w:tc>
          <w:tcPr>
            <w:tcW w:w="1367" w:type="dxa"/>
            <w:tcBorders>
              <w:top w:val="single" w:sz="4" w:space="0" w:color="5B9BD4"/>
              <w:left w:val="nil" w:sz="6" w:space="0" w:color="auto"/>
              <w:bottom w:val="single" w:sz="4" w:space="0" w:color="5B9BD4"/>
              <w:right w:val="nil" w:sz="6" w:space="0" w:color="auto"/>
            </w:tcBorders>
          </w:tcPr>
          <w:p>
            <w:pP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567,508.12</w:t>
            </w:r>
            <w:r>
              <w:rPr>
                <w:rFonts w:ascii="Arial"/>
                <w:sz w:val="18"/>
              </w:rPr>
            </w:r>
          </w:p>
        </w:tc>
      </w:tr>
      <w:tr>
        <w:trPr>
          <w:trHeight w:val="634" w:hRule="exact"/>
        </w:trPr>
        <w:tc>
          <w:tcPr>
            <w:tcW w:w="13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2,719,368,908</w:t>
            </w:r>
            <w:r>
              <w:rPr>
                <w:rFonts w:ascii="Arial"/>
                <w:sz w:val="18"/>
              </w:rPr>
            </w:r>
          </w:p>
          <w:p>
            <w:pPr>
              <w:pStyle w:val="TableParagraph"/>
              <w:spacing w:line="240" w:lineRule="auto" w:before="105"/>
              <w:ind w:right="106"/>
              <w:jc w:val="right"/>
              <w:rPr>
                <w:rFonts w:ascii="Arial" w:hAnsi="Arial" w:cs="Arial" w:eastAsia="Arial" w:hint="default"/>
                <w:sz w:val="18"/>
                <w:szCs w:val="18"/>
              </w:rPr>
            </w:pPr>
            <w:r>
              <w:rPr>
                <w:rFonts w:ascii="Arial"/>
                <w:w w:val="95"/>
                <w:sz w:val="18"/>
              </w:rPr>
              <w:t>.66</w:t>
            </w:r>
            <w:r>
              <w:rPr>
                <w:rFonts w:ascii="Arial"/>
                <w:sz w:val="18"/>
              </w:rPr>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 w:right="0"/>
              <w:jc w:val="center"/>
              <w:rPr>
                <w:rFonts w:ascii="Arial" w:hAnsi="Arial" w:cs="Arial" w:eastAsia="Arial" w:hint="default"/>
                <w:sz w:val="18"/>
                <w:szCs w:val="18"/>
              </w:rPr>
            </w:pPr>
            <w:r>
              <w:rPr>
                <w:rFonts w:ascii="Arial"/>
                <w:sz w:val="18"/>
              </w:rPr>
              <w:t>56,889,685.66</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2,662,479,223</w:t>
            </w:r>
            <w:r>
              <w:rPr>
                <w:rFonts w:ascii="Arial"/>
                <w:sz w:val="18"/>
              </w:rPr>
            </w:r>
          </w:p>
          <w:p>
            <w:pPr>
              <w:pStyle w:val="TableParagraph"/>
              <w:spacing w:line="240" w:lineRule="auto" w:before="105"/>
              <w:ind w:right="106"/>
              <w:jc w:val="right"/>
              <w:rPr>
                <w:rFonts w:ascii="Arial" w:hAnsi="Arial" w:cs="Arial" w:eastAsia="Arial" w:hint="default"/>
                <w:sz w:val="18"/>
                <w:szCs w:val="18"/>
              </w:rPr>
            </w:pPr>
            <w:r>
              <w:rPr>
                <w:rFonts w:ascii="Arial"/>
                <w:w w:val="95"/>
                <w:sz w:val="18"/>
              </w:rPr>
              <w:t>.00</w:t>
            </w:r>
            <w:r>
              <w:rPr>
                <w:rFonts w:ascii="Arial"/>
                <w:sz w:val="18"/>
              </w:rPr>
            </w:r>
          </w:p>
        </w:tc>
        <w:tc>
          <w:tcPr>
            <w:tcW w:w="13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w w:val="95"/>
                <w:sz w:val="18"/>
              </w:rPr>
              <w:t>1,924,666,693</w:t>
            </w:r>
            <w:r>
              <w:rPr>
                <w:rFonts w:ascii="Arial"/>
                <w:sz w:val="18"/>
              </w:rPr>
            </w:r>
          </w:p>
          <w:p>
            <w:pPr>
              <w:pStyle w:val="TableParagraph"/>
              <w:spacing w:line="240" w:lineRule="auto" w:before="105"/>
              <w:ind w:right="107"/>
              <w:jc w:val="right"/>
              <w:rPr>
                <w:rFonts w:ascii="Arial" w:hAnsi="Arial" w:cs="Arial" w:eastAsia="Arial" w:hint="default"/>
                <w:sz w:val="18"/>
                <w:szCs w:val="18"/>
              </w:rPr>
            </w:pPr>
            <w:r>
              <w:rPr>
                <w:rFonts w:ascii="Arial"/>
                <w:w w:val="95"/>
                <w:sz w:val="18"/>
              </w:rPr>
              <w:t>.22</w:t>
            </w:r>
            <w:r>
              <w:rPr>
                <w:rFonts w:ascii="Arial"/>
                <w:sz w:val="18"/>
              </w:rPr>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18"/>
                <w:szCs w:val="18"/>
              </w:rPr>
            </w:pPr>
            <w:r>
              <w:rPr>
                <w:rFonts w:ascii="Arial"/>
                <w:w w:val="95"/>
                <w:sz w:val="18"/>
              </w:rPr>
              <w:t>76,986,144.74</w:t>
            </w:r>
            <w:r>
              <w:rPr>
                <w:rFonts w:ascii="Arial"/>
                <w:sz w:val="18"/>
              </w:rPr>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1,847,680,548</w:t>
            </w:r>
            <w:r>
              <w:rPr>
                <w:rFonts w:ascii="Arial"/>
                <w:sz w:val="18"/>
              </w:rPr>
            </w:r>
          </w:p>
          <w:p>
            <w:pPr>
              <w:pStyle w:val="TableParagraph"/>
              <w:spacing w:line="240" w:lineRule="auto" w:before="105"/>
              <w:ind w:right="106"/>
              <w:jc w:val="right"/>
              <w:rPr>
                <w:rFonts w:ascii="Arial" w:hAnsi="Arial" w:cs="Arial" w:eastAsia="Arial" w:hint="default"/>
                <w:sz w:val="18"/>
                <w:szCs w:val="18"/>
              </w:rPr>
            </w:pPr>
            <w:r>
              <w:rPr>
                <w:rFonts w:ascii="Arial"/>
                <w:w w:val="95"/>
                <w:sz w:val="18"/>
              </w:rPr>
              <w:t>.48</w:t>
            </w:r>
            <w:r>
              <w:rPr>
                <w:rFonts w:ascii="Arial"/>
                <w:sz w:val="18"/>
              </w:rPr>
            </w:r>
          </w:p>
        </w:tc>
      </w:tr>
      <w:tr>
        <w:trPr>
          <w:trHeight w:val="634" w:hRule="exact"/>
        </w:trPr>
        <w:tc>
          <w:tcPr>
            <w:tcW w:w="13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left="108" w:right="0"/>
              <w:jc w:val="left"/>
              <w:rPr>
                <w:rFonts w:ascii="宋体" w:hAnsi="宋体" w:cs="宋体" w:eastAsia="宋体" w:hint="default"/>
                <w:sz w:val="18"/>
                <w:szCs w:val="18"/>
              </w:rPr>
            </w:pPr>
            <w:r>
              <w:rPr>
                <w:rFonts w:ascii="宋体" w:hAnsi="宋体" w:cs="宋体" w:eastAsia="宋体" w:hint="default"/>
                <w:sz w:val="18"/>
                <w:szCs w:val="18"/>
              </w:rPr>
              <w:t>委托代销商品</w:t>
            </w:r>
          </w:p>
        </w:tc>
        <w:tc>
          <w:tcPr>
            <w:tcW w:w="1368"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326,087,445.3</w:t>
            </w:r>
            <w:r>
              <w:rPr>
                <w:rFonts w:ascii="Arial"/>
                <w:sz w:val="18"/>
              </w:rPr>
            </w:r>
          </w:p>
          <w:p>
            <w:pPr>
              <w:pStyle w:val="TableParagraph"/>
              <w:spacing w:line="240" w:lineRule="auto" w:before="105"/>
              <w:ind w:right="105"/>
              <w:jc w:val="right"/>
              <w:rPr>
                <w:rFonts w:ascii="Arial" w:hAnsi="Arial" w:cs="Arial" w:eastAsia="Arial" w:hint="default"/>
                <w:sz w:val="18"/>
                <w:szCs w:val="18"/>
              </w:rPr>
            </w:pPr>
            <w:r>
              <w:rPr>
                <w:rFonts w:ascii="Arial"/>
                <w:w w:val="99"/>
                <w:sz w:val="18"/>
              </w:rPr>
              <w:t>9</w:t>
            </w:r>
            <w:r>
              <w:rPr>
                <w:rFonts w:ascii="Arial"/>
                <w:sz w:val="18"/>
              </w:rPr>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 w:right="0"/>
              <w:jc w:val="center"/>
              <w:rPr>
                <w:rFonts w:ascii="Arial" w:hAnsi="Arial" w:cs="Arial" w:eastAsia="Arial" w:hint="default"/>
                <w:sz w:val="18"/>
                <w:szCs w:val="18"/>
              </w:rPr>
            </w:pPr>
            <w:r>
              <w:rPr>
                <w:rFonts w:ascii="Arial"/>
                <w:sz w:val="18"/>
              </w:rPr>
              <w:t>18,002,276.29</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308,085,169.1</w:t>
            </w:r>
            <w:r>
              <w:rPr>
                <w:rFonts w:ascii="Arial"/>
                <w:sz w:val="18"/>
              </w:rPr>
            </w:r>
          </w:p>
          <w:p>
            <w:pPr>
              <w:pStyle w:val="TableParagraph"/>
              <w:spacing w:line="240" w:lineRule="auto" w:before="105"/>
              <w:ind w:right="105"/>
              <w:jc w:val="right"/>
              <w:rPr>
                <w:rFonts w:ascii="Arial" w:hAnsi="Arial" w:cs="Arial" w:eastAsia="Arial" w:hint="default"/>
                <w:sz w:val="18"/>
                <w:szCs w:val="18"/>
              </w:rPr>
            </w:pPr>
            <w:r>
              <w:rPr>
                <w:rFonts w:ascii="Arial"/>
                <w:w w:val="99"/>
                <w:sz w:val="18"/>
              </w:rPr>
              <w:t>0</w:t>
            </w:r>
            <w:r>
              <w:rPr>
                <w:rFonts w:ascii="Arial"/>
                <w:sz w:val="18"/>
              </w:rPr>
            </w:r>
          </w:p>
        </w:tc>
        <w:tc>
          <w:tcPr>
            <w:tcW w:w="13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w w:val="95"/>
                <w:sz w:val="18"/>
              </w:rPr>
              <w:t>450,589,187.3</w:t>
            </w:r>
            <w:r>
              <w:rPr>
                <w:rFonts w:ascii="Arial"/>
                <w:sz w:val="18"/>
              </w:rPr>
            </w:r>
          </w:p>
          <w:p>
            <w:pPr>
              <w:pStyle w:val="TableParagraph"/>
              <w:spacing w:line="240" w:lineRule="auto" w:before="105"/>
              <w:ind w:right="107"/>
              <w:jc w:val="right"/>
              <w:rPr>
                <w:rFonts w:ascii="Arial" w:hAnsi="Arial" w:cs="Arial" w:eastAsia="Arial" w:hint="default"/>
                <w:sz w:val="18"/>
                <w:szCs w:val="18"/>
              </w:rPr>
            </w:pPr>
            <w:r>
              <w:rPr>
                <w:rFonts w:ascii="Arial"/>
                <w:w w:val="99"/>
                <w:sz w:val="18"/>
              </w:rPr>
              <w:t>9</w:t>
            </w:r>
            <w:r>
              <w:rPr>
                <w:rFonts w:ascii="Arial"/>
                <w:sz w:val="18"/>
              </w:rPr>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18"/>
                <w:szCs w:val="18"/>
              </w:rPr>
            </w:pPr>
            <w:r>
              <w:rPr>
                <w:rFonts w:ascii="Arial"/>
                <w:w w:val="95"/>
                <w:sz w:val="18"/>
              </w:rPr>
              <w:t>31,225,142.69</w:t>
            </w:r>
            <w:r>
              <w:rPr>
                <w:rFonts w:ascii="Arial"/>
                <w:sz w:val="18"/>
              </w:rPr>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419,364,044.7</w:t>
            </w:r>
            <w:r>
              <w:rPr>
                <w:rFonts w:ascii="Arial"/>
                <w:sz w:val="18"/>
              </w:rPr>
            </w:r>
          </w:p>
          <w:p>
            <w:pPr>
              <w:pStyle w:val="TableParagraph"/>
              <w:spacing w:line="240" w:lineRule="auto" w:before="105"/>
              <w:ind w:right="105"/>
              <w:jc w:val="right"/>
              <w:rPr>
                <w:rFonts w:ascii="Arial" w:hAnsi="Arial" w:cs="Arial" w:eastAsia="Arial" w:hint="default"/>
                <w:sz w:val="18"/>
                <w:szCs w:val="18"/>
              </w:rPr>
            </w:pPr>
            <w:r>
              <w:rPr>
                <w:rFonts w:ascii="Arial"/>
                <w:w w:val="99"/>
                <w:sz w:val="18"/>
              </w:rPr>
              <w:t>0</w:t>
            </w:r>
            <w:r>
              <w:rPr>
                <w:rFonts w:ascii="Arial"/>
                <w:sz w:val="18"/>
              </w:rPr>
            </w:r>
          </w:p>
        </w:tc>
      </w:tr>
      <w:tr>
        <w:trPr>
          <w:trHeight w:val="322" w:hRule="exact"/>
        </w:trPr>
        <w:tc>
          <w:tcPr>
            <w:tcW w:w="13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在途商品</w:t>
            </w:r>
          </w:p>
        </w:tc>
        <w:tc>
          <w:tcPr>
            <w:tcW w:w="1368" w:type="dxa"/>
            <w:tcBorders>
              <w:top w:val="single" w:sz="4" w:space="0" w:color="5B9BD4"/>
              <w:left w:val="nil" w:sz="6" w:space="0" w:color="auto"/>
              <w:bottom w:val="single" w:sz="4" w:space="0" w:color="5B9BD4"/>
              <w:right w:val="nil" w:sz="6" w:space="0" w:color="auto"/>
            </w:tcBorders>
          </w:tcPr>
          <w:p>
            <w:pP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
        </w:tc>
        <w:tc>
          <w:tcPr>
            <w:tcW w:w="1367" w:type="dxa"/>
            <w:tcBorders>
              <w:top w:val="single" w:sz="4" w:space="0" w:color="5B9BD4"/>
              <w:left w:val="nil" w:sz="6" w:space="0" w:color="auto"/>
              <w:bottom w:val="single" w:sz="4" w:space="0" w:color="5B9BD4"/>
              <w:right w:val="nil" w:sz="6" w:space="0" w:color="auto"/>
            </w:tcBorders>
          </w:tcPr>
          <w:p>
            <w:pPr/>
          </w:p>
        </w:tc>
        <w:tc>
          <w:tcPr>
            <w:tcW w:w="13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w w:val="95"/>
                <w:sz w:val="18"/>
              </w:rPr>
              <w:t>496,317.98</w:t>
            </w:r>
            <w:r>
              <w:rPr>
                <w:rFonts w:ascii="Arial"/>
                <w:sz w:val="18"/>
              </w:rPr>
            </w:r>
          </w:p>
        </w:tc>
        <w:tc>
          <w:tcPr>
            <w:tcW w:w="1367" w:type="dxa"/>
            <w:tcBorders>
              <w:top w:val="single" w:sz="4" w:space="0" w:color="5B9BD4"/>
              <w:left w:val="nil" w:sz="6" w:space="0" w:color="auto"/>
              <w:bottom w:val="single" w:sz="4" w:space="0" w:color="5B9BD4"/>
              <w:right w:val="nil" w:sz="6" w:space="0" w:color="auto"/>
            </w:tcBorders>
          </w:tcPr>
          <w:p>
            <w:pP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496,317.98</w:t>
            </w:r>
            <w:r>
              <w:rPr>
                <w:rFonts w:ascii="Arial"/>
                <w:sz w:val="18"/>
              </w:rPr>
            </w:r>
          </w:p>
        </w:tc>
      </w:tr>
      <w:tr>
        <w:trPr>
          <w:trHeight w:val="634" w:hRule="exact"/>
        </w:trPr>
        <w:tc>
          <w:tcPr>
            <w:tcW w:w="13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3,045,456,354</w:t>
            </w:r>
            <w:r>
              <w:rPr>
                <w:rFonts w:ascii="Arial"/>
                <w:sz w:val="18"/>
              </w:rPr>
            </w:r>
          </w:p>
          <w:p>
            <w:pPr>
              <w:pStyle w:val="TableParagraph"/>
              <w:spacing w:line="240" w:lineRule="auto" w:before="105"/>
              <w:ind w:right="106"/>
              <w:jc w:val="right"/>
              <w:rPr>
                <w:rFonts w:ascii="Arial" w:hAnsi="Arial" w:cs="Arial" w:eastAsia="Arial" w:hint="default"/>
                <w:sz w:val="18"/>
                <w:szCs w:val="18"/>
              </w:rPr>
            </w:pPr>
            <w:r>
              <w:rPr>
                <w:rFonts w:ascii="Arial"/>
                <w:w w:val="95"/>
                <w:sz w:val="18"/>
              </w:rPr>
              <w:t>.05</w:t>
            </w:r>
            <w:r>
              <w:rPr>
                <w:rFonts w:ascii="Arial"/>
                <w:sz w:val="18"/>
              </w:rPr>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 w:right="0"/>
              <w:jc w:val="center"/>
              <w:rPr>
                <w:rFonts w:ascii="Arial" w:hAnsi="Arial" w:cs="Arial" w:eastAsia="Arial" w:hint="default"/>
                <w:sz w:val="18"/>
                <w:szCs w:val="18"/>
              </w:rPr>
            </w:pPr>
            <w:r>
              <w:rPr>
                <w:rFonts w:ascii="Arial"/>
                <w:sz w:val="18"/>
              </w:rPr>
              <w:t>74,891,961.95</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2,970,564,392</w:t>
            </w:r>
            <w:r>
              <w:rPr>
                <w:rFonts w:ascii="Arial"/>
                <w:sz w:val="18"/>
              </w:rPr>
            </w:r>
          </w:p>
          <w:p>
            <w:pPr>
              <w:pStyle w:val="TableParagraph"/>
              <w:spacing w:line="240" w:lineRule="auto" w:before="105"/>
              <w:ind w:right="106"/>
              <w:jc w:val="right"/>
              <w:rPr>
                <w:rFonts w:ascii="Arial" w:hAnsi="Arial" w:cs="Arial" w:eastAsia="Arial" w:hint="default"/>
                <w:sz w:val="18"/>
                <w:szCs w:val="18"/>
              </w:rPr>
            </w:pPr>
            <w:r>
              <w:rPr>
                <w:rFonts w:ascii="Arial"/>
                <w:w w:val="95"/>
                <w:sz w:val="18"/>
              </w:rPr>
              <w:t>.10</w:t>
            </w:r>
            <w:r>
              <w:rPr>
                <w:rFonts w:ascii="Arial"/>
                <w:sz w:val="18"/>
              </w:rPr>
            </w:r>
          </w:p>
        </w:tc>
        <w:tc>
          <w:tcPr>
            <w:tcW w:w="13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w w:val="95"/>
                <w:sz w:val="18"/>
              </w:rPr>
              <w:t>2,376,319,706</w:t>
            </w:r>
            <w:r>
              <w:rPr>
                <w:rFonts w:ascii="Arial"/>
                <w:sz w:val="18"/>
              </w:rPr>
            </w:r>
          </w:p>
          <w:p>
            <w:pPr>
              <w:pStyle w:val="TableParagraph"/>
              <w:spacing w:line="240" w:lineRule="auto" w:before="105"/>
              <w:ind w:right="107"/>
              <w:jc w:val="right"/>
              <w:rPr>
                <w:rFonts w:ascii="Arial" w:hAnsi="Arial" w:cs="Arial" w:eastAsia="Arial" w:hint="default"/>
                <w:sz w:val="18"/>
                <w:szCs w:val="18"/>
              </w:rPr>
            </w:pPr>
            <w:r>
              <w:rPr>
                <w:rFonts w:ascii="Arial"/>
                <w:w w:val="95"/>
                <w:sz w:val="18"/>
              </w:rPr>
              <w:t>.71</w:t>
            </w:r>
            <w:r>
              <w:rPr>
                <w:rFonts w:ascii="Arial"/>
                <w:sz w:val="18"/>
              </w:rPr>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108,211,287.4</w:t>
            </w:r>
            <w:r>
              <w:rPr>
                <w:rFonts w:ascii="Arial"/>
                <w:sz w:val="18"/>
              </w:rPr>
            </w:r>
          </w:p>
          <w:p>
            <w:pPr>
              <w:pStyle w:val="TableParagraph"/>
              <w:spacing w:line="240" w:lineRule="auto" w:before="105"/>
              <w:ind w:right="107"/>
              <w:jc w:val="right"/>
              <w:rPr>
                <w:rFonts w:ascii="Arial" w:hAnsi="Arial" w:cs="Arial" w:eastAsia="Arial" w:hint="default"/>
                <w:sz w:val="18"/>
                <w:szCs w:val="18"/>
              </w:rPr>
            </w:pPr>
            <w:r>
              <w:rPr>
                <w:rFonts w:ascii="Arial"/>
                <w:w w:val="99"/>
                <w:sz w:val="18"/>
              </w:rPr>
              <w:t>3</w:t>
            </w:r>
            <w:r>
              <w:rPr>
                <w:rFonts w:ascii="Arial"/>
                <w:sz w:val="18"/>
              </w:rPr>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2,268,108,419</w:t>
            </w:r>
            <w:r>
              <w:rPr>
                <w:rFonts w:ascii="Arial"/>
                <w:sz w:val="18"/>
              </w:rPr>
            </w:r>
          </w:p>
          <w:p>
            <w:pPr>
              <w:pStyle w:val="TableParagraph"/>
              <w:spacing w:line="240" w:lineRule="auto" w:before="105"/>
              <w:ind w:right="106"/>
              <w:jc w:val="right"/>
              <w:rPr>
                <w:rFonts w:ascii="Arial" w:hAnsi="Arial" w:cs="Arial" w:eastAsia="Arial" w:hint="default"/>
                <w:sz w:val="18"/>
                <w:szCs w:val="18"/>
              </w:rPr>
            </w:pPr>
            <w:r>
              <w:rPr>
                <w:rFonts w:ascii="Arial"/>
                <w:w w:val="95"/>
                <w:sz w:val="18"/>
              </w:rPr>
              <w:t>.28</w:t>
            </w:r>
            <w:r>
              <w:rPr>
                <w:rFonts w:ascii="Arial"/>
                <w:sz w:val="18"/>
              </w:rPr>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2）存货跌价准备" w:id="303"/>
      <w:bookmarkEnd w:id="303"/>
      <w:r>
        <w:rPr>
          <w:b w:val="0"/>
          <w:bCs w:val="0"/>
        </w:rPr>
      </w:r>
      <w:r>
        <w:rPr/>
        <w:t>（</w:t>
      </w:r>
      <w:r>
        <w:rPr>
          <w:rFonts w:ascii="Trebuchet MS" w:hAnsi="Trebuchet MS" w:cs="Trebuchet MS" w:eastAsia="Trebuchet MS" w:hint="default"/>
        </w:rPr>
        <w:t>2</w:t>
      </w:r>
      <w:r>
        <w:rPr/>
        <w:t>）存货跌价准备</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322" w:hRule="exact"/>
        </w:trPr>
        <w:tc>
          <w:tcPr>
            <w:tcW w:w="1368"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82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826"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17" w:hRule="exact"/>
        </w:trPr>
        <w:tc>
          <w:tcPr>
            <w:tcW w:w="1368" w:type="dxa"/>
            <w:vMerge/>
            <w:tcBorders>
              <w:left w:val="nil" w:sz="6" w:space="0" w:color="auto"/>
              <w:bottom w:val="single" w:sz="4" w:space="0" w:color="5B9BD4"/>
              <w:right w:val="nil" w:sz="6" w:space="0" w:color="auto"/>
            </w:tcBorders>
            <w:shd w:val="clear" w:color="auto" w:fill="DEEAF6"/>
          </w:tcPr>
          <w:p>
            <w:pPr/>
          </w:p>
        </w:tc>
        <w:tc>
          <w:tcPr>
            <w:tcW w:w="1368" w:type="dxa"/>
            <w:vMerge/>
            <w:tcBorders>
              <w:left w:val="nil" w:sz="6" w:space="0" w:color="auto"/>
              <w:bottom w:val="single" w:sz="4" w:space="0" w:color="5B9BD4"/>
              <w:right w:val="nil" w:sz="6" w:space="0" w:color="auto"/>
            </w:tcBorders>
            <w:shd w:val="clear" w:color="auto" w:fill="DEEAF6"/>
          </w:tcPr>
          <w:p>
            <w:pP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nil" w:sz="6" w:space="0" w:color="auto"/>
              <w:bottom w:val="single" w:sz="4" w:space="0" w:color="5B9BD4"/>
              <w:right w:val="nil" w:sz="6" w:space="0" w:color="auto"/>
            </w:tcBorders>
            <w:shd w:val="clear" w:color="auto" w:fill="DEEAF6"/>
          </w:tcPr>
          <w:p>
            <w:pPr/>
          </w:p>
        </w:tc>
      </w:tr>
      <w:tr>
        <w:trPr>
          <w:trHeight w:val="326" w:hRule="exact"/>
        </w:trPr>
        <w:tc>
          <w:tcPr>
            <w:tcW w:w="13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5B9BD4"/>
              <w:left w:val="nil" w:sz="6" w:space="0" w:color="auto"/>
              <w:bottom w:val="single" w:sz="4" w:space="0" w:color="5B9BD4"/>
              <w:right w:val="nil" w:sz="6" w:space="0" w:color="auto"/>
            </w:tcBorders>
          </w:tcPr>
          <w:p>
            <w:pP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
        </w:tc>
        <w:tc>
          <w:tcPr>
            <w:tcW w:w="1367" w:type="dxa"/>
            <w:tcBorders>
              <w:top w:val="single" w:sz="4" w:space="0" w:color="5B9BD4"/>
              <w:left w:val="nil" w:sz="6" w:space="0" w:color="auto"/>
              <w:bottom w:val="single" w:sz="4" w:space="0" w:color="5B9BD4"/>
              <w:right w:val="nil" w:sz="6" w:space="0" w:color="auto"/>
            </w:tcBorders>
          </w:tcPr>
          <w:p>
            <w:pPr/>
          </w:p>
        </w:tc>
        <w:tc>
          <w:tcPr>
            <w:tcW w:w="1368" w:type="dxa"/>
            <w:tcBorders>
              <w:top w:val="single" w:sz="4" w:space="0" w:color="5B9BD4"/>
              <w:left w:val="nil" w:sz="6" w:space="0" w:color="auto"/>
              <w:bottom w:val="single" w:sz="4" w:space="0" w:color="5B9BD4"/>
              <w:right w:val="nil" w:sz="6" w:space="0" w:color="auto"/>
            </w:tcBorders>
            <w:shd w:val="clear" w:color="auto" w:fill="DEEAF6"/>
          </w:tcPr>
          <w:p>
            <w:pPr/>
          </w:p>
        </w:tc>
        <w:tc>
          <w:tcPr>
            <w:tcW w:w="1367" w:type="dxa"/>
            <w:tcBorders>
              <w:top w:val="single" w:sz="4" w:space="0" w:color="5B9BD4"/>
              <w:left w:val="nil" w:sz="6" w:space="0" w:color="auto"/>
              <w:bottom w:val="single" w:sz="4" w:space="0" w:color="5B9BD4"/>
              <w:right w:val="nil" w:sz="6" w:space="0" w:color="auto"/>
            </w:tcBorders>
          </w:tcPr>
          <w:p>
            <w:pP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13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4" w:right="0"/>
              <w:jc w:val="center"/>
              <w:rPr>
                <w:rFonts w:ascii="Arial" w:hAnsi="Arial" w:cs="Arial" w:eastAsia="Arial" w:hint="default"/>
                <w:sz w:val="18"/>
                <w:szCs w:val="18"/>
              </w:rPr>
            </w:pPr>
            <w:r>
              <w:rPr>
                <w:rFonts w:ascii="Arial"/>
                <w:sz w:val="18"/>
              </w:rPr>
              <w:t>76,986,144.74</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3" w:right="0"/>
              <w:jc w:val="center"/>
              <w:rPr>
                <w:rFonts w:ascii="Arial" w:hAnsi="Arial" w:cs="Arial" w:eastAsia="Arial" w:hint="default"/>
                <w:sz w:val="18"/>
                <w:szCs w:val="18"/>
              </w:rPr>
            </w:pPr>
            <w:r>
              <w:rPr>
                <w:rFonts w:ascii="Arial"/>
                <w:sz w:val="18"/>
              </w:rPr>
              <w:t>53,915,054.75</w:t>
            </w:r>
          </w:p>
        </w:tc>
        <w:tc>
          <w:tcPr>
            <w:tcW w:w="1367" w:type="dxa"/>
            <w:tcBorders>
              <w:top w:val="single" w:sz="4" w:space="0" w:color="5B9BD4"/>
              <w:left w:val="nil" w:sz="6" w:space="0" w:color="auto"/>
              <w:bottom w:val="single" w:sz="4" w:space="0" w:color="5B9BD4"/>
              <w:right w:val="nil" w:sz="6" w:space="0" w:color="auto"/>
            </w:tcBorders>
          </w:tcPr>
          <w:p>
            <w:pPr/>
          </w:p>
        </w:tc>
        <w:tc>
          <w:tcPr>
            <w:tcW w:w="13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2" w:right="0"/>
              <w:jc w:val="center"/>
              <w:rPr>
                <w:rFonts w:ascii="Arial" w:hAnsi="Arial" w:cs="Arial" w:eastAsia="Arial" w:hint="default"/>
                <w:sz w:val="18"/>
                <w:szCs w:val="18"/>
              </w:rPr>
            </w:pPr>
            <w:r>
              <w:rPr>
                <w:rFonts w:ascii="Arial"/>
                <w:sz w:val="18"/>
              </w:rPr>
              <w:t>74,011,513.83</w:t>
            </w:r>
          </w:p>
        </w:tc>
        <w:tc>
          <w:tcPr>
            <w:tcW w:w="1367" w:type="dxa"/>
            <w:tcBorders>
              <w:top w:val="single" w:sz="4" w:space="0" w:color="5B9BD4"/>
              <w:left w:val="nil" w:sz="6" w:space="0" w:color="auto"/>
              <w:bottom w:val="single" w:sz="4" w:space="0" w:color="5B9BD4"/>
              <w:right w:val="nil" w:sz="6" w:space="0" w:color="auto"/>
            </w:tcBorders>
          </w:tcPr>
          <w:p>
            <w:pP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56,889,685.66</w:t>
            </w:r>
            <w:r>
              <w:rPr>
                <w:rFonts w:ascii="Arial"/>
                <w:sz w:val="18"/>
              </w:rPr>
            </w:r>
          </w:p>
        </w:tc>
      </w:tr>
      <w:tr>
        <w:trPr>
          <w:trHeight w:val="322" w:hRule="exact"/>
        </w:trPr>
        <w:tc>
          <w:tcPr>
            <w:tcW w:w="13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委托代销商品</w:t>
            </w:r>
          </w:p>
        </w:tc>
        <w:tc>
          <w:tcPr>
            <w:tcW w:w="1368"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4" w:right="0"/>
              <w:jc w:val="center"/>
              <w:rPr>
                <w:rFonts w:ascii="Arial" w:hAnsi="Arial" w:cs="Arial" w:eastAsia="Arial" w:hint="default"/>
                <w:sz w:val="18"/>
                <w:szCs w:val="18"/>
              </w:rPr>
            </w:pPr>
            <w:r>
              <w:rPr>
                <w:rFonts w:ascii="Arial"/>
                <w:sz w:val="18"/>
              </w:rPr>
              <w:t>31,225,142.69</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05" w:right="0"/>
              <w:jc w:val="center"/>
              <w:rPr>
                <w:rFonts w:ascii="Arial" w:hAnsi="Arial" w:cs="Arial" w:eastAsia="Arial" w:hint="default"/>
                <w:sz w:val="18"/>
                <w:szCs w:val="18"/>
              </w:rPr>
            </w:pPr>
            <w:r>
              <w:rPr>
                <w:rFonts w:ascii="Arial"/>
                <w:sz w:val="18"/>
              </w:rPr>
              <w:t>5,866,075.03</w:t>
            </w:r>
          </w:p>
        </w:tc>
        <w:tc>
          <w:tcPr>
            <w:tcW w:w="1367" w:type="dxa"/>
            <w:tcBorders>
              <w:top w:val="single" w:sz="4" w:space="0" w:color="5B9BD4"/>
              <w:left w:val="nil" w:sz="6" w:space="0" w:color="auto"/>
              <w:bottom w:val="single" w:sz="4" w:space="0" w:color="5B9BD4"/>
              <w:right w:val="nil" w:sz="6" w:space="0" w:color="auto"/>
            </w:tcBorders>
          </w:tcPr>
          <w:p>
            <w:pPr/>
          </w:p>
        </w:tc>
        <w:tc>
          <w:tcPr>
            <w:tcW w:w="13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2" w:right="0"/>
              <w:jc w:val="center"/>
              <w:rPr>
                <w:rFonts w:ascii="Arial" w:hAnsi="Arial" w:cs="Arial" w:eastAsia="Arial" w:hint="default"/>
                <w:sz w:val="18"/>
                <w:szCs w:val="18"/>
              </w:rPr>
            </w:pPr>
            <w:r>
              <w:rPr>
                <w:rFonts w:ascii="Arial"/>
                <w:sz w:val="18"/>
              </w:rPr>
              <w:t>19,088,941.43</w:t>
            </w:r>
          </w:p>
        </w:tc>
        <w:tc>
          <w:tcPr>
            <w:tcW w:w="1367" w:type="dxa"/>
            <w:tcBorders>
              <w:top w:val="single" w:sz="4" w:space="0" w:color="5B9BD4"/>
              <w:left w:val="nil" w:sz="6" w:space="0" w:color="auto"/>
              <w:bottom w:val="single" w:sz="4" w:space="0" w:color="5B9BD4"/>
              <w:right w:val="nil" w:sz="6" w:space="0" w:color="auto"/>
            </w:tcBorders>
          </w:tcPr>
          <w:p>
            <w:pP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18,002,276.29</w:t>
            </w:r>
            <w:r>
              <w:rPr>
                <w:rFonts w:ascii="Arial"/>
                <w:sz w:val="18"/>
              </w:rPr>
            </w:r>
          </w:p>
        </w:tc>
      </w:tr>
      <w:tr>
        <w:trPr>
          <w:trHeight w:val="634" w:hRule="exact"/>
        </w:trPr>
        <w:tc>
          <w:tcPr>
            <w:tcW w:w="13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108,211,287.4</w:t>
            </w:r>
            <w:r>
              <w:rPr>
                <w:rFonts w:ascii="Arial"/>
                <w:sz w:val="18"/>
              </w:rPr>
            </w:r>
          </w:p>
          <w:p>
            <w:pPr>
              <w:pStyle w:val="TableParagraph"/>
              <w:spacing w:line="240" w:lineRule="auto" w:before="105"/>
              <w:ind w:right="105"/>
              <w:jc w:val="right"/>
              <w:rPr>
                <w:rFonts w:ascii="Arial" w:hAnsi="Arial" w:cs="Arial" w:eastAsia="Arial" w:hint="default"/>
                <w:sz w:val="18"/>
                <w:szCs w:val="18"/>
              </w:rPr>
            </w:pPr>
            <w:r>
              <w:rPr>
                <w:rFonts w:ascii="Arial"/>
                <w:w w:val="99"/>
                <w:sz w:val="18"/>
              </w:rPr>
              <w:t>3</w:t>
            </w:r>
            <w:r>
              <w:rPr>
                <w:rFonts w:ascii="Arial"/>
                <w:sz w:val="18"/>
              </w:rPr>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 w:right="0"/>
              <w:jc w:val="center"/>
              <w:rPr>
                <w:rFonts w:ascii="Arial" w:hAnsi="Arial" w:cs="Arial" w:eastAsia="Arial" w:hint="default"/>
                <w:sz w:val="18"/>
                <w:szCs w:val="18"/>
              </w:rPr>
            </w:pPr>
            <w:r>
              <w:rPr>
                <w:rFonts w:ascii="Arial"/>
                <w:sz w:val="18"/>
              </w:rPr>
              <w:t>59,781,129.78</w:t>
            </w:r>
          </w:p>
        </w:tc>
        <w:tc>
          <w:tcPr>
            <w:tcW w:w="1367" w:type="dxa"/>
            <w:tcBorders>
              <w:top w:val="single" w:sz="4" w:space="0" w:color="5B9BD4"/>
              <w:left w:val="nil" w:sz="6" w:space="0" w:color="auto"/>
              <w:bottom w:val="single" w:sz="4" w:space="0" w:color="5B9BD4"/>
              <w:right w:val="nil" w:sz="6" w:space="0" w:color="auto"/>
            </w:tcBorders>
          </w:tcPr>
          <w:p>
            <w:pPr/>
          </w:p>
        </w:tc>
        <w:tc>
          <w:tcPr>
            <w:tcW w:w="13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Arial" w:hAnsi="Arial" w:cs="Arial" w:eastAsia="Arial" w:hint="default"/>
                <w:sz w:val="18"/>
                <w:szCs w:val="18"/>
              </w:rPr>
            </w:pPr>
            <w:r>
              <w:rPr>
                <w:rFonts w:ascii="Arial"/>
                <w:sz w:val="18"/>
              </w:rPr>
              <w:t>93,100,455.26</w:t>
            </w:r>
          </w:p>
        </w:tc>
        <w:tc>
          <w:tcPr>
            <w:tcW w:w="1367" w:type="dxa"/>
            <w:tcBorders>
              <w:top w:val="single" w:sz="4" w:space="0" w:color="5B9BD4"/>
              <w:left w:val="nil" w:sz="6" w:space="0" w:color="auto"/>
              <w:bottom w:val="single" w:sz="4" w:space="0" w:color="5B9BD4"/>
              <w:right w:val="nil" w:sz="6" w:space="0" w:color="auto"/>
            </w:tcBorders>
          </w:tcPr>
          <w:p>
            <w:pP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74,891,961.95</w:t>
            </w:r>
            <w:r>
              <w:rPr>
                <w:rFonts w:ascii="Arial"/>
                <w:sz w:val="18"/>
              </w:rPr>
            </w:r>
          </w:p>
        </w:tc>
      </w:tr>
    </w:tbl>
    <w:p>
      <w:pPr>
        <w:spacing w:line="240" w:lineRule="auto" w:before="0"/>
        <w:rPr>
          <w:rFonts w:ascii="宋体" w:hAnsi="宋体" w:cs="宋体" w:eastAsia="宋体" w:hint="default"/>
          <w:sz w:val="15"/>
          <w:szCs w:val="15"/>
        </w:rPr>
      </w:pPr>
    </w:p>
    <w:p>
      <w:pPr>
        <w:pStyle w:val="BodyText"/>
        <w:spacing w:line="240" w:lineRule="auto" w:before="18"/>
        <w:ind w:left="634" w:right="1513"/>
        <w:jc w:val="left"/>
      </w:pPr>
      <w:r>
        <w:rPr/>
        <w:t>存货跌价准备计提依据及本年转回或转销原因：</w:t>
      </w:r>
    </w:p>
    <w:p>
      <w:pPr>
        <w:spacing w:line="240" w:lineRule="auto" w:before="5"/>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985"/>
        <w:gridCol w:w="2552"/>
        <w:gridCol w:w="2126"/>
        <w:gridCol w:w="2411"/>
      </w:tblGrid>
      <w:tr>
        <w:trPr>
          <w:trHeight w:val="630" w:hRule="exact"/>
        </w:trPr>
        <w:tc>
          <w:tcPr>
            <w:tcW w:w="1985" w:type="dxa"/>
            <w:tcBorders>
              <w:top w:val="single" w:sz="4" w:space="0" w:color="5B9BD4"/>
              <w:left w:val="nil" w:sz="6" w:space="0" w:color="auto"/>
              <w:bottom w:val="single" w:sz="4" w:space="0" w:color="5B9BD4"/>
              <w:right w:val="nil" w:sz="6" w:space="0" w:color="auto"/>
            </w:tcBorders>
            <w:shd w:val="clear" w:color="auto" w:fill="DEEAF6"/>
          </w:tcPr>
          <w:p>
            <w:pPr/>
          </w:p>
        </w:tc>
        <w:tc>
          <w:tcPr>
            <w:tcW w:w="255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6"/>
              <w:ind w:left="1185" w:right="195" w:hanging="990"/>
              <w:jc w:val="left"/>
              <w:rPr>
                <w:rFonts w:ascii="宋体" w:hAnsi="宋体" w:cs="宋体" w:eastAsia="宋体" w:hint="default"/>
                <w:sz w:val="18"/>
                <w:szCs w:val="18"/>
              </w:rPr>
            </w:pPr>
            <w:r>
              <w:rPr>
                <w:rFonts w:ascii="宋体" w:hAnsi="宋体" w:cs="宋体" w:eastAsia="宋体" w:hint="default"/>
                <w:sz w:val="18"/>
                <w:szCs w:val="18"/>
              </w:rPr>
              <w:t>计提存货跌价准备的具体依 据</w:t>
            </w:r>
          </w:p>
        </w:tc>
        <w:tc>
          <w:tcPr>
            <w:tcW w:w="212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6"/>
              <w:ind w:left="793" w:right="161" w:hanging="630"/>
              <w:jc w:val="left"/>
              <w:rPr>
                <w:rFonts w:ascii="宋体" w:hAnsi="宋体" w:cs="宋体" w:eastAsia="宋体" w:hint="default"/>
                <w:sz w:val="18"/>
                <w:szCs w:val="18"/>
              </w:rPr>
            </w:pPr>
            <w:r>
              <w:rPr>
                <w:rFonts w:ascii="宋体" w:hAnsi="宋体" w:cs="宋体" w:eastAsia="宋体" w:hint="default"/>
                <w:sz w:val="18"/>
                <w:szCs w:val="18"/>
              </w:rPr>
              <w:t>本年转回存货跌价准备 的原因</w:t>
            </w:r>
          </w:p>
        </w:tc>
        <w:tc>
          <w:tcPr>
            <w:tcW w:w="241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6"/>
              <w:ind w:left="1115" w:right="124" w:hanging="991"/>
              <w:jc w:val="left"/>
              <w:rPr>
                <w:rFonts w:ascii="宋体" w:hAnsi="宋体" w:cs="宋体" w:eastAsia="宋体" w:hint="default"/>
                <w:sz w:val="18"/>
                <w:szCs w:val="18"/>
              </w:rPr>
            </w:pPr>
            <w:r>
              <w:rPr>
                <w:rFonts w:ascii="宋体" w:hAnsi="宋体" w:cs="宋体" w:eastAsia="宋体" w:hint="default"/>
                <w:sz w:val="18"/>
                <w:szCs w:val="18"/>
              </w:rPr>
              <w:t>本年转销存货跌价准备的原 因</w:t>
            </w:r>
          </w:p>
        </w:tc>
      </w:tr>
      <w:tr>
        <w:trPr>
          <w:trHeight w:val="326" w:hRule="exact"/>
        </w:trPr>
        <w:tc>
          <w:tcPr>
            <w:tcW w:w="198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552" w:type="dxa"/>
            <w:tcBorders>
              <w:top w:val="single" w:sz="4" w:space="0" w:color="5B9BD4"/>
              <w:left w:val="nil" w:sz="6" w:space="0" w:color="auto"/>
              <w:bottom w:val="single" w:sz="4" w:space="0" w:color="5B9BD4"/>
              <w:right w:val="nil" w:sz="6" w:space="0" w:color="auto"/>
            </w:tcBorders>
          </w:tcPr>
          <w:p>
            <w:pPr>
              <w:pStyle w:val="TableParagraph"/>
              <w:spacing w:line="240" w:lineRule="auto" w:before="10"/>
              <w:ind w:right="106"/>
              <w:jc w:val="right"/>
              <w:rPr>
                <w:rFonts w:ascii="宋体" w:hAnsi="宋体" w:cs="宋体" w:eastAsia="宋体" w:hint="default"/>
                <w:sz w:val="18"/>
                <w:szCs w:val="18"/>
              </w:rPr>
            </w:pPr>
            <w:r>
              <w:rPr>
                <w:rFonts w:ascii="宋体" w:hAnsi="宋体" w:cs="宋体" w:eastAsia="宋体" w:hint="default"/>
                <w:sz w:val="18"/>
                <w:szCs w:val="18"/>
              </w:rPr>
              <w:t>可变现净值低于成本</w:t>
            </w:r>
          </w:p>
        </w:tc>
        <w:tc>
          <w:tcPr>
            <w:tcW w:w="212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2"/>
              <w:ind w:right="103"/>
              <w:jc w:val="right"/>
              <w:rPr>
                <w:rFonts w:ascii="Arial" w:hAnsi="Arial" w:cs="Arial" w:eastAsia="Arial" w:hint="default"/>
                <w:sz w:val="18"/>
                <w:szCs w:val="18"/>
              </w:rPr>
            </w:pPr>
            <w:r>
              <w:rPr>
                <w:rFonts w:ascii="Arial"/>
                <w:w w:val="95"/>
                <w:sz w:val="18"/>
              </w:rPr>
              <w:t>---</w:t>
            </w:r>
            <w:r>
              <w:rPr>
                <w:rFonts w:ascii="Arial"/>
                <w:sz w:val="18"/>
              </w:rPr>
            </w:r>
          </w:p>
        </w:tc>
        <w:tc>
          <w:tcPr>
            <w:tcW w:w="2411" w:type="dxa"/>
            <w:tcBorders>
              <w:top w:val="single" w:sz="4" w:space="0" w:color="5B9BD4"/>
              <w:left w:val="nil" w:sz="6" w:space="0" w:color="auto"/>
              <w:bottom w:val="single" w:sz="4" w:space="0" w:color="5B9BD4"/>
              <w:right w:val="nil" w:sz="6" w:space="0" w:color="auto"/>
            </w:tcBorders>
          </w:tcPr>
          <w:p>
            <w:pPr>
              <w:pStyle w:val="TableParagraph"/>
              <w:spacing w:line="240" w:lineRule="auto" w:before="10"/>
              <w:ind w:right="527"/>
              <w:jc w:val="right"/>
              <w:rPr>
                <w:rFonts w:ascii="宋体" w:hAnsi="宋体" w:cs="宋体" w:eastAsia="宋体" w:hint="default"/>
                <w:sz w:val="18"/>
                <w:szCs w:val="18"/>
              </w:rPr>
            </w:pPr>
            <w:r>
              <w:rPr>
                <w:rFonts w:ascii="宋体" w:hAnsi="宋体" w:cs="宋体" w:eastAsia="宋体" w:hint="default"/>
                <w:sz w:val="18"/>
                <w:szCs w:val="18"/>
              </w:rPr>
              <w:t>存货实现销售</w:t>
            </w:r>
          </w:p>
        </w:tc>
      </w:tr>
      <w:tr>
        <w:trPr>
          <w:trHeight w:val="323" w:hRule="exact"/>
        </w:trPr>
        <w:tc>
          <w:tcPr>
            <w:tcW w:w="198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委托代销商品</w:t>
            </w:r>
          </w:p>
        </w:tc>
        <w:tc>
          <w:tcPr>
            <w:tcW w:w="2552"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106"/>
              <w:jc w:val="right"/>
              <w:rPr>
                <w:rFonts w:ascii="宋体" w:hAnsi="宋体" w:cs="宋体" w:eastAsia="宋体" w:hint="default"/>
                <w:sz w:val="18"/>
                <w:szCs w:val="18"/>
              </w:rPr>
            </w:pPr>
            <w:r>
              <w:rPr>
                <w:rFonts w:ascii="宋体" w:hAnsi="宋体" w:cs="宋体" w:eastAsia="宋体" w:hint="default"/>
                <w:sz w:val="18"/>
                <w:szCs w:val="18"/>
              </w:rPr>
              <w:t>可变现净值低于成本</w:t>
            </w:r>
          </w:p>
        </w:tc>
        <w:tc>
          <w:tcPr>
            <w:tcW w:w="212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3"/>
              <w:jc w:val="right"/>
              <w:rPr>
                <w:rFonts w:ascii="Arial" w:hAnsi="Arial" w:cs="Arial" w:eastAsia="Arial" w:hint="default"/>
                <w:sz w:val="18"/>
                <w:szCs w:val="18"/>
              </w:rPr>
            </w:pPr>
            <w:r>
              <w:rPr>
                <w:rFonts w:ascii="Arial"/>
                <w:w w:val="95"/>
                <w:sz w:val="18"/>
              </w:rPr>
              <w:t>---</w:t>
            </w:r>
            <w:r>
              <w:rPr>
                <w:rFonts w:ascii="Arial"/>
                <w:sz w:val="18"/>
              </w:rPr>
            </w:r>
          </w:p>
        </w:tc>
        <w:tc>
          <w:tcPr>
            <w:tcW w:w="2411"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527"/>
              <w:jc w:val="right"/>
              <w:rPr>
                <w:rFonts w:ascii="宋体" w:hAnsi="宋体" w:cs="宋体" w:eastAsia="宋体" w:hint="default"/>
                <w:sz w:val="18"/>
                <w:szCs w:val="18"/>
              </w:rPr>
            </w:pPr>
            <w:r>
              <w:rPr>
                <w:rFonts w:ascii="宋体" w:hAnsi="宋体" w:cs="宋体" w:eastAsia="宋体" w:hint="default"/>
                <w:sz w:val="18"/>
                <w:szCs w:val="18"/>
              </w:rPr>
              <w:t>存货实现销售</w:t>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8、其他流动资产" w:id="304"/>
      <w:bookmarkEnd w:id="304"/>
      <w:r>
        <w:rPr>
          <w:b w:val="0"/>
          <w:bCs w:val="0"/>
        </w:rPr>
      </w:r>
      <w:r>
        <w:rPr>
          <w:rFonts w:ascii="Trebuchet MS" w:hAnsi="Trebuchet MS" w:cs="Trebuchet MS" w:eastAsia="Trebuchet MS" w:hint="default"/>
        </w:rPr>
        <w:t>8</w:t>
      </w:r>
      <w:r>
        <w:rPr/>
        <w:t>、其他流动资产</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188"/>
        <w:gridCol w:w="3191"/>
        <w:gridCol w:w="3191"/>
      </w:tblGrid>
      <w:tr>
        <w:trPr>
          <w:trHeight w:val="317"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7"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留抵的增值税</w:t>
            </w:r>
          </w:p>
        </w:tc>
        <w:tc>
          <w:tcPr>
            <w:tcW w:w="3191"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w w:val="95"/>
                <w:sz w:val="18"/>
              </w:rPr>
              <w:t>169,086,398.41</w:t>
            </w:r>
            <w:r>
              <w:rPr>
                <w:rFonts w:ascii="Arial"/>
                <w:sz w:val="18"/>
              </w:rPr>
            </w:r>
          </w:p>
        </w:tc>
        <w:tc>
          <w:tcPr>
            <w:tcW w:w="3191"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平台资金</w:t>
            </w:r>
          </w:p>
        </w:tc>
        <w:tc>
          <w:tcPr>
            <w:tcW w:w="319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33,111,302.32</w:t>
            </w:r>
            <w:r>
              <w:rPr>
                <w:rFonts w:ascii="Arial"/>
                <w:sz w:val="18"/>
              </w:rPr>
            </w:r>
          </w:p>
        </w:tc>
        <w:tc>
          <w:tcPr>
            <w:tcW w:w="31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166,915,660.72</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预缴的企业所得税</w:t>
            </w:r>
          </w:p>
        </w:tc>
        <w:tc>
          <w:tcPr>
            <w:tcW w:w="319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1,375,713.19</w:t>
            </w:r>
            <w:r>
              <w:rPr>
                <w:rFonts w:ascii="Arial"/>
                <w:sz w:val="18"/>
              </w:rPr>
            </w:r>
          </w:p>
        </w:tc>
        <w:tc>
          <w:tcPr>
            <w:tcW w:w="3191"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1" w:type="dxa"/>
            <w:tcBorders>
              <w:top w:val="single" w:sz="4" w:space="0" w:color="5B9BD4"/>
              <w:left w:val="nil" w:sz="6" w:space="0" w:color="auto"/>
              <w:bottom w:val="single" w:sz="4" w:space="0" w:color="5B9BD4"/>
              <w:right w:val="nil" w:sz="6" w:space="0" w:color="auto"/>
            </w:tcBorders>
          </w:tcPr>
          <w:p>
            <w:pPr/>
          </w:p>
        </w:tc>
        <w:tc>
          <w:tcPr>
            <w:tcW w:w="31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114,626.80</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203,573,413.92</w:t>
            </w:r>
            <w:r>
              <w:rPr>
                <w:rFonts w:ascii="Arial"/>
                <w:sz w:val="18"/>
              </w:rPr>
            </w:r>
          </w:p>
        </w:tc>
        <w:tc>
          <w:tcPr>
            <w:tcW w:w="31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167,030,287.52</w:t>
            </w:r>
            <w:r>
              <w:rPr>
                <w:rFonts w:ascii="Arial"/>
                <w:sz w:val="18"/>
              </w:rPr>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9、可供出售金融资产" w:id="305"/>
      <w:bookmarkEnd w:id="305"/>
      <w:r>
        <w:rPr>
          <w:b w:val="0"/>
          <w:bCs w:val="0"/>
        </w:rPr>
      </w:r>
      <w:r>
        <w:rPr>
          <w:rFonts w:ascii="Trebuchet MS" w:hAnsi="Trebuchet MS" w:cs="Trebuchet MS" w:eastAsia="Trebuchet MS" w:hint="default"/>
        </w:rPr>
        <w:t>9</w:t>
      </w:r>
      <w:r>
        <w:rPr/>
        <w:t>、可供出售金融资产</w:t>
      </w:r>
      <w:r>
        <w:rPr>
          <w:b w:val="0"/>
          <w:bCs w:val="0"/>
        </w:rPr>
      </w:r>
    </w:p>
    <w:p>
      <w:pPr>
        <w:spacing w:line="240" w:lineRule="auto" w:before="7"/>
        <w:rPr>
          <w:rFonts w:ascii="宋体" w:hAnsi="宋体" w:cs="宋体" w:eastAsia="宋体" w:hint="default"/>
          <w:b/>
          <w:bCs/>
          <w:sz w:val="24"/>
          <w:szCs w:val="24"/>
        </w:rPr>
      </w:pPr>
    </w:p>
    <w:p>
      <w:pPr>
        <w:spacing w:before="0"/>
        <w:ind w:left="636" w:right="1513" w:firstLine="0"/>
        <w:jc w:val="left"/>
        <w:rPr>
          <w:rFonts w:ascii="宋体" w:hAnsi="宋体" w:cs="宋体" w:eastAsia="宋体" w:hint="default"/>
          <w:sz w:val="21"/>
          <w:szCs w:val="21"/>
        </w:rPr>
      </w:pPr>
      <w:bookmarkStart w:name="（1）可供出售金融资产情况" w:id="306"/>
      <w:bookmarkEnd w:id="306"/>
      <w:r>
        <w:rPr/>
      </w:r>
      <w:r>
        <w:rPr>
          <w:rFonts w:ascii="宋体" w:hAnsi="宋体" w:cs="宋体" w:eastAsia="宋体" w:hint="default"/>
          <w:b/>
          <w:bCs/>
          <w:sz w:val="21"/>
          <w:szCs w:val="21"/>
        </w:rPr>
        <w:t>（</w:t>
      </w:r>
      <w:r>
        <w:rPr>
          <w:rFonts w:ascii="Trebuchet MS" w:hAnsi="Trebuchet MS" w:cs="Trebuchet MS" w:eastAsia="Trebuchet MS"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6"/>
        <w:rPr>
          <w:rFonts w:ascii="宋体" w:hAnsi="宋体" w:cs="宋体" w:eastAsia="宋体" w:hint="default"/>
          <w:b/>
          <w:bCs/>
          <w:sz w:val="30"/>
          <w:szCs w:val="30"/>
        </w:rPr>
      </w:pPr>
    </w:p>
    <w:p>
      <w:pPr>
        <w:pStyle w:val="BodyText"/>
        <w:spacing w:line="240" w:lineRule="auto"/>
        <w:ind w:left="633" w:right="1513"/>
        <w:jc w:val="left"/>
      </w:pPr>
      <w:r>
        <w:rPr/>
        <w:t>单位：</w:t>
      </w:r>
      <w:r>
        <w:rPr>
          <w:spacing w:val="1"/>
        </w:rPr>
        <w:t> </w:t>
      </w:r>
      <w:r>
        <w:rPr/>
        <w:t>元</w:t>
      </w:r>
    </w:p>
    <w:p>
      <w:pPr>
        <w:spacing w:line="240" w:lineRule="auto" w:before="5"/>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2093"/>
        <w:gridCol w:w="1417"/>
        <w:gridCol w:w="1277"/>
        <w:gridCol w:w="1276"/>
        <w:gridCol w:w="1138"/>
        <w:gridCol w:w="1093"/>
        <w:gridCol w:w="1277"/>
      </w:tblGrid>
      <w:tr>
        <w:trPr>
          <w:trHeight w:val="322" w:hRule="exact"/>
        </w:trPr>
        <w:tc>
          <w:tcPr>
            <w:tcW w:w="2093"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94"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69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76" w:type="dxa"/>
            <w:tcBorders>
              <w:top w:val="single" w:sz="4" w:space="0" w:color="5B9BD4"/>
              <w:left w:val="nil" w:sz="6" w:space="0" w:color="auto"/>
              <w:bottom w:val="single" w:sz="4" w:space="0" w:color="5B9BD4"/>
              <w:right w:val="nil" w:sz="6" w:space="0" w:color="auto"/>
            </w:tcBorders>
            <w:shd w:val="clear" w:color="auto" w:fill="DEEAF6"/>
          </w:tcPr>
          <w:p>
            <w:pPr/>
          </w:p>
        </w:tc>
        <w:tc>
          <w:tcPr>
            <w:tcW w:w="1138" w:type="dxa"/>
            <w:tcBorders>
              <w:top w:val="single" w:sz="4" w:space="0" w:color="5B9BD4"/>
              <w:left w:val="nil" w:sz="6" w:space="0" w:color="auto"/>
              <w:bottom w:val="single" w:sz="4" w:space="0" w:color="5B9BD4"/>
              <w:right w:val="nil" w:sz="6" w:space="0" w:color="auto"/>
            </w:tcBorders>
            <w:shd w:val="clear" w:color="auto" w:fill="DEEAF6"/>
          </w:tcPr>
          <w:p>
            <w:pPr/>
          </w:p>
        </w:tc>
        <w:tc>
          <w:tcPr>
            <w:tcW w:w="109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32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093" w:type="dxa"/>
            <w:vMerge/>
            <w:tcBorders>
              <w:left w:val="nil" w:sz="6" w:space="0" w:color="auto"/>
              <w:bottom w:val="single" w:sz="4" w:space="0" w:color="5B9BD4"/>
              <w:right w:val="nil" w:sz="6" w:space="0" w:color="auto"/>
            </w:tcBorders>
            <w:shd w:val="clear" w:color="auto" w:fill="DEEAF6"/>
          </w:tcPr>
          <w:p>
            <w:pPr/>
          </w:p>
        </w:tc>
        <w:tc>
          <w:tcPr>
            <w:tcW w:w="141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27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7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27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3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27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9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3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7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877" w:footer="979" w:top="1100" w:bottom="1160" w:left="920" w:right="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2093"/>
        <w:gridCol w:w="1559"/>
        <w:gridCol w:w="993"/>
        <w:gridCol w:w="1560"/>
        <w:gridCol w:w="993"/>
        <w:gridCol w:w="1006"/>
        <w:gridCol w:w="1367"/>
      </w:tblGrid>
      <w:tr>
        <w:trPr>
          <w:trHeight w:val="322" w:hRule="exact"/>
        </w:trPr>
        <w:tc>
          <w:tcPr>
            <w:tcW w:w="209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55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251,334,000.00</w:t>
            </w:r>
            <w:r>
              <w:rPr>
                <w:rFonts w:ascii="Arial"/>
                <w:sz w:val="18"/>
              </w:rPr>
            </w:r>
          </w:p>
        </w:tc>
        <w:tc>
          <w:tcPr>
            <w:tcW w:w="993" w:type="dxa"/>
            <w:tcBorders>
              <w:top w:val="single" w:sz="4" w:space="0" w:color="5B9BD4"/>
              <w:left w:val="nil" w:sz="6" w:space="0" w:color="auto"/>
              <w:bottom w:val="single" w:sz="4" w:space="0" w:color="5B9BD4"/>
              <w:right w:val="nil" w:sz="6" w:space="0" w:color="auto"/>
            </w:tcBorders>
            <w:shd w:val="clear" w:color="auto" w:fill="DEEAF6"/>
          </w:tcPr>
          <w:p>
            <w:pPr/>
          </w:p>
        </w:tc>
        <w:tc>
          <w:tcPr>
            <w:tcW w:w="156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251,334,000.00</w:t>
            </w:r>
            <w:r>
              <w:rPr>
                <w:rFonts w:ascii="Arial"/>
                <w:sz w:val="18"/>
              </w:rPr>
            </w:r>
          </w:p>
        </w:tc>
        <w:tc>
          <w:tcPr>
            <w:tcW w:w="993" w:type="dxa"/>
            <w:tcBorders>
              <w:top w:val="single" w:sz="4" w:space="0" w:color="5B9BD4"/>
              <w:left w:val="nil" w:sz="6" w:space="0" w:color="auto"/>
              <w:bottom w:val="single" w:sz="4" w:space="0" w:color="5B9BD4"/>
              <w:right w:val="nil" w:sz="6" w:space="0" w:color="auto"/>
            </w:tcBorders>
            <w:shd w:val="clear" w:color="auto" w:fill="DEEAF6"/>
          </w:tcPr>
          <w:p>
            <w:pPr/>
          </w:p>
        </w:tc>
        <w:tc>
          <w:tcPr>
            <w:tcW w:w="1006" w:type="dxa"/>
            <w:tcBorders>
              <w:top w:val="single" w:sz="4" w:space="0" w:color="5B9BD4"/>
              <w:left w:val="nil" w:sz="6" w:space="0" w:color="auto"/>
              <w:bottom w:val="single" w:sz="4" w:space="0" w:color="5B9BD4"/>
              <w:right w:val="nil" w:sz="6" w:space="0" w:color="auto"/>
            </w:tcBorders>
          </w:tcPr>
          <w:p>
            <w:pP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09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55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429,771,010.00</w:t>
            </w:r>
            <w:r>
              <w:rPr>
                <w:rFonts w:ascii="Arial"/>
                <w:sz w:val="18"/>
              </w:rPr>
            </w:r>
          </w:p>
        </w:tc>
        <w:tc>
          <w:tcPr>
            <w:tcW w:w="993" w:type="dxa"/>
            <w:tcBorders>
              <w:top w:val="single" w:sz="4" w:space="0" w:color="5B9BD4"/>
              <w:left w:val="nil" w:sz="6" w:space="0" w:color="auto"/>
              <w:bottom w:val="single" w:sz="4" w:space="0" w:color="5B9BD4"/>
              <w:right w:val="nil" w:sz="6" w:space="0" w:color="auto"/>
            </w:tcBorders>
            <w:shd w:val="clear" w:color="auto" w:fill="DEEAF6"/>
          </w:tcPr>
          <w:p>
            <w:pPr/>
          </w:p>
        </w:tc>
        <w:tc>
          <w:tcPr>
            <w:tcW w:w="156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429,771,010.00</w:t>
            </w:r>
            <w:r>
              <w:rPr>
                <w:rFonts w:ascii="Arial"/>
                <w:sz w:val="18"/>
              </w:rPr>
            </w:r>
          </w:p>
        </w:tc>
        <w:tc>
          <w:tcPr>
            <w:tcW w:w="993" w:type="dxa"/>
            <w:tcBorders>
              <w:top w:val="single" w:sz="4" w:space="0" w:color="5B9BD4"/>
              <w:left w:val="nil" w:sz="6" w:space="0" w:color="auto"/>
              <w:bottom w:val="single" w:sz="4" w:space="0" w:color="5B9BD4"/>
              <w:right w:val="nil" w:sz="6" w:space="0" w:color="auto"/>
            </w:tcBorders>
            <w:shd w:val="clear" w:color="auto" w:fill="DEEAF6"/>
          </w:tcPr>
          <w:p>
            <w:pPr/>
          </w:p>
        </w:tc>
        <w:tc>
          <w:tcPr>
            <w:tcW w:w="1006" w:type="dxa"/>
            <w:tcBorders>
              <w:top w:val="single" w:sz="4" w:space="0" w:color="5B9BD4"/>
              <w:left w:val="nil" w:sz="6" w:space="0" w:color="auto"/>
              <w:bottom w:val="single" w:sz="4" w:space="0" w:color="5B9BD4"/>
              <w:right w:val="nil" w:sz="6" w:space="0" w:color="auto"/>
            </w:tcBorders>
          </w:tcPr>
          <w:p>
            <w:pP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09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55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380,771,010.00</w:t>
            </w:r>
            <w:r>
              <w:rPr>
                <w:rFonts w:ascii="Arial"/>
                <w:sz w:val="18"/>
              </w:rPr>
            </w:r>
          </w:p>
        </w:tc>
        <w:tc>
          <w:tcPr>
            <w:tcW w:w="993" w:type="dxa"/>
            <w:tcBorders>
              <w:top w:val="single" w:sz="4" w:space="0" w:color="5B9BD4"/>
              <w:left w:val="nil" w:sz="6" w:space="0" w:color="auto"/>
              <w:bottom w:val="single" w:sz="4" w:space="0" w:color="5B9BD4"/>
              <w:right w:val="nil" w:sz="6" w:space="0" w:color="auto"/>
            </w:tcBorders>
            <w:shd w:val="clear" w:color="auto" w:fill="DEEAF6"/>
          </w:tcPr>
          <w:p>
            <w:pPr/>
          </w:p>
        </w:tc>
        <w:tc>
          <w:tcPr>
            <w:tcW w:w="156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380,771,010.00</w:t>
            </w:r>
            <w:r>
              <w:rPr>
                <w:rFonts w:ascii="Arial"/>
                <w:sz w:val="18"/>
              </w:rPr>
            </w:r>
          </w:p>
        </w:tc>
        <w:tc>
          <w:tcPr>
            <w:tcW w:w="993" w:type="dxa"/>
            <w:tcBorders>
              <w:top w:val="single" w:sz="4" w:space="0" w:color="5B9BD4"/>
              <w:left w:val="nil" w:sz="6" w:space="0" w:color="auto"/>
              <w:bottom w:val="single" w:sz="4" w:space="0" w:color="5B9BD4"/>
              <w:right w:val="nil" w:sz="6" w:space="0" w:color="auto"/>
            </w:tcBorders>
            <w:shd w:val="clear" w:color="auto" w:fill="DEEAF6"/>
          </w:tcPr>
          <w:p>
            <w:pPr/>
          </w:p>
        </w:tc>
        <w:tc>
          <w:tcPr>
            <w:tcW w:w="1006" w:type="dxa"/>
            <w:tcBorders>
              <w:top w:val="single" w:sz="4" w:space="0" w:color="5B9BD4"/>
              <w:left w:val="nil" w:sz="6" w:space="0" w:color="auto"/>
              <w:bottom w:val="single" w:sz="4" w:space="0" w:color="5B9BD4"/>
              <w:right w:val="nil" w:sz="6" w:space="0" w:color="auto"/>
            </w:tcBorders>
          </w:tcPr>
          <w:p>
            <w:pP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09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55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49,000,000.00</w:t>
            </w:r>
            <w:r>
              <w:rPr>
                <w:rFonts w:ascii="Arial"/>
                <w:sz w:val="18"/>
              </w:rPr>
            </w:r>
          </w:p>
        </w:tc>
        <w:tc>
          <w:tcPr>
            <w:tcW w:w="993" w:type="dxa"/>
            <w:tcBorders>
              <w:top w:val="single" w:sz="4" w:space="0" w:color="5B9BD4"/>
              <w:left w:val="nil" w:sz="6" w:space="0" w:color="auto"/>
              <w:bottom w:val="single" w:sz="4" w:space="0" w:color="5B9BD4"/>
              <w:right w:val="nil" w:sz="6" w:space="0" w:color="auto"/>
            </w:tcBorders>
            <w:shd w:val="clear" w:color="auto" w:fill="DEEAF6"/>
          </w:tcPr>
          <w:p>
            <w:pPr/>
          </w:p>
        </w:tc>
        <w:tc>
          <w:tcPr>
            <w:tcW w:w="156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49,000,000.00</w:t>
            </w:r>
            <w:r>
              <w:rPr>
                <w:rFonts w:ascii="Arial"/>
                <w:sz w:val="18"/>
              </w:rPr>
            </w:r>
          </w:p>
        </w:tc>
        <w:tc>
          <w:tcPr>
            <w:tcW w:w="993" w:type="dxa"/>
            <w:tcBorders>
              <w:top w:val="single" w:sz="4" w:space="0" w:color="5B9BD4"/>
              <w:left w:val="nil" w:sz="6" w:space="0" w:color="auto"/>
              <w:bottom w:val="single" w:sz="4" w:space="0" w:color="5B9BD4"/>
              <w:right w:val="nil" w:sz="6" w:space="0" w:color="auto"/>
            </w:tcBorders>
            <w:shd w:val="clear" w:color="auto" w:fill="DEEAF6"/>
          </w:tcPr>
          <w:p>
            <w:pPr/>
          </w:p>
        </w:tc>
        <w:tc>
          <w:tcPr>
            <w:tcW w:w="1006" w:type="dxa"/>
            <w:tcBorders>
              <w:top w:val="single" w:sz="4" w:space="0" w:color="5B9BD4"/>
              <w:left w:val="nil" w:sz="6" w:space="0" w:color="auto"/>
              <w:bottom w:val="single" w:sz="4" w:space="0" w:color="5B9BD4"/>
              <w:right w:val="nil" w:sz="6" w:space="0" w:color="auto"/>
            </w:tcBorders>
          </w:tcPr>
          <w:p>
            <w:pP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3" w:hRule="exact"/>
        </w:trPr>
        <w:tc>
          <w:tcPr>
            <w:tcW w:w="209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5B9BD4"/>
              <w:left w:val="nil" w:sz="6" w:space="0" w:color="auto"/>
              <w:bottom w:val="single" w:sz="4" w:space="0" w:color="5B9BD4"/>
              <w:right w:val="nil" w:sz="6" w:space="0" w:color="auto"/>
            </w:tcBorders>
          </w:tcPr>
          <w:p>
            <w:pPr>
              <w:pStyle w:val="TableParagraph"/>
              <w:spacing w:line="240" w:lineRule="auto" w:before="48"/>
              <w:ind w:right="105"/>
              <w:jc w:val="right"/>
              <w:rPr>
                <w:rFonts w:ascii="Arial" w:hAnsi="Arial" w:cs="Arial" w:eastAsia="Arial" w:hint="default"/>
                <w:sz w:val="18"/>
                <w:szCs w:val="18"/>
              </w:rPr>
            </w:pPr>
            <w:r>
              <w:rPr>
                <w:rFonts w:ascii="Arial"/>
                <w:w w:val="95"/>
                <w:sz w:val="18"/>
              </w:rPr>
              <w:t>681,105,010.00</w:t>
            </w:r>
            <w:r>
              <w:rPr>
                <w:rFonts w:ascii="Arial"/>
                <w:sz w:val="18"/>
              </w:rPr>
            </w:r>
          </w:p>
        </w:tc>
        <w:tc>
          <w:tcPr>
            <w:tcW w:w="993" w:type="dxa"/>
            <w:tcBorders>
              <w:top w:val="single" w:sz="4" w:space="0" w:color="5B9BD4"/>
              <w:left w:val="nil" w:sz="6" w:space="0" w:color="auto"/>
              <w:bottom w:val="single" w:sz="4" w:space="0" w:color="5B9BD4"/>
              <w:right w:val="nil" w:sz="6" w:space="0" w:color="auto"/>
            </w:tcBorders>
            <w:shd w:val="clear" w:color="auto" w:fill="DEEAF6"/>
          </w:tcPr>
          <w:p>
            <w:pPr/>
          </w:p>
        </w:tc>
        <w:tc>
          <w:tcPr>
            <w:tcW w:w="1560" w:type="dxa"/>
            <w:tcBorders>
              <w:top w:val="single" w:sz="4" w:space="0" w:color="5B9BD4"/>
              <w:left w:val="nil" w:sz="6" w:space="0" w:color="auto"/>
              <w:bottom w:val="single" w:sz="4" w:space="0" w:color="5B9BD4"/>
              <w:right w:val="nil" w:sz="6" w:space="0" w:color="auto"/>
            </w:tcBorders>
          </w:tcPr>
          <w:p>
            <w:pPr>
              <w:pStyle w:val="TableParagraph"/>
              <w:spacing w:line="240" w:lineRule="auto" w:before="48"/>
              <w:ind w:right="105"/>
              <w:jc w:val="right"/>
              <w:rPr>
                <w:rFonts w:ascii="Arial" w:hAnsi="Arial" w:cs="Arial" w:eastAsia="Arial" w:hint="default"/>
                <w:sz w:val="18"/>
                <w:szCs w:val="18"/>
              </w:rPr>
            </w:pPr>
            <w:r>
              <w:rPr>
                <w:rFonts w:ascii="Arial"/>
                <w:w w:val="95"/>
                <w:sz w:val="18"/>
              </w:rPr>
              <w:t>681,105,010.00</w:t>
            </w:r>
            <w:r>
              <w:rPr>
                <w:rFonts w:ascii="Arial"/>
                <w:sz w:val="18"/>
              </w:rPr>
            </w:r>
          </w:p>
        </w:tc>
        <w:tc>
          <w:tcPr>
            <w:tcW w:w="993" w:type="dxa"/>
            <w:tcBorders>
              <w:top w:val="single" w:sz="4" w:space="0" w:color="5B9BD4"/>
              <w:left w:val="nil" w:sz="6" w:space="0" w:color="auto"/>
              <w:bottom w:val="single" w:sz="4" w:space="0" w:color="5B9BD4"/>
              <w:right w:val="nil" w:sz="6" w:space="0" w:color="auto"/>
            </w:tcBorders>
            <w:shd w:val="clear" w:color="auto" w:fill="DEEAF6"/>
          </w:tcPr>
          <w:p>
            <w:pPr/>
          </w:p>
        </w:tc>
        <w:tc>
          <w:tcPr>
            <w:tcW w:w="1006" w:type="dxa"/>
            <w:tcBorders>
              <w:top w:val="single" w:sz="4" w:space="0" w:color="5B9BD4"/>
              <w:left w:val="nil" w:sz="6" w:space="0" w:color="auto"/>
              <w:bottom w:val="single" w:sz="4" w:space="0" w:color="5B9BD4"/>
              <w:right w:val="nil" w:sz="6" w:space="0" w:color="auto"/>
            </w:tcBorders>
          </w:tcPr>
          <w:p>
            <w:pP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2）期末按公允价值计量的可供出售金融资产" w:id="307"/>
      <w:bookmarkEnd w:id="307"/>
      <w:r>
        <w:rPr>
          <w:b w:val="0"/>
          <w:bCs w:val="0"/>
        </w:rPr>
      </w:r>
      <w:r>
        <w:rPr/>
        <w:t>（</w:t>
      </w:r>
      <w:r>
        <w:rPr>
          <w:rFonts w:ascii="Trebuchet MS" w:hAnsi="Trebuchet MS" w:cs="Trebuchet MS" w:eastAsia="Trebuchet MS" w:hint="default"/>
        </w:rPr>
        <w:t>2</w:t>
      </w:r>
      <w:r>
        <w:rPr/>
        <w:t>）期末按公允价值计量的可供出售金融资产</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2463"/>
        <w:gridCol w:w="2464"/>
        <w:gridCol w:w="2464"/>
        <w:gridCol w:w="2465"/>
      </w:tblGrid>
      <w:tr>
        <w:trPr>
          <w:trHeight w:val="317" w:hRule="exact"/>
        </w:trPr>
        <w:tc>
          <w:tcPr>
            <w:tcW w:w="24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33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246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5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46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51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246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640" w:hRule="exact"/>
        </w:trPr>
        <w:tc>
          <w:tcPr>
            <w:tcW w:w="24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2" w:lineRule="auto" w:before="11"/>
              <w:ind w:left="108" w:right="113"/>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Arial" w:hAnsi="Arial" w:cs="Arial" w:eastAsia="Arial" w:hint="default"/>
                <w:sz w:val="18"/>
                <w:szCs w:val="18"/>
              </w:rPr>
              <w:t>/</w:t>
            </w:r>
            <w:r>
              <w:rPr>
                <w:rFonts w:ascii="宋体" w:hAnsi="宋体" w:cs="宋体" w:eastAsia="宋体" w:hint="default"/>
                <w:sz w:val="18"/>
                <w:szCs w:val="18"/>
              </w:rPr>
              <w:t>债务工具的</w:t>
            </w:r>
            <w:r>
              <w:rPr>
                <w:rFonts w:ascii="宋体" w:hAnsi="宋体" w:cs="宋体" w:eastAsia="宋体" w:hint="default"/>
                <w:spacing w:val="-62"/>
                <w:sz w:val="18"/>
                <w:szCs w:val="18"/>
              </w:rPr>
              <w:t> </w:t>
            </w:r>
            <w:r>
              <w:rPr>
                <w:rFonts w:ascii="宋体" w:hAnsi="宋体" w:cs="宋体" w:eastAsia="宋体" w:hint="default"/>
                <w:sz w:val="18"/>
                <w:szCs w:val="18"/>
              </w:rPr>
              <w:t>摊余成本</w:t>
            </w:r>
          </w:p>
        </w:tc>
        <w:tc>
          <w:tcPr>
            <w:tcW w:w="2464" w:type="dxa"/>
            <w:tcBorders>
              <w:top w:val="single" w:sz="4" w:space="0" w:color="5B9BD4"/>
              <w:left w:val="nil" w:sz="6" w:space="0" w:color="auto"/>
              <w:bottom w:val="single" w:sz="4" w:space="0" w:color="5B9BD4"/>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327,123,817.97</w:t>
            </w:r>
            <w:r>
              <w:rPr>
                <w:rFonts w:ascii="Arial"/>
                <w:sz w:val="18"/>
              </w:rPr>
            </w:r>
          </w:p>
        </w:tc>
        <w:tc>
          <w:tcPr>
            <w:tcW w:w="2464" w:type="dxa"/>
            <w:tcBorders>
              <w:top w:val="single" w:sz="4" w:space="0" w:color="5B9BD4"/>
              <w:left w:val="nil" w:sz="6" w:space="0" w:color="auto"/>
              <w:bottom w:val="single" w:sz="4" w:space="0" w:color="5B9BD4"/>
              <w:right w:val="nil" w:sz="6" w:space="0" w:color="auto"/>
            </w:tcBorders>
            <w:shd w:val="clear" w:color="auto" w:fill="DEEAF6"/>
          </w:tcPr>
          <w:p>
            <w:pPr/>
          </w:p>
        </w:tc>
        <w:tc>
          <w:tcPr>
            <w:tcW w:w="2465" w:type="dxa"/>
            <w:tcBorders>
              <w:top w:val="single" w:sz="4" w:space="0" w:color="5B9BD4"/>
              <w:left w:val="nil" w:sz="6" w:space="0" w:color="auto"/>
              <w:bottom w:val="single" w:sz="4" w:space="0" w:color="5B9BD4"/>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18"/>
                <w:szCs w:val="18"/>
              </w:rPr>
            </w:pPr>
            <w:r>
              <w:rPr>
                <w:rFonts w:ascii="Arial"/>
                <w:w w:val="95"/>
                <w:sz w:val="18"/>
              </w:rPr>
              <w:t>327,123,817.97</w:t>
            </w:r>
            <w:r>
              <w:rPr>
                <w:rFonts w:ascii="Arial"/>
                <w:sz w:val="18"/>
              </w:rPr>
            </w:r>
          </w:p>
        </w:tc>
      </w:tr>
      <w:tr>
        <w:trPr>
          <w:trHeight w:val="322" w:hRule="exact"/>
        </w:trPr>
        <w:tc>
          <w:tcPr>
            <w:tcW w:w="24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246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380,771,010.00</w:t>
            </w:r>
            <w:r>
              <w:rPr>
                <w:rFonts w:ascii="Arial"/>
                <w:sz w:val="18"/>
              </w:rPr>
            </w:r>
          </w:p>
        </w:tc>
        <w:tc>
          <w:tcPr>
            <w:tcW w:w="2464" w:type="dxa"/>
            <w:tcBorders>
              <w:top w:val="single" w:sz="4" w:space="0" w:color="5B9BD4"/>
              <w:left w:val="nil" w:sz="6" w:space="0" w:color="auto"/>
              <w:bottom w:val="single" w:sz="4" w:space="0" w:color="5B9BD4"/>
              <w:right w:val="nil" w:sz="6" w:space="0" w:color="auto"/>
            </w:tcBorders>
            <w:shd w:val="clear" w:color="auto" w:fill="DEEAF6"/>
          </w:tcPr>
          <w:p>
            <w:pPr/>
          </w:p>
        </w:tc>
        <w:tc>
          <w:tcPr>
            <w:tcW w:w="2465"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380,771,010.00</w:t>
            </w:r>
            <w:r>
              <w:rPr>
                <w:rFonts w:ascii="Arial"/>
                <w:sz w:val="18"/>
              </w:rPr>
            </w:r>
          </w:p>
        </w:tc>
      </w:tr>
      <w:tr>
        <w:trPr>
          <w:trHeight w:val="634" w:hRule="exact"/>
        </w:trPr>
        <w:tc>
          <w:tcPr>
            <w:tcW w:w="24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92"/>
              <w:jc w:val="left"/>
              <w:rPr>
                <w:rFonts w:ascii="宋体" w:hAnsi="宋体" w:cs="宋体" w:eastAsia="宋体" w:hint="default"/>
                <w:sz w:val="18"/>
                <w:szCs w:val="18"/>
              </w:rPr>
            </w:pPr>
            <w:r>
              <w:rPr>
                <w:rFonts w:ascii="宋体" w:hAnsi="宋体" w:cs="宋体" w:eastAsia="宋体" w:hint="default"/>
                <w:sz w:val="18"/>
                <w:szCs w:val="18"/>
              </w:rPr>
              <w:t>累计计入其他综合收益的公 允价值变动金额</w:t>
            </w:r>
          </w:p>
        </w:tc>
        <w:tc>
          <w:tcPr>
            <w:tcW w:w="2464"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53,647,192.03</w:t>
            </w:r>
            <w:r>
              <w:rPr>
                <w:rFonts w:ascii="Arial"/>
                <w:sz w:val="18"/>
              </w:rPr>
            </w:r>
          </w:p>
        </w:tc>
        <w:tc>
          <w:tcPr>
            <w:tcW w:w="2464" w:type="dxa"/>
            <w:tcBorders>
              <w:top w:val="single" w:sz="4" w:space="0" w:color="5B9BD4"/>
              <w:left w:val="nil" w:sz="6" w:space="0" w:color="auto"/>
              <w:bottom w:val="single" w:sz="4" w:space="0" w:color="5B9BD4"/>
              <w:right w:val="nil" w:sz="6" w:space="0" w:color="auto"/>
            </w:tcBorders>
            <w:shd w:val="clear" w:color="auto" w:fill="DEEAF6"/>
          </w:tcPr>
          <w:p>
            <w:pPr/>
          </w:p>
        </w:tc>
        <w:tc>
          <w:tcPr>
            <w:tcW w:w="2465"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18"/>
                <w:szCs w:val="18"/>
              </w:rPr>
            </w:pPr>
            <w:r>
              <w:rPr>
                <w:rFonts w:ascii="Arial"/>
                <w:w w:val="95"/>
                <w:sz w:val="18"/>
              </w:rPr>
              <w:t>53,647,192.03</w:t>
            </w:r>
            <w:r>
              <w:rPr>
                <w:rFonts w:ascii="Arial"/>
                <w:sz w:val="18"/>
              </w:rPr>
            </w:r>
          </w:p>
        </w:tc>
      </w:tr>
      <w:tr>
        <w:trPr>
          <w:trHeight w:val="322" w:hRule="exact"/>
        </w:trPr>
        <w:tc>
          <w:tcPr>
            <w:tcW w:w="24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246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9"/>
                <w:sz w:val="18"/>
              </w:rPr>
              <w:t>0</w:t>
            </w:r>
            <w:r>
              <w:rPr>
                <w:rFonts w:ascii="Arial"/>
                <w:sz w:val="18"/>
              </w:rPr>
            </w:r>
          </w:p>
        </w:tc>
        <w:tc>
          <w:tcPr>
            <w:tcW w:w="2464" w:type="dxa"/>
            <w:tcBorders>
              <w:top w:val="single" w:sz="4" w:space="0" w:color="5B9BD4"/>
              <w:left w:val="nil" w:sz="6" w:space="0" w:color="auto"/>
              <w:bottom w:val="single" w:sz="4" w:space="0" w:color="5B9BD4"/>
              <w:right w:val="nil" w:sz="6" w:space="0" w:color="auto"/>
            </w:tcBorders>
            <w:shd w:val="clear" w:color="auto" w:fill="DEEAF6"/>
          </w:tcPr>
          <w:p>
            <w:pPr/>
          </w:p>
        </w:tc>
        <w:tc>
          <w:tcPr>
            <w:tcW w:w="2465"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9"/>
                <w:sz w:val="18"/>
              </w:rPr>
              <w:t>0</w:t>
            </w:r>
            <w:r>
              <w:rPr>
                <w:rFonts w:ascii="Arial"/>
                <w:sz w:val="18"/>
              </w:rPr>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3）期末按成本计量的可供出售金融资产" w:id="308"/>
      <w:bookmarkEnd w:id="308"/>
      <w:r>
        <w:rPr>
          <w:b w:val="0"/>
          <w:bCs w:val="0"/>
        </w:rPr>
      </w:r>
      <w:r>
        <w:rPr/>
        <w:t>（</w:t>
      </w:r>
      <w:r>
        <w:rPr>
          <w:rFonts w:ascii="Trebuchet MS" w:hAnsi="Trebuchet MS" w:cs="Trebuchet MS" w:eastAsia="Trebuchet MS" w:hint="default"/>
        </w:rPr>
        <w:t>3</w:t>
      </w:r>
      <w:r>
        <w:rPr/>
        <w:t>）期末按成本计量的可供出售金融资产</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863"/>
        <w:gridCol w:w="556"/>
        <w:gridCol w:w="1384"/>
        <w:gridCol w:w="742"/>
        <w:gridCol w:w="1385"/>
        <w:gridCol w:w="601"/>
        <w:gridCol w:w="850"/>
        <w:gridCol w:w="851"/>
        <w:gridCol w:w="593"/>
        <w:gridCol w:w="870"/>
        <w:gridCol w:w="870"/>
      </w:tblGrid>
      <w:tr>
        <w:trPr>
          <w:trHeight w:val="317" w:hRule="exact"/>
        </w:trPr>
        <w:tc>
          <w:tcPr>
            <w:tcW w:w="863" w:type="dxa"/>
            <w:tcBorders>
              <w:top w:val="single" w:sz="4" w:space="0" w:color="5B9BD4"/>
              <w:left w:val="nil" w:sz="6" w:space="0" w:color="auto"/>
              <w:bottom w:val="nil" w:sz="6" w:space="0" w:color="auto"/>
              <w:right w:val="nil" w:sz="6" w:space="0" w:color="auto"/>
            </w:tcBorders>
            <w:shd w:val="clear" w:color="auto" w:fill="DEEAF6"/>
          </w:tcPr>
          <w:p>
            <w:pPr/>
          </w:p>
        </w:tc>
        <w:tc>
          <w:tcPr>
            <w:tcW w:w="556" w:type="dxa"/>
            <w:tcBorders>
              <w:top w:val="single" w:sz="4" w:space="0" w:color="5B9BD4"/>
              <w:left w:val="nil" w:sz="6" w:space="0" w:color="auto"/>
              <w:bottom w:val="single" w:sz="4" w:space="0" w:color="5B9BD4"/>
              <w:right w:val="nil" w:sz="6" w:space="0" w:color="auto"/>
            </w:tcBorders>
            <w:shd w:val="clear" w:color="auto" w:fill="DEEAF6"/>
          </w:tcPr>
          <w:p>
            <w:pPr/>
          </w:p>
        </w:tc>
        <w:tc>
          <w:tcPr>
            <w:tcW w:w="2125"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1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5" w:type="dxa"/>
            <w:tcBorders>
              <w:top w:val="single" w:sz="4" w:space="0" w:color="5B9BD4"/>
              <w:left w:val="nil" w:sz="6" w:space="0" w:color="auto"/>
              <w:bottom w:val="single" w:sz="4" w:space="0" w:color="5B9BD4"/>
              <w:right w:val="nil" w:sz="6" w:space="0" w:color="auto"/>
            </w:tcBorders>
            <w:shd w:val="clear" w:color="auto" w:fill="DEEAF6"/>
          </w:tcPr>
          <w:p>
            <w:pPr/>
          </w:p>
        </w:tc>
        <w:tc>
          <w:tcPr>
            <w:tcW w:w="601" w:type="dxa"/>
            <w:tcBorders>
              <w:top w:val="single" w:sz="4" w:space="0" w:color="5B9BD4"/>
              <w:left w:val="nil" w:sz="6" w:space="0" w:color="auto"/>
              <w:bottom w:val="single" w:sz="4" w:space="0" w:color="5B9BD4"/>
              <w:right w:val="nil" w:sz="6" w:space="0" w:color="auto"/>
            </w:tcBorders>
            <w:shd w:val="clear" w:color="auto" w:fill="DEEAF6"/>
          </w:tcPr>
          <w:p>
            <w:pPr/>
          </w:p>
        </w:tc>
        <w:tc>
          <w:tcPr>
            <w:tcW w:w="1701"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8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593" w:type="dxa"/>
            <w:tcBorders>
              <w:top w:val="single" w:sz="4" w:space="0" w:color="5B9BD4"/>
              <w:left w:val="nil" w:sz="6" w:space="0" w:color="auto"/>
              <w:bottom w:val="single" w:sz="4" w:space="0" w:color="5B9BD4"/>
              <w:right w:val="nil" w:sz="6" w:space="0" w:color="auto"/>
            </w:tcBorders>
            <w:shd w:val="clear" w:color="auto" w:fill="DEEAF6"/>
          </w:tcPr>
          <w:p>
            <w:pPr/>
          </w:p>
        </w:tc>
        <w:tc>
          <w:tcPr>
            <w:tcW w:w="870" w:type="dxa"/>
            <w:vMerge w:val="restart"/>
            <w:tcBorders>
              <w:top w:val="single" w:sz="4" w:space="0" w:color="5B9BD4"/>
              <w:left w:val="nil" w:sz="6" w:space="0" w:color="auto"/>
              <w:right w:val="nil" w:sz="6" w:space="0" w:color="auto"/>
            </w:tcBorders>
            <w:shd w:val="clear" w:color="auto" w:fill="DEEAF6"/>
          </w:tcPr>
          <w:p>
            <w:pPr>
              <w:pStyle w:val="TableParagraph"/>
              <w:spacing w:line="319" w:lineRule="auto" w:before="5"/>
              <w:ind w:left="164" w:right="163"/>
              <w:jc w:val="center"/>
              <w:rPr>
                <w:rFonts w:ascii="宋体" w:hAnsi="宋体" w:cs="宋体" w:eastAsia="宋体" w:hint="default"/>
                <w:sz w:val="18"/>
                <w:szCs w:val="18"/>
              </w:rPr>
            </w:pPr>
            <w:r>
              <w:rPr>
                <w:rFonts w:ascii="宋体" w:hAnsi="宋体" w:cs="宋体" w:eastAsia="宋体" w:hint="default"/>
                <w:sz w:val="18"/>
                <w:szCs w:val="18"/>
              </w:rPr>
              <w:t>在被投 资单位 持股比 例</w:t>
            </w:r>
          </w:p>
        </w:tc>
        <w:tc>
          <w:tcPr>
            <w:tcW w:w="870" w:type="dxa"/>
            <w:tcBorders>
              <w:top w:val="single" w:sz="4" w:space="0" w:color="5B9BD4"/>
              <w:left w:val="nil" w:sz="6" w:space="0" w:color="auto"/>
              <w:bottom w:val="nil" w:sz="6" w:space="0" w:color="auto"/>
              <w:right w:val="nil" w:sz="6" w:space="0" w:color="auto"/>
            </w:tcBorders>
            <w:shd w:val="clear" w:color="auto" w:fill="DEEAF6"/>
          </w:tcPr>
          <w:p>
            <w:pPr/>
          </w:p>
        </w:tc>
      </w:tr>
      <w:tr>
        <w:trPr>
          <w:trHeight w:val="942" w:hRule="exact"/>
        </w:trPr>
        <w:tc>
          <w:tcPr>
            <w:tcW w:w="863"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319" w:lineRule="auto" w:before="5"/>
              <w:ind w:left="250" w:right="160"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556" w:type="dxa"/>
            <w:tcBorders>
              <w:top w:val="single" w:sz="4" w:space="0" w:color="5B9BD4"/>
              <w:left w:val="nil" w:sz="6" w:space="0" w:color="auto"/>
              <w:bottom w:val="single" w:sz="4" w:space="0" w:color="5B9BD4"/>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87" w:right="186"/>
              <w:jc w:val="center"/>
              <w:rPr>
                <w:rFonts w:ascii="宋体" w:hAnsi="宋体" w:cs="宋体" w:eastAsia="宋体" w:hint="default"/>
                <w:sz w:val="18"/>
                <w:szCs w:val="18"/>
              </w:rPr>
            </w:pPr>
            <w:r>
              <w:rPr>
                <w:rFonts w:ascii="宋体" w:hAnsi="宋体" w:cs="宋体" w:eastAsia="宋体" w:hint="default"/>
                <w:sz w:val="18"/>
                <w:szCs w:val="18"/>
              </w:rPr>
              <w:t>期 初</w:t>
            </w:r>
          </w:p>
        </w:tc>
        <w:tc>
          <w:tcPr>
            <w:tcW w:w="13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742" w:type="dxa"/>
            <w:tcBorders>
              <w:top w:val="single" w:sz="4" w:space="0" w:color="5B9BD4"/>
              <w:left w:val="nil" w:sz="6" w:space="0" w:color="auto"/>
              <w:bottom w:val="single" w:sz="4" w:space="0" w:color="5B9BD4"/>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90" w:right="188"/>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38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601"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5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333" w:right="155"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851" w:type="dxa"/>
            <w:tcBorders>
              <w:top w:val="single" w:sz="4" w:space="0" w:color="5B9BD4"/>
              <w:left w:val="nil" w:sz="6" w:space="0" w:color="auto"/>
              <w:bottom w:val="single" w:sz="4" w:space="0" w:color="5B9BD4"/>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334" w:right="154"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59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nil" w:sz="6" w:space="0" w:color="auto"/>
              <w:bottom w:val="single" w:sz="4" w:space="0" w:color="5B9BD4"/>
              <w:right w:val="nil" w:sz="6" w:space="0" w:color="auto"/>
            </w:tcBorders>
            <w:shd w:val="clear" w:color="auto" w:fill="DEEAF6"/>
          </w:tcPr>
          <w:p>
            <w:pPr/>
          </w:p>
        </w:tc>
        <w:tc>
          <w:tcPr>
            <w:tcW w:w="870"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319" w:lineRule="auto" w:before="5"/>
              <w:ind w:left="164" w:right="163"/>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1258" w:hRule="exact"/>
        </w:trPr>
        <w:tc>
          <w:tcPr>
            <w:tcW w:w="8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213"/>
              <w:jc w:val="both"/>
              <w:rPr>
                <w:rFonts w:ascii="宋体" w:hAnsi="宋体" w:cs="宋体" w:eastAsia="宋体" w:hint="default"/>
                <w:sz w:val="18"/>
                <w:szCs w:val="18"/>
              </w:rPr>
            </w:pPr>
            <w:r>
              <w:rPr>
                <w:rFonts w:ascii="宋体" w:hAnsi="宋体" w:cs="宋体" w:eastAsia="宋体" w:hint="default"/>
                <w:sz w:val="18"/>
                <w:szCs w:val="18"/>
              </w:rPr>
              <w:t>北京暴 风魔镜 科技有 限公司</w:t>
            </w:r>
          </w:p>
        </w:tc>
        <w:tc>
          <w:tcPr>
            <w:tcW w:w="556" w:type="dxa"/>
            <w:tcBorders>
              <w:top w:val="single" w:sz="4" w:space="0" w:color="5B9BD4"/>
              <w:left w:val="nil" w:sz="6" w:space="0" w:color="auto"/>
              <w:bottom w:val="single" w:sz="4" w:space="0" w:color="5B9BD4"/>
              <w:right w:val="nil" w:sz="6" w:space="0" w:color="auto"/>
            </w:tcBorders>
          </w:tcPr>
          <w:p>
            <w:pPr/>
          </w:p>
        </w:tc>
        <w:tc>
          <w:tcPr>
            <w:tcW w:w="13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22" w:right="0"/>
              <w:jc w:val="center"/>
              <w:rPr>
                <w:rFonts w:ascii="Arial" w:hAnsi="Arial" w:cs="Arial" w:eastAsia="Arial" w:hint="default"/>
                <w:sz w:val="18"/>
                <w:szCs w:val="18"/>
              </w:rPr>
            </w:pPr>
            <w:r>
              <w:rPr>
                <w:rFonts w:ascii="Arial"/>
                <w:sz w:val="18"/>
              </w:rPr>
              <w:t>9,000,000.00</w:t>
            </w:r>
          </w:p>
        </w:tc>
        <w:tc>
          <w:tcPr>
            <w:tcW w:w="742" w:type="dxa"/>
            <w:tcBorders>
              <w:top w:val="single" w:sz="4" w:space="0" w:color="5B9BD4"/>
              <w:left w:val="nil" w:sz="6" w:space="0" w:color="auto"/>
              <w:bottom w:val="single" w:sz="4" w:space="0" w:color="5B9BD4"/>
              <w:right w:val="nil" w:sz="6" w:space="0" w:color="auto"/>
            </w:tcBorders>
          </w:tcPr>
          <w:p>
            <w:pPr/>
          </w:p>
        </w:tc>
        <w:tc>
          <w:tcPr>
            <w:tcW w:w="138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Arial" w:hAnsi="Arial" w:cs="Arial" w:eastAsia="Arial" w:hint="default"/>
                <w:sz w:val="18"/>
                <w:szCs w:val="18"/>
              </w:rPr>
            </w:pPr>
            <w:r>
              <w:rPr>
                <w:rFonts w:ascii="Arial"/>
                <w:w w:val="95"/>
                <w:sz w:val="18"/>
              </w:rPr>
              <w:t>9,000,000.00</w:t>
            </w:r>
            <w:r>
              <w:rPr>
                <w:rFonts w:ascii="Arial"/>
                <w:sz w:val="18"/>
              </w:rPr>
            </w:r>
          </w:p>
        </w:tc>
        <w:tc>
          <w:tcPr>
            <w:tcW w:w="601" w:type="dxa"/>
            <w:tcBorders>
              <w:top w:val="single" w:sz="4" w:space="0" w:color="5B9BD4"/>
              <w:left w:val="nil" w:sz="6" w:space="0" w:color="auto"/>
              <w:bottom w:val="single" w:sz="4" w:space="0" w:color="5B9BD4"/>
              <w:right w:val="nil" w:sz="6" w:space="0" w:color="auto"/>
            </w:tcBorders>
          </w:tcPr>
          <w:p>
            <w:pPr/>
          </w:p>
        </w:tc>
        <w:tc>
          <w:tcPr>
            <w:tcW w:w="850" w:type="dxa"/>
            <w:tcBorders>
              <w:top w:val="single" w:sz="4" w:space="0" w:color="5B9BD4"/>
              <w:left w:val="nil" w:sz="6" w:space="0" w:color="auto"/>
              <w:bottom w:val="single" w:sz="4" w:space="0" w:color="5B9BD4"/>
              <w:right w:val="nil" w:sz="6" w:space="0" w:color="auto"/>
            </w:tcBorders>
            <w:shd w:val="clear" w:color="auto" w:fill="DEEAF6"/>
          </w:tcPr>
          <w:p>
            <w:pPr/>
          </w:p>
        </w:tc>
        <w:tc>
          <w:tcPr>
            <w:tcW w:w="851" w:type="dxa"/>
            <w:tcBorders>
              <w:top w:val="single" w:sz="4" w:space="0" w:color="5B9BD4"/>
              <w:left w:val="nil" w:sz="6" w:space="0" w:color="auto"/>
              <w:bottom w:val="single" w:sz="4" w:space="0" w:color="5B9BD4"/>
              <w:right w:val="nil" w:sz="6" w:space="0" w:color="auto"/>
            </w:tcBorders>
          </w:tcPr>
          <w:p>
            <w:pPr/>
          </w:p>
        </w:tc>
        <w:tc>
          <w:tcPr>
            <w:tcW w:w="593" w:type="dxa"/>
            <w:tcBorders>
              <w:top w:val="single" w:sz="4" w:space="0" w:color="5B9BD4"/>
              <w:left w:val="nil" w:sz="6" w:space="0" w:color="auto"/>
              <w:bottom w:val="single" w:sz="4" w:space="0" w:color="5B9BD4"/>
              <w:right w:val="nil" w:sz="6" w:space="0" w:color="auto"/>
            </w:tcBorders>
            <w:shd w:val="clear" w:color="auto" w:fill="DEEAF6"/>
          </w:tcPr>
          <w:p>
            <w:pPr/>
          </w:p>
        </w:tc>
        <w:tc>
          <w:tcPr>
            <w:tcW w:w="870"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5"/>
              <w:jc w:val="right"/>
              <w:rPr>
                <w:rFonts w:ascii="Arial" w:hAnsi="Arial" w:cs="Arial" w:eastAsia="Arial" w:hint="default"/>
                <w:sz w:val="18"/>
                <w:szCs w:val="18"/>
              </w:rPr>
            </w:pPr>
            <w:r>
              <w:rPr>
                <w:rFonts w:ascii="Arial"/>
                <w:w w:val="95"/>
                <w:sz w:val="18"/>
              </w:rPr>
              <w:t>2.97%</w:t>
            </w:r>
            <w:r>
              <w:rPr>
                <w:rFonts w:ascii="Arial"/>
                <w:sz w:val="18"/>
              </w:rPr>
            </w:r>
          </w:p>
        </w:tc>
        <w:tc>
          <w:tcPr>
            <w:tcW w:w="870"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2194" w:hRule="exact"/>
        </w:trPr>
        <w:tc>
          <w:tcPr>
            <w:tcW w:w="8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213"/>
              <w:jc w:val="both"/>
              <w:rPr>
                <w:rFonts w:ascii="宋体" w:hAnsi="宋体" w:cs="宋体" w:eastAsia="宋体" w:hint="default"/>
                <w:sz w:val="18"/>
                <w:szCs w:val="18"/>
              </w:rPr>
            </w:pPr>
            <w:r>
              <w:rPr>
                <w:rFonts w:ascii="宋体" w:hAnsi="宋体" w:cs="宋体" w:eastAsia="宋体" w:hint="default"/>
                <w:sz w:val="18"/>
                <w:szCs w:val="18"/>
              </w:rPr>
              <w:t>北京德 丰杰龙 脉投资 基金管 理中心</w:t>
            </w:r>
          </w:p>
          <w:p>
            <w:pPr>
              <w:pStyle w:val="TableParagraph"/>
              <w:spacing w:line="316" w:lineRule="auto" w:before="19"/>
              <w:ind w:left="108" w:right="213"/>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556" w:type="dxa"/>
            <w:tcBorders>
              <w:top w:val="single" w:sz="4" w:space="0" w:color="5B9BD4"/>
              <w:left w:val="nil" w:sz="6" w:space="0" w:color="auto"/>
              <w:bottom w:val="single" w:sz="4" w:space="0" w:color="5B9BD4"/>
              <w:right w:val="nil" w:sz="6" w:space="0" w:color="auto"/>
            </w:tcBorders>
          </w:tcPr>
          <w:p>
            <w:pPr/>
          </w:p>
        </w:tc>
        <w:tc>
          <w:tcPr>
            <w:tcW w:w="13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0" w:right="0"/>
              <w:jc w:val="center"/>
              <w:rPr>
                <w:rFonts w:ascii="Arial" w:hAnsi="Arial" w:cs="Arial" w:eastAsia="Arial" w:hint="default"/>
                <w:sz w:val="18"/>
                <w:szCs w:val="18"/>
              </w:rPr>
            </w:pPr>
            <w:r>
              <w:rPr>
                <w:rFonts w:ascii="Arial"/>
                <w:sz w:val="18"/>
              </w:rPr>
              <w:t>10,000,000.00</w:t>
            </w:r>
          </w:p>
        </w:tc>
        <w:tc>
          <w:tcPr>
            <w:tcW w:w="742" w:type="dxa"/>
            <w:tcBorders>
              <w:top w:val="single" w:sz="4" w:space="0" w:color="5B9BD4"/>
              <w:left w:val="nil" w:sz="6" w:space="0" w:color="auto"/>
              <w:bottom w:val="single" w:sz="4" w:space="0" w:color="5B9BD4"/>
              <w:right w:val="nil" w:sz="6" w:space="0" w:color="auto"/>
            </w:tcBorders>
          </w:tcPr>
          <w:p>
            <w:pPr/>
          </w:p>
        </w:tc>
        <w:tc>
          <w:tcPr>
            <w:tcW w:w="138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7"/>
              <w:jc w:val="right"/>
              <w:rPr>
                <w:rFonts w:ascii="Arial" w:hAnsi="Arial" w:cs="Arial" w:eastAsia="Arial" w:hint="default"/>
                <w:sz w:val="18"/>
                <w:szCs w:val="18"/>
              </w:rPr>
            </w:pPr>
            <w:r>
              <w:rPr>
                <w:rFonts w:ascii="Arial"/>
                <w:w w:val="95"/>
                <w:sz w:val="18"/>
              </w:rPr>
              <w:t>10,000,000.00</w:t>
            </w:r>
            <w:r>
              <w:rPr>
                <w:rFonts w:ascii="Arial"/>
                <w:sz w:val="18"/>
              </w:rPr>
            </w:r>
          </w:p>
        </w:tc>
        <w:tc>
          <w:tcPr>
            <w:tcW w:w="601" w:type="dxa"/>
            <w:tcBorders>
              <w:top w:val="single" w:sz="4" w:space="0" w:color="5B9BD4"/>
              <w:left w:val="nil" w:sz="6" w:space="0" w:color="auto"/>
              <w:bottom w:val="single" w:sz="4" w:space="0" w:color="5B9BD4"/>
              <w:right w:val="nil" w:sz="6" w:space="0" w:color="auto"/>
            </w:tcBorders>
          </w:tcPr>
          <w:p>
            <w:pPr/>
          </w:p>
        </w:tc>
        <w:tc>
          <w:tcPr>
            <w:tcW w:w="850" w:type="dxa"/>
            <w:tcBorders>
              <w:top w:val="single" w:sz="4" w:space="0" w:color="5B9BD4"/>
              <w:left w:val="nil" w:sz="6" w:space="0" w:color="auto"/>
              <w:bottom w:val="single" w:sz="4" w:space="0" w:color="5B9BD4"/>
              <w:right w:val="nil" w:sz="6" w:space="0" w:color="auto"/>
            </w:tcBorders>
            <w:shd w:val="clear" w:color="auto" w:fill="DEEAF6"/>
          </w:tcPr>
          <w:p>
            <w:pPr/>
          </w:p>
        </w:tc>
        <w:tc>
          <w:tcPr>
            <w:tcW w:w="851" w:type="dxa"/>
            <w:tcBorders>
              <w:top w:val="single" w:sz="4" w:space="0" w:color="5B9BD4"/>
              <w:left w:val="nil" w:sz="6" w:space="0" w:color="auto"/>
              <w:bottom w:val="single" w:sz="4" w:space="0" w:color="5B9BD4"/>
              <w:right w:val="nil" w:sz="6" w:space="0" w:color="auto"/>
            </w:tcBorders>
          </w:tcPr>
          <w:p>
            <w:pPr/>
          </w:p>
        </w:tc>
        <w:tc>
          <w:tcPr>
            <w:tcW w:w="593" w:type="dxa"/>
            <w:tcBorders>
              <w:top w:val="single" w:sz="4" w:space="0" w:color="5B9BD4"/>
              <w:left w:val="nil" w:sz="6" w:space="0" w:color="auto"/>
              <w:bottom w:val="single" w:sz="4" w:space="0" w:color="5B9BD4"/>
              <w:right w:val="nil" w:sz="6" w:space="0" w:color="auto"/>
            </w:tcBorders>
            <w:shd w:val="clear" w:color="auto" w:fill="DEEAF6"/>
          </w:tcPr>
          <w:p>
            <w:pPr/>
          </w:p>
        </w:tc>
        <w:tc>
          <w:tcPr>
            <w:tcW w:w="870"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5"/>
              <w:jc w:val="right"/>
              <w:rPr>
                <w:rFonts w:ascii="Arial" w:hAnsi="Arial" w:cs="Arial" w:eastAsia="Arial" w:hint="default"/>
                <w:sz w:val="18"/>
                <w:szCs w:val="18"/>
              </w:rPr>
            </w:pPr>
            <w:r>
              <w:rPr>
                <w:rFonts w:ascii="Arial"/>
                <w:w w:val="95"/>
                <w:sz w:val="18"/>
              </w:rPr>
              <w:t>6.08%</w:t>
            </w:r>
            <w:r>
              <w:rPr>
                <w:rFonts w:ascii="Arial"/>
                <w:sz w:val="18"/>
              </w:rPr>
            </w:r>
          </w:p>
        </w:tc>
        <w:tc>
          <w:tcPr>
            <w:tcW w:w="870"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1571" w:hRule="exact"/>
        </w:trPr>
        <w:tc>
          <w:tcPr>
            <w:tcW w:w="8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06"/>
              <w:jc w:val="left"/>
              <w:rPr>
                <w:rFonts w:ascii="宋体" w:hAnsi="宋体" w:cs="宋体" w:eastAsia="宋体" w:hint="default"/>
                <w:sz w:val="18"/>
                <w:szCs w:val="18"/>
              </w:rPr>
            </w:pPr>
            <w:r>
              <w:rPr>
                <w:rFonts w:ascii="宋体" w:hAnsi="宋体" w:cs="宋体" w:eastAsia="宋体" w:hint="default"/>
                <w:sz w:val="18"/>
                <w:szCs w:val="18"/>
              </w:rPr>
              <w:t>店商互 联（北 </w:t>
            </w:r>
            <w:r>
              <w:rPr>
                <w:rFonts w:ascii="宋体" w:hAnsi="宋体" w:cs="宋体" w:eastAsia="宋体" w:hint="default"/>
                <w:spacing w:val="-19"/>
                <w:sz w:val="18"/>
                <w:szCs w:val="18"/>
              </w:rPr>
              <w:t>京）科技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发展有 限公司</w:t>
            </w:r>
          </w:p>
        </w:tc>
        <w:tc>
          <w:tcPr>
            <w:tcW w:w="556" w:type="dxa"/>
            <w:tcBorders>
              <w:top w:val="single" w:sz="4" w:space="0" w:color="5B9BD4"/>
              <w:left w:val="nil" w:sz="6" w:space="0" w:color="auto"/>
              <w:bottom w:val="single" w:sz="4" w:space="0" w:color="5B9BD4"/>
              <w:right w:val="nil" w:sz="6" w:space="0" w:color="auto"/>
            </w:tcBorders>
          </w:tcPr>
          <w:p>
            <w:pPr/>
          </w:p>
        </w:tc>
        <w:tc>
          <w:tcPr>
            <w:tcW w:w="13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0" w:right="0"/>
              <w:jc w:val="center"/>
              <w:rPr>
                <w:rFonts w:ascii="Arial" w:hAnsi="Arial" w:cs="Arial" w:eastAsia="Arial" w:hint="default"/>
                <w:sz w:val="18"/>
                <w:szCs w:val="18"/>
              </w:rPr>
            </w:pPr>
            <w:r>
              <w:rPr>
                <w:rFonts w:ascii="Arial"/>
                <w:sz w:val="18"/>
              </w:rPr>
              <w:t>30,000,000.00</w:t>
            </w:r>
          </w:p>
        </w:tc>
        <w:tc>
          <w:tcPr>
            <w:tcW w:w="742" w:type="dxa"/>
            <w:tcBorders>
              <w:top w:val="single" w:sz="4" w:space="0" w:color="5B9BD4"/>
              <w:left w:val="nil" w:sz="6" w:space="0" w:color="auto"/>
              <w:bottom w:val="single" w:sz="4" w:space="0" w:color="5B9BD4"/>
              <w:right w:val="nil" w:sz="6" w:space="0" w:color="auto"/>
            </w:tcBorders>
          </w:tcPr>
          <w:p>
            <w:pPr/>
          </w:p>
        </w:tc>
        <w:tc>
          <w:tcPr>
            <w:tcW w:w="138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18"/>
                <w:szCs w:val="18"/>
              </w:rPr>
            </w:pPr>
            <w:r>
              <w:rPr>
                <w:rFonts w:ascii="Arial"/>
                <w:w w:val="95"/>
                <w:sz w:val="18"/>
              </w:rPr>
              <w:t>30,000,000.00</w:t>
            </w:r>
            <w:r>
              <w:rPr>
                <w:rFonts w:ascii="Arial"/>
                <w:sz w:val="18"/>
              </w:rPr>
            </w:r>
          </w:p>
        </w:tc>
        <w:tc>
          <w:tcPr>
            <w:tcW w:w="601" w:type="dxa"/>
            <w:tcBorders>
              <w:top w:val="single" w:sz="4" w:space="0" w:color="5B9BD4"/>
              <w:left w:val="nil" w:sz="6" w:space="0" w:color="auto"/>
              <w:bottom w:val="single" w:sz="4" w:space="0" w:color="5B9BD4"/>
              <w:right w:val="nil" w:sz="6" w:space="0" w:color="auto"/>
            </w:tcBorders>
          </w:tcPr>
          <w:p>
            <w:pPr/>
          </w:p>
        </w:tc>
        <w:tc>
          <w:tcPr>
            <w:tcW w:w="850" w:type="dxa"/>
            <w:tcBorders>
              <w:top w:val="single" w:sz="4" w:space="0" w:color="5B9BD4"/>
              <w:left w:val="nil" w:sz="6" w:space="0" w:color="auto"/>
              <w:bottom w:val="single" w:sz="4" w:space="0" w:color="5B9BD4"/>
              <w:right w:val="nil" w:sz="6" w:space="0" w:color="auto"/>
            </w:tcBorders>
            <w:shd w:val="clear" w:color="auto" w:fill="DEEAF6"/>
          </w:tcPr>
          <w:p>
            <w:pPr/>
          </w:p>
        </w:tc>
        <w:tc>
          <w:tcPr>
            <w:tcW w:w="851" w:type="dxa"/>
            <w:tcBorders>
              <w:top w:val="single" w:sz="4" w:space="0" w:color="5B9BD4"/>
              <w:left w:val="nil" w:sz="6" w:space="0" w:color="auto"/>
              <w:bottom w:val="single" w:sz="4" w:space="0" w:color="5B9BD4"/>
              <w:right w:val="nil" w:sz="6" w:space="0" w:color="auto"/>
            </w:tcBorders>
          </w:tcPr>
          <w:p>
            <w:pPr/>
          </w:p>
        </w:tc>
        <w:tc>
          <w:tcPr>
            <w:tcW w:w="593" w:type="dxa"/>
            <w:tcBorders>
              <w:top w:val="single" w:sz="4" w:space="0" w:color="5B9BD4"/>
              <w:left w:val="nil" w:sz="6" w:space="0" w:color="auto"/>
              <w:bottom w:val="single" w:sz="4" w:space="0" w:color="5B9BD4"/>
              <w:right w:val="nil" w:sz="6" w:space="0" w:color="auto"/>
            </w:tcBorders>
            <w:shd w:val="clear" w:color="auto" w:fill="DEEAF6"/>
          </w:tcPr>
          <w:p>
            <w:pPr/>
          </w:p>
        </w:tc>
        <w:tc>
          <w:tcPr>
            <w:tcW w:w="870"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5.00%</w:t>
            </w:r>
            <w:r>
              <w:rPr>
                <w:rFonts w:ascii="Arial"/>
                <w:sz w:val="18"/>
              </w:rPr>
            </w:r>
          </w:p>
        </w:tc>
        <w:tc>
          <w:tcPr>
            <w:tcW w:w="870"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8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56" w:type="dxa"/>
            <w:tcBorders>
              <w:top w:val="single" w:sz="4" w:space="0" w:color="5B9BD4"/>
              <w:left w:val="nil" w:sz="6" w:space="0" w:color="auto"/>
              <w:bottom w:val="single" w:sz="4" w:space="0" w:color="5B9BD4"/>
              <w:right w:val="nil" w:sz="6" w:space="0" w:color="auto"/>
            </w:tcBorders>
          </w:tcPr>
          <w:p>
            <w:pPr/>
          </w:p>
        </w:tc>
        <w:tc>
          <w:tcPr>
            <w:tcW w:w="13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20" w:right="0"/>
              <w:jc w:val="center"/>
              <w:rPr>
                <w:rFonts w:ascii="Arial" w:hAnsi="Arial" w:cs="Arial" w:eastAsia="Arial" w:hint="default"/>
                <w:sz w:val="18"/>
                <w:szCs w:val="18"/>
              </w:rPr>
            </w:pPr>
            <w:r>
              <w:rPr>
                <w:rFonts w:ascii="Arial"/>
                <w:sz w:val="18"/>
              </w:rPr>
              <w:t>49,000,000.00</w:t>
            </w:r>
          </w:p>
        </w:tc>
        <w:tc>
          <w:tcPr>
            <w:tcW w:w="742" w:type="dxa"/>
            <w:tcBorders>
              <w:top w:val="single" w:sz="4" w:space="0" w:color="5B9BD4"/>
              <w:left w:val="nil" w:sz="6" w:space="0" w:color="auto"/>
              <w:bottom w:val="single" w:sz="4" w:space="0" w:color="5B9BD4"/>
              <w:right w:val="nil" w:sz="6" w:space="0" w:color="auto"/>
            </w:tcBorders>
          </w:tcPr>
          <w:p>
            <w:pPr/>
          </w:p>
        </w:tc>
        <w:tc>
          <w:tcPr>
            <w:tcW w:w="138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w w:val="95"/>
                <w:sz w:val="18"/>
              </w:rPr>
              <w:t>49,000,000.00</w:t>
            </w:r>
            <w:r>
              <w:rPr>
                <w:rFonts w:ascii="Arial"/>
                <w:sz w:val="18"/>
              </w:rPr>
            </w:r>
          </w:p>
        </w:tc>
        <w:tc>
          <w:tcPr>
            <w:tcW w:w="601" w:type="dxa"/>
            <w:tcBorders>
              <w:top w:val="single" w:sz="4" w:space="0" w:color="5B9BD4"/>
              <w:left w:val="nil" w:sz="6" w:space="0" w:color="auto"/>
              <w:bottom w:val="single" w:sz="4" w:space="0" w:color="5B9BD4"/>
              <w:right w:val="nil" w:sz="6" w:space="0" w:color="auto"/>
            </w:tcBorders>
          </w:tcPr>
          <w:p>
            <w:pPr/>
          </w:p>
        </w:tc>
        <w:tc>
          <w:tcPr>
            <w:tcW w:w="850" w:type="dxa"/>
            <w:tcBorders>
              <w:top w:val="single" w:sz="4" w:space="0" w:color="5B9BD4"/>
              <w:left w:val="nil" w:sz="6" w:space="0" w:color="auto"/>
              <w:bottom w:val="single" w:sz="4" w:space="0" w:color="5B9BD4"/>
              <w:right w:val="nil" w:sz="6" w:space="0" w:color="auto"/>
            </w:tcBorders>
            <w:shd w:val="clear" w:color="auto" w:fill="DEEAF6"/>
          </w:tcPr>
          <w:p>
            <w:pPr/>
          </w:p>
        </w:tc>
        <w:tc>
          <w:tcPr>
            <w:tcW w:w="851" w:type="dxa"/>
            <w:tcBorders>
              <w:top w:val="single" w:sz="4" w:space="0" w:color="5B9BD4"/>
              <w:left w:val="nil" w:sz="6" w:space="0" w:color="auto"/>
              <w:bottom w:val="single" w:sz="4" w:space="0" w:color="5B9BD4"/>
              <w:right w:val="nil" w:sz="6" w:space="0" w:color="auto"/>
            </w:tcBorders>
          </w:tcPr>
          <w:p>
            <w:pPr/>
          </w:p>
        </w:tc>
        <w:tc>
          <w:tcPr>
            <w:tcW w:w="593" w:type="dxa"/>
            <w:tcBorders>
              <w:top w:val="single" w:sz="4" w:space="0" w:color="5B9BD4"/>
              <w:left w:val="nil" w:sz="6" w:space="0" w:color="auto"/>
              <w:bottom w:val="single" w:sz="4" w:space="0" w:color="5B9BD4"/>
              <w:right w:val="nil" w:sz="6" w:space="0" w:color="auto"/>
            </w:tcBorders>
            <w:shd w:val="clear" w:color="auto" w:fill="DEEAF6"/>
          </w:tcPr>
          <w:p>
            <w:pPr/>
          </w:p>
        </w:tc>
        <w:tc>
          <w:tcPr>
            <w:tcW w:w="87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w:t>
            </w:r>
            <w:r>
              <w:rPr>
                <w:rFonts w:ascii="Arial"/>
                <w:sz w:val="18"/>
              </w:rPr>
            </w:r>
          </w:p>
        </w:tc>
        <w:tc>
          <w:tcPr>
            <w:tcW w:w="870" w:type="dxa"/>
            <w:tcBorders>
              <w:top w:val="single" w:sz="4" w:space="0" w:color="5B9BD4"/>
              <w:left w:val="nil" w:sz="6" w:space="0" w:color="auto"/>
              <w:bottom w:val="single" w:sz="4" w:space="0" w:color="5B9BD4"/>
              <w:right w:val="nil" w:sz="6" w:space="0" w:color="auto"/>
            </w:tcBorders>
            <w:shd w:val="clear" w:color="auto" w:fill="DEEAF6"/>
          </w:tcPr>
          <w:p>
            <w:pPr/>
          </w:p>
        </w:tc>
      </w:tr>
    </w:tbl>
    <w:p>
      <w:pPr>
        <w:spacing w:after="0"/>
        <w:sectPr>
          <w:pgSz w:w="11910" w:h="16840"/>
          <w:pgMar w:header="877" w:footer="979" w:top="1100" w:bottom="1160" w:left="920" w:right="0"/>
        </w:sectPr>
      </w:pPr>
    </w:p>
    <w:p>
      <w:pPr>
        <w:spacing w:line="240" w:lineRule="auto" w:before="5"/>
        <w:rPr>
          <w:rFonts w:ascii="宋体" w:hAnsi="宋体" w:cs="宋体" w:eastAsia="宋体" w:hint="default"/>
          <w:sz w:val="20"/>
          <w:szCs w:val="20"/>
        </w:rPr>
      </w:pPr>
    </w:p>
    <w:p>
      <w:pPr>
        <w:pStyle w:val="Heading5"/>
        <w:spacing w:line="240" w:lineRule="auto"/>
        <w:ind w:right="1513"/>
        <w:jc w:val="left"/>
        <w:rPr>
          <w:b w:val="0"/>
          <w:bCs w:val="0"/>
        </w:rPr>
      </w:pPr>
      <w:bookmarkStart w:name="10、长期股权投资" w:id="309"/>
      <w:bookmarkEnd w:id="309"/>
      <w:r>
        <w:rPr>
          <w:b w:val="0"/>
          <w:bCs w:val="0"/>
        </w:rPr>
      </w:r>
      <w:r>
        <w:rPr>
          <w:rFonts w:ascii="Trebuchet MS" w:hAnsi="Trebuchet MS" w:cs="Trebuchet MS" w:eastAsia="Trebuchet MS" w:hint="default"/>
        </w:rPr>
        <w:t>10</w:t>
      </w:r>
      <w:r>
        <w:rPr/>
        <w:t>、长期股权投资</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796"/>
        <w:gridCol w:w="797"/>
        <w:gridCol w:w="798"/>
        <w:gridCol w:w="798"/>
        <w:gridCol w:w="798"/>
        <w:gridCol w:w="798"/>
        <w:gridCol w:w="798"/>
        <w:gridCol w:w="798"/>
        <w:gridCol w:w="798"/>
        <w:gridCol w:w="798"/>
        <w:gridCol w:w="798"/>
        <w:gridCol w:w="798"/>
      </w:tblGrid>
      <w:tr>
        <w:trPr>
          <w:trHeight w:val="323" w:hRule="exact"/>
        </w:trPr>
        <w:tc>
          <w:tcPr>
            <w:tcW w:w="796" w:type="dxa"/>
            <w:tcBorders>
              <w:top w:val="single" w:sz="4" w:space="0" w:color="5B9BD4"/>
              <w:left w:val="nil" w:sz="6" w:space="0" w:color="auto"/>
              <w:bottom w:val="nil" w:sz="6" w:space="0" w:color="auto"/>
              <w:right w:val="nil" w:sz="6" w:space="0" w:color="auto"/>
            </w:tcBorders>
            <w:shd w:val="clear" w:color="auto" w:fill="DEEAF6"/>
          </w:tcPr>
          <w:p>
            <w:pPr/>
          </w:p>
        </w:tc>
        <w:tc>
          <w:tcPr>
            <w:tcW w:w="797" w:type="dxa"/>
            <w:tcBorders>
              <w:top w:val="single" w:sz="4" w:space="0" w:color="5B9BD4"/>
              <w:left w:val="nil" w:sz="6" w:space="0" w:color="auto"/>
              <w:bottom w:val="nil" w:sz="6" w:space="0" w:color="auto"/>
              <w:right w:val="nil" w:sz="6" w:space="0" w:color="auto"/>
            </w:tcBorders>
            <w:shd w:val="clear" w:color="auto" w:fill="DEEAF6"/>
          </w:tcPr>
          <w:p>
            <w:pPr/>
          </w:p>
        </w:tc>
        <w:tc>
          <w:tcPr>
            <w:tcW w:w="6385" w:type="dxa"/>
            <w:gridSpan w:val="8"/>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tcBorders>
              <w:top w:val="single" w:sz="4" w:space="0" w:color="5B9BD4"/>
              <w:left w:val="nil" w:sz="6" w:space="0" w:color="auto"/>
              <w:bottom w:val="nil" w:sz="6" w:space="0" w:color="auto"/>
              <w:right w:val="nil" w:sz="6" w:space="0" w:color="auto"/>
            </w:tcBorders>
            <w:shd w:val="clear" w:color="auto" w:fill="DEEAF6"/>
          </w:tcPr>
          <w:p>
            <w:pPr/>
          </w:p>
        </w:tc>
        <w:tc>
          <w:tcPr>
            <w:tcW w:w="798" w:type="dxa"/>
            <w:tcBorders>
              <w:top w:val="single" w:sz="4" w:space="0" w:color="5B9BD4"/>
              <w:left w:val="nil" w:sz="6" w:space="0" w:color="auto"/>
              <w:bottom w:val="nil" w:sz="6" w:space="0" w:color="auto"/>
              <w:right w:val="nil" w:sz="6" w:space="0" w:color="auto"/>
            </w:tcBorders>
            <w:shd w:val="clear" w:color="auto" w:fill="DEEAF6"/>
          </w:tcPr>
          <w:p>
            <w:pPr/>
          </w:p>
        </w:tc>
      </w:tr>
      <w:tr>
        <w:trPr>
          <w:trHeight w:val="1258" w:hRule="exact"/>
        </w:trPr>
        <w:tc>
          <w:tcPr>
            <w:tcW w:w="796"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217" w:right="126"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797"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308" w:right="126"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9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
              <w:ind w:right="0"/>
              <w:jc w:val="left"/>
              <w:rPr>
                <w:rFonts w:ascii="宋体" w:hAnsi="宋体" w:cs="宋体" w:eastAsia="宋体" w:hint="default"/>
                <w:sz w:val="24"/>
                <w:szCs w:val="24"/>
              </w:rPr>
            </w:pPr>
          </w:p>
          <w:p>
            <w:pPr>
              <w:pStyle w:val="TableParagraph"/>
              <w:spacing w:line="316" w:lineRule="auto"/>
              <w:ind w:left="308" w:right="127"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
              <w:ind w:right="0"/>
              <w:jc w:val="left"/>
              <w:rPr>
                <w:rFonts w:ascii="宋体" w:hAnsi="宋体" w:cs="宋体" w:eastAsia="宋体" w:hint="default"/>
                <w:sz w:val="24"/>
                <w:szCs w:val="24"/>
              </w:rPr>
            </w:pPr>
          </w:p>
          <w:p>
            <w:pPr>
              <w:pStyle w:val="TableParagraph"/>
              <w:spacing w:line="316" w:lineRule="auto"/>
              <w:ind w:left="308" w:right="127"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28" w:right="129"/>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128" w:right="127"/>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
              <w:ind w:right="0"/>
              <w:jc w:val="left"/>
              <w:rPr>
                <w:rFonts w:ascii="宋体" w:hAnsi="宋体" w:cs="宋体" w:eastAsia="宋体" w:hint="default"/>
                <w:sz w:val="24"/>
                <w:szCs w:val="24"/>
              </w:rPr>
            </w:pPr>
          </w:p>
          <w:p>
            <w:pPr>
              <w:pStyle w:val="TableParagraph"/>
              <w:spacing w:line="316" w:lineRule="auto"/>
              <w:ind w:left="128" w:right="127"/>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28" w:right="127"/>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
              <w:ind w:right="0"/>
              <w:jc w:val="left"/>
              <w:rPr>
                <w:rFonts w:ascii="宋体" w:hAnsi="宋体" w:cs="宋体" w:eastAsia="宋体" w:hint="default"/>
                <w:sz w:val="24"/>
                <w:szCs w:val="24"/>
              </w:rPr>
            </w:pPr>
          </w:p>
          <w:p>
            <w:pPr>
              <w:pStyle w:val="TableParagraph"/>
              <w:spacing w:line="316" w:lineRule="auto"/>
              <w:ind w:left="128" w:right="129"/>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308" w:right="127"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8"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316" w:lineRule="auto" w:before="6"/>
              <w:ind w:left="128" w:right="127"/>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317" w:hRule="exact"/>
        </w:trPr>
        <w:tc>
          <w:tcPr>
            <w:tcW w:w="9574" w:type="dxa"/>
            <w:gridSpan w:val="1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27" w:hRule="exact"/>
        </w:trPr>
        <w:tc>
          <w:tcPr>
            <w:tcW w:w="796" w:type="dxa"/>
            <w:tcBorders>
              <w:top w:val="single" w:sz="4" w:space="0" w:color="5B9BD4"/>
              <w:left w:val="nil" w:sz="6" w:space="0" w:color="auto"/>
              <w:bottom w:val="single" w:sz="4" w:space="0" w:color="5B9BD4"/>
              <w:right w:val="nil" w:sz="6" w:space="0" w:color="auto"/>
            </w:tcBorders>
            <w:shd w:val="clear" w:color="auto" w:fill="DEEAF6"/>
          </w:tcPr>
          <w:p>
            <w:pPr/>
          </w:p>
        </w:tc>
        <w:tc>
          <w:tcPr>
            <w:tcW w:w="797"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r>
      <w:tr>
        <w:trPr>
          <w:trHeight w:val="327" w:hRule="exact"/>
        </w:trPr>
        <w:tc>
          <w:tcPr>
            <w:tcW w:w="79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r>
      <w:tr>
        <w:trPr>
          <w:trHeight w:val="312" w:hRule="exact"/>
        </w:trPr>
        <w:tc>
          <w:tcPr>
            <w:tcW w:w="9574" w:type="dxa"/>
            <w:gridSpan w:val="1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575" w:hRule="exact"/>
        </w:trPr>
        <w:tc>
          <w:tcPr>
            <w:tcW w:w="79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10"/>
              <w:ind w:left="108" w:right="147"/>
              <w:jc w:val="both"/>
              <w:rPr>
                <w:rFonts w:ascii="宋体" w:hAnsi="宋体" w:cs="宋体" w:eastAsia="宋体" w:hint="default"/>
                <w:sz w:val="18"/>
                <w:szCs w:val="18"/>
              </w:rPr>
            </w:pPr>
            <w:r>
              <w:rPr>
                <w:rFonts w:ascii="宋体" w:hAnsi="宋体" w:cs="宋体" w:eastAsia="宋体" w:hint="default"/>
                <w:sz w:val="18"/>
                <w:szCs w:val="18"/>
              </w:rPr>
              <w:t>北京全 彩时代 网络科 技有限 公司①</w:t>
            </w:r>
          </w:p>
        </w:tc>
        <w:tc>
          <w:tcPr>
            <w:tcW w:w="79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5"/>
              <w:jc w:val="right"/>
              <w:rPr>
                <w:rFonts w:ascii="Arial" w:hAnsi="Arial" w:cs="Arial" w:eastAsia="Arial" w:hint="default"/>
                <w:sz w:val="18"/>
                <w:szCs w:val="18"/>
              </w:rPr>
            </w:pPr>
            <w:r>
              <w:rPr>
                <w:rFonts w:ascii="Arial"/>
                <w:w w:val="95"/>
                <w:sz w:val="18"/>
              </w:rPr>
              <w:t>30,000</w:t>
            </w:r>
            <w:r>
              <w:rPr>
                <w:rFonts w:ascii="Arial"/>
                <w:sz w:val="18"/>
              </w:rPr>
            </w:r>
          </w:p>
          <w:p>
            <w:pPr>
              <w:pStyle w:val="TableParagraph"/>
              <w:spacing w:line="240" w:lineRule="auto" w:before="105"/>
              <w:ind w:right="104"/>
              <w:jc w:val="right"/>
              <w:rPr>
                <w:rFonts w:ascii="Arial" w:hAnsi="Arial" w:cs="Arial" w:eastAsia="Arial" w:hint="default"/>
                <w:sz w:val="18"/>
                <w:szCs w:val="18"/>
              </w:rPr>
            </w:pPr>
            <w:r>
              <w:rPr>
                <w:rFonts w:ascii="Arial"/>
                <w:w w:val="95"/>
                <w:sz w:val="18"/>
              </w:rPr>
              <w:t>,000.0</w:t>
            </w:r>
            <w:r>
              <w:rPr>
                <w:rFonts w:ascii="Arial"/>
                <w:sz w:val="18"/>
              </w:rPr>
            </w:r>
          </w:p>
          <w:p>
            <w:pPr>
              <w:pStyle w:val="TableParagraph"/>
              <w:spacing w:line="240" w:lineRule="auto" w:before="105"/>
              <w:ind w:right="105"/>
              <w:jc w:val="right"/>
              <w:rPr>
                <w:rFonts w:ascii="Arial" w:hAnsi="Arial" w:cs="Arial" w:eastAsia="Arial" w:hint="default"/>
                <w:sz w:val="18"/>
                <w:szCs w:val="18"/>
              </w:rPr>
            </w:pPr>
            <w:r>
              <w:rPr>
                <w:rFonts w:ascii="Arial"/>
                <w:w w:val="99"/>
                <w:sz w:val="18"/>
              </w:rPr>
              <w:t>0</w:t>
            </w:r>
            <w:r>
              <w:rPr>
                <w:rFonts w:ascii="Arial"/>
                <w:sz w:val="18"/>
              </w:rPr>
            </w: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5"/>
              <w:jc w:val="right"/>
              <w:rPr>
                <w:rFonts w:ascii="Arial" w:hAnsi="Arial" w:cs="Arial" w:eastAsia="Arial" w:hint="default"/>
                <w:sz w:val="18"/>
                <w:szCs w:val="18"/>
              </w:rPr>
            </w:pPr>
            <w:r>
              <w:rPr>
                <w:rFonts w:ascii="Arial"/>
                <w:w w:val="95"/>
                <w:sz w:val="18"/>
              </w:rPr>
              <w:t>30,000</w:t>
            </w:r>
            <w:r>
              <w:rPr>
                <w:rFonts w:ascii="Arial"/>
                <w:sz w:val="18"/>
              </w:rPr>
            </w:r>
          </w:p>
          <w:p>
            <w:pPr>
              <w:pStyle w:val="TableParagraph"/>
              <w:spacing w:line="240" w:lineRule="auto" w:before="105"/>
              <w:ind w:right="104"/>
              <w:jc w:val="right"/>
              <w:rPr>
                <w:rFonts w:ascii="Arial" w:hAnsi="Arial" w:cs="Arial" w:eastAsia="Arial" w:hint="default"/>
                <w:sz w:val="18"/>
                <w:szCs w:val="18"/>
              </w:rPr>
            </w:pPr>
            <w:r>
              <w:rPr>
                <w:rFonts w:ascii="Arial"/>
                <w:w w:val="95"/>
                <w:sz w:val="18"/>
              </w:rPr>
              <w:t>,000.0</w:t>
            </w:r>
            <w:r>
              <w:rPr>
                <w:rFonts w:ascii="Arial"/>
                <w:sz w:val="18"/>
              </w:rPr>
            </w:r>
          </w:p>
          <w:p>
            <w:pPr>
              <w:pStyle w:val="TableParagraph"/>
              <w:spacing w:line="240" w:lineRule="auto" w:before="105"/>
              <w:ind w:right="105"/>
              <w:jc w:val="right"/>
              <w:rPr>
                <w:rFonts w:ascii="Arial" w:hAnsi="Arial" w:cs="Arial" w:eastAsia="Arial" w:hint="default"/>
                <w:sz w:val="18"/>
                <w:szCs w:val="18"/>
              </w:rPr>
            </w:pPr>
            <w:r>
              <w:rPr>
                <w:rFonts w:ascii="Arial"/>
                <w:w w:val="99"/>
                <w:sz w:val="18"/>
              </w:rPr>
              <w:t>0</w:t>
            </w:r>
            <w:r>
              <w:rPr>
                <w:rFonts w:ascii="Arial"/>
                <w:sz w:val="18"/>
              </w:rPr>
            </w: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r>
      <w:tr>
        <w:trPr>
          <w:trHeight w:val="3755" w:hRule="exact"/>
        </w:trPr>
        <w:tc>
          <w:tcPr>
            <w:tcW w:w="79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147"/>
              <w:jc w:val="both"/>
              <w:rPr>
                <w:rFonts w:ascii="宋体" w:hAnsi="宋体" w:cs="宋体" w:eastAsia="宋体" w:hint="default"/>
                <w:sz w:val="18"/>
                <w:szCs w:val="18"/>
              </w:rPr>
            </w:pPr>
            <w:r>
              <w:rPr>
                <w:rFonts w:ascii="宋体" w:hAnsi="宋体" w:cs="宋体" w:eastAsia="宋体" w:hint="default"/>
                <w:sz w:val="18"/>
                <w:szCs w:val="18"/>
              </w:rPr>
              <w:t>北京磨 盘精准 网络营 销技术 股份有 限公司</w:t>
            </w:r>
          </w:p>
          <w:p>
            <w:pPr>
              <w:pStyle w:val="TableParagraph"/>
              <w:spacing w:line="316" w:lineRule="auto" w:before="19"/>
              <w:ind w:left="108" w:right="147"/>
              <w:jc w:val="left"/>
              <w:rPr>
                <w:rFonts w:ascii="宋体" w:hAnsi="宋体" w:cs="宋体" w:eastAsia="宋体" w:hint="default"/>
                <w:sz w:val="18"/>
                <w:szCs w:val="18"/>
              </w:rPr>
            </w:pPr>
            <w:r>
              <w:rPr>
                <w:rFonts w:ascii="宋体" w:hAnsi="宋体" w:cs="宋体" w:eastAsia="宋体" w:hint="default"/>
                <w:sz w:val="18"/>
                <w:szCs w:val="18"/>
              </w:rPr>
              <w:t>（以下 简称 “磨盘 股份公 司”）</w:t>
            </w:r>
          </w:p>
          <w:p>
            <w:pPr>
              <w:pStyle w:val="TableParagraph"/>
              <w:spacing w:line="240" w:lineRule="auto" w:before="19"/>
              <w:ind w:left="108" w:right="0"/>
              <w:jc w:val="left"/>
              <w:rPr>
                <w:rFonts w:ascii="宋体" w:hAnsi="宋体" w:cs="宋体" w:eastAsia="宋体" w:hint="default"/>
                <w:sz w:val="18"/>
                <w:szCs w:val="18"/>
              </w:rPr>
            </w:pPr>
            <w:r>
              <w:rPr>
                <w:rFonts w:ascii="宋体" w:hAnsi="宋体" w:cs="宋体" w:eastAsia="宋体" w:hint="default"/>
                <w:sz w:val="18"/>
                <w:szCs w:val="18"/>
              </w:rPr>
              <w:t>②</w:t>
            </w:r>
          </w:p>
        </w:tc>
        <w:tc>
          <w:tcPr>
            <w:tcW w:w="79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5"/>
              <w:jc w:val="right"/>
              <w:rPr>
                <w:rFonts w:ascii="Arial" w:hAnsi="Arial" w:cs="Arial" w:eastAsia="Arial" w:hint="default"/>
                <w:sz w:val="18"/>
                <w:szCs w:val="18"/>
              </w:rPr>
            </w:pPr>
            <w:r>
              <w:rPr>
                <w:rFonts w:ascii="Arial"/>
                <w:w w:val="95"/>
                <w:sz w:val="18"/>
              </w:rPr>
              <w:t>47,000</w:t>
            </w:r>
            <w:r>
              <w:rPr>
                <w:rFonts w:ascii="Arial"/>
                <w:sz w:val="18"/>
              </w:rPr>
            </w:r>
          </w:p>
          <w:p>
            <w:pPr>
              <w:pStyle w:val="TableParagraph"/>
              <w:spacing w:line="240" w:lineRule="auto" w:before="105"/>
              <w:ind w:right="104"/>
              <w:jc w:val="right"/>
              <w:rPr>
                <w:rFonts w:ascii="Arial" w:hAnsi="Arial" w:cs="Arial" w:eastAsia="Arial" w:hint="default"/>
                <w:sz w:val="18"/>
                <w:szCs w:val="18"/>
              </w:rPr>
            </w:pPr>
            <w:r>
              <w:rPr>
                <w:rFonts w:ascii="Arial"/>
                <w:w w:val="95"/>
                <w:sz w:val="18"/>
              </w:rPr>
              <w:t>,000.0</w:t>
            </w:r>
            <w:r>
              <w:rPr>
                <w:rFonts w:ascii="Arial"/>
                <w:sz w:val="18"/>
              </w:rPr>
            </w:r>
          </w:p>
          <w:p>
            <w:pPr>
              <w:pStyle w:val="TableParagraph"/>
              <w:spacing w:line="240" w:lineRule="auto" w:before="105"/>
              <w:ind w:right="105"/>
              <w:jc w:val="right"/>
              <w:rPr>
                <w:rFonts w:ascii="Arial" w:hAnsi="Arial" w:cs="Arial" w:eastAsia="Arial" w:hint="default"/>
                <w:sz w:val="18"/>
                <w:szCs w:val="18"/>
              </w:rPr>
            </w:pPr>
            <w:r>
              <w:rPr>
                <w:rFonts w:ascii="Arial"/>
                <w:w w:val="99"/>
                <w:sz w:val="18"/>
              </w:rPr>
              <w:t>0</w:t>
            </w:r>
            <w:r>
              <w:rPr>
                <w:rFonts w:ascii="Arial"/>
                <w:sz w:val="18"/>
              </w:rPr>
            </w: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1" w:right="0"/>
              <w:jc w:val="left"/>
              <w:rPr>
                <w:rFonts w:ascii="Arial" w:hAnsi="Arial" w:cs="Arial" w:eastAsia="Arial" w:hint="default"/>
                <w:sz w:val="18"/>
                <w:szCs w:val="18"/>
              </w:rPr>
            </w:pPr>
            <w:r>
              <w:rPr>
                <w:rFonts w:ascii="Arial"/>
                <w:sz w:val="18"/>
              </w:rPr>
              <w:t>2,700,</w:t>
            </w:r>
          </w:p>
          <w:p>
            <w:pPr>
              <w:pStyle w:val="TableParagraph"/>
              <w:spacing w:line="240" w:lineRule="auto" w:before="105"/>
              <w:ind w:left="141" w:right="0"/>
              <w:jc w:val="left"/>
              <w:rPr>
                <w:rFonts w:ascii="Arial" w:hAnsi="Arial" w:cs="Arial" w:eastAsia="Arial" w:hint="default"/>
                <w:sz w:val="18"/>
                <w:szCs w:val="18"/>
              </w:rPr>
            </w:pPr>
            <w:r>
              <w:rPr>
                <w:rFonts w:ascii="Arial"/>
                <w:sz w:val="18"/>
              </w:rPr>
              <w:t>000.00</w:t>
            </w:r>
          </w:p>
        </w:tc>
        <w:tc>
          <w:tcPr>
            <w:tcW w:w="79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1" w:right="0"/>
              <w:jc w:val="left"/>
              <w:rPr>
                <w:rFonts w:ascii="Arial" w:hAnsi="Arial" w:cs="Arial" w:eastAsia="Arial" w:hint="default"/>
                <w:sz w:val="18"/>
                <w:szCs w:val="18"/>
              </w:rPr>
            </w:pPr>
            <w:r>
              <w:rPr>
                <w:rFonts w:ascii="Arial"/>
                <w:sz w:val="18"/>
              </w:rPr>
              <w:t>-7,459,</w:t>
            </w:r>
          </w:p>
          <w:p>
            <w:pPr>
              <w:pStyle w:val="TableParagraph"/>
              <w:spacing w:line="240" w:lineRule="auto" w:before="105"/>
              <w:ind w:left="141" w:right="0"/>
              <w:jc w:val="left"/>
              <w:rPr>
                <w:rFonts w:ascii="Arial" w:hAnsi="Arial" w:cs="Arial" w:eastAsia="Arial" w:hint="default"/>
                <w:sz w:val="18"/>
                <w:szCs w:val="18"/>
              </w:rPr>
            </w:pPr>
            <w:r>
              <w:rPr>
                <w:rFonts w:ascii="Arial"/>
                <w:sz w:val="18"/>
              </w:rPr>
              <w:t>510.63</w:t>
            </w:r>
          </w:p>
        </w:tc>
        <w:tc>
          <w:tcPr>
            <w:tcW w:w="798"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3" w:right="0"/>
              <w:jc w:val="center"/>
              <w:rPr>
                <w:rFonts w:ascii="Arial" w:hAnsi="Arial" w:cs="Arial" w:eastAsia="Arial" w:hint="default"/>
                <w:sz w:val="18"/>
                <w:szCs w:val="18"/>
              </w:rPr>
            </w:pPr>
            <w:r>
              <w:rPr>
                <w:rFonts w:ascii="Arial"/>
                <w:sz w:val="18"/>
              </w:rPr>
              <w:t>659,15</w:t>
            </w:r>
          </w:p>
          <w:p>
            <w:pPr>
              <w:pStyle w:val="TableParagraph"/>
              <w:spacing w:line="240" w:lineRule="auto" w:before="105"/>
              <w:ind w:left="232" w:right="0"/>
              <w:jc w:val="center"/>
              <w:rPr>
                <w:rFonts w:ascii="Arial" w:hAnsi="Arial" w:cs="Arial" w:eastAsia="Arial" w:hint="default"/>
                <w:sz w:val="18"/>
                <w:szCs w:val="18"/>
              </w:rPr>
            </w:pPr>
            <w:r>
              <w:rPr>
                <w:rFonts w:ascii="Arial"/>
                <w:sz w:val="18"/>
              </w:rPr>
              <w:t>9.14</w:t>
            </w:r>
          </w:p>
        </w:tc>
        <w:tc>
          <w:tcPr>
            <w:tcW w:w="798"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5"/>
              <w:jc w:val="right"/>
              <w:rPr>
                <w:rFonts w:ascii="Arial" w:hAnsi="Arial" w:cs="Arial" w:eastAsia="Arial" w:hint="default"/>
                <w:sz w:val="18"/>
                <w:szCs w:val="18"/>
              </w:rPr>
            </w:pPr>
            <w:r>
              <w:rPr>
                <w:rFonts w:ascii="Arial"/>
                <w:w w:val="95"/>
                <w:sz w:val="18"/>
              </w:rPr>
              <w:t>37,499</w:t>
            </w:r>
            <w:r>
              <w:rPr>
                <w:rFonts w:ascii="Arial"/>
                <w:sz w:val="18"/>
              </w:rPr>
            </w:r>
          </w:p>
          <w:p>
            <w:pPr>
              <w:pStyle w:val="TableParagraph"/>
              <w:spacing w:line="240" w:lineRule="auto" w:before="105"/>
              <w:ind w:right="104"/>
              <w:jc w:val="right"/>
              <w:rPr>
                <w:rFonts w:ascii="Arial" w:hAnsi="Arial" w:cs="Arial" w:eastAsia="Arial" w:hint="default"/>
                <w:sz w:val="18"/>
                <w:szCs w:val="18"/>
              </w:rPr>
            </w:pPr>
            <w:r>
              <w:rPr>
                <w:rFonts w:ascii="Arial"/>
                <w:w w:val="95"/>
                <w:sz w:val="18"/>
              </w:rPr>
              <w:t>,648.5</w:t>
            </w:r>
            <w:r>
              <w:rPr>
                <w:rFonts w:ascii="Arial"/>
                <w:sz w:val="18"/>
              </w:rPr>
            </w:r>
          </w:p>
          <w:p>
            <w:pPr>
              <w:pStyle w:val="TableParagraph"/>
              <w:spacing w:line="240" w:lineRule="auto" w:before="105"/>
              <w:ind w:right="105"/>
              <w:jc w:val="right"/>
              <w:rPr>
                <w:rFonts w:ascii="Arial" w:hAnsi="Arial" w:cs="Arial" w:eastAsia="Arial" w:hint="default"/>
                <w:sz w:val="18"/>
                <w:szCs w:val="18"/>
              </w:rPr>
            </w:pPr>
            <w:r>
              <w:rPr>
                <w:rFonts w:ascii="Arial"/>
                <w:w w:val="99"/>
                <w:sz w:val="18"/>
              </w:rPr>
              <w:t>1</w:t>
            </w:r>
            <w:r>
              <w:rPr>
                <w:rFonts w:ascii="Arial"/>
                <w:sz w:val="18"/>
              </w:rPr>
            </w:r>
          </w:p>
        </w:tc>
        <w:tc>
          <w:tcPr>
            <w:tcW w:w="798" w:type="dxa"/>
            <w:tcBorders>
              <w:top w:val="single" w:sz="4" w:space="0" w:color="5B9BD4"/>
              <w:left w:val="nil" w:sz="6" w:space="0" w:color="auto"/>
              <w:bottom w:val="single" w:sz="4" w:space="0" w:color="5B9BD4"/>
              <w:right w:val="nil" w:sz="6" w:space="0" w:color="auto"/>
            </w:tcBorders>
          </w:tcPr>
          <w:p>
            <w:pPr/>
          </w:p>
        </w:tc>
      </w:tr>
      <w:tr>
        <w:trPr>
          <w:trHeight w:val="2818" w:hRule="exact"/>
        </w:trPr>
        <w:tc>
          <w:tcPr>
            <w:tcW w:w="79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47"/>
              <w:jc w:val="both"/>
              <w:rPr>
                <w:rFonts w:ascii="宋体" w:hAnsi="宋体" w:cs="宋体" w:eastAsia="宋体" w:hint="default"/>
                <w:sz w:val="18"/>
                <w:szCs w:val="18"/>
              </w:rPr>
            </w:pPr>
            <w:r>
              <w:rPr>
                <w:rFonts w:ascii="宋体" w:hAnsi="宋体" w:cs="宋体" w:eastAsia="宋体" w:hint="default"/>
                <w:sz w:val="18"/>
                <w:szCs w:val="18"/>
              </w:rPr>
              <w:t>深圳国 鑫创沅 移动互 联网股 权投资 中心</w:t>
            </w:r>
          </w:p>
          <w:p>
            <w:pPr>
              <w:pStyle w:val="TableParagraph"/>
              <w:spacing w:line="316" w:lineRule="auto" w:before="19"/>
              <w:ind w:left="108" w:right="147"/>
              <w:jc w:val="both"/>
              <w:rPr>
                <w:rFonts w:ascii="宋体" w:hAnsi="宋体" w:cs="宋体" w:eastAsia="宋体" w:hint="default"/>
                <w:sz w:val="18"/>
                <w:szCs w:val="18"/>
              </w:rPr>
            </w:pPr>
            <w:r>
              <w:rPr>
                <w:rFonts w:ascii="宋体" w:hAnsi="宋体" w:cs="宋体" w:eastAsia="宋体" w:hint="default"/>
                <w:sz w:val="18"/>
                <w:szCs w:val="18"/>
              </w:rPr>
              <w:t>（有限 合伙）</w:t>
            </w:r>
          </w:p>
          <w:p>
            <w:pPr>
              <w:pStyle w:val="TableParagraph"/>
              <w:spacing w:line="240" w:lineRule="auto" w:before="19"/>
              <w:ind w:left="108" w:right="0"/>
              <w:jc w:val="both"/>
              <w:rPr>
                <w:rFonts w:ascii="宋体" w:hAnsi="宋体" w:cs="宋体" w:eastAsia="宋体" w:hint="default"/>
                <w:sz w:val="18"/>
                <w:szCs w:val="18"/>
              </w:rPr>
            </w:pPr>
            <w:r>
              <w:rPr>
                <w:rFonts w:ascii="宋体" w:hAnsi="宋体" w:cs="宋体" w:eastAsia="宋体" w:hint="default"/>
                <w:sz w:val="18"/>
                <w:szCs w:val="18"/>
              </w:rPr>
              <w:t>③</w:t>
            </w:r>
          </w:p>
        </w:tc>
        <w:tc>
          <w:tcPr>
            <w:tcW w:w="797"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7"/>
              <w:jc w:val="right"/>
              <w:rPr>
                <w:rFonts w:ascii="Arial" w:hAnsi="Arial" w:cs="Arial" w:eastAsia="Arial" w:hint="default"/>
                <w:sz w:val="18"/>
                <w:szCs w:val="18"/>
              </w:rPr>
            </w:pPr>
            <w:r>
              <w:rPr>
                <w:rFonts w:ascii="Arial"/>
                <w:w w:val="95"/>
                <w:sz w:val="18"/>
              </w:rPr>
              <w:t>30,000</w:t>
            </w:r>
            <w:r>
              <w:rPr>
                <w:rFonts w:ascii="Arial"/>
                <w:sz w:val="18"/>
              </w:rPr>
            </w:r>
          </w:p>
          <w:p>
            <w:pPr>
              <w:pStyle w:val="TableParagraph"/>
              <w:spacing w:line="240" w:lineRule="auto" w:before="105"/>
              <w:ind w:right="106"/>
              <w:jc w:val="right"/>
              <w:rPr>
                <w:rFonts w:ascii="Arial" w:hAnsi="Arial" w:cs="Arial" w:eastAsia="Arial" w:hint="default"/>
                <w:sz w:val="18"/>
                <w:szCs w:val="18"/>
              </w:rPr>
            </w:pPr>
            <w:r>
              <w:rPr>
                <w:rFonts w:ascii="Arial"/>
                <w:w w:val="95"/>
                <w:sz w:val="18"/>
              </w:rPr>
              <w:t>,000.0</w:t>
            </w:r>
            <w:r>
              <w:rPr>
                <w:rFonts w:ascii="Arial"/>
                <w:sz w:val="18"/>
              </w:rPr>
            </w:r>
          </w:p>
          <w:p>
            <w:pPr>
              <w:pStyle w:val="TableParagraph"/>
              <w:spacing w:line="240" w:lineRule="auto" w:before="105"/>
              <w:ind w:right="107"/>
              <w:jc w:val="right"/>
              <w:rPr>
                <w:rFonts w:ascii="Arial" w:hAnsi="Arial" w:cs="Arial" w:eastAsia="Arial" w:hint="default"/>
                <w:sz w:val="18"/>
                <w:szCs w:val="18"/>
              </w:rPr>
            </w:pPr>
            <w:r>
              <w:rPr>
                <w:rFonts w:ascii="Arial"/>
                <w:w w:val="99"/>
                <w:sz w:val="18"/>
              </w:rPr>
              <w:t>0</w:t>
            </w:r>
            <w:r>
              <w:rPr>
                <w:rFonts w:ascii="Arial"/>
                <w:sz w:val="18"/>
              </w:rPr>
            </w:r>
          </w:p>
        </w:tc>
        <w:tc>
          <w:tcPr>
            <w:tcW w:w="798"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5"/>
              <w:jc w:val="right"/>
              <w:rPr>
                <w:rFonts w:ascii="Arial" w:hAnsi="Arial" w:cs="Arial" w:eastAsia="Arial" w:hint="default"/>
                <w:sz w:val="18"/>
                <w:szCs w:val="18"/>
              </w:rPr>
            </w:pPr>
            <w:r>
              <w:rPr>
                <w:rFonts w:ascii="Arial"/>
                <w:w w:val="95"/>
                <w:sz w:val="18"/>
              </w:rPr>
              <w:t>30,000</w:t>
            </w:r>
            <w:r>
              <w:rPr>
                <w:rFonts w:ascii="Arial"/>
                <w:sz w:val="18"/>
              </w:rPr>
            </w:r>
          </w:p>
          <w:p>
            <w:pPr>
              <w:pStyle w:val="TableParagraph"/>
              <w:spacing w:line="240" w:lineRule="auto" w:before="105"/>
              <w:ind w:right="104"/>
              <w:jc w:val="right"/>
              <w:rPr>
                <w:rFonts w:ascii="Arial" w:hAnsi="Arial" w:cs="Arial" w:eastAsia="Arial" w:hint="default"/>
                <w:sz w:val="18"/>
                <w:szCs w:val="18"/>
              </w:rPr>
            </w:pPr>
            <w:r>
              <w:rPr>
                <w:rFonts w:ascii="Arial"/>
                <w:w w:val="95"/>
                <w:sz w:val="18"/>
              </w:rPr>
              <w:t>,000.0</w:t>
            </w:r>
            <w:r>
              <w:rPr>
                <w:rFonts w:ascii="Arial"/>
                <w:sz w:val="18"/>
              </w:rPr>
            </w:r>
          </w:p>
          <w:p>
            <w:pPr>
              <w:pStyle w:val="TableParagraph"/>
              <w:spacing w:line="240" w:lineRule="auto" w:before="105"/>
              <w:ind w:right="105"/>
              <w:jc w:val="right"/>
              <w:rPr>
                <w:rFonts w:ascii="Arial" w:hAnsi="Arial" w:cs="Arial" w:eastAsia="Arial" w:hint="default"/>
                <w:sz w:val="18"/>
                <w:szCs w:val="18"/>
              </w:rPr>
            </w:pPr>
            <w:r>
              <w:rPr>
                <w:rFonts w:ascii="Arial"/>
                <w:w w:val="99"/>
                <w:sz w:val="18"/>
              </w:rPr>
              <w:t>0</w:t>
            </w:r>
            <w:r>
              <w:rPr>
                <w:rFonts w:ascii="Arial"/>
                <w:sz w:val="18"/>
              </w:rPr>
            </w:r>
          </w:p>
        </w:tc>
        <w:tc>
          <w:tcPr>
            <w:tcW w:w="798" w:type="dxa"/>
            <w:tcBorders>
              <w:top w:val="single" w:sz="4" w:space="0" w:color="5B9BD4"/>
              <w:left w:val="nil" w:sz="6" w:space="0" w:color="auto"/>
              <w:bottom w:val="single" w:sz="4" w:space="0" w:color="5B9BD4"/>
              <w:right w:val="nil" w:sz="6" w:space="0" w:color="auto"/>
            </w:tcBorders>
          </w:tcPr>
          <w:p>
            <w:pPr/>
          </w:p>
        </w:tc>
      </w:tr>
      <w:tr>
        <w:trPr>
          <w:trHeight w:val="1571" w:hRule="exact"/>
        </w:trPr>
        <w:tc>
          <w:tcPr>
            <w:tcW w:w="79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5"/>
              <w:ind w:left="108" w:right="147"/>
              <w:jc w:val="both"/>
              <w:rPr>
                <w:rFonts w:ascii="宋体" w:hAnsi="宋体" w:cs="宋体" w:eastAsia="宋体" w:hint="default"/>
                <w:sz w:val="18"/>
                <w:szCs w:val="18"/>
              </w:rPr>
            </w:pPr>
            <w:r>
              <w:rPr>
                <w:rFonts w:ascii="宋体" w:hAnsi="宋体" w:cs="宋体" w:eastAsia="宋体" w:hint="default"/>
                <w:sz w:val="18"/>
                <w:szCs w:val="18"/>
              </w:rPr>
              <w:t>上海岩 霜信息 技术有 限公司</w:t>
            </w:r>
          </w:p>
          <w:p>
            <w:pPr>
              <w:pStyle w:val="TableParagraph"/>
              <w:spacing w:line="240" w:lineRule="auto" w:before="17"/>
              <w:ind w:left="108" w:right="0"/>
              <w:jc w:val="both"/>
              <w:rPr>
                <w:rFonts w:ascii="宋体" w:hAnsi="宋体" w:cs="宋体" w:eastAsia="宋体" w:hint="default"/>
                <w:sz w:val="18"/>
                <w:szCs w:val="18"/>
              </w:rPr>
            </w:pPr>
            <w:r>
              <w:rPr>
                <w:rFonts w:ascii="宋体" w:hAnsi="宋体" w:cs="宋体" w:eastAsia="宋体" w:hint="default"/>
                <w:sz w:val="18"/>
                <w:szCs w:val="18"/>
              </w:rPr>
              <w:t>④</w:t>
            </w:r>
          </w:p>
        </w:tc>
        <w:tc>
          <w:tcPr>
            <w:tcW w:w="797"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90" w:right="0"/>
              <w:jc w:val="left"/>
              <w:rPr>
                <w:rFonts w:ascii="Arial" w:hAnsi="Arial" w:cs="Arial" w:eastAsia="Arial" w:hint="default"/>
                <w:sz w:val="18"/>
                <w:szCs w:val="18"/>
              </w:rPr>
            </w:pPr>
            <w:r>
              <w:rPr>
                <w:rFonts w:ascii="Arial"/>
                <w:sz w:val="18"/>
              </w:rPr>
              <w:t>2,250,</w:t>
            </w:r>
          </w:p>
          <w:p>
            <w:pPr>
              <w:pStyle w:val="TableParagraph"/>
              <w:spacing w:line="240" w:lineRule="auto" w:before="105"/>
              <w:ind w:left="140" w:right="0"/>
              <w:jc w:val="left"/>
              <w:rPr>
                <w:rFonts w:ascii="Arial" w:hAnsi="Arial" w:cs="Arial" w:eastAsia="Arial" w:hint="default"/>
                <w:sz w:val="18"/>
                <w:szCs w:val="18"/>
              </w:rPr>
            </w:pPr>
            <w:r>
              <w:rPr>
                <w:rFonts w:ascii="Arial"/>
                <w:sz w:val="18"/>
              </w:rPr>
              <w:t>000.00</w:t>
            </w:r>
          </w:p>
        </w:tc>
        <w:tc>
          <w:tcPr>
            <w:tcW w:w="798"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81" w:right="0"/>
              <w:jc w:val="left"/>
              <w:rPr>
                <w:rFonts w:ascii="Arial" w:hAnsi="Arial" w:cs="Arial" w:eastAsia="Arial" w:hint="default"/>
                <w:sz w:val="18"/>
                <w:szCs w:val="18"/>
              </w:rPr>
            </w:pPr>
            <w:r>
              <w:rPr>
                <w:rFonts w:ascii="Arial"/>
                <w:sz w:val="18"/>
              </w:rPr>
              <w:t>-677,7</w:t>
            </w:r>
          </w:p>
          <w:p>
            <w:pPr>
              <w:pStyle w:val="TableParagraph"/>
              <w:spacing w:line="240" w:lineRule="auto" w:before="105"/>
              <w:ind w:left="241" w:right="0"/>
              <w:jc w:val="left"/>
              <w:rPr>
                <w:rFonts w:ascii="Arial" w:hAnsi="Arial" w:cs="Arial" w:eastAsia="Arial" w:hint="default"/>
                <w:sz w:val="18"/>
                <w:szCs w:val="18"/>
              </w:rPr>
            </w:pPr>
            <w:r>
              <w:rPr>
                <w:rFonts w:ascii="Arial"/>
                <w:sz w:val="18"/>
              </w:rPr>
              <w:t>44.42</w:t>
            </w:r>
          </w:p>
        </w:tc>
        <w:tc>
          <w:tcPr>
            <w:tcW w:w="798"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91" w:right="0"/>
              <w:jc w:val="left"/>
              <w:rPr>
                <w:rFonts w:ascii="Arial" w:hAnsi="Arial" w:cs="Arial" w:eastAsia="Arial" w:hint="default"/>
                <w:sz w:val="18"/>
                <w:szCs w:val="18"/>
              </w:rPr>
            </w:pPr>
            <w:r>
              <w:rPr>
                <w:rFonts w:ascii="Arial"/>
                <w:sz w:val="18"/>
              </w:rPr>
              <w:t>1,572,</w:t>
            </w:r>
          </w:p>
          <w:p>
            <w:pPr>
              <w:pStyle w:val="TableParagraph"/>
              <w:spacing w:line="240" w:lineRule="auto" w:before="105"/>
              <w:ind w:left="141" w:right="0"/>
              <w:jc w:val="left"/>
              <w:rPr>
                <w:rFonts w:ascii="Arial" w:hAnsi="Arial" w:cs="Arial" w:eastAsia="Arial" w:hint="default"/>
                <w:sz w:val="18"/>
                <w:szCs w:val="18"/>
              </w:rPr>
            </w:pPr>
            <w:r>
              <w:rPr>
                <w:rFonts w:ascii="Arial"/>
                <w:sz w:val="18"/>
              </w:rPr>
              <w:t>255.58</w:t>
            </w:r>
          </w:p>
        </w:tc>
        <w:tc>
          <w:tcPr>
            <w:tcW w:w="798" w:type="dxa"/>
            <w:tcBorders>
              <w:top w:val="single" w:sz="4" w:space="0" w:color="5B9BD4"/>
              <w:left w:val="nil" w:sz="6" w:space="0" w:color="auto"/>
              <w:bottom w:val="single" w:sz="4" w:space="0" w:color="5B9BD4"/>
              <w:right w:val="nil" w:sz="6" w:space="0" w:color="auto"/>
            </w:tcBorders>
          </w:tcPr>
          <w:p>
            <w:pPr/>
          </w:p>
        </w:tc>
      </w:tr>
    </w:tbl>
    <w:p>
      <w:pPr>
        <w:spacing w:after="0"/>
        <w:sectPr>
          <w:pgSz w:w="11910" w:h="16840"/>
          <w:pgMar w:header="877" w:footer="979" w:top="1100" w:bottom="1160" w:left="920" w:right="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796"/>
        <w:gridCol w:w="797"/>
        <w:gridCol w:w="798"/>
        <w:gridCol w:w="798"/>
        <w:gridCol w:w="798"/>
        <w:gridCol w:w="798"/>
        <w:gridCol w:w="798"/>
        <w:gridCol w:w="798"/>
        <w:gridCol w:w="798"/>
        <w:gridCol w:w="798"/>
        <w:gridCol w:w="798"/>
        <w:gridCol w:w="798"/>
      </w:tblGrid>
      <w:tr>
        <w:trPr>
          <w:trHeight w:val="946" w:hRule="exact"/>
        </w:trPr>
        <w:tc>
          <w:tcPr>
            <w:tcW w:w="79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77,000</w:t>
            </w:r>
            <w:r>
              <w:rPr>
                <w:rFonts w:ascii="Arial"/>
                <w:sz w:val="18"/>
              </w:rPr>
            </w:r>
          </w:p>
          <w:p>
            <w:pPr>
              <w:pStyle w:val="TableParagraph"/>
              <w:spacing w:line="240" w:lineRule="auto" w:before="105"/>
              <w:ind w:right="104"/>
              <w:jc w:val="right"/>
              <w:rPr>
                <w:rFonts w:ascii="Arial" w:hAnsi="Arial" w:cs="Arial" w:eastAsia="Arial" w:hint="default"/>
                <w:sz w:val="18"/>
                <w:szCs w:val="18"/>
              </w:rPr>
            </w:pPr>
            <w:r>
              <w:rPr>
                <w:rFonts w:ascii="Arial"/>
                <w:w w:val="95"/>
                <w:sz w:val="18"/>
              </w:rPr>
              <w:t>,000.0</w:t>
            </w:r>
            <w:r>
              <w:rPr>
                <w:rFonts w:ascii="Arial"/>
                <w:sz w:val="18"/>
              </w:rPr>
            </w:r>
          </w:p>
          <w:p>
            <w:pPr>
              <w:pStyle w:val="TableParagraph"/>
              <w:spacing w:line="240" w:lineRule="auto" w:before="105"/>
              <w:ind w:right="105"/>
              <w:jc w:val="right"/>
              <w:rPr>
                <w:rFonts w:ascii="Arial" w:hAnsi="Arial" w:cs="Arial" w:eastAsia="Arial" w:hint="default"/>
                <w:sz w:val="18"/>
                <w:szCs w:val="18"/>
              </w:rPr>
            </w:pPr>
            <w:r>
              <w:rPr>
                <w:rFonts w:ascii="Arial"/>
                <w:w w:val="99"/>
                <w:sz w:val="18"/>
              </w:rPr>
              <w:t>0</w:t>
            </w:r>
            <w:r>
              <w:rPr>
                <w:rFonts w:ascii="Arial"/>
                <w:sz w:val="18"/>
              </w:rPr>
            </w:r>
          </w:p>
        </w:tc>
        <w:tc>
          <w:tcPr>
            <w:tcW w:w="79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w w:val="95"/>
                <w:sz w:val="18"/>
              </w:rPr>
              <w:t>32,250</w:t>
            </w:r>
            <w:r>
              <w:rPr>
                <w:rFonts w:ascii="Arial"/>
                <w:sz w:val="18"/>
              </w:rPr>
            </w:r>
          </w:p>
          <w:p>
            <w:pPr>
              <w:pStyle w:val="TableParagraph"/>
              <w:spacing w:line="240" w:lineRule="auto" w:before="105"/>
              <w:ind w:right="106"/>
              <w:jc w:val="right"/>
              <w:rPr>
                <w:rFonts w:ascii="Arial" w:hAnsi="Arial" w:cs="Arial" w:eastAsia="Arial" w:hint="default"/>
                <w:sz w:val="18"/>
                <w:szCs w:val="18"/>
              </w:rPr>
            </w:pPr>
            <w:r>
              <w:rPr>
                <w:rFonts w:ascii="Arial"/>
                <w:w w:val="95"/>
                <w:sz w:val="18"/>
              </w:rPr>
              <w:t>,000.0</w:t>
            </w:r>
            <w:r>
              <w:rPr>
                <w:rFonts w:ascii="Arial"/>
                <w:sz w:val="18"/>
              </w:rPr>
            </w:r>
          </w:p>
          <w:p>
            <w:pPr>
              <w:pStyle w:val="TableParagraph"/>
              <w:spacing w:line="240" w:lineRule="auto" w:before="105"/>
              <w:ind w:right="107"/>
              <w:jc w:val="right"/>
              <w:rPr>
                <w:rFonts w:ascii="Arial" w:hAnsi="Arial" w:cs="Arial" w:eastAsia="Arial" w:hint="default"/>
                <w:sz w:val="18"/>
                <w:szCs w:val="18"/>
              </w:rPr>
            </w:pPr>
            <w:r>
              <w:rPr>
                <w:rFonts w:ascii="Arial"/>
                <w:w w:val="99"/>
                <w:sz w:val="18"/>
              </w:rPr>
              <w:t>0</w:t>
            </w:r>
            <w:r>
              <w:rPr>
                <w:rFonts w:ascii="Arial"/>
                <w:sz w:val="18"/>
              </w:rPr>
            </w:r>
          </w:p>
        </w:tc>
        <w:tc>
          <w:tcPr>
            <w:tcW w:w="798"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32,700</w:t>
            </w:r>
            <w:r>
              <w:rPr>
                <w:rFonts w:ascii="Arial"/>
                <w:sz w:val="18"/>
              </w:rPr>
            </w:r>
          </w:p>
          <w:p>
            <w:pPr>
              <w:pStyle w:val="TableParagraph"/>
              <w:spacing w:line="240" w:lineRule="auto" w:before="105"/>
              <w:ind w:right="104"/>
              <w:jc w:val="right"/>
              <w:rPr>
                <w:rFonts w:ascii="Arial" w:hAnsi="Arial" w:cs="Arial" w:eastAsia="Arial" w:hint="default"/>
                <w:sz w:val="18"/>
                <w:szCs w:val="18"/>
              </w:rPr>
            </w:pPr>
            <w:r>
              <w:rPr>
                <w:rFonts w:ascii="Arial"/>
                <w:w w:val="95"/>
                <w:sz w:val="18"/>
              </w:rPr>
              <w:t>,000.0</w:t>
            </w:r>
            <w:r>
              <w:rPr>
                <w:rFonts w:ascii="Arial"/>
                <w:sz w:val="18"/>
              </w:rPr>
            </w:r>
          </w:p>
          <w:p>
            <w:pPr>
              <w:pStyle w:val="TableParagraph"/>
              <w:spacing w:line="240" w:lineRule="auto" w:before="105"/>
              <w:ind w:right="105"/>
              <w:jc w:val="right"/>
              <w:rPr>
                <w:rFonts w:ascii="Arial" w:hAnsi="Arial" w:cs="Arial" w:eastAsia="Arial" w:hint="default"/>
                <w:sz w:val="18"/>
                <w:szCs w:val="18"/>
              </w:rPr>
            </w:pPr>
            <w:r>
              <w:rPr>
                <w:rFonts w:ascii="Arial"/>
                <w:w w:val="99"/>
                <w:sz w:val="18"/>
              </w:rPr>
              <w:t>0</w:t>
            </w:r>
            <w:r>
              <w:rPr>
                <w:rFonts w:ascii="Arial"/>
                <w:sz w:val="18"/>
              </w:rPr>
            </w:r>
          </w:p>
        </w:tc>
        <w:tc>
          <w:tcPr>
            <w:tcW w:w="79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31" w:right="0"/>
              <w:jc w:val="left"/>
              <w:rPr>
                <w:rFonts w:ascii="Arial" w:hAnsi="Arial" w:cs="Arial" w:eastAsia="Arial" w:hint="default"/>
                <w:sz w:val="18"/>
                <w:szCs w:val="18"/>
              </w:rPr>
            </w:pPr>
            <w:r>
              <w:rPr>
                <w:rFonts w:ascii="Arial"/>
                <w:sz w:val="18"/>
              </w:rPr>
              <w:t>-8,137,</w:t>
            </w:r>
          </w:p>
          <w:p>
            <w:pPr>
              <w:pStyle w:val="TableParagraph"/>
              <w:spacing w:line="240" w:lineRule="auto" w:before="105"/>
              <w:ind w:left="141" w:right="0"/>
              <w:jc w:val="left"/>
              <w:rPr>
                <w:rFonts w:ascii="Arial" w:hAnsi="Arial" w:cs="Arial" w:eastAsia="Arial" w:hint="default"/>
                <w:sz w:val="18"/>
                <w:szCs w:val="18"/>
              </w:rPr>
            </w:pPr>
            <w:r>
              <w:rPr>
                <w:rFonts w:ascii="Arial"/>
                <w:sz w:val="18"/>
              </w:rPr>
              <w:t>255.05</w:t>
            </w:r>
          </w:p>
        </w:tc>
        <w:tc>
          <w:tcPr>
            <w:tcW w:w="798"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3" w:right="0"/>
              <w:jc w:val="center"/>
              <w:rPr>
                <w:rFonts w:ascii="Arial" w:hAnsi="Arial" w:cs="Arial" w:eastAsia="Arial" w:hint="default"/>
                <w:sz w:val="18"/>
                <w:szCs w:val="18"/>
              </w:rPr>
            </w:pPr>
            <w:r>
              <w:rPr>
                <w:rFonts w:ascii="Arial"/>
                <w:sz w:val="18"/>
              </w:rPr>
              <w:t>659,15</w:t>
            </w:r>
          </w:p>
          <w:p>
            <w:pPr>
              <w:pStyle w:val="TableParagraph"/>
              <w:spacing w:line="240" w:lineRule="auto" w:before="105"/>
              <w:ind w:left="232" w:right="0"/>
              <w:jc w:val="center"/>
              <w:rPr>
                <w:rFonts w:ascii="Arial" w:hAnsi="Arial" w:cs="Arial" w:eastAsia="Arial" w:hint="default"/>
                <w:sz w:val="18"/>
                <w:szCs w:val="18"/>
              </w:rPr>
            </w:pPr>
            <w:r>
              <w:rPr>
                <w:rFonts w:ascii="Arial"/>
                <w:sz w:val="18"/>
              </w:rPr>
              <w:t>9.14</w:t>
            </w:r>
          </w:p>
        </w:tc>
        <w:tc>
          <w:tcPr>
            <w:tcW w:w="798"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69,071</w:t>
            </w:r>
            <w:r>
              <w:rPr>
                <w:rFonts w:ascii="Arial"/>
                <w:sz w:val="18"/>
              </w:rPr>
            </w:r>
          </w:p>
          <w:p>
            <w:pPr>
              <w:pStyle w:val="TableParagraph"/>
              <w:spacing w:line="240" w:lineRule="auto" w:before="105"/>
              <w:ind w:right="104"/>
              <w:jc w:val="right"/>
              <w:rPr>
                <w:rFonts w:ascii="Arial" w:hAnsi="Arial" w:cs="Arial" w:eastAsia="Arial" w:hint="default"/>
                <w:sz w:val="18"/>
                <w:szCs w:val="18"/>
              </w:rPr>
            </w:pPr>
            <w:r>
              <w:rPr>
                <w:rFonts w:ascii="Arial"/>
                <w:w w:val="95"/>
                <w:sz w:val="18"/>
              </w:rPr>
              <w:t>,904.0</w:t>
            </w:r>
            <w:r>
              <w:rPr>
                <w:rFonts w:ascii="Arial"/>
                <w:sz w:val="18"/>
              </w:rPr>
            </w:r>
          </w:p>
          <w:p>
            <w:pPr>
              <w:pStyle w:val="TableParagraph"/>
              <w:spacing w:line="240" w:lineRule="auto" w:before="105"/>
              <w:ind w:right="105"/>
              <w:jc w:val="right"/>
              <w:rPr>
                <w:rFonts w:ascii="Arial" w:hAnsi="Arial" w:cs="Arial" w:eastAsia="Arial" w:hint="default"/>
                <w:sz w:val="18"/>
                <w:szCs w:val="18"/>
              </w:rPr>
            </w:pPr>
            <w:r>
              <w:rPr>
                <w:rFonts w:ascii="Arial"/>
                <w:w w:val="99"/>
                <w:sz w:val="18"/>
              </w:rPr>
              <w:t>9</w:t>
            </w:r>
            <w:r>
              <w:rPr>
                <w:rFonts w:ascii="Arial"/>
                <w:sz w:val="18"/>
              </w:rPr>
            </w:r>
          </w:p>
        </w:tc>
        <w:tc>
          <w:tcPr>
            <w:tcW w:w="798" w:type="dxa"/>
            <w:tcBorders>
              <w:top w:val="single" w:sz="4" w:space="0" w:color="5B9BD4"/>
              <w:left w:val="nil" w:sz="6" w:space="0" w:color="auto"/>
              <w:bottom w:val="single" w:sz="4" w:space="0" w:color="5B9BD4"/>
              <w:right w:val="nil" w:sz="6" w:space="0" w:color="auto"/>
            </w:tcBorders>
          </w:tcPr>
          <w:p>
            <w:pPr/>
          </w:p>
        </w:tc>
      </w:tr>
      <w:tr>
        <w:trPr>
          <w:trHeight w:val="947" w:hRule="exact"/>
        </w:trPr>
        <w:tc>
          <w:tcPr>
            <w:tcW w:w="79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77,000</w:t>
            </w:r>
            <w:r>
              <w:rPr>
                <w:rFonts w:ascii="Arial"/>
                <w:sz w:val="18"/>
              </w:rPr>
            </w:r>
          </w:p>
          <w:p>
            <w:pPr>
              <w:pStyle w:val="TableParagraph"/>
              <w:spacing w:line="240" w:lineRule="auto" w:before="105"/>
              <w:ind w:right="104"/>
              <w:jc w:val="right"/>
              <w:rPr>
                <w:rFonts w:ascii="Arial" w:hAnsi="Arial" w:cs="Arial" w:eastAsia="Arial" w:hint="default"/>
                <w:sz w:val="18"/>
                <w:szCs w:val="18"/>
              </w:rPr>
            </w:pPr>
            <w:r>
              <w:rPr>
                <w:rFonts w:ascii="Arial"/>
                <w:w w:val="95"/>
                <w:sz w:val="18"/>
              </w:rPr>
              <w:t>,000.0</w:t>
            </w:r>
            <w:r>
              <w:rPr>
                <w:rFonts w:ascii="Arial"/>
                <w:sz w:val="18"/>
              </w:rPr>
            </w:r>
          </w:p>
          <w:p>
            <w:pPr>
              <w:pStyle w:val="TableParagraph"/>
              <w:spacing w:line="240" w:lineRule="auto" w:before="105"/>
              <w:ind w:right="105"/>
              <w:jc w:val="right"/>
              <w:rPr>
                <w:rFonts w:ascii="Arial" w:hAnsi="Arial" w:cs="Arial" w:eastAsia="Arial" w:hint="default"/>
                <w:sz w:val="18"/>
                <w:szCs w:val="18"/>
              </w:rPr>
            </w:pPr>
            <w:r>
              <w:rPr>
                <w:rFonts w:ascii="Arial"/>
                <w:w w:val="99"/>
                <w:sz w:val="18"/>
              </w:rPr>
              <w:t>0</w:t>
            </w:r>
            <w:r>
              <w:rPr>
                <w:rFonts w:ascii="Arial"/>
                <w:sz w:val="18"/>
              </w:rPr>
            </w:r>
          </w:p>
        </w:tc>
        <w:tc>
          <w:tcPr>
            <w:tcW w:w="79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w w:val="95"/>
                <w:sz w:val="18"/>
              </w:rPr>
              <w:t>32,250</w:t>
            </w:r>
            <w:r>
              <w:rPr>
                <w:rFonts w:ascii="Arial"/>
                <w:sz w:val="18"/>
              </w:rPr>
            </w:r>
          </w:p>
          <w:p>
            <w:pPr>
              <w:pStyle w:val="TableParagraph"/>
              <w:spacing w:line="240" w:lineRule="auto" w:before="105"/>
              <w:ind w:right="106"/>
              <w:jc w:val="right"/>
              <w:rPr>
                <w:rFonts w:ascii="Arial" w:hAnsi="Arial" w:cs="Arial" w:eastAsia="Arial" w:hint="default"/>
                <w:sz w:val="18"/>
                <w:szCs w:val="18"/>
              </w:rPr>
            </w:pPr>
            <w:r>
              <w:rPr>
                <w:rFonts w:ascii="Arial"/>
                <w:w w:val="95"/>
                <w:sz w:val="18"/>
              </w:rPr>
              <w:t>,000.0</w:t>
            </w:r>
            <w:r>
              <w:rPr>
                <w:rFonts w:ascii="Arial"/>
                <w:sz w:val="18"/>
              </w:rPr>
            </w:r>
          </w:p>
          <w:p>
            <w:pPr>
              <w:pStyle w:val="TableParagraph"/>
              <w:spacing w:line="240" w:lineRule="auto" w:before="105"/>
              <w:ind w:right="107"/>
              <w:jc w:val="right"/>
              <w:rPr>
                <w:rFonts w:ascii="Arial" w:hAnsi="Arial" w:cs="Arial" w:eastAsia="Arial" w:hint="default"/>
                <w:sz w:val="18"/>
                <w:szCs w:val="18"/>
              </w:rPr>
            </w:pPr>
            <w:r>
              <w:rPr>
                <w:rFonts w:ascii="Arial"/>
                <w:w w:val="99"/>
                <w:sz w:val="18"/>
              </w:rPr>
              <w:t>0</w:t>
            </w:r>
            <w:r>
              <w:rPr>
                <w:rFonts w:ascii="Arial"/>
                <w:sz w:val="18"/>
              </w:rPr>
            </w:r>
          </w:p>
        </w:tc>
        <w:tc>
          <w:tcPr>
            <w:tcW w:w="798"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32,700</w:t>
            </w:r>
            <w:r>
              <w:rPr>
                <w:rFonts w:ascii="Arial"/>
                <w:sz w:val="18"/>
              </w:rPr>
            </w:r>
          </w:p>
          <w:p>
            <w:pPr>
              <w:pStyle w:val="TableParagraph"/>
              <w:spacing w:line="240" w:lineRule="auto" w:before="105"/>
              <w:ind w:right="104"/>
              <w:jc w:val="right"/>
              <w:rPr>
                <w:rFonts w:ascii="Arial" w:hAnsi="Arial" w:cs="Arial" w:eastAsia="Arial" w:hint="default"/>
                <w:sz w:val="18"/>
                <w:szCs w:val="18"/>
              </w:rPr>
            </w:pPr>
            <w:r>
              <w:rPr>
                <w:rFonts w:ascii="Arial"/>
                <w:w w:val="95"/>
                <w:sz w:val="18"/>
              </w:rPr>
              <w:t>,000.0</w:t>
            </w:r>
            <w:r>
              <w:rPr>
                <w:rFonts w:ascii="Arial"/>
                <w:sz w:val="18"/>
              </w:rPr>
            </w:r>
          </w:p>
          <w:p>
            <w:pPr>
              <w:pStyle w:val="TableParagraph"/>
              <w:spacing w:line="240" w:lineRule="auto" w:before="105"/>
              <w:ind w:right="105"/>
              <w:jc w:val="right"/>
              <w:rPr>
                <w:rFonts w:ascii="Arial" w:hAnsi="Arial" w:cs="Arial" w:eastAsia="Arial" w:hint="default"/>
                <w:sz w:val="18"/>
                <w:szCs w:val="18"/>
              </w:rPr>
            </w:pPr>
            <w:r>
              <w:rPr>
                <w:rFonts w:ascii="Arial"/>
                <w:w w:val="99"/>
                <w:sz w:val="18"/>
              </w:rPr>
              <w:t>0</w:t>
            </w:r>
            <w:r>
              <w:rPr>
                <w:rFonts w:ascii="Arial"/>
                <w:sz w:val="18"/>
              </w:rPr>
            </w:r>
          </w:p>
        </w:tc>
        <w:tc>
          <w:tcPr>
            <w:tcW w:w="79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31" w:right="0"/>
              <w:jc w:val="left"/>
              <w:rPr>
                <w:rFonts w:ascii="Arial" w:hAnsi="Arial" w:cs="Arial" w:eastAsia="Arial" w:hint="default"/>
                <w:sz w:val="18"/>
                <w:szCs w:val="18"/>
              </w:rPr>
            </w:pPr>
            <w:r>
              <w:rPr>
                <w:rFonts w:ascii="Arial"/>
                <w:sz w:val="18"/>
              </w:rPr>
              <w:t>-8,137,</w:t>
            </w:r>
          </w:p>
          <w:p>
            <w:pPr>
              <w:pStyle w:val="TableParagraph"/>
              <w:spacing w:line="240" w:lineRule="auto" w:before="105"/>
              <w:ind w:left="141" w:right="0"/>
              <w:jc w:val="left"/>
              <w:rPr>
                <w:rFonts w:ascii="Arial" w:hAnsi="Arial" w:cs="Arial" w:eastAsia="Arial" w:hint="default"/>
                <w:sz w:val="18"/>
                <w:szCs w:val="18"/>
              </w:rPr>
            </w:pPr>
            <w:r>
              <w:rPr>
                <w:rFonts w:ascii="Arial"/>
                <w:sz w:val="18"/>
              </w:rPr>
              <w:t>255.05</w:t>
            </w:r>
          </w:p>
        </w:tc>
        <w:tc>
          <w:tcPr>
            <w:tcW w:w="798"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3" w:right="0"/>
              <w:jc w:val="center"/>
              <w:rPr>
                <w:rFonts w:ascii="Arial" w:hAnsi="Arial" w:cs="Arial" w:eastAsia="Arial" w:hint="default"/>
                <w:sz w:val="18"/>
                <w:szCs w:val="18"/>
              </w:rPr>
            </w:pPr>
            <w:r>
              <w:rPr>
                <w:rFonts w:ascii="Arial"/>
                <w:sz w:val="18"/>
              </w:rPr>
              <w:t>659,15</w:t>
            </w:r>
          </w:p>
          <w:p>
            <w:pPr>
              <w:pStyle w:val="TableParagraph"/>
              <w:spacing w:line="240" w:lineRule="auto" w:before="105"/>
              <w:ind w:left="232" w:right="0"/>
              <w:jc w:val="center"/>
              <w:rPr>
                <w:rFonts w:ascii="Arial" w:hAnsi="Arial" w:cs="Arial" w:eastAsia="Arial" w:hint="default"/>
                <w:sz w:val="18"/>
                <w:szCs w:val="18"/>
              </w:rPr>
            </w:pPr>
            <w:r>
              <w:rPr>
                <w:rFonts w:ascii="Arial"/>
                <w:sz w:val="18"/>
              </w:rPr>
              <w:t>9.14</w:t>
            </w:r>
          </w:p>
        </w:tc>
        <w:tc>
          <w:tcPr>
            <w:tcW w:w="798"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
        </w:tc>
        <w:tc>
          <w:tcPr>
            <w:tcW w:w="798"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69,071</w:t>
            </w:r>
            <w:r>
              <w:rPr>
                <w:rFonts w:ascii="Arial"/>
                <w:sz w:val="18"/>
              </w:rPr>
            </w:r>
          </w:p>
          <w:p>
            <w:pPr>
              <w:pStyle w:val="TableParagraph"/>
              <w:spacing w:line="240" w:lineRule="auto" w:before="105"/>
              <w:ind w:right="104"/>
              <w:jc w:val="right"/>
              <w:rPr>
                <w:rFonts w:ascii="Arial" w:hAnsi="Arial" w:cs="Arial" w:eastAsia="Arial" w:hint="default"/>
                <w:sz w:val="18"/>
                <w:szCs w:val="18"/>
              </w:rPr>
            </w:pPr>
            <w:r>
              <w:rPr>
                <w:rFonts w:ascii="Arial"/>
                <w:w w:val="95"/>
                <w:sz w:val="18"/>
              </w:rPr>
              <w:t>,904.0</w:t>
            </w:r>
            <w:r>
              <w:rPr>
                <w:rFonts w:ascii="Arial"/>
                <w:sz w:val="18"/>
              </w:rPr>
            </w:r>
          </w:p>
          <w:p>
            <w:pPr>
              <w:pStyle w:val="TableParagraph"/>
              <w:spacing w:line="240" w:lineRule="auto" w:before="105"/>
              <w:ind w:right="105"/>
              <w:jc w:val="right"/>
              <w:rPr>
                <w:rFonts w:ascii="Arial" w:hAnsi="Arial" w:cs="Arial" w:eastAsia="Arial" w:hint="default"/>
                <w:sz w:val="18"/>
                <w:szCs w:val="18"/>
              </w:rPr>
            </w:pPr>
            <w:r>
              <w:rPr>
                <w:rFonts w:ascii="Arial"/>
                <w:w w:val="99"/>
                <w:sz w:val="18"/>
              </w:rPr>
              <w:t>9</w:t>
            </w:r>
            <w:r>
              <w:rPr>
                <w:rFonts w:ascii="Arial"/>
                <w:sz w:val="18"/>
              </w:rPr>
            </w:r>
          </w:p>
        </w:tc>
        <w:tc>
          <w:tcPr>
            <w:tcW w:w="798" w:type="dxa"/>
            <w:tcBorders>
              <w:top w:val="single" w:sz="4" w:space="0" w:color="5B9BD4"/>
              <w:left w:val="nil" w:sz="6" w:space="0" w:color="auto"/>
              <w:bottom w:val="single" w:sz="4" w:space="0" w:color="5B9BD4"/>
              <w:right w:val="nil" w:sz="6" w:space="0" w:color="auto"/>
            </w:tcBorders>
          </w:tcPr>
          <w:p>
            <w:pPr/>
          </w:p>
        </w:tc>
      </w:tr>
    </w:tbl>
    <w:p>
      <w:pPr>
        <w:spacing w:line="240" w:lineRule="auto" w:before="0"/>
        <w:rPr>
          <w:rFonts w:ascii="宋体" w:hAnsi="宋体" w:cs="宋体" w:eastAsia="宋体" w:hint="default"/>
          <w:sz w:val="15"/>
          <w:szCs w:val="15"/>
        </w:rPr>
      </w:pPr>
    </w:p>
    <w:p>
      <w:pPr>
        <w:pStyle w:val="BodyText"/>
        <w:spacing w:line="240" w:lineRule="auto" w:before="18"/>
        <w:ind w:left="634" w:right="1513"/>
        <w:jc w:val="left"/>
      </w:pPr>
      <w:r>
        <w:rPr/>
        <w:t>其他说明</w:t>
      </w:r>
    </w:p>
    <w:p>
      <w:pPr>
        <w:spacing w:line="240" w:lineRule="auto" w:before="9"/>
        <w:rPr>
          <w:rFonts w:ascii="宋体" w:hAnsi="宋体" w:cs="宋体" w:eastAsia="宋体" w:hint="default"/>
          <w:sz w:val="26"/>
          <w:szCs w:val="26"/>
        </w:rPr>
      </w:pPr>
    </w:p>
    <w:p>
      <w:pPr>
        <w:pStyle w:val="BodyText"/>
        <w:spacing w:line="388" w:lineRule="auto"/>
        <w:ind w:left="213" w:right="1132" w:firstLine="420"/>
        <w:jc w:val="both"/>
      </w:pPr>
      <w:r>
        <w:rPr>
          <w:spacing w:val="-4"/>
        </w:rPr>
        <w:t>注：①北京瑞成汇达科技有限公司（以下简称“瑞成汇达公司”）于 </w:t>
      </w:r>
      <w:r>
        <w:rPr>
          <w:rFonts w:ascii="Arial" w:hAnsi="Arial" w:cs="Arial" w:eastAsia="Arial" w:hint="default"/>
        </w:rPr>
        <w:t>2015 </w:t>
      </w:r>
      <w:r>
        <w:rPr/>
        <w:t>年 </w:t>
      </w:r>
      <w:r>
        <w:rPr>
          <w:rFonts w:ascii="Arial" w:hAnsi="Arial" w:cs="Arial" w:eastAsia="Arial" w:hint="default"/>
        </w:rPr>
        <w:t>11</w:t>
      </w:r>
      <w:r>
        <w:rPr>
          <w:rFonts w:ascii="Arial" w:hAnsi="Arial" w:cs="Arial" w:eastAsia="Arial" w:hint="default"/>
          <w:spacing w:val="2"/>
        </w:rPr>
        <w:t> </w:t>
      </w:r>
      <w:r>
        <w:rPr/>
        <w:t>与王继军签订股权 </w:t>
      </w:r>
      <w:r>
        <w:rPr>
          <w:spacing w:val="-3"/>
          <w:w w:val="99"/>
        </w:rPr>
        <w:t>转让协议，同意以现金人民币</w:t>
      </w:r>
      <w:r>
        <w:rPr>
          <w:rFonts w:ascii="Arial" w:hAnsi="Arial" w:cs="Arial" w:eastAsia="Arial" w:hint="default"/>
          <w:spacing w:val="-3"/>
          <w:w w:val="99"/>
        </w:rPr>
        <w:t>3,700</w:t>
      </w:r>
      <w:r>
        <w:rPr>
          <w:spacing w:val="-3"/>
          <w:w w:val="99"/>
        </w:rPr>
        <w:t>万元的价格将其持有的北京全彩时代网络科技有限公司</w:t>
      </w:r>
      <w:r>
        <w:rPr>
          <w:rFonts w:ascii="Arial" w:hAnsi="Arial" w:cs="Arial" w:eastAsia="Arial" w:hint="default"/>
          <w:spacing w:val="-3"/>
          <w:w w:val="99"/>
        </w:rPr>
        <w:t>20%</w:t>
      </w:r>
      <w:r>
        <w:rPr>
          <w:spacing w:val="-3"/>
          <w:w w:val="99"/>
        </w:rPr>
        <w:t>的股权转让</w:t>
      </w:r>
      <w:r>
        <w:rPr>
          <w:spacing w:val="-47"/>
          <w:w w:val="99"/>
        </w:rPr>
        <w:t> </w:t>
      </w:r>
      <w:r>
        <w:rPr>
          <w:w w:val="95"/>
        </w:rPr>
        <w:t>给王继军。瑞成汇达公司已于</w:t>
      </w:r>
      <w:r>
        <w:rPr>
          <w:rFonts w:ascii="Arial" w:hAnsi="Arial" w:cs="Arial" w:eastAsia="Arial" w:hint="default"/>
          <w:w w:val="95"/>
        </w:rPr>
        <w:t>2015</w:t>
      </w:r>
      <w:r>
        <w:rPr>
          <w:w w:val="95"/>
        </w:rPr>
        <w:t>年</w:t>
      </w:r>
      <w:r>
        <w:rPr>
          <w:rFonts w:ascii="Arial" w:hAnsi="Arial" w:cs="Arial" w:eastAsia="Arial" w:hint="default"/>
          <w:w w:val="95"/>
        </w:rPr>
        <w:t>11</w:t>
      </w:r>
      <w:r>
        <w:rPr>
          <w:w w:val="95"/>
        </w:rPr>
        <w:t>月</w:t>
      </w:r>
      <w:r>
        <w:rPr>
          <w:rFonts w:ascii="Arial" w:hAnsi="Arial" w:cs="Arial" w:eastAsia="Arial" w:hint="default"/>
          <w:w w:val="95"/>
        </w:rPr>
        <w:t>26</w:t>
      </w:r>
      <w:r>
        <w:rPr>
          <w:w w:val="95"/>
        </w:rPr>
        <w:t>日收到第一笔股权转让款</w:t>
      </w:r>
      <w:r>
        <w:rPr>
          <w:rFonts w:ascii="Arial" w:hAnsi="Arial" w:cs="Arial" w:eastAsia="Arial" w:hint="default"/>
          <w:w w:val="95"/>
        </w:rPr>
        <w:t>1,850</w:t>
      </w:r>
      <w:r>
        <w:rPr>
          <w:w w:val="95"/>
        </w:rPr>
        <w:t>万元，并开始办理工商变更登</w:t>
      </w:r>
      <w:r>
        <w:rPr>
          <w:spacing w:val="68"/>
          <w:w w:val="95"/>
        </w:rPr>
        <w:t> </w:t>
      </w:r>
      <w:r>
        <w:rPr>
          <w:spacing w:val="68"/>
          <w:w w:val="95"/>
        </w:rPr>
      </w:r>
      <w:r>
        <w:rPr/>
        <w:t>记手续。</w:t>
      </w:r>
    </w:p>
    <w:p>
      <w:pPr>
        <w:spacing w:line="240" w:lineRule="auto" w:before="10"/>
        <w:rPr>
          <w:rFonts w:ascii="宋体" w:hAnsi="宋体" w:cs="宋体" w:eastAsia="宋体" w:hint="default"/>
          <w:sz w:val="16"/>
          <w:szCs w:val="16"/>
        </w:rPr>
      </w:pPr>
    </w:p>
    <w:p>
      <w:pPr>
        <w:pStyle w:val="BodyText"/>
        <w:spacing w:line="388" w:lineRule="auto"/>
        <w:ind w:left="213" w:right="1130" w:firstLine="420"/>
        <w:jc w:val="both"/>
      </w:pPr>
      <w:r>
        <w:rPr/>
        <w:t>②迈奔灵动公司于</w:t>
      </w:r>
      <w:r>
        <w:rPr>
          <w:rFonts w:ascii="Arial" w:hAnsi="Arial" w:cs="Arial" w:eastAsia="Arial" w:hint="default"/>
        </w:rPr>
        <w:t>2015</w:t>
      </w:r>
      <w:r>
        <w:rPr/>
        <w:t>年</w:t>
      </w:r>
      <w:r>
        <w:rPr>
          <w:rFonts w:ascii="Arial" w:hAnsi="Arial" w:cs="Arial" w:eastAsia="Arial" w:hint="default"/>
        </w:rPr>
        <w:t>4</w:t>
      </w:r>
      <w:r>
        <w:rPr/>
        <w:t>月</w:t>
      </w:r>
      <w:r>
        <w:rPr>
          <w:rFonts w:ascii="Arial" w:hAnsi="Arial" w:cs="Arial" w:eastAsia="Arial" w:hint="default"/>
        </w:rPr>
        <w:t>30</w:t>
      </w:r>
      <w:r>
        <w:rPr/>
        <w:t>日与蒋利峰签订股权转让合同，同意以人民币</w:t>
      </w:r>
      <w:r>
        <w:rPr>
          <w:rFonts w:ascii="Arial" w:hAnsi="Arial" w:cs="Arial" w:eastAsia="Arial" w:hint="default"/>
        </w:rPr>
        <w:t>270</w:t>
      </w:r>
      <w:r>
        <w:rPr/>
        <w:t>万元的价格转让迈 奔灵动公司持有的北京磨盘时代科技有限公司（</w:t>
      </w:r>
      <w:r>
        <w:rPr>
          <w:rFonts w:ascii="Arial" w:hAnsi="Arial" w:cs="Arial" w:eastAsia="Arial" w:hint="default"/>
        </w:rPr>
        <w:t>2015</w:t>
      </w:r>
      <w:r>
        <w:rPr/>
        <w:t>年</w:t>
      </w:r>
      <w:r>
        <w:rPr>
          <w:rFonts w:ascii="Arial" w:hAnsi="Arial" w:cs="Arial" w:eastAsia="Arial" w:hint="default"/>
        </w:rPr>
        <w:t>6</w:t>
      </w:r>
      <w:r>
        <w:rPr/>
        <w:t>月</w:t>
      </w:r>
      <w:r>
        <w:rPr>
          <w:rFonts w:ascii="Arial" w:hAnsi="Arial" w:cs="Arial" w:eastAsia="Arial" w:hint="default"/>
        </w:rPr>
        <w:t>30</w:t>
      </w:r>
      <w:r>
        <w:rPr/>
        <w:t>日更名为“北京磨盘精准网络营销技术股份 有限公司”）</w:t>
      </w:r>
      <w:r>
        <w:rPr>
          <w:rFonts w:ascii="Arial" w:hAnsi="Arial" w:cs="Arial" w:eastAsia="Arial" w:hint="default"/>
        </w:rPr>
        <w:t>2%</w:t>
      </w:r>
      <w:r>
        <w:rPr/>
        <w:t>的股权，迈奔灵动公司持股比例由</w:t>
      </w:r>
      <w:r>
        <w:rPr>
          <w:rFonts w:ascii="Arial" w:hAnsi="Arial" w:cs="Arial" w:eastAsia="Arial" w:hint="default"/>
        </w:rPr>
        <w:t>34.81</w:t>
      </w:r>
      <w:r>
        <w:rPr/>
        <w:t>变更为</w:t>
      </w:r>
      <w:r>
        <w:rPr>
          <w:rFonts w:ascii="Arial" w:hAnsi="Arial" w:cs="Arial" w:eastAsia="Arial" w:hint="default"/>
        </w:rPr>
        <w:t>32.81%</w:t>
      </w:r>
      <w:r>
        <w:rPr/>
        <w:t>。</w:t>
      </w:r>
    </w:p>
    <w:p>
      <w:pPr>
        <w:spacing w:line="240" w:lineRule="auto" w:before="6"/>
        <w:rPr>
          <w:rFonts w:ascii="宋体" w:hAnsi="宋体" w:cs="宋体" w:eastAsia="宋体" w:hint="default"/>
          <w:sz w:val="14"/>
          <w:szCs w:val="14"/>
        </w:rPr>
      </w:pPr>
    </w:p>
    <w:p>
      <w:pPr>
        <w:pStyle w:val="BodyText"/>
        <w:spacing w:line="388" w:lineRule="auto"/>
        <w:ind w:left="213" w:right="1132" w:firstLine="420"/>
        <w:jc w:val="both"/>
      </w:pPr>
      <w:r>
        <w:rPr>
          <w:rFonts w:ascii="Arial" w:hAnsi="Arial" w:cs="Arial" w:eastAsia="Arial" w:hint="default"/>
        </w:rPr>
        <w:t>2015</w:t>
      </w:r>
      <w:r>
        <w:rPr/>
        <w:t>年</w:t>
      </w:r>
      <w:r>
        <w:rPr>
          <w:rFonts w:ascii="Arial" w:hAnsi="Arial" w:cs="Arial" w:eastAsia="Arial" w:hint="default"/>
        </w:rPr>
        <w:t>9</w:t>
      </w:r>
      <w:r>
        <w:rPr/>
        <w:t>月</w:t>
      </w:r>
      <w:r>
        <w:rPr>
          <w:rFonts w:ascii="Arial" w:hAnsi="Arial" w:cs="Arial" w:eastAsia="Arial" w:hint="default"/>
        </w:rPr>
        <w:t>23</w:t>
      </w:r>
      <w:r>
        <w:rPr/>
        <w:t>日，磨盘股份公司经股东会决议增资扩股，由原</w:t>
      </w:r>
      <w:r>
        <w:rPr>
          <w:rFonts w:ascii="Arial" w:hAnsi="Arial" w:cs="Arial" w:eastAsia="Arial" w:hint="default"/>
        </w:rPr>
        <w:t>40,000,000</w:t>
      </w:r>
      <w:r>
        <w:rPr/>
        <w:t>股增加为</w:t>
      </w:r>
      <w:r>
        <w:rPr>
          <w:rFonts w:ascii="Arial" w:hAnsi="Arial" w:cs="Arial" w:eastAsia="Arial" w:hint="default"/>
        </w:rPr>
        <w:t>47,000,000</w:t>
      </w:r>
      <w:r>
        <w:rPr/>
        <w:t>股，迈 奔灵动公司持股数不变，持股比例由</w:t>
      </w:r>
      <w:r>
        <w:rPr>
          <w:rFonts w:ascii="Arial" w:hAnsi="Arial" w:cs="Arial" w:eastAsia="Arial" w:hint="default"/>
        </w:rPr>
        <w:t>32.81%</w:t>
      </w:r>
      <w:r>
        <w:rPr/>
        <w:t>变更为</w:t>
      </w:r>
      <w:r>
        <w:rPr>
          <w:rFonts w:ascii="Arial" w:hAnsi="Arial" w:cs="Arial" w:eastAsia="Arial" w:hint="default"/>
        </w:rPr>
        <w:t>27.93%</w:t>
      </w:r>
      <w:r>
        <w:rPr/>
        <w:t>。</w:t>
      </w:r>
    </w:p>
    <w:p>
      <w:pPr>
        <w:spacing w:line="240" w:lineRule="auto" w:before="6"/>
        <w:rPr>
          <w:rFonts w:ascii="宋体" w:hAnsi="宋体" w:cs="宋体" w:eastAsia="宋体" w:hint="default"/>
          <w:sz w:val="14"/>
          <w:szCs w:val="14"/>
        </w:rPr>
      </w:pPr>
    </w:p>
    <w:p>
      <w:pPr>
        <w:pStyle w:val="BodyText"/>
        <w:spacing w:line="388" w:lineRule="auto"/>
        <w:ind w:left="213" w:right="1127" w:firstLine="420"/>
        <w:jc w:val="both"/>
      </w:pPr>
      <w:r>
        <w:rPr/>
        <w:t>③瑞成汇达公司于</w:t>
      </w:r>
      <w:r>
        <w:rPr>
          <w:rFonts w:ascii="Arial" w:hAnsi="Arial" w:cs="Arial" w:eastAsia="Arial" w:hint="default"/>
        </w:rPr>
        <w:t>2015</w:t>
      </w:r>
      <w:r>
        <w:rPr/>
        <w:t>年</w:t>
      </w:r>
      <w:r>
        <w:rPr>
          <w:rFonts w:ascii="Arial" w:hAnsi="Arial" w:cs="Arial" w:eastAsia="Arial" w:hint="default"/>
        </w:rPr>
        <w:t>10</w:t>
      </w:r>
      <w:r>
        <w:rPr/>
        <w:t>月</w:t>
      </w:r>
      <w:r>
        <w:rPr>
          <w:rFonts w:ascii="Arial" w:hAnsi="Arial" w:cs="Arial" w:eastAsia="Arial" w:hint="default"/>
        </w:rPr>
        <w:t>12</w:t>
      </w:r>
      <w:r>
        <w:rPr/>
        <w:t>日，签署了《国鑫爱施德产业并购合伙企业（有限合伙）之认缴协</w:t>
      </w:r>
      <w:r>
        <w:rPr>
          <w:spacing w:val="2"/>
        </w:rPr>
        <w:t> </w:t>
      </w:r>
      <w:r>
        <w:rPr>
          <w:spacing w:val="3"/>
        </w:rPr>
        <w:t>议》，认缴出资额</w:t>
      </w:r>
      <w:r>
        <w:rPr>
          <w:rFonts w:ascii="Arial" w:hAnsi="Arial" w:cs="Arial" w:eastAsia="Arial" w:hint="default"/>
          <w:spacing w:val="3"/>
        </w:rPr>
        <w:t>3,000</w:t>
      </w:r>
      <w:r>
        <w:rPr>
          <w:spacing w:val="3"/>
        </w:rPr>
        <w:t>万元。瑞成汇达公司已于</w:t>
      </w:r>
      <w:r>
        <w:rPr>
          <w:rFonts w:ascii="Arial" w:hAnsi="Arial" w:cs="Arial" w:eastAsia="Arial" w:hint="default"/>
          <w:spacing w:val="3"/>
        </w:rPr>
        <w:t>2015</w:t>
      </w:r>
      <w:r>
        <w:rPr>
          <w:spacing w:val="3"/>
        </w:rPr>
        <w:t>年</w:t>
      </w:r>
      <w:r>
        <w:rPr>
          <w:rFonts w:ascii="Arial" w:hAnsi="Arial" w:cs="Arial" w:eastAsia="Arial" w:hint="default"/>
          <w:spacing w:val="3"/>
        </w:rPr>
        <w:t>11</w:t>
      </w:r>
      <w:r>
        <w:rPr>
          <w:spacing w:val="3"/>
        </w:rPr>
        <w:t>月</w:t>
      </w:r>
      <w:r>
        <w:rPr>
          <w:rFonts w:ascii="Arial" w:hAnsi="Arial" w:cs="Arial" w:eastAsia="Arial" w:hint="default"/>
          <w:spacing w:val="3"/>
        </w:rPr>
        <w:t>5</w:t>
      </w:r>
      <w:r>
        <w:rPr>
          <w:spacing w:val="3"/>
        </w:rPr>
        <w:t>日缴纳出资款</w:t>
      </w:r>
      <w:r>
        <w:rPr>
          <w:rFonts w:ascii="Arial" w:hAnsi="Arial" w:cs="Arial" w:eastAsia="Arial" w:hint="default"/>
          <w:spacing w:val="3"/>
        </w:rPr>
        <w:t>3,000</w:t>
      </w:r>
      <w:r>
        <w:rPr>
          <w:spacing w:val="3"/>
        </w:rPr>
        <w:t>万元，占总出资额的</w:t>
      </w:r>
      <w:r>
        <w:rPr>
          <w:spacing w:val="-81"/>
        </w:rPr>
        <w:t> </w:t>
      </w:r>
      <w:r>
        <w:rPr>
          <w:spacing w:val="-81"/>
        </w:rPr>
      </w:r>
      <w:r>
        <w:rPr>
          <w:rFonts w:ascii="Arial" w:hAnsi="Arial" w:cs="Arial" w:eastAsia="Arial" w:hint="default"/>
        </w:rPr>
        <w:t>21.43%</w:t>
      </w:r>
      <w:r>
        <w:rPr/>
        <w:t>。</w:t>
      </w:r>
    </w:p>
    <w:p>
      <w:pPr>
        <w:spacing w:line="240" w:lineRule="auto" w:before="6"/>
        <w:rPr>
          <w:rFonts w:ascii="宋体" w:hAnsi="宋体" w:cs="宋体" w:eastAsia="宋体" w:hint="default"/>
          <w:sz w:val="14"/>
          <w:szCs w:val="14"/>
        </w:rPr>
      </w:pPr>
    </w:p>
    <w:p>
      <w:pPr>
        <w:pStyle w:val="BodyText"/>
        <w:spacing w:line="388" w:lineRule="auto"/>
        <w:ind w:left="214" w:right="1131" w:firstLine="420"/>
        <w:jc w:val="both"/>
      </w:pPr>
      <w:r>
        <w:rPr/>
        <w:t>④迈奔灵动公司于</w:t>
      </w:r>
      <w:r>
        <w:rPr>
          <w:rFonts w:ascii="Arial" w:hAnsi="Arial" w:cs="Arial" w:eastAsia="Arial" w:hint="default"/>
        </w:rPr>
        <w:t>2015</w:t>
      </w:r>
      <w:r>
        <w:rPr/>
        <w:t>年</w:t>
      </w:r>
      <w:r>
        <w:rPr>
          <w:rFonts w:ascii="Arial" w:hAnsi="Arial" w:cs="Arial" w:eastAsia="Arial" w:hint="default"/>
        </w:rPr>
        <w:t>3</w:t>
      </w:r>
      <w:r>
        <w:rPr/>
        <w:t>月</w:t>
      </w:r>
      <w:r>
        <w:rPr>
          <w:rFonts w:ascii="Arial" w:hAnsi="Arial" w:cs="Arial" w:eastAsia="Arial" w:hint="default"/>
        </w:rPr>
        <w:t>23</w:t>
      </w:r>
      <w:r>
        <w:rPr/>
        <w:t>与上海岩霜公司签署增资协议书，根据协议，迈奔灵动公司向上海岩 </w:t>
      </w:r>
      <w:r>
        <w:rPr>
          <w:spacing w:val="-2"/>
        </w:rPr>
        <w:t>霜公司投资人民币</w:t>
      </w:r>
      <w:r>
        <w:rPr>
          <w:rFonts w:ascii="Arial" w:hAnsi="Arial" w:cs="Arial" w:eastAsia="Arial" w:hint="default"/>
          <w:spacing w:val="-2"/>
        </w:rPr>
        <w:t>225</w:t>
      </w:r>
      <w:r>
        <w:rPr>
          <w:spacing w:val="-2"/>
        </w:rPr>
        <w:t>万元，其中人民币</w:t>
      </w:r>
      <w:r>
        <w:rPr>
          <w:rFonts w:ascii="Arial" w:hAnsi="Arial" w:cs="Arial" w:eastAsia="Arial" w:hint="default"/>
          <w:spacing w:val="-2"/>
        </w:rPr>
        <w:t>35.7143</w:t>
      </w:r>
      <w:r>
        <w:rPr>
          <w:spacing w:val="-2"/>
        </w:rPr>
        <w:t>万元用于增加上海岩霜公司注册资本，拥有上海岩霜公司</w:t>
      </w:r>
      <w:r>
        <w:rPr>
          <w:spacing w:val="-86"/>
        </w:rPr>
        <w:t> </w:t>
      </w:r>
      <w:r>
        <w:rPr>
          <w:spacing w:val="-86"/>
        </w:rPr>
      </w:r>
      <w:r>
        <w:rPr>
          <w:rFonts w:ascii="Arial" w:hAnsi="Arial" w:cs="Arial" w:eastAsia="Arial" w:hint="default"/>
        </w:rPr>
        <w:t>25.64%</w:t>
      </w:r>
      <w:r>
        <w:rPr/>
        <w:t>的股权。</w:t>
      </w:r>
    </w:p>
    <w:p>
      <w:pPr>
        <w:pStyle w:val="Heading5"/>
        <w:spacing w:line="240" w:lineRule="auto" w:before="112"/>
        <w:ind w:right="1513"/>
        <w:jc w:val="left"/>
        <w:rPr>
          <w:b w:val="0"/>
          <w:bCs w:val="0"/>
        </w:rPr>
      </w:pPr>
      <w:bookmarkStart w:name="11、固定资产" w:id="310"/>
      <w:bookmarkEnd w:id="310"/>
      <w:r>
        <w:rPr>
          <w:b w:val="0"/>
          <w:bCs w:val="0"/>
        </w:rPr>
      </w:r>
      <w:r>
        <w:rPr>
          <w:rFonts w:ascii="Trebuchet MS" w:hAnsi="Trebuchet MS" w:cs="Trebuchet MS" w:eastAsia="Trebuchet MS" w:hint="default"/>
        </w:rPr>
        <w:t>11</w:t>
      </w:r>
      <w:r>
        <w:rPr/>
        <w:t>、固定资产</w:t>
      </w:r>
      <w:r>
        <w:rPr>
          <w:b w:val="0"/>
          <w:bCs w:val="0"/>
        </w:rPr>
      </w:r>
    </w:p>
    <w:p>
      <w:pPr>
        <w:spacing w:line="240" w:lineRule="auto" w:before="7"/>
        <w:rPr>
          <w:rFonts w:ascii="宋体" w:hAnsi="宋体" w:cs="宋体" w:eastAsia="宋体" w:hint="default"/>
          <w:b/>
          <w:bCs/>
          <w:sz w:val="24"/>
          <w:szCs w:val="24"/>
        </w:rPr>
      </w:pPr>
    </w:p>
    <w:p>
      <w:pPr>
        <w:spacing w:before="0"/>
        <w:ind w:left="636" w:right="1513" w:firstLine="0"/>
        <w:jc w:val="left"/>
        <w:rPr>
          <w:rFonts w:ascii="宋体" w:hAnsi="宋体" w:cs="宋体" w:eastAsia="宋体" w:hint="default"/>
          <w:sz w:val="21"/>
          <w:szCs w:val="21"/>
        </w:rPr>
      </w:pPr>
      <w:bookmarkStart w:name="（1）固定资产情况" w:id="311"/>
      <w:bookmarkEnd w:id="311"/>
      <w:r>
        <w:rPr/>
      </w:r>
      <w:r>
        <w:rPr>
          <w:rFonts w:ascii="宋体" w:hAnsi="宋体" w:cs="宋体" w:eastAsia="宋体" w:hint="default"/>
          <w:b/>
          <w:bCs/>
          <w:sz w:val="21"/>
          <w:szCs w:val="21"/>
        </w:rPr>
        <w:t>（</w:t>
      </w:r>
      <w:r>
        <w:rPr>
          <w:rFonts w:ascii="Trebuchet MS" w:hAnsi="Trebuchet MS" w:cs="Trebuchet MS" w:eastAsia="Trebuchet MS"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5"/>
        <w:rPr>
          <w:rFonts w:ascii="宋体" w:hAnsi="宋体" w:cs="宋体" w:eastAsia="宋体" w:hint="default"/>
          <w:b/>
          <w:bCs/>
          <w:sz w:val="30"/>
          <w:szCs w:val="30"/>
        </w:rPr>
      </w:pPr>
    </w:p>
    <w:p>
      <w:pPr>
        <w:pStyle w:val="BodyText"/>
        <w:spacing w:line="240" w:lineRule="auto"/>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317" w:hRule="exact"/>
        </w:trPr>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256"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36"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3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36"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8" w:hRule="exact"/>
        </w:trPr>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2"/>
              <w:ind w:right="117"/>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595" w:type="dxa"/>
            <w:tcBorders>
              <w:top w:val="single" w:sz="4" w:space="0" w:color="5B9BD4"/>
              <w:left w:val="nil" w:sz="6" w:space="0" w:color="auto"/>
              <w:bottom w:val="single" w:sz="4" w:space="0" w:color="5B9BD4"/>
              <w:right w:val="nil" w:sz="6" w:space="0" w:color="auto"/>
            </w:tcBorders>
          </w:tcPr>
          <w:p>
            <w:pP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
        </w:tc>
        <w:tc>
          <w:tcPr>
            <w:tcW w:w="1594" w:type="dxa"/>
            <w:tcBorders>
              <w:top w:val="single" w:sz="4" w:space="0" w:color="5B9BD4"/>
              <w:left w:val="nil" w:sz="6" w:space="0" w:color="auto"/>
              <w:bottom w:val="single" w:sz="4" w:space="0" w:color="5B9BD4"/>
              <w:right w:val="nil" w:sz="6" w:space="0" w:color="auto"/>
            </w:tcBorders>
          </w:tcPr>
          <w:p>
            <w:pPr/>
          </w:p>
        </w:tc>
        <w:tc>
          <w:tcPr>
            <w:tcW w:w="1595" w:type="dxa"/>
            <w:tcBorders>
              <w:top w:val="single" w:sz="4" w:space="0" w:color="5B9BD4"/>
              <w:left w:val="nil" w:sz="6" w:space="0" w:color="auto"/>
              <w:bottom w:val="single" w:sz="4" w:space="0" w:color="5B9BD4"/>
              <w:right w:val="nil" w:sz="6" w:space="0" w:color="auto"/>
            </w:tcBorders>
            <w:shd w:val="clear" w:color="auto" w:fill="DEEAF6"/>
          </w:tcPr>
          <w:p>
            <w:pPr/>
          </w:p>
        </w:tc>
        <w:tc>
          <w:tcPr>
            <w:tcW w:w="1594" w:type="dxa"/>
            <w:tcBorders>
              <w:top w:val="single" w:sz="4" w:space="0" w:color="5B9BD4"/>
              <w:left w:val="nil" w:sz="6" w:space="0" w:color="auto"/>
              <w:bottom w:val="single" w:sz="4" w:space="0" w:color="5B9BD4"/>
              <w:right w:val="nil" w:sz="6" w:space="0" w:color="auto"/>
            </w:tcBorders>
          </w:tcPr>
          <w:p>
            <w:pPr/>
          </w:p>
        </w:tc>
      </w:tr>
      <w:tr>
        <w:trPr>
          <w:trHeight w:val="322" w:hRule="exact"/>
        </w:trPr>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47"/>
              <w:jc w:val="center"/>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期初余额</w:t>
            </w:r>
          </w:p>
        </w:tc>
        <w:tc>
          <w:tcPr>
            <w:tcW w:w="1595"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338" w:right="0"/>
              <w:jc w:val="left"/>
              <w:rPr>
                <w:rFonts w:ascii="Arial" w:hAnsi="Arial" w:cs="Arial" w:eastAsia="Arial" w:hint="default"/>
                <w:sz w:val="18"/>
                <w:szCs w:val="18"/>
              </w:rPr>
            </w:pPr>
            <w:r>
              <w:rPr>
                <w:rFonts w:ascii="Arial"/>
                <w:sz w:val="18"/>
              </w:rPr>
              <w:t>14,143,239.25</w:t>
            </w: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11,479,880.96</w:t>
            </w:r>
            <w:r>
              <w:rPr>
                <w:rFonts w:ascii="Arial"/>
                <w:sz w:val="18"/>
              </w:rPr>
            </w:r>
          </w:p>
        </w:tc>
        <w:tc>
          <w:tcPr>
            <w:tcW w:w="15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53,791,186.06</w:t>
            </w:r>
            <w:r>
              <w:rPr>
                <w:rFonts w:ascii="Arial"/>
                <w:sz w:val="18"/>
              </w:rPr>
            </w:r>
          </w:p>
        </w:tc>
        <w:tc>
          <w:tcPr>
            <w:tcW w:w="15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w w:val="95"/>
                <w:sz w:val="18"/>
              </w:rPr>
              <w:t>25,102,732.27</w:t>
            </w:r>
            <w:r>
              <w:rPr>
                <w:rFonts w:ascii="Arial"/>
                <w:sz w:val="18"/>
              </w:rPr>
            </w:r>
          </w:p>
        </w:tc>
        <w:tc>
          <w:tcPr>
            <w:tcW w:w="15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104,517,038.54</w:t>
            </w:r>
            <w:r>
              <w:rPr>
                <w:rFonts w:ascii="Arial"/>
                <w:sz w:val="18"/>
              </w:rPr>
            </w:r>
          </w:p>
        </w:tc>
      </w:tr>
      <w:tr>
        <w:trPr>
          <w:trHeight w:val="635" w:hRule="exact"/>
        </w:trPr>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313"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27"/>
                <w:sz w:val="18"/>
                <w:szCs w:val="18"/>
              </w:rPr>
              <w:t> </w:t>
            </w:r>
            <w:r>
              <w:rPr>
                <w:rFonts w:ascii="宋体" w:hAnsi="宋体" w:cs="宋体" w:eastAsia="宋体" w:hint="default"/>
                <w:sz w:val="18"/>
                <w:szCs w:val="18"/>
              </w:rPr>
              <w:t>本</w:t>
            </w:r>
            <w:r>
              <w:rPr>
                <w:rFonts w:ascii="宋体" w:hAnsi="宋体" w:cs="宋体" w:eastAsia="宋体" w:hint="default"/>
                <w:spacing w:val="-66"/>
                <w:sz w:val="18"/>
                <w:szCs w:val="18"/>
              </w:rPr>
              <w:t> </w:t>
            </w:r>
            <w:r>
              <w:rPr>
                <w:rFonts w:ascii="宋体" w:hAnsi="宋体" w:cs="宋体" w:eastAsia="宋体" w:hint="default"/>
                <w:sz w:val="18"/>
                <w:szCs w:val="18"/>
              </w:rPr>
              <w:t>期</w:t>
            </w:r>
            <w:r>
              <w:rPr>
                <w:rFonts w:ascii="宋体" w:hAnsi="宋体" w:cs="宋体" w:eastAsia="宋体" w:hint="default"/>
                <w:spacing w:val="-66"/>
                <w:sz w:val="18"/>
                <w:szCs w:val="18"/>
              </w:rPr>
              <w:t> </w:t>
            </w:r>
            <w:r>
              <w:rPr>
                <w:rFonts w:ascii="宋体" w:hAnsi="宋体" w:cs="宋体" w:eastAsia="宋体" w:hint="default"/>
                <w:sz w:val="18"/>
                <w:szCs w:val="18"/>
              </w:rPr>
              <w:t>增</w:t>
            </w:r>
            <w:r>
              <w:rPr>
                <w:rFonts w:ascii="宋体" w:hAnsi="宋体" w:cs="宋体" w:eastAsia="宋体" w:hint="default"/>
                <w:spacing w:val="-68"/>
                <w:sz w:val="18"/>
                <w:szCs w:val="18"/>
              </w:rPr>
              <w:t> </w:t>
            </w:r>
            <w:r>
              <w:rPr>
                <w:rFonts w:ascii="宋体" w:hAnsi="宋体" w:cs="宋体" w:eastAsia="宋体" w:hint="default"/>
                <w:sz w:val="18"/>
                <w:szCs w:val="18"/>
              </w:rPr>
              <w:t>加</w:t>
            </w:r>
            <w:r>
              <w:rPr>
                <w:rFonts w:ascii="宋体" w:hAnsi="宋体" w:cs="宋体" w:eastAsia="宋体" w:hint="default"/>
                <w:spacing w:val="-68"/>
                <w:sz w:val="18"/>
                <w:szCs w:val="18"/>
              </w:rPr>
              <w:t> </w:t>
            </w:r>
            <w:r>
              <w:rPr>
                <w:rFonts w:ascii="宋体" w:hAnsi="宋体" w:cs="宋体" w:eastAsia="宋体" w:hint="default"/>
                <w:sz w:val="18"/>
                <w:szCs w:val="18"/>
              </w:rPr>
              <w:t>金</w:t>
            </w:r>
          </w:p>
          <w:p>
            <w:pPr>
              <w:pStyle w:val="TableParagraph"/>
              <w:spacing w:line="240" w:lineRule="auto" w:before="63"/>
              <w:ind w:left="108"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5" w:type="dxa"/>
            <w:tcBorders>
              <w:top w:val="single" w:sz="4" w:space="0" w:color="5B9BD4"/>
              <w:left w:val="nil" w:sz="6" w:space="0" w:color="auto"/>
              <w:bottom w:val="single" w:sz="4" w:space="0" w:color="5B9BD4"/>
              <w:right w:val="nil" w:sz="6" w:space="0" w:color="auto"/>
            </w:tcBorders>
          </w:tcPr>
          <w:p>
            <w:pP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729,384.61</w:t>
            </w:r>
            <w:r>
              <w:rPr>
                <w:rFonts w:ascii="Arial"/>
                <w:sz w:val="18"/>
              </w:rPr>
            </w:r>
          </w:p>
        </w:tc>
        <w:tc>
          <w:tcPr>
            <w:tcW w:w="1594"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7,810,804.65</w:t>
            </w:r>
            <w:r>
              <w:rPr>
                <w:rFonts w:ascii="Arial"/>
                <w:sz w:val="18"/>
              </w:rPr>
            </w:r>
          </w:p>
        </w:tc>
        <w:tc>
          <w:tcPr>
            <w:tcW w:w="15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1,771,769.68</w:t>
            </w:r>
            <w:r>
              <w:rPr>
                <w:rFonts w:ascii="Arial"/>
                <w:sz w:val="18"/>
              </w:rPr>
            </w:r>
          </w:p>
        </w:tc>
        <w:tc>
          <w:tcPr>
            <w:tcW w:w="1594"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10,311,958.94</w:t>
            </w:r>
            <w:r>
              <w:rPr>
                <w:rFonts w:ascii="Arial"/>
                <w:sz w:val="18"/>
              </w:rPr>
            </w:r>
          </w:p>
        </w:tc>
      </w:tr>
    </w:tbl>
    <w:p>
      <w:pPr>
        <w:spacing w:after="0" w:line="240" w:lineRule="auto"/>
        <w:jc w:val="right"/>
        <w:rPr>
          <w:rFonts w:ascii="Arial" w:hAnsi="Arial" w:cs="Arial" w:eastAsia="Arial" w:hint="default"/>
          <w:sz w:val="18"/>
          <w:szCs w:val="18"/>
        </w:rPr>
        <w:sectPr>
          <w:pgSz w:w="11910" w:h="16840"/>
          <w:pgMar w:header="877" w:footer="979" w:top="1100" w:bottom="1160" w:left="920" w:right="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322" w:hRule="exact"/>
        </w:trPr>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305"/>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Arial" w:hAnsi="Arial" w:cs="Arial" w:eastAsia="Arial" w:hint="default"/>
                <w:spacing w:val="-1"/>
                <w:sz w:val="18"/>
                <w:szCs w:val="18"/>
              </w:rPr>
              <w:t>1</w:t>
            </w:r>
            <w:r>
              <w:rPr>
                <w:rFonts w:ascii="宋体" w:hAnsi="宋体" w:cs="宋体" w:eastAsia="宋体" w:hint="default"/>
                <w:spacing w:val="-1"/>
                <w:sz w:val="18"/>
                <w:szCs w:val="18"/>
              </w:rPr>
              <w:t>）购置</w:t>
            </w:r>
          </w:p>
        </w:tc>
        <w:tc>
          <w:tcPr>
            <w:tcW w:w="1595" w:type="dxa"/>
            <w:tcBorders>
              <w:top w:val="single" w:sz="4" w:space="0" w:color="5B9BD4"/>
              <w:left w:val="nil" w:sz="6" w:space="0" w:color="auto"/>
              <w:bottom w:val="single" w:sz="4" w:space="0" w:color="5B9BD4"/>
              <w:right w:val="nil" w:sz="6" w:space="0" w:color="auto"/>
            </w:tcBorders>
          </w:tcPr>
          <w:p>
            <w:pP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729,384.61</w:t>
            </w:r>
            <w:r>
              <w:rPr>
                <w:rFonts w:ascii="Arial"/>
                <w:sz w:val="18"/>
              </w:rPr>
            </w:r>
          </w:p>
        </w:tc>
        <w:tc>
          <w:tcPr>
            <w:tcW w:w="15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7,810,804.65</w:t>
            </w:r>
            <w:r>
              <w:rPr>
                <w:rFonts w:ascii="Arial"/>
                <w:sz w:val="18"/>
              </w:rPr>
            </w:r>
          </w:p>
        </w:tc>
        <w:tc>
          <w:tcPr>
            <w:tcW w:w="15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1,771,769.68</w:t>
            </w:r>
            <w:r>
              <w:rPr>
                <w:rFonts w:ascii="Arial"/>
                <w:sz w:val="18"/>
              </w:rPr>
            </w:r>
          </w:p>
        </w:tc>
        <w:tc>
          <w:tcPr>
            <w:tcW w:w="15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10,311,958.94</w:t>
            </w:r>
            <w:r>
              <w:rPr>
                <w:rFonts w:ascii="Arial"/>
                <w:sz w:val="18"/>
              </w:rPr>
            </w:r>
          </w:p>
        </w:tc>
      </w:tr>
      <w:tr>
        <w:trPr>
          <w:trHeight w:val="634" w:hRule="exact"/>
        </w:trPr>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313"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27"/>
                <w:sz w:val="18"/>
                <w:szCs w:val="18"/>
              </w:rPr>
              <w:t> </w:t>
            </w:r>
            <w:r>
              <w:rPr>
                <w:rFonts w:ascii="宋体" w:hAnsi="宋体" w:cs="宋体" w:eastAsia="宋体" w:hint="default"/>
                <w:sz w:val="18"/>
                <w:szCs w:val="18"/>
              </w:rPr>
              <w:t>本</w:t>
            </w:r>
            <w:r>
              <w:rPr>
                <w:rFonts w:ascii="宋体" w:hAnsi="宋体" w:cs="宋体" w:eastAsia="宋体" w:hint="default"/>
                <w:spacing w:val="-66"/>
                <w:sz w:val="18"/>
                <w:szCs w:val="18"/>
              </w:rPr>
              <w:t> </w:t>
            </w:r>
            <w:r>
              <w:rPr>
                <w:rFonts w:ascii="宋体" w:hAnsi="宋体" w:cs="宋体" w:eastAsia="宋体" w:hint="default"/>
                <w:sz w:val="18"/>
                <w:szCs w:val="18"/>
              </w:rPr>
              <w:t>期</w:t>
            </w:r>
            <w:r>
              <w:rPr>
                <w:rFonts w:ascii="宋体" w:hAnsi="宋体" w:cs="宋体" w:eastAsia="宋体" w:hint="default"/>
                <w:spacing w:val="-66"/>
                <w:sz w:val="18"/>
                <w:szCs w:val="18"/>
              </w:rPr>
              <w:t> </w:t>
            </w:r>
            <w:r>
              <w:rPr>
                <w:rFonts w:ascii="宋体" w:hAnsi="宋体" w:cs="宋体" w:eastAsia="宋体" w:hint="default"/>
                <w:sz w:val="18"/>
                <w:szCs w:val="18"/>
              </w:rPr>
              <w:t>减</w:t>
            </w:r>
            <w:r>
              <w:rPr>
                <w:rFonts w:ascii="宋体" w:hAnsi="宋体" w:cs="宋体" w:eastAsia="宋体" w:hint="default"/>
                <w:spacing w:val="-68"/>
                <w:sz w:val="18"/>
                <w:szCs w:val="18"/>
              </w:rPr>
              <w:t> </w:t>
            </w:r>
            <w:r>
              <w:rPr>
                <w:rFonts w:ascii="宋体" w:hAnsi="宋体" w:cs="宋体" w:eastAsia="宋体" w:hint="default"/>
                <w:sz w:val="18"/>
                <w:szCs w:val="18"/>
              </w:rPr>
              <w:t>少</w:t>
            </w:r>
            <w:r>
              <w:rPr>
                <w:rFonts w:ascii="宋体" w:hAnsi="宋体" w:cs="宋体" w:eastAsia="宋体" w:hint="default"/>
                <w:spacing w:val="-68"/>
                <w:sz w:val="18"/>
                <w:szCs w:val="18"/>
              </w:rPr>
              <w:t> </w:t>
            </w:r>
            <w:r>
              <w:rPr>
                <w:rFonts w:ascii="宋体" w:hAnsi="宋体" w:cs="宋体" w:eastAsia="宋体" w:hint="default"/>
                <w:sz w:val="18"/>
                <w:szCs w:val="18"/>
              </w:rPr>
              <w:t>金</w:t>
            </w:r>
          </w:p>
          <w:p>
            <w:pPr>
              <w:pStyle w:val="TableParagraph"/>
              <w:spacing w:line="240" w:lineRule="auto" w:before="63"/>
              <w:ind w:left="108"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5" w:type="dxa"/>
            <w:tcBorders>
              <w:top w:val="single" w:sz="4" w:space="0" w:color="5B9BD4"/>
              <w:left w:val="nil" w:sz="6" w:space="0" w:color="auto"/>
              <w:bottom w:val="single" w:sz="4" w:space="0" w:color="5B9BD4"/>
              <w:right w:val="nil" w:sz="6" w:space="0" w:color="auto"/>
            </w:tcBorders>
          </w:tcPr>
          <w:p>
            <w:pP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699,407.00</w:t>
            </w:r>
            <w:r>
              <w:rPr>
                <w:rFonts w:ascii="Arial"/>
                <w:sz w:val="18"/>
              </w:rPr>
            </w:r>
          </w:p>
        </w:tc>
        <w:tc>
          <w:tcPr>
            <w:tcW w:w="1594"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7,125,075.88</w:t>
            </w:r>
            <w:r>
              <w:rPr>
                <w:rFonts w:ascii="Arial"/>
                <w:sz w:val="18"/>
              </w:rPr>
            </w:r>
          </w:p>
        </w:tc>
        <w:tc>
          <w:tcPr>
            <w:tcW w:w="15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4,703,495.73</w:t>
            </w:r>
            <w:r>
              <w:rPr>
                <w:rFonts w:ascii="Arial"/>
                <w:sz w:val="18"/>
              </w:rPr>
            </w:r>
          </w:p>
        </w:tc>
        <w:tc>
          <w:tcPr>
            <w:tcW w:w="1594"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12,527,978.61</w:t>
            </w:r>
            <w:r>
              <w:rPr>
                <w:rFonts w:ascii="Arial"/>
                <w:sz w:val="18"/>
              </w:rPr>
            </w:r>
          </w:p>
        </w:tc>
      </w:tr>
      <w:tr>
        <w:trPr>
          <w:trHeight w:val="634" w:hRule="exact"/>
        </w:trPr>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7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）处置或</w:t>
            </w:r>
          </w:p>
          <w:p>
            <w:pPr>
              <w:pStyle w:val="TableParagraph"/>
              <w:spacing w:line="240" w:lineRule="auto" w:before="64"/>
              <w:ind w:left="108" w:right="0"/>
              <w:jc w:val="left"/>
              <w:rPr>
                <w:rFonts w:ascii="宋体" w:hAnsi="宋体" w:cs="宋体" w:eastAsia="宋体" w:hint="default"/>
                <w:sz w:val="18"/>
                <w:szCs w:val="18"/>
              </w:rPr>
            </w:pPr>
            <w:r>
              <w:rPr>
                <w:rFonts w:ascii="宋体" w:hAnsi="宋体" w:cs="宋体" w:eastAsia="宋体" w:hint="default"/>
                <w:sz w:val="18"/>
                <w:szCs w:val="18"/>
              </w:rPr>
              <w:t>报废</w:t>
            </w:r>
          </w:p>
        </w:tc>
        <w:tc>
          <w:tcPr>
            <w:tcW w:w="1595" w:type="dxa"/>
            <w:tcBorders>
              <w:top w:val="single" w:sz="4" w:space="0" w:color="5B9BD4"/>
              <w:left w:val="nil" w:sz="6" w:space="0" w:color="auto"/>
              <w:bottom w:val="single" w:sz="4" w:space="0" w:color="5B9BD4"/>
              <w:right w:val="nil" w:sz="6" w:space="0" w:color="auto"/>
            </w:tcBorders>
          </w:tcPr>
          <w:p>
            <w:pP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699,407.00</w:t>
            </w:r>
            <w:r>
              <w:rPr>
                <w:rFonts w:ascii="Arial"/>
                <w:sz w:val="18"/>
              </w:rPr>
            </w:r>
          </w:p>
        </w:tc>
        <w:tc>
          <w:tcPr>
            <w:tcW w:w="1594"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7,125,075.88</w:t>
            </w:r>
            <w:r>
              <w:rPr>
                <w:rFonts w:ascii="Arial"/>
                <w:sz w:val="18"/>
              </w:rPr>
            </w:r>
          </w:p>
        </w:tc>
        <w:tc>
          <w:tcPr>
            <w:tcW w:w="15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4,703,495.73</w:t>
            </w:r>
            <w:r>
              <w:rPr>
                <w:rFonts w:ascii="Arial"/>
                <w:sz w:val="18"/>
              </w:rPr>
            </w:r>
          </w:p>
        </w:tc>
        <w:tc>
          <w:tcPr>
            <w:tcW w:w="1594"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12,527,978.61</w:t>
            </w:r>
            <w:r>
              <w:rPr>
                <w:rFonts w:ascii="Arial"/>
                <w:sz w:val="18"/>
              </w:rPr>
            </w:r>
          </w:p>
        </w:tc>
      </w:tr>
      <w:tr>
        <w:trPr>
          <w:trHeight w:val="322" w:hRule="exact"/>
        </w:trPr>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288"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期末余额</w:t>
            </w:r>
          </w:p>
        </w:tc>
        <w:tc>
          <w:tcPr>
            <w:tcW w:w="1595"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14,143,239.25</w:t>
            </w:r>
            <w:r>
              <w:rPr>
                <w:rFonts w:ascii="Arial"/>
                <w:sz w:val="18"/>
              </w:rPr>
            </w: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11,509,858.57</w:t>
            </w:r>
            <w:r>
              <w:rPr>
                <w:rFonts w:ascii="Arial"/>
                <w:sz w:val="18"/>
              </w:rPr>
            </w:r>
          </w:p>
        </w:tc>
        <w:tc>
          <w:tcPr>
            <w:tcW w:w="15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54,476,914.83</w:t>
            </w:r>
            <w:r>
              <w:rPr>
                <w:rFonts w:ascii="Arial"/>
                <w:sz w:val="18"/>
              </w:rPr>
            </w:r>
          </w:p>
        </w:tc>
        <w:tc>
          <w:tcPr>
            <w:tcW w:w="15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w w:val="95"/>
                <w:sz w:val="18"/>
              </w:rPr>
              <w:t>22,171,006.22</w:t>
            </w:r>
            <w:r>
              <w:rPr>
                <w:rFonts w:ascii="Arial"/>
                <w:sz w:val="18"/>
              </w:rPr>
            </w:r>
          </w:p>
        </w:tc>
        <w:tc>
          <w:tcPr>
            <w:tcW w:w="15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102,301,018.87</w:t>
            </w:r>
            <w:r>
              <w:rPr>
                <w:rFonts w:ascii="Arial"/>
                <w:sz w:val="18"/>
              </w:rPr>
            </w:r>
          </w:p>
        </w:tc>
      </w:tr>
      <w:tr>
        <w:trPr>
          <w:trHeight w:val="322" w:hRule="exact"/>
        </w:trPr>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5" w:type="dxa"/>
            <w:tcBorders>
              <w:top w:val="single" w:sz="4" w:space="0" w:color="5B9BD4"/>
              <w:left w:val="nil" w:sz="6" w:space="0" w:color="auto"/>
              <w:bottom w:val="single" w:sz="4" w:space="0" w:color="5B9BD4"/>
              <w:right w:val="nil" w:sz="6" w:space="0" w:color="auto"/>
            </w:tcBorders>
          </w:tcPr>
          <w:p>
            <w:pP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
        </w:tc>
        <w:tc>
          <w:tcPr>
            <w:tcW w:w="1594" w:type="dxa"/>
            <w:tcBorders>
              <w:top w:val="single" w:sz="4" w:space="0" w:color="5B9BD4"/>
              <w:left w:val="nil" w:sz="6" w:space="0" w:color="auto"/>
              <w:bottom w:val="single" w:sz="4" w:space="0" w:color="5B9BD4"/>
              <w:right w:val="nil" w:sz="6" w:space="0" w:color="auto"/>
            </w:tcBorders>
          </w:tcPr>
          <w:p>
            <w:pPr/>
          </w:p>
        </w:tc>
        <w:tc>
          <w:tcPr>
            <w:tcW w:w="1595" w:type="dxa"/>
            <w:tcBorders>
              <w:top w:val="single" w:sz="4" w:space="0" w:color="5B9BD4"/>
              <w:left w:val="nil" w:sz="6" w:space="0" w:color="auto"/>
              <w:bottom w:val="single" w:sz="4" w:space="0" w:color="5B9BD4"/>
              <w:right w:val="nil" w:sz="6" w:space="0" w:color="auto"/>
            </w:tcBorders>
            <w:shd w:val="clear" w:color="auto" w:fill="DEEAF6"/>
          </w:tcPr>
          <w:p>
            <w:pPr/>
          </w:p>
        </w:tc>
        <w:tc>
          <w:tcPr>
            <w:tcW w:w="1594" w:type="dxa"/>
            <w:tcBorders>
              <w:top w:val="single" w:sz="4" w:space="0" w:color="5B9BD4"/>
              <w:left w:val="nil" w:sz="6" w:space="0" w:color="auto"/>
              <w:bottom w:val="single" w:sz="4" w:space="0" w:color="5B9BD4"/>
              <w:right w:val="nil" w:sz="6" w:space="0" w:color="auto"/>
            </w:tcBorders>
          </w:tcPr>
          <w:p>
            <w:pPr/>
          </w:p>
        </w:tc>
      </w:tr>
      <w:tr>
        <w:trPr>
          <w:trHeight w:val="322" w:hRule="exact"/>
        </w:trPr>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288"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期初余额</w:t>
            </w:r>
          </w:p>
        </w:tc>
        <w:tc>
          <w:tcPr>
            <w:tcW w:w="1595"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7,107,845.94</w:t>
            </w:r>
            <w:r>
              <w:rPr>
                <w:rFonts w:ascii="Arial"/>
                <w:sz w:val="18"/>
              </w:rPr>
            </w: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7,614,309.18</w:t>
            </w:r>
            <w:r>
              <w:rPr>
                <w:rFonts w:ascii="Arial"/>
                <w:sz w:val="18"/>
              </w:rPr>
            </w:r>
          </w:p>
        </w:tc>
        <w:tc>
          <w:tcPr>
            <w:tcW w:w="15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35,143,036.79</w:t>
            </w:r>
            <w:r>
              <w:rPr>
                <w:rFonts w:ascii="Arial"/>
                <w:sz w:val="18"/>
              </w:rPr>
            </w:r>
          </w:p>
        </w:tc>
        <w:tc>
          <w:tcPr>
            <w:tcW w:w="15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w w:val="95"/>
                <w:sz w:val="18"/>
              </w:rPr>
              <w:t>16,036,535.58</w:t>
            </w:r>
            <w:r>
              <w:rPr>
                <w:rFonts w:ascii="Arial"/>
                <w:sz w:val="18"/>
              </w:rPr>
            </w:r>
          </w:p>
        </w:tc>
        <w:tc>
          <w:tcPr>
            <w:tcW w:w="15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65,901,727.49</w:t>
            </w:r>
            <w:r>
              <w:rPr>
                <w:rFonts w:ascii="Arial"/>
                <w:sz w:val="18"/>
              </w:rPr>
            </w:r>
          </w:p>
        </w:tc>
      </w:tr>
      <w:tr>
        <w:trPr>
          <w:trHeight w:val="634" w:hRule="exact"/>
        </w:trPr>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313"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27"/>
                <w:sz w:val="18"/>
                <w:szCs w:val="18"/>
              </w:rPr>
              <w:t> </w:t>
            </w:r>
            <w:r>
              <w:rPr>
                <w:rFonts w:ascii="宋体" w:hAnsi="宋体" w:cs="宋体" w:eastAsia="宋体" w:hint="default"/>
                <w:sz w:val="18"/>
                <w:szCs w:val="18"/>
              </w:rPr>
              <w:t>本</w:t>
            </w:r>
            <w:r>
              <w:rPr>
                <w:rFonts w:ascii="宋体" w:hAnsi="宋体" w:cs="宋体" w:eastAsia="宋体" w:hint="default"/>
                <w:spacing w:val="-66"/>
                <w:sz w:val="18"/>
                <w:szCs w:val="18"/>
              </w:rPr>
              <w:t> </w:t>
            </w:r>
            <w:r>
              <w:rPr>
                <w:rFonts w:ascii="宋体" w:hAnsi="宋体" w:cs="宋体" w:eastAsia="宋体" w:hint="default"/>
                <w:sz w:val="18"/>
                <w:szCs w:val="18"/>
              </w:rPr>
              <w:t>期</w:t>
            </w:r>
            <w:r>
              <w:rPr>
                <w:rFonts w:ascii="宋体" w:hAnsi="宋体" w:cs="宋体" w:eastAsia="宋体" w:hint="default"/>
                <w:spacing w:val="-66"/>
                <w:sz w:val="18"/>
                <w:szCs w:val="18"/>
              </w:rPr>
              <w:t> </w:t>
            </w:r>
            <w:r>
              <w:rPr>
                <w:rFonts w:ascii="宋体" w:hAnsi="宋体" w:cs="宋体" w:eastAsia="宋体" w:hint="default"/>
                <w:sz w:val="18"/>
                <w:szCs w:val="18"/>
              </w:rPr>
              <w:t>增</w:t>
            </w:r>
            <w:r>
              <w:rPr>
                <w:rFonts w:ascii="宋体" w:hAnsi="宋体" w:cs="宋体" w:eastAsia="宋体" w:hint="default"/>
                <w:spacing w:val="-68"/>
                <w:sz w:val="18"/>
                <w:szCs w:val="18"/>
              </w:rPr>
              <w:t> </w:t>
            </w:r>
            <w:r>
              <w:rPr>
                <w:rFonts w:ascii="宋体" w:hAnsi="宋体" w:cs="宋体" w:eastAsia="宋体" w:hint="default"/>
                <w:sz w:val="18"/>
                <w:szCs w:val="18"/>
              </w:rPr>
              <w:t>加</w:t>
            </w:r>
            <w:r>
              <w:rPr>
                <w:rFonts w:ascii="宋体" w:hAnsi="宋体" w:cs="宋体" w:eastAsia="宋体" w:hint="default"/>
                <w:spacing w:val="-68"/>
                <w:sz w:val="18"/>
                <w:szCs w:val="18"/>
              </w:rPr>
              <w:t> </w:t>
            </w:r>
            <w:r>
              <w:rPr>
                <w:rFonts w:ascii="宋体" w:hAnsi="宋体" w:cs="宋体" w:eastAsia="宋体" w:hint="default"/>
                <w:sz w:val="18"/>
                <w:szCs w:val="18"/>
              </w:rPr>
              <w:t>金</w:t>
            </w:r>
          </w:p>
          <w:p>
            <w:pPr>
              <w:pStyle w:val="TableParagraph"/>
              <w:spacing w:line="240" w:lineRule="auto" w:before="63"/>
              <w:ind w:left="108"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5"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18"/>
                <w:szCs w:val="18"/>
              </w:rPr>
            </w:pPr>
            <w:r>
              <w:rPr>
                <w:rFonts w:ascii="Arial"/>
                <w:w w:val="95"/>
                <w:sz w:val="18"/>
              </w:rPr>
              <w:t>581,585.37</w:t>
            </w:r>
            <w:r>
              <w:rPr>
                <w:rFonts w:ascii="Arial"/>
                <w:sz w:val="18"/>
              </w:rPr>
            </w: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1,099,594.09</w:t>
            </w:r>
            <w:r>
              <w:rPr>
                <w:rFonts w:ascii="Arial"/>
                <w:sz w:val="18"/>
              </w:rPr>
            </w:r>
          </w:p>
        </w:tc>
        <w:tc>
          <w:tcPr>
            <w:tcW w:w="1594"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10,193,935.90</w:t>
            </w:r>
            <w:r>
              <w:rPr>
                <w:rFonts w:ascii="Arial"/>
                <w:sz w:val="18"/>
              </w:rPr>
            </w:r>
          </w:p>
        </w:tc>
        <w:tc>
          <w:tcPr>
            <w:tcW w:w="15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3,927,220.62</w:t>
            </w:r>
            <w:r>
              <w:rPr>
                <w:rFonts w:ascii="Arial"/>
                <w:sz w:val="18"/>
              </w:rPr>
            </w:r>
          </w:p>
        </w:tc>
        <w:tc>
          <w:tcPr>
            <w:tcW w:w="1594"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15,802,335.98</w:t>
            </w:r>
            <w:r>
              <w:rPr>
                <w:rFonts w:ascii="Arial"/>
                <w:sz w:val="18"/>
              </w:rPr>
            </w:r>
          </w:p>
        </w:tc>
      </w:tr>
      <w:tr>
        <w:trPr>
          <w:trHeight w:val="322" w:hRule="exact"/>
        </w:trPr>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305"/>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Arial" w:hAnsi="Arial" w:cs="Arial" w:eastAsia="Arial" w:hint="default"/>
                <w:spacing w:val="-1"/>
                <w:sz w:val="18"/>
                <w:szCs w:val="18"/>
              </w:rPr>
              <w:t>1</w:t>
            </w:r>
            <w:r>
              <w:rPr>
                <w:rFonts w:ascii="宋体" w:hAnsi="宋体" w:cs="宋体" w:eastAsia="宋体" w:hint="default"/>
                <w:spacing w:val="-1"/>
                <w:sz w:val="18"/>
                <w:szCs w:val="18"/>
              </w:rPr>
              <w:t>）计提</w:t>
            </w:r>
          </w:p>
        </w:tc>
        <w:tc>
          <w:tcPr>
            <w:tcW w:w="1595"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581,585.37</w:t>
            </w:r>
            <w:r>
              <w:rPr>
                <w:rFonts w:ascii="Arial"/>
                <w:sz w:val="18"/>
              </w:rPr>
            </w: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1,099,594.09</w:t>
            </w:r>
            <w:r>
              <w:rPr>
                <w:rFonts w:ascii="Arial"/>
                <w:sz w:val="18"/>
              </w:rPr>
            </w:r>
          </w:p>
        </w:tc>
        <w:tc>
          <w:tcPr>
            <w:tcW w:w="15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10,193,935.90</w:t>
            </w:r>
            <w:r>
              <w:rPr>
                <w:rFonts w:ascii="Arial"/>
                <w:sz w:val="18"/>
              </w:rPr>
            </w:r>
          </w:p>
        </w:tc>
        <w:tc>
          <w:tcPr>
            <w:tcW w:w="15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3,927,220.62</w:t>
            </w:r>
            <w:r>
              <w:rPr>
                <w:rFonts w:ascii="Arial"/>
                <w:sz w:val="18"/>
              </w:rPr>
            </w:r>
          </w:p>
        </w:tc>
        <w:tc>
          <w:tcPr>
            <w:tcW w:w="15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15,802,335.98</w:t>
            </w:r>
            <w:r>
              <w:rPr>
                <w:rFonts w:ascii="Arial"/>
                <w:sz w:val="18"/>
              </w:rPr>
            </w:r>
          </w:p>
        </w:tc>
      </w:tr>
      <w:tr>
        <w:trPr>
          <w:trHeight w:val="634" w:hRule="exact"/>
        </w:trPr>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313"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27"/>
                <w:sz w:val="18"/>
                <w:szCs w:val="18"/>
              </w:rPr>
              <w:t> </w:t>
            </w:r>
            <w:r>
              <w:rPr>
                <w:rFonts w:ascii="宋体" w:hAnsi="宋体" w:cs="宋体" w:eastAsia="宋体" w:hint="default"/>
                <w:sz w:val="18"/>
                <w:szCs w:val="18"/>
              </w:rPr>
              <w:t>本</w:t>
            </w:r>
            <w:r>
              <w:rPr>
                <w:rFonts w:ascii="宋体" w:hAnsi="宋体" w:cs="宋体" w:eastAsia="宋体" w:hint="default"/>
                <w:spacing w:val="-66"/>
                <w:sz w:val="18"/>
                <w:szCs w:val="18"/>
              </w:rPr>
              <w:t> </w:t>
            </w:r>
            <w:r>
              <w:rPr>
                <w:rFonts w:ascii="宋体" w:hAnsi="宋体" w:cs="宋体" w:eastAsia="宋体" w:hint="default"/>
                <w:sz w:val="18"/>
                <w:szCs w:val="18"/>
              </w:rPr>
              <w:t>期</w:t>
            </w:r>
            <w:r>
              <w:rPr>
                <w:rFonts w:ascii="宋体" w:hAnsi="宋体" w:cs="宋体" w:eastAsia="宋体" w:hint="default"/>
                <w:spacing w:val="-66"/>
                <w:sz w:val="18"/>
                <w:szCs w:val="18"/>
              </w:rPr>
              <w:t> </w:t>
            </w:r>
            <w:r>
              <w:rPr>
                <w:rFonts w:ascii="宋体" w:hAnsi="宋体" w:cs="宋体" w:eastAsia="宋体" w:hint="default"/>
                <w:sz w:val="18"/>
                <w:szCs w:val="18"/>
              </w:rPr>
              <w:t>减</w:t>
            </w:r>
            <w:r>
              <w:rPr>
                <w:rFonts w:ascii="宋体" w:hAnsi="宋体" w:cs="宋体" w:eastAsia="宋体" w:hint="default"/>
                <w:spacing w:val="-68"/>
                <w:sz w:val="18"/>
                <w:szCs w:val="18"/>
              </w:rPr>
              <w:t> </w:t>
            </w:r>
            <w:r>
              <w:rPr>
                <w:rFonts w:ascii="宋体" w:hAnsi="宋体" w:cs="宋体" w:eastAsia="宋体" w:hint="default"/>
                <w:sz w:val="18"/>
                <w:szCs w:val="18"/>
              </w:rPr>
              <w:t>少</w:t>
            </w:r>
            <w:r>
              <w:rPr>
                <w:rFonts w:ascii="宋体" w:hAnsi="宋体" w:cs="宋体" w:eastAsia="宋体" w:hint="default"/>
                <w:spacing w:val="-68"/>
                <w:sz w:val="18"/>
                <w:szCs w:val="18"/>
              </w:rPr>
              <w:t> </w:t>
            </w:r>
            <w:r>
              <w:rPr>
                <w:rFonts w:ascii="宋体" w:hAnsi="宋体" w:cs="宋体" w:eastAsia="宋体" w:hint="default"/>
                <w:sz w:val="18"/>
                <w:szCs w:val="18"/>
              </w:rPr>
              <w:t>金</w:t>
            </w:r>
          </w:p>
          <w:p>
            <w:pPr>
              <w:pStyle w:val="TableParagraph"/>
              <w:spacing w:line="240" w:lineRule="auto" w:before="63"/>
              <w:ind w:left="108"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5" w:type="dxa"/>
            <w:tcBorders>
              <w:top w:val="single" w:sz="4" w:space="0" w:color="5B9BD4"/>
              <w:left w:val="nil" w:sz="6" w:space="0" w:color="auto"/>
              <w:bottom w:val="single" w:sz="4" w:space="0" w:color="5B9BD4"/>
              <w:right w:val="nil" w:sz="6" w:space="0" w:color="auto"/>
            </w:tcBorders>
          </w:tcPr>
          <w:p>
            <w:pP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672,815.21</w:t>
            </w:r>
            <w:r>
              <w:rPr>
                <w:rFonts w:ascii="Arial"/>
                <w:sz w:val="18"/>
              </w:rPr>
            </w:r>
          </w:p>
        </w:tc>
        <w:tc>
          <w:tcPr>
            <w:tcW w:w="1594"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4,881,922.10</w:t>
            </w:r>
            <w:r>
              <w:rPr>
                <w:rFonts w:ascii="Arial"/>
                <w:sz w:val="18"/>
              </w:rPr>
            </w:r>
          </w:p>
        </w:tc>
        <w:tc>
          <w:tcPr>
            <w:tcW w:w="15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4,081,505.45</w:t>
            </w:r>
            <w:r>
              <w:rPr>
                <w:rFonts w:ascii="Arial"/>
                <w:sz w:val="18"/>
              </w:rPr>
            </w:r>
          </w:p>
        </w:tc>
        <w:tc>
          <w:tcPr>
            <w:tcW w:w="1594"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9,636,242.76</w:t>
            </w:r>
            <w:r>
              <w:rPr>
                <w:rFonts w:ascii="Arial"/>
                <w:sz w:val="18"/>
              </w:rPr>
            </w:r>
          </w:p>
        </w:tc>
      </w:tr>
      <w:tr>
        <w:trPr>
          <w:trHeight w:val="634" w:hRule="exact"/>
        </w:trPr>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7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）处置或</w:t>
            </w:r>
          </w:p>
          <w:p>
            <w:pPr>
              <w:pStyle w:val="TableParagraph"/>
              <w:spacing w:line="240" w:lineRule="auto" w:before="63"/>
              <w:ind w:left="108" w:right="0"/>
              <w:jc w:val="left"/>
              <w:rPr>
                <w:rFonts w:ascii="宋体" w:hAnsi="宋体" w:cs="宋体" w:eastAsia="宋体" w:hint="default"/>
                <w:sz w:val="18"/>
                <w:szCs w:val="18"/>
              </w:rPr>
            </w:pPr>
            <w:r>
              <w:rPr>
                <w:rFonts w:ascii="宋体" w:hAnsi="宋体" w:cs="宋体" w:eastAsia="宋体" w:hint="default"/>
                <w:sz w:val="18"/>
                <w:szCs w:val="18"/>
              </w:rPr>
              <w:t>报废</w:t>
            </w:r>
          </w:p>
        </w:tc>
        <w:tc>
          <w:tcPr>
            <w:tcW w:w="1595" w:type="dxa"/>
            <w:tcBorders>
              <w:top w:val="single" w:sz="4" w:space="0" w:color="5B9BD4"/>
              <w:left w:val="nil" w:sz="6" w:space="0" w:color="auto"/>
              <w:bottom w:val="single" w:sz="4" w:space="0" w:color="5B9BD4"/>
              <w:right w:val="nil" w:sz="6" w:space="0" w:color="auto"/>
            </w:tcBorders>
          </w:tcPr>
          <w:p>
            <w:pP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672,815.21</w:t>
            </w:r>
            <w:r>
              <w:rPr>
                <w:rFonts w:ascii="Arial"/>
                <w:sz w:val="18"/>
              </w:rPr>
            </w:r>
          </w:p>
        </w:tc>
        <w:tc>
          <w:tcPr>
            <w:tcW w:w="1594"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4,881,922.10</w:t>
            </w:r>
            <w:r>
              <w:rPr>
                <w:rFonts w:ascii="Arial"/>
                <w:sz w:val="18"/>
              </w:rPr>
            </w:r>
          </w:p>
        </w:tc>
        <w:tc>
          <w:tcPr>
            <w:tcW w:w="15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4,081,505.45</w:t>
            </w:r>
            <w:r>
              <w:rPr>
                <w:rFonts w:ascii="Arial"/>
                <w:sz w:val="18"/>
              </w:rPr>
            </w:r>
          </w:p>
        </w:tc>
        <w:tc>
          <w:tcPr>
            <w:tcW w:w="1594"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9,636,242.76</w:t>
            </w:r>
            <w:r>
              <w:rPr>
                <w:rFonts w:ascii="Arial"/>
                <w:sz w:val="18"/>
              </w:rPr>
            </w:r>
          </w:p>
        </w:tc>
      </w:tr>
      <w:tr>
        <w:trPr>
          <w:trHeight w:val="322" w:hRule="exact"/>
        </w:trPr>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288"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期末余额</w:t>
            </w:r>
          </w:p>
        </w:tc>
        <w:tc>
          <w:tcPr>
            <w:tcW w:w="1595"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7,689,431.31</w:t>
            </w:r>
            <w:r>
              <w:rPr>
                <w:rFonts w:ascii="Arial"/>
                <w:sz w:val="18"/>
              </w:rPr>
            </w: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8,041,088.06</w:t>
            </w:r>
            <w:r>
              <w:rPr>
                <w:rFonts w:ascii="Arial"/>
                <w:sz w:val="18"/>
              </w:rPr>
            </w:r>
          </w:p>
        </w:tc>
        <w:tc>
          <w:tcPr>
            <w:tcW w:w="15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40,455,050.59</w:t>
            </w:r>
            <w:r>
              <w:rPr>
                <w:rFonts w:ascii="Arial"/>
                <w:sz w:val="18"/>
              </w:rPr>
            </w:r>
          </w:p>
        </w:tc>
        <w:tc>
          <w:tcPr>
            <w:tcW w:w="15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w w:val="95"/>
                <w:sz w:val="18"/>
              </w:rPr>
              <w:t>15,882,250.75</w:t>
            </w:r>
            <w:r>
              <w:rPr>
                <w:rFonts w:ascii="Arial"/>
                <w:sz w:val="18"/>
              </w:rPr>
            </w:r>
          </w:p>
        </w:tc>
        <w:tc>
          <w:tcPr>
            <w:tcW w:w="15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72,067,820.71</w:t>
            </w:r>
            <w:r>
              <w:rPr>
                <w:rFonts w:ascii="Arial"/>
                <w:sz w:val="18"/>
              </w:rPr>
            </w:r>
          </w:p>
        </w:tc>
      </w:tr>
      <w:tr>
        <w:trPr>
          <w:trHeight w:val="322" w:hRule="exact"/>
        </w:trPr>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5" w:type="dxa"/>
            <w:tcBorders>
              <w:top w:val="single" w:sz="4" w:space="0" w:color="5B9BD4"/>
              <w:left w:val="nil" w:sz="6" w:space="0" w:color="auto"/>
              <w:bottom w:val="single" w:sz="4" w:space="0" w:color="5B9BD4"/>
              <w:right w:val="nil" w:sz="6" w:space="0" w:color="auto"/>
            </w:tcBorders>
          </w:tcPr>
          <w:p>
            <w:pP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
        </w:tc>
        <w:tc>
          <w:tcPr>
            <w:tcW w:w="1594" w:type="dxa"/>
            <w:tcBorders>
              <w:top w:val="single" w:sz="4" w:space="0" w:color="5B9BD4"/>
              <w:left w:val="nil" w:sz="6" w:space="0" w:color="auto"/>
              <w:bottom w:val="single" w:sz="4" w:space="0" w:color="5B9BD4"/>
              <w:right w:val="nil" w:sz="6" w:space="0" w:color="auto"/>
            </w:tcBorders>
          </w:tcPr>
          <w:p>
            <w:pPr/>
          </w:p>
        </w:tc>
        <w:tc>
          <w:tcPr>
            <w:tcW w:w="1595" w:type="dxa"/>
            <w:tcBorders>
              <w:top w:val="single" w:sz="4" w:space="0" w:color="5B9BD4"/>
              <w:left w:val="nil" w:sz="6" w:space="0" w:color="auto"/>
              <w:bottom w:val="single" w:sz="4" w:space="0" w:color="5B9BD4"/>
              <w:right w:val="nil" w:sz="6" w:space="0" w:color="auto"/>
            </w:tcBorders>
            <w:shd w:val="clear" w:color="auto" w:fill="DEEAF6"/>
          </w:tcPr>
          <w:p>
            <w:pPr/>
          </w:p>
        </w:tc>
        <w:tc>
          <w:tcPr>
            <w:tcW w:w="1594" w:type="dxa"/>
            <w:tcBorders>
              <w:top w:val="single" w:sz="4" w:space="0" w:color="5B9BD4"/>
              <w:left w:val="nil" w:sz="6" w:space="0" w:color="auto"/>
              <w:bottom w:val="single" w:sz="4" w:space="0" w:color="5B9BD4"/>
              <w:right w:val="nil" w:sz="6" w:space="0" w:color="auto"/>
            </w:tcBorders>
          </w:tcPr>
          <w:p>
            <w:pPr/>
          </w:p>
        </w:tc>
      </w:tr>
      <w:tr>
        <w:trPr>
          <w:trHeight w:val="322" w:hRule="exact"/>
        </w:trPr>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288"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期初余额</w:t>
            </w:r>
          </w:p>
        </w:tc>
        <w:tc>
          <w:tcPr>
            <w:tcW w:w="1595" w:type="dxa"/>
            <w:tcBorders>
              <w:top w:val="single" w:sz="4" w:space="0" w:color="5B9BD4"/>
              <w:left w:val="nil" w:sz="6" w:space="0" w:color="auto"/>
              <w:bottom w:val="single" w:sz="4" w:space="0" w:color="5B9BD4"/>
              <w:right w:val="nil" w:sz="6" w:space="0" w:color="auto"/>
            </w:tcBorders>
          </w:tcPr>
          <w:p>
            <w:pP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
        </w:tc>
        <w:tc>
          <w:tcPr>
            <w:tcW w:w="1594" w:type="dxa"/>
            <w:tcBorders>
              <w:top w:val="single" w:sz="4" w:space="0" w:color="5B9BD4"/>
              <w:left w:val="nil" w:sz="6" w:space="0" w:color="auto"/>
              <w:bottom w:val="single" w:sz="4" w:space="0" w:color="5B9BD4"/>
              <w:right w:val="nil" w:sz="6" w:space="0" w:color="auto"/>
            </w:tcBorders>
          </w:tcPr>
          <w:p>
            <w:pPr/>
          </w:p>
        </w:tc>
        <w:tc>
          <w:tcPr>
            <w:tcW w:w="1595" w:type="dxa"/>
            <w:tcBorders>
              <w:top w:val="single" w:sz="4" w:space="0" w:color="5B9BD4"/>
              <w:left w:val="nil" w:sz="6" w:space="0" w:color="auto"/>
              <w:bottom w:val="single" w:sz="4" w:space="0" w:color="5B9BD4"/>
              <w:right w:val="nil" w:sz="6" w:space="0" w:color="auto"/>
            </w:tcBorders>
            <w:shd w:val="clear" w:color="auto" w:fill="DEEAF6"/>
          </w:tcPr>
          <w:p>
            <w:pPr/>
          </w:p>
        </w:tc>
        <w:tc>
          <w:tcPr>
            <w:tcW w:w="1594" w:type="dxa"/>
            <w:tcBorders>
              <w:top w:val="single" w:sz="4" w:space="0" w:color="5B9BD4"/>
              <w:left w:val="nil" w:sz="6" w:space="0" w:color="auto"/>
              <w:bottom w:val="single" w:sz="4" w:space="0" w:color="5B9BD4"/>
              <w:right w:val="nil" w:sz="6" w:space="0" w:color="auto"/>
            </w:tcBorders>
          </w:tcPr>
          <w:p>
            <w:pPr/>
          </w:p>
        </w:tc>
      </w:tr>
      <w:tr>
        <w:trPr>
          <w:trHeight w:val="634" w:hRule="exact"/>
        </w:trPr>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313"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27"/>
                <w:sz w:val="18"/>
                <w:szCs w:val="18"/>
              </w:rPr>
              <w:t> </w:t>
            </w:r>
            <w:r>
              <w:rPr>
                <w:rFonts w:ascii="宋体" w:hAnsi="宋体" w:cs="宋体" w:eastAsia="宋体" w:hint="default"/>
                <w:sz w:val="18"/>
                <w:szCs w:val="18"/>
              </w:rPr>
              <w:t>本</w:t>
            </w:r>
            <w:r>
              <w:rPr>
                <w:rFonts w:ascii="宋体" w:hAnsi="宋体" w:cs="宋体" w:eastAsia="宋体" w:hint="default"/>
                <w:spacing w:val="-66"/>
                <w:sz w:val="18"/>
                <w:szCs w:val="18"/>
              </w:rPr>
              <w:t> </w:t>
            </w:r>
            <w:r>
              <w:rPr>
                <w:rFonts w:ascii="宋体" w:hAnsi="宋体" w:cs="宋体" w:eastAsia="宋体" w:hint="default"/>
                <w:sz w:val="18"/>
                <w:szCs w:val="18"/>
              </w:rPr>
              <w:t>期</w:t>
            </w:r>
            <w:r>
              <w:rPr>
                <w:rFonts w:ascii="宋体" w:hAnsi="宋体" w:cs="宋体" w:eastAsia="宋体" w:hint="default"/>
                <w:spacing w:val="-66"/>
                <w:sz w:val="18"/>
                <w:szCs w:val="18"/>
              </w:rPr>
              <w:t> </w:t>
            </w:r>
            <w:r>
              <w:rPr>
                <w:rFonts w:ascii="宋体" w:hAnsi="宋体" w:cs="宋体" w:eastAsia="宋体" w:hint="default"/>
                <w:sz w:val="18"/>
                <w:szCs w:val="18"/>
              </w:rPr>
              <w:t>增</w:t>
            </w:r>
            <w:r>
              <w:rPr>
                <w:rFonts w:ascii="宋体" w:hAnsi="宋体" w:cs="宋体" w:eastAsia="宋体" w:hint="default"/>
                <w:spacing w:val="-68"/>
                <w:sz w:val="18"/>
                <w:szCs w:val="18"/>
              </w:rPr>
              <w:t> </w:t>
            </w:r>
            <w:r>
              <w:rPr>
                <w:rFonts w:ascii="宋体" w:hAnsi="宋体" w:cs="宋体" w:eastAsia="宋体" w:hint="default"/>
                <w:sz w:val="18"/>
                <w:szCs w:val="18"/>
              </w:rPr>
              <w:t>加</w:t>
            </w:r>
            <w:r>
              <w:rPr>
                <w:rFonts w:ascii="宋体" w:hAnsi="宋体" w:cs="宋体" w:eastAsia="宋体" w:hint="default"/>
                <w:spacing w:val="-68"/>
                <w:sz w:val="18"/>
                <w:szCs w:val="18"/>
              </w:rPr>
              <w:t> </w:t>
            </w:r>
            <w:r>
              <w:rPr>
                <w:rFonts w:ascii="宋体" w:hAnsi="宋体" w:cs="宋体" w:eastAsia="宋体" w:hint="default"/>
                <w:sz w:val="18"/>
                <w:szCs w:val="18"/>
              </w:rPr>
              <w:t>金</w:t>
            </w:r>
          </w:p>
          <w:p>
            <w:pPr>
              <w:pStyle w:val="TableParagraph"/>
              <w:spacing w:line="240" w:lineRule="auto" w:before="63"/>
              <w:ind w:left="108"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5" w:type="dxa"/>
            <w:tcBorders>
              <w:top w:val="single" w:sz="4" w:space="0" w:color="5B9BD4"/>
              <w:left w:val="nil" w:sz="6" w:space="0" w:color="auto"/>
              <w:bottom w:val="single" w:sz="4" w:space="0" w:color="5B9BD4"/>
              <w:right w:val="nil" w:sz="6" w:space="0" w:color="auto"/>
            </w:tcBorders>
          </w:tcPr>
          <w:p>
            <w:pP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
        </w:tc>
        <w:tc>
          <w:tcPr>
            <w:tcW w:w="1594" w:type="dxa"/>
            <w:tcBorders>
              <w:top w:val="single" w:sz="4" w:space="0" w:color="5B9BD4"/>
              <w:left w:val="nil" w:sz="6" w:space="0" w:color="auto"/>
              <w:bottom w:val="single" w:sz="4" w:space="0" w:color="5B9BD4"/>
              <w:right w:val="nil" w:sz="6" w:space="0" w:color="auto"/>
            </w:tcBorders>
          </w:tcPr>
          <w:p>
            <w:pPr/>
          </w:p>
        </w:tc>
        <w:tc>
          <w:tcPr>
            <w:tcW w:w="1595" w:type="dxa"/>
            <w:tcBorders>
              <w:top w:val="single" w:sz="4" w:space="0" w:color="5B9BD4"/>
              <w:left w:val="nil" w:sz="6" w:space="0" w:color="auto"/>
              <w:bottom w:val="single" w:sz="4" w:space="0" w:color="5B9BD4"/>
              <w:right w:val="nil" w:sz="6" w:space="0" w:color="auto"/>
            </w:tcBorders>
            <w:shd w:val="clear" w:color="auto" w:fill="DEEAF6"/>
          </w:tcPr>
          <w:p>
            <w:pPr/>
          </w:p>
        </w:tc>
        <w:tc>
          <w:tcPr>
            <w:tcW w:w="1594" w:type="dxa"/>
            <w:tcBorders>
              <w:top w:val="single" w:sz="4" w:space="0" w:color="5B9BD4"/>
              <w:left w:val="nil" w:sz="6" w:space="0" w:color="auto"/>
              <w:bottom w:val="single" w:sz="4" w:space="0" w:color="5B9BD4"/>
              <w:right w:val="nil" w:sz="6" w:space="0" w:color="auto"/>
            </w:tcBorders>
          </w:tcPr>
          <w:p>
            <w:pPr/>
          </w:p>
        </w:tc>
      </w:tr>
      <w:tr>
        <w:trPr>
          <w:trHeight w:val="322" w:hRule="exact"/>
        </w:trPr>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305"/>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Arial" w:hAnsi="Arial" w:cs="Arial" w:eastAsia="Arial" w:hint="default"/>
                <w:spacing w:val="-1"/>
                <w:sz w:val="18"/>
                <w:szCs w:val="18"/>
              </w:rPr>
              <w:t>1</w:t>
            </w:r>
            <w:r>
              <w:rPr>
                <w:rFonts w:ascii="宋体" w:hAnsi="宋体" w:cs="宋体" w:eastAsia="宋体" w:hint="default"/>
                <w:spacing w:val="-1"/>
                <w:sz w:val="18"/>
                <w:szCs w:val="18"/>
              </w:rPr>
              <w:t>）计提</w:t>
            </w:r>
          </w:p>
        </w:tc>
        <w:tc>
          <w:tcPr>
            <w:tcW w:w="1595" w:type="dxa"/>
            <w:tcBorders>
              <w:top w:val="single" w:sz="4" w:space="0" w:color="5B9BD4"/>
              <w:left w:val="nil" w:sz="6" w:space="0" w:color="auto"/>
              <w:bottom w:val="single" w:sz="4" w:space="0" w:color="5B9BD4"/>
              <w:right w:val="nil" w:sz="6" w:space="0" w:color="auto"/>
            </w:tcBorders>
          </w:tcPr>
          <w:p>
            <w:pP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
        </w:tc>
        <w:tc>
          <w:tcPr>
            <w:tcW w:w="1594" w:type="dxa"/>
            <w:tcBorders>
              <w:top w:val="single" w:sz="4" w:space="0" w:color="5B9BD4"/>
              <w:left w:val="nil" w:sz="6" w:space="0" w:color="auto"/>
              <w:bottom w:val="single" w:sz="4" w:space="0" w:color="5B9BD4"/>
              <w:right w:val="nil" w:sz="6" w:space="0" w:color="auto"/>
            </w:tcBorders>
          </w:tcPr>
          <w:p>
            <w:pPr/>
          </w:p>
        </w:tc>
        <w:tc>
          <w:tcPr>
            <w:tcW w:w="1595" w:type="dxa"/>
            <w:tcBorders>
              <w:top w:val="single" w:sz="4" w:space="0" w:color="5B9BD4"/>
              <w:left w:val="nil" w:sz="6" w:space="0" w:color="auto"/>
              <w:bottom w:val="single" w:sz="4" w:space="0" w:color="5B9BD4"/>
              <w:right w:val="nil" w:sz="6" w:space="0" w:color="auto"/>
            </w:tcBorders>
            <w:shd w:val="clear" w:color="auto" w:fill="DEEAF6"/>
          </w:tcPr>
          <w:p>
            <w:pPr/>
          </w:p>
        </w:tc>
        <w:tc>
          <w:tcPr>
            <w:tcW w:w="1594" w:type="dxa"/>
            <w:tcBorders>
              <w:top w:val="single" w:sz="4" w:space="0" w:color="5B9BD4"/>
              <w:left w:val="nil" w:sz="6" w:space="0" w:color="auto"/>
              <w:bottom w:val="single" w:sz="4" w:space="0" w:color="5B9BD4"/>
              <w:right w:val="nil" w:sz="6" w:space="0" w:color="auto"/>
            </w:tcBorders>
          </w:tcPr>
          <w:p>
            <w:pPr/>
          </w:p>
        </w:tc>
      </w:tr>
      <w:tr>
        <w:trPr>
          <w:trHeight w:val="635" w:hRule="exact"/>
        </w:trPr>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313"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27"/>
                <w:sz w:val="18"/>
                <w:szCs w:val="18"/>
              </w:rPr>
              <w:t> </w:t>
            </w:r>
            <w:r>
              <w:rPr>
                <w:rFonts w:ascii="宋体" w:hAnsi="宋体" w:cs="宋体" w:eastAsia="宋体" w:hint="default"/>
                <w:sz w:val="18"/>
                <w:szCs w:val="18"/>
              </w:rPr>
              <w:t>本</w:t>
            </w:r>
            <w:r>
              <w:rPr>
                <w:rFonts w:ascii="宋体" w:hAnsi="宋体" w:cs="宋体" w:eastAsia="宋体" w:hint="default"/>
                <w:spacing w:val="-66"/>
                <w:sz w:val="18"/>
                <w:szCs w:val="18"/>
              </w:rPr>
              <w:t> </w:t>
            </w:r>
            <w:r>
              <w:rPr>
                <w:rFonts w:ascii="宋体" w:hAnsi="宋体" w:cs="宋体" w:eastAsia="宋体" w:hint="default"/>
                <w:sz w:val="18"/>
                <w:szCs w:val="18"/>
              </w:rPr>
              <w:t>期</w:t>
            </w:r>
            <w:r>
              <w:rPr>
                <w:rFonts w:ascii="宋体" w:hAnsi="宋体" w:cs="宋体" w:eastAsia="宋体" w:hint="default"/>
                <w:spacing w:val="-66"/>
                <w:sz w:val="18"/>
                <w:szCs w:val="18"/>
              </w:rPr>
              <w:t> </w:t>
            </w:r>
            <w:r>
              <w:rPr>
                <w:rFonts w:ascii="宋体" w:hAnsi="宋体" w:cs="宋体" w:eastAsia="宋体" w:hint="default"/>
                <w:sz w:val="18"/>
                <w:szCs w:val="18"/>
              </w:rPr>
              <w:t>减</w:t>
            </w:r>
            <w:r>
              <w:rPr>
                <w:rFonts w:ascii="宋体" w:hAnsi="宋体" w:cs="宋体" w:eastAsia="宋体" w:hint="default"/>
                <w:spacing w:val="-68"/>
                <w:sz w:val="18"/>
                <w:szCs w:val="18"/>
              </w:rPr>
              <w:t> </w:t>
            </w:r>
            <w:r>
              <w:rPr>
                <w:rFonts w:ascii="宋体" w:hAnsi="宋体" w:cs="宋体" w:eastAsia="宋体" w:hint="default"/>
                <w:sz w:val="18"/>
                <w:szCs w:val="18"/>
              </w:rPr>
              <w:t>少</w:t>
            </w:r>
            <w:r>
              <w:rPr>
                <w:rFonts w:ascii="宋体" w:hAnsi="宋体" w:cs="宋体" w:eastAsia="宋体" w:hint="default"/>
                <w:spacing w:val="-68"/>
                <w:sz w:val="18"/>
                <w:szCs w:val="18"/>
              </w:rPr>
              <w:t> </w:t>
            </w:r>
            <w:r>
              <w:rPr>
                <w:rFonts w:ascii="宋体" w:hAnsi="宋体" w:cs="宋体" w:eastAsia="宋体" w:hint="default"/>
                <w:sz w:val="18"/>
                <w:szCs w:val="18"/>
              </w:rPr>
              <w:t>金</w:t>
            </w:r>
          </w:p>
          <w:p>
            <w:pPr>
              <w:pStyle w:val="TableParagraph"/>
              <w:spacing w:line="240" w:lineRule="auto" w:before="64"/>
              <w:ind w:left="108"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5" w:type="dxa"/>
            <w:tcBorders>
              <w:top w:val="single" w:sz="4" w:space="0" w:color="5B9BD4"/>
              <w:left w:val="nil" w:sz="6" w:space="0" w:color="auto"/>
              <w:bottom w:val="single" w:sz="4" w:space="0" w:color="5B9BD4"/>
              <w:right w:val="nil" w:sz="6" w:space="0" w:color="auto"/>
            </w:tcBorders>
          </w:tcPr>
          <w:p>
            <w:pP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
        </w:tc>
        <w:tc>
          <w:tcPr>
            <w:tcW w:w="1594" w:type="dxa"/>
            <w:tcBorders>
              <w:top w:val="single" w:sz="4" w:space="0" w:color="5B9BD4"/>
              <w:left w:val="nil" w:sz="6" w:space="0" w:color="auto"/>
              <w:bottom w:val="single" w:sz="4" w:space="0" w:color="5B9BD4"/>
              <w:right w:val="nil" w:sz="6" w:space="0" w:color="auto"/>
            </w:tcBorders>
          </w:tcPr>
          <w:p>
            <w:pPr/>
          </w:p>
        </w:tc>
        <w:tc>
          <w:tcPr>
            <w:tcW w:w="1595" w:type="dxa"/>
            <w:tcBorders>
              <w:top w:val="single" w:sz="4" w:space="0" w:color="5B9BD4"/>
              <w:left w:val="nil" w:sz="6" w:space="0" w:color="auto"/>
              <w:bottom w:val="single" w:sz="4" w:space="0" w:color="5B9BD4"/>
              <w:right w:val="nil" w:sz="6" w:space="0" w:color="auto"/>
            </w:tcBorders>
            <w:shd w:val="clear" w:color="auto" w:fill="DEEAF6"/>
          </w:tcPr>
          <w:p>
            <w:pPr/>
          </w:p>
        </w:tc>
        <w:tc>
          <w:tcPr>
            <w:tcW w:w="1594" w:type="dxa"/>
            <w:tcBorders>
              <w:top w:val="single" w:sz="4" w:space="0" w:color="5B9BD4"/>
              <w:left w:val="nil" w:sz="6" w:space="0" w:color="auto"/>
              <w:bottom w:val="single" w:sz="4" w:space="0" w:color="5B9BD4"/>
              <w:right w:val="nil" w:sz="6" w:space="0" w:color="auto"/>
            </w:tcBorders>
          </w:tcPr>
          <w:p>
            <w:pPr/>
          </w:p>
        </w:tc>
      </w:tr>
      <w:tr>
        <w:trPr>
          <w:trHeight w:val="634" w:hRule="exact"/>
        </w:trPr>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7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）处置或</w:t>
            </w:r>
          </w:p>
          <w:p>
            <w:pPr>
              <w:pStyle w:val="TableParagraph"/>
              <w:spacing w:line="240" w:lineRule="auto" w:before="63"/>
              <w:ind w:left="108" w:right="0"/>
              <w:jc w:val="left"/>
              <w:rPr>
                <w:rFonts w:ascii="宋体" w:hAnsi="宋体" w:cs="宋体" w:eastAsia="宋体" w:hint="default"/>
                <w:sz w:val="18"/>
                <w:szCs w:val="18"/>
              </w:rPr>
            </w:pPr>
            <w:r>
              <w:rPr>
                <w:rFonts w:ascii="宋体" w:hAnsi="宋体" w:cs="宋体" w:eastAsia="宋体" w:hint="default"/>
                <w:sz w:val="18"/>
                <w:szCs w:val="18"/>
              </w:rPr>
              <w:t>报废</w:t>
            </w:r>
          </w:p>
        </w:tc>
        <w:tc>
          <w:tcPr>
            <w:tcW w:w="1595" w:type="dxa"/>
            <w:tcBorders>
              <w:top w:val="single" w:sz="4" w:space="0" w:color="5B9BD4"/>
              <w:left w:val="nil" w:sz="6" w:space="0" w:color="auto"/>
              <w:bottom w:val="single" w:sz="4" w:space="0" w:color="5B9BD4"/>
              <w:right w:val="nil" w:sz="6" w:space="0" w:color="auto"/>
            </w:tcBorders>
          </w:tcPr>
          <w:p>
            <w:pP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
        </w:tc>
        <w:tc>
          <w:tcPr>
            <w:tcW w:w="1594" w:type="dxa"/>
            <w:tcBorders>
              <w:top w:val="single" w:sz="4" w:space="0" w:color="5B9BD4"/>
              <w:left w:val="nil" w:sz="6" w:space="0" w:color="auto"/>
              <w:bottom w:val="single" w:sz="4" w:space="0" w:color="5B9BD4"/>
              <w:right w:val="nil" w:sz="6" w:space="0" w:color="auto"/>
            </w:tcBorders>
          </w:tcPr>
          <w:p>
            <w:pPr/>
          </w:p>
        </w:tc>
        <w:tc>
          <w:tcPr>
            <w:tcW w:w="1595" w:type="dxa"/>
            <w:tcBorders>
              <w:top w:val="single" w:sz="4" w:space="0" w:color="5B9BD4"/>
              <w:left w:val="nil" w:sz="6" w:space="0" w:color="auto"/>
              <w:bottom w:val="single" w:sz="4" w:space="0" w:color="5B9BD4"/>
              <w:right w:val="nil" w:sz="6" w:space="0" w:color="auto"/>
            </w:tcBorders>
            <w:shd w:val="clear" w:color="auto" w:fill="DEEAF6"/>
          </w:tcPr>
          <w:p>
            <w:pPr/>
          </w:p>
        </w:tc>
        <w:tc>
          <w:tcPr>
            <w:tcW w:w="1594" w:type="dxa"/>
            <w:tcBorders>
              <w:top w:val="single" w:sz="4" w:space="0" w:color="5B9BD4"/>
              <w:left w:val="nil" w:sz="6" w:space="0" w:color="auto"/>
              <w:bottom w:val="single" w:sz="4" w:space="0" w:color="5B9BD4"/>
              <w:right w:val="nil" w:sz="6" w:space="0" w:color="auto"/>
            </w:tcBorders>
          </w:tcPr>
          <w:p>
            <w:pPr/>
          </w:p>
        </w:tc>
      </w:tr>
      <w:tr>
        <w:trPr>
          <w:trHeight w:val="322" w:hRule="exact"/>
        </w:trPr>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288"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期末余额</w:t>
            </w:r>
          </w:p>
        </w:tc>
        <w:tc>
          <w:tcPr>
            <w:tcW w:w="1595" w:type="dxa"/>
            <w:tcBorders>
              <w:top w:val="single" w:sz="4" w:space="0" w:color="5B9BD4"/>
              <w:left w:val="nil" w:sz="6" w:space="0" w:color="auto"/>
              <w:bottom w:val="single" w:sz="4" w:space="0" w:color="5B9BD4"/>
              <w:right w:val="nil" w:sz="6" w:space="0" w:color="auto"/>
            </w:tcBorders>
          </w:tcPr>
          <w:p>
            <w:pP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
        </w:tc>
        <w:tc>
          <w:tcPr>
            <w:tcW w:w="1594" w:type="dxa"/>
            <w:tcBorders>
              <w:top w:val="single" w:sz="4" w:space="0" w:color="5B9BD4"/>
              <w:left w:val="nil" w:sz="6" w:space="0" w:color="auto"/>
              <w:bottom w:val="single" w:sz="4" w:space="0" w:color="5B9BD4"/>
              <w:right w:val="nil" w:sz="6" w:space="0" w:color="auto"/>
            </w:tcBorders>
          </w:tcPr>
          <w:p>
            <w:pPr/>
          </w:p>
        </w:tc>
        <w:tc>
          <w:tcPr>
            <w:tcW w:w="1595" w:type="dxa"/>
            <w:tcBorders>
              <w:top w:val="single" w:sz="4" w:space="0" w:color="5B9BD4"/>
              <w:left w:val="nil" w:sz="6" w:space="0" w:color="auto"/>
              <w:bottom w:val="single" w:sz="4" w:space="0" w:color="5B9BD4"/>
              <w:right w:val="nil" w:sz="6" w:space="0" w:color="auto"/>
            </w:tcBorders>
            <w:shd w:val="clear" w:color="auto" w:fill="DEEAF6"/>
          </w:tcPr>
          <w:p>
            <w:pPr/>
          </w:p>
        </w:tc>
        <w:tc>
          <w:tcPr>
            <w:tcW w:w="1594" w:type="dxa"/>
            <w:tcBorders>
              <w:top w:val="single" w:sz="4" w:space="0" w:color="5B9BD4"/>
              <w:left w:val="nil" w:sz="6" w:space="0" w:color="auto"/>
              <w:bottom w:val="single" w:sz="4" w:space="0" w:color="5B9BD4"/>
              <w:right w:val="nil" w:sz="6" w:space="0" w:color="auto"/>
            </w:tcBorders>
          </w:tcPr>
          <w:p>
            <w:pPr/>
          </w:p>
        </w:tc>
      </w:tr>
      <w:tr>
        <w:trPr>
          <w:trHeight w:val="322" w:hRule="exact"/>
        </w:trPr>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5" w:type="dxa"/>
            <w:tcBorders>
              <w:top w:val="single" w:sz="4" w:space="0" w:color="5B9BD4"/>
              <w:left w:val="nil" w:sz="6" w:space="0" w:color="auto"/>
              <w:bottom w:val="single" w:sz="4" w:space="0" w:color="5B9BD4"/>
              <w:right w:val="nil" w:sz="6" w:space="0" w:color="auto"/>
            </w:tcBorders>
          </w:tcPr>
          <w:p>
            <w:pP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
        </w:tc>
        <w:tc>
          <w:tcPr>
            <w:tcW w:w="1594" w:type="dxa"/>
            <w:tcBorders>
              <w:top w:val="single" w:sz="4" w:space="0" w:color="5B9BD4"/>
              <w:left w:val="nil" w:sz="6" w:space="0" w:color="auto"/>
              <w:bottom w:val="single" w:sz="4" w:space="0" w:color="5B9BD4"/>
              <w:right w:val="nil" w:sz="6" w:space="0" w:color="auto"/>
            </w:tcBorders>
          </w:tcPr>
          <w:p>
            <w:pPr/>
          </w:p>
        </w:tc>
        <w:tc>
          <w:tcPr>
            <w:tcW w:w="1595" w:type="dxa"/>
            <w:tcBorders>
              <w:top w:val="single" w:sz="4" w:space="0" w:color="5B9BD4"/>
              <w:left w:val="nil" w:sz="6" w:space="0" w:color="auto"/>
              <w:bottom w:val="single" w:sz="4" w:space="0" w:color="5B9BD4"/>
              <w:right w:val="nil" w:sz="6" w:space="0" w:color="auto"/>
            </w:tcBorders>
            <w:shd w:val="clear" w:color="auto" w:fill="DEEAF6"/>
          </w:tcPr>
          <w:p>
            <w:pPr/>
          </w:p>
        </w:tc>
        <w:tc>
          <w:tcPr>
            <w:tcW w:w="1594" w:type="dxa"/>
            <w:tcBorders>
              <w:top w:val="single" w:sz="4" w:space="0" w:color="5B9BD4"/>
              <w:left w:val="nil" w:sz="6" w:space="0" w:color="auto"/>
              <w:bottom w:val="single" w:sz="4" w:space="0" w:color="5B9BD4"/>
              <w:right w:val="nil" w:sz="6" w:space="0" w:color="auto"/>
            </w:tcBorders>
          </w:tcPr>
          <w:p>
            <w:pPr/>
          </w:p>
        </w:tc>
      </w:tr>
      <w:tr>
        <w:trPr>
          <w:trHeight w:val="634" w:hRule="exact"/>
        </w:trPr>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313"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7"/>
                <w:sz w:val="18"/>
                <w:szCs w:val="18"/>
              </w:rPr>
              <w:t> </w:t>
            </w:r>
            <w:r>
              <w:rPr>
                <w:rFonts w:ascii="宋体" w:hAnsi="宋体" w:cs="宋体" w:eastAsia="宋体" w:hint="default"/>
                <w:sz w:val="18"/>
                <w:szCs w:val="18"/>
              </w:rPr>
              <w:t>期</w:t>
            </w:r>
            <w:r>
              <w:rPr>
                <w:rFonts w:ascii="宋体" w:hAnsi="宋体" w:cs="宋体" w:eastAsia="宋体" w:hint="default"/>
                <w:spacing w:val="-66"/>
                <w:sz w:val="18"/>
                <w:szCs w:val="18"/>
              </w:rPr>
              <w:t> </w:t>
            </w:r>
            <w:r>
              <w:rPr>
                <w:rFonts w:ascii="宋体" w:hAnsi="宋体" w:cs="宋体" w:eastAsia="宋体" w:hint="default"/>
                <w:sz w:val="18"/>
                <w:szCs w:val="18"/>
              </w:rPr>
              <w:t>末</w:t>
            </w:r>
            <w:r>
              <w:rPr>
                <w:rFonts w:ascii="宋体" w:hAnsi="宋体" w:cs="宋体" w:eastAsia="宋体" w:hint="default"/>
                <w:spacing w:val="-66"/>
                <w:sz w:val="18"/>
                <w:szCs w:val="18"/>
              </w:rPr>
              <w:t> </w:t>
            </w:r>
            <w:r>
              <w:rPr>
                <w:rFonts w:ascii="宋体" w:hAnsi="宋体" w:cs="宋体" w:eastAsia="宋体" w:hint="default"/>
                <w:sz w:val="18"/>
                <w:szCs w:val="18"/>
              </w:rPr>
              <w:t>账</w:t>
            </w:r>
            <w:r>
              <w:rPr>
                <w:rFonts w:ascii="宋体" w:hAnsi="宋体" w:cs="宋体" w:eastAsia="宋体" w:hint="default"/>
                <w:spacing w:val="-68"/>
                <w:sz w:val="18"/>
                <w:szCs w:val="18"/>
              </w:rPr>
              <w:t> </w:t>
            </w:r>
            <w:r>
              <w:rPr>
                <w:rFonts w:ascii="宋体" w:hAnsi="宋体" w:cs="宋体" w:eastAsia="宋体" w:hint="default"/>
                <w:sz w:val="18"/>
                <w:szCs w:val="18"/>
              </w:rPr>
              <w:t>面</w:t>
            </w:r>
            <w:r>
              <w:rPr>
                <w:rFonts w:ascii="宋体" w:hAnsi="宋体" w:cs="宋体" w:eastAsia="宋体" w:hint="default"/>
                <w:spacing w:val="-68"/>
                <w:sz w:val="18"/>
                <w:szCs w:val="18"/>
              </w:rPr>
              <w:t> </w:t>
            </w:r>
            <w:r>
              <w:rPr>
                <w:rFonts w:ascii="宋体" w:hAnsi="宋体" w:cs="宋体" w:eastAsia="宋体" w:hint="default"/>
                <w:sz w:val="18"/>
                <w:szCs w:val="18"/>
              </w:rPr>
              <w:t>价</w:t>
            </w:r>
          </w:p>
          <w:p>
            <w:pPr>
              <w:pStyle w:val="TableParagraph"/>
              <w:spacing w:line="240" w:lineRule="auto" w:before="63"/>
              <w:ind w:left="108"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5"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6,453,807.94</w:t>
            </w:r>
            <w:r>
              <w:rPr>
                <w:rFonts w:ascii="Arial"/>
                <w:sz w:val="18"/>
              </w:rPr>
            </w: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3,468,770.51</w:t>
            </w:r>
            <w:r>
              <w:rPr>
                <w:rFonts w:ascii="Arial"/>
                <w:sz w:val="18"/>
              </w:rPr>
            </w:r>
          </w:p>
        </w:tc>
        <w:tc>
          <w:tcPr>
            <w:tcW w:w="1594"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14,021,864.24</w:t>
            </w:r>
            <w:r>
              <w:rPr>
                <w:rFonts w:ascii="Arial"/>
                <w:sz w:val="18"/>
              </w:rPr>
            </w:r>
          </w:p>
        </w:tc>
        <w:tc>
          <w:tcPr>
            <w:tcW w:w="15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6,288,755.47</w:t>
            </w:r>
            <w:r>
              <w:rPr>
                <w:rFonts w:ascii="Arial"/>
                <w:sz w:val="18"/>
              </w:rPr>
            </w:r>
          </w:p>
        </w:tc>
        <w:tc>
          <w:tcPr>
            <w:tcW w:w="1594"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30,233,198.16</w:t>
            </w:r>
            <w:r>
              <w:rPr>
                <w:rFonts w:ascii="Arial"/>
                <w:sz w:val="18"/>
              </w:rPr>
            </w:r>
          </w:p>
        </w:tc>
      </w:tr>
      <w:tr>
        <w:trPr>
          <w:trHeight w:val="634" w:hRule="exact"/>
        </w:trPr>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313"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27"/>
                <w:sz w:val="18"/>
                <w:szCs w:val="18"/>
              </w:rPr>
              <w:t> </w:t>
            </w:r>
            <w:r>
              <w:rPr>
                <w:rFonts w:ascii="宋体" w:hAnsi="宋体" w:cs="宋体" w:eastAsia="宋体" w:hint="default"/>
                <w:sz w:val="18"/>
                <w:szCs w:val="18"/>
              </w:rPr>
              <w:t>期</w:t>
            </w:r>
            <w:r>
              <w:rPr>
                <w:rFonts w:ascii="宋体" w:hAnsi="宋体" w:cs="宋体" w:eastAsia="宋体" w:hint="default"/>
                <w:spacing w:val="-66"/>
                <w:sz w:val="18"/>
                <w:szCs w:val="18"/>
              </w:rPr>
              <w:t> </w:t>
            </w:r>
            <w:r>
              <w:rPr>
                <w:rFonts w:ascii="宋体" w:hAnsi="宋体" w:cs="宋体" w:eastAsia="宋体" w:hint="default"/>
                <w:sz w:val="18"/>
                <w:szCs w:val="18"/>
              </w:rPr>
              <w:t>初</w:t>
            </w:r>
            <w:r>
              <w:rPr>
                <w:rFonts w:ascii="宋体" w:hAnsi="宋体" w:cs="宋体" w:eastAsia="宋体" w:hint="default"/>
                <w:spacing w:val="-66"/>
                <w:sz w:val="18"/>
                <w:szCs w:val="18"/>
              </w:rPr>
              <w:t> </w:t>
            </w:r>
            <w:r>
              <w:rPr>
                <w:rFonts w:ascii="宋体" w:hAnsi="宋体" w:cs="宋体" w:eastAsia="宋体" w:hint="default"/>
                <w:sz w:val="18"/>
                <w:szCs w:val="18"/>
              </w:rPr>
              <w:t>账</w:t>
            </w:r>
            <w:r>
              <w:rPr>
                <w:rFonts w:ascii="宋体" w:hAnsi="宋体" w:cs="宋体" w:eastAsia="宋体" w:hint="default"/>
                <w:spacing w:val="-68"/>
                <w:sz w:val="18"/>
                <w:szCs w:val="18"/>
              </w:rPr>
              <w:t> </w:t>
            </w:r>
            <w:r>
              <w:rPr>
                <w:rFonts w:ascii="宋体" w:hAnsi="宋体" w:cs="宋体" w:eastAsia="宋体" w:hint="default"/>
                <w:sz w:val="18"/>
                <w:szCs w:val="18"/>
              </w:rPr>
              <w:t>面</w:t>
            </w:r>
            <w:r>
              <w:rPr>
                <w:rFonts w:ascii="宋体" w:hAnsi="宋体" w:cs="宋体" w:eastAsia="宋体" w:hint="default"/>
                <w:spacing w:val="-68"/>
                <w:sz w:val="18"/>
                <w:szCs w:val="18"/>
              </w:rPr>
              <w:t> </w:t>
            </w:r>
            <w:r>
              <w:rPr>
                <w:rFonts w:ascii="宋体" w:hAnsi="宋体" w:cs="宋体" w:eastAsia="宋体" w:hint="default"/>
                <w:sz w:val="18"/>
                <w:szCs w:val="18"/>
              </w:rPr>
              <w:t>价</w:t>
            </w:r>
          </w:p>
          <w:p>
            <w:pPr>
              <w:pStyle w:val="TableParagraph"/>
              <w:spacing w:line="240" w:lineRule="auto" w:before="63"/>
              <w:ind w:left="108"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5"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7,035,393.31</w:t>
            </w:r>
            <w:r>
              <w:rPr>
                <w:rFonts w:ascii="Arial"/>
                <w:sz w:val="18"/>
              </w:rPr>
            </w: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3,865,571.78</w:t>
            </w:r>
            <w:r>
              <w:rPr>
                <w:rFonts w:ascii="Arial"/>
                <w:sz w:val="18"/>
              </w:rPr>
            </w:r>
          </w:p>
        </w:tc>
        <w:tc>
          <w:tcPr>
            <w:tcW w:w="1594"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18,648,149.27</w:t>
            </w:r>
            <w:r>
              <w:rPr>
                <w:rFonts w:ascii="Arial"/>
                <w:sz w:val="18"/>
              </w:rPr>
            </w:r>
          </w:p>
        </w:tc>
        <w:tc>
          <w:tcPr>
            <w:tcW w:w="15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9,066,196.69</w:t>
            </w:r>
            <w:r>
              <w:rPr>
                <w:rFonts w:ascii="Arial"/>
                <w:sz w:val="18"/>
              </w:rPr>
            </w:r>
          </w:p>
        </w:tc>
        <w:tc>
          <w:tcPr>
            <w:tcW w:w="1594"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38,615,311.05</w:t>
            </w:r>
            <w:r>
              <w:rPr>
                <w:rFonts w:ascii="Arial"/>
                <w:sz w:val="18"/>
              </w:rPr>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2）通过经营租赁租出的固定资产" w:id="312"/>
      <w:bookmarkEnd w:id="312"/>
      <w:r>
        <w:rPr>
          <w:b w:val="0"/>
          <w:bCs w:val="0"/>
        </w:rPr>
      </w:r>
      <w:r>
        <w:rPr/>
        <w:t>（</w:t>
      </w:r>
      <w:r>
        <w:rPr>
          <w:rFonts w:ascii="Trebuchet MS" w:hAnsi="Trebuchet MS" w:cs="Trebuchet MS" w:eastAsia="Trebuchet MS" w:hint="default"/>
        </w:rPr>
        <w:t>2</w:t>
      </w:r>
      <w:r>
        <w:rPr/>
        <w:t>）通过经营租赁租出的固定资产</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5"/>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4780"/>
        <w:gridCol w:w="4788"/>
      </w:tblGrid>
      <w:tr>
        <w:trPr>
          <w:trHeight w:val="317" w:hRule="exact"/>
        </w:trPr>
        <w:tc>
          <w:tcPr>
            <w:tcW w:w="478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326" w:hRule="exact"/>
        </w:trPr>
        <w:tc>
          <w:tcPr>
            <w:tcW w:w="478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88"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right="104"/>
              <w:jc w:val="right"/>
              <w:rPr>
                <w:rFonts w:ascii="Arial" w:hAnsi="Arial" w:cs="Arial" w:eastAsia="Arial" w:hint="default"/>
                <w:sz w:val="18"/>
                <w:szCs w:val="18"/>
              </w:rPr>
            </w:pPr>
            <w:r>
              <w:rPr>
                <w:rFonts w:ascii="Arial"/>
                <w:w w:val="95"/>
                <w:sz w:val="18"/>
              </w:rPr>
              <w:t>2,190,193.73</w:t>
            </w:r>
            <w:r>
              <w:rPr>
                <w:rFonts w:ascii="Arial"/>
                <w:sz w:val="18"/>
              </w:rPr>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12、无形资产" w:id="313"/>
      <w:bookmarkEnd w:id="313"/>
      <w:r>
        <w:rPr>
          <w:b w:val="0"/>
          <w:bCs w:val="0"/>
        </w:rPr>
      </w:r>
      <w:r>
        <w:rPr>
          <w:rFonts w:ascii="Trebuchet MS" w:hAnsi="Trebuchet MS" w:cs="Trebuchet MS" w:eastAsia="Trebuchet MS" w:hint="default"/>
        </w:rPr>
        <w:t>12</w:t>
      </w:r>
      <w:r>
        <w:rPr/>
        <w:t>、无形资产</w:t>
      </w:r>
      <w:r>
        <w:rPr>
          <w:b w:val="0"/>
          <w:bCs w:val="0"/>
        </w:rPr>
      </w:r>
    </w:p>
    <w:p>
      <w:pPr>
        <w:spacing w:line="240" w:lineRule="auto" w:before="8"/>
        <w:rPr>
          <w:rFonts w:ascii="宋体" w:hAnsi="宋体" w:cs="宋体" w:eastAsia="宋体" w:hint="default"/>
          <w:b/>
          <w:bCs/>
          <w:sz w:val="24"/>
          <w:szCs w:val="24"/>
        </w:rPr>
      </w:pPr>
    </w:p>
    <w:p>
      <w:pPr>
        <w:spacing w:before="0"/>
        <w:ind w:left="636" w:right="1513" w:firstLine="0"/>
        <w:jc w:val="left"/>
        <w:rPr>
          <w:rFonts w:ascii="宋体" w:hAnsi="宋体" w:cs="宋体" w:eastAsia="宋体" w:hint="default"/>
          <w:sz w:val="21"/>
          <w:szCs w:val="21"/>
        </w:rPr>
      </w:pPr>
      <w:bookmarkStart w:name="（1）无形资产情况" w:id="314"/>
      <w:bookmarkEnd w:id="314"/>
      <w:r>
        <w:rPr/>
      </w:r>
      <w:r>
        <w:rPr>
          <w:rFonts w:ascii="宋体" w:hAnsi="宋体" w:cs="宋体" w:eastAsia="宋体" w:hint="default"/>
          <w:b/>
          <w:bCs/>
          <w:sz w:val="21"/>
          <w:szCs w:val="21"/>
        </w:rPr>
        <w:t>（</w:t>
      </w:r>
      <w:r>
        <w:rPr>
          <w:rFonts w:ascii="Trebuchet MS" w:hAnsi="Trebuchet MS" w:cs="Trebuchet MS" w:eastAsia="Trebuchet MS"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after="0" w:line="240" w:lineRule="auto"/>
        <w:jc w:val="right"/>
        <w:sectPr>
          <w:pgSz w:w="11910" w:h="16840"/>
          <w:pgMar w:header="877" w:footer="979" w:top="1100" w:bottom="1160" w:left="920" w:right="0"/>
        </w:sectPr>
      </w:pPr>
    </w:p>
    <w:p>
      <w:pPr>
        <w:spacing w:line="240" w:lineRule="auto" w:before="6"/>
        <w:rPr>
          <w:rFonts w:ascii="宋体" w:hAnsi="宋体" w:cs="宋体" w:eastAsia="宋体" w:hint="default"/>
          <w:sz w:val="24"/>
          <w:szCs w:val="24"/>
        </w:rPr>
      </w:pPr>
      <w:r>
        <w:rPr/>
        <w:pict>
          <v:shape style="position:absolute;margin-left:283.540009pt;margin-top:695.919983pt;width:14.17673pt;height:31.125pt;mso-position-horizontal-relative:page;mso-position-vertical-relative:page;z-index:1744" type="#_x0000_t75" stroked="false">
            <v:imagedata r:id="rId50" o:title=""/>
          </v:shape>
        </w:pict>
      </w:r>
    </w:p>
    <w:tbl>
      <w:tblPr>
        <w:tblW w:w="0" w:type="auto"/>
        <w:jc w:val="left"/>
        <w:tblInd w:w="101" w:type="dxa"/>
        <w:tblLayout w:type="fixed"/>
        <w:tblCellMar>
          <w:top w:w="0" w:type="dxa"/>
          <w:left w:w="0" w:type="dxa"/>
          <w:bottom w:w="0" w:type="dxa"/>
          <w:right w:w="0" w:type="dxa"/>
        </w:tblCellMar>
        <w:tblLook w:val="01E0"/>
      </w:tblPr>
      <w:tblGrid>
        <w:gridCol w:w="1971"/>
        <w:gridCol w:w="1971"/>
        <w:gridCol w:w="1972"/>
        <w:gridCol w:w="1971"/>
        <w:gridCol w:w="1972"/>
      </w:tblGrid>
      <w:tr>
        <w:trPr>
          <w:trHeight w:val="322" w:hRule="exact"/>
        </w:trPr>
        <w:tc>
          <w:tcPr>
            <w:tcW w:w="197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71"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left="625"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45" w:right="0"/>
              <w:jc w:val="left"/>
              <w:rPr>
                <w:rFonts w:ascii="宋体" w:hAnsi="宋体" w:cs="宋体" w:eastAsia="宋体" w:hint="default"/>
                <w:sz w:val="18"/>
                <w:szCs w:val="18"/>
              </w:rPr>
            </w:pPr>
            <w:r>
              <w:rPr>
                <w:rFonts w:ascii="宋体" w:hAnsi="宋体" w:cs="宋体" w:eastAsia="宋体" w:hint="default"/>
                <w:sz w:val="18"/>
                <w:szCs w:val="18"/>
              </w:rPr>
              <w:t>音乐使用版权</w:t>
            </w:r>
          </w:p>
        </w:tc>
        <w:tc>
          <w:tcPr>
            <w:tcW w:w="1971"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left="175" w:right="0"/>
              <w:jc w:val="left"/>
              <w:rPr>
                <w:rFonts w:ascii="宋体" w:hAnsi="宋体" w:cs="宋体" w:eastAsia="宋体" w:hint="default"/>
                <w:sz w:val="18"/>
                <w:szCs w:val="18"/>
              </w:rPr>
            </w:pPr>
            <w:r>
              <w:rPr>
                <w:rFonts w:ascii="宋体" w:hAnsi="宋体" w:cs="宋体" w:eastAsia="宋体" w:hint="default"/>
                <w:sz w:val="18"/>
                <w:szCs w:val="18"/>
              </w:rPr>
              <w:t>游戏产品及运营工具</w:t>
            </w: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2" w:hRule="exact"/>
        </w:trPr>
        <w:tc>
          <w:tcPr>
            <w:tcW w:w="197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71" w:type="dxa"/>
            <w:tcBorders>
              <w:top w:val="single" w:sz="4" w:space="0" w:color="5B9BD4"/>
              <w:left w:val="nil" w:sz="6" w:space="0" w:color="auto"/>
              <w:bottom w:val="single" w:sz="4" w:space="0" w:color="5B9BD4"/>
              <w:right w:val="nil" w:sz="6" w:space="0" w:color="auto"/>
            </w:tcBorders>
          </w:tcPr>
          <w:p>
            <w:pP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
        </w:tc>
        <w:tc>
          <w:tcPr>
            <w:tcW w:w="1971" w:type="dxa"/>
            <w:tcBorders>
              <w:top w:val="single" w:sz="4" w:space="0" w:color="5B9BD4"/>
              <w:left w:val="nil" w:sz="6" w:space="0" w:color="auto"/>
              <w:bottom w:val="single" w:sz="4" w:space="0" w:color="5B9BD4"/>
              <w:right w:val="nil" w:sz="6" w:space="0" w:color="auto"/>
            </w:tcBorders>
          </w:tcPr>
          <w:p>
            <w:pP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197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期初余额</w:t>
            </w:r>
          </w:p>
        </w:tc>
        <w:tc>
          <w:tcPr>
            <w:tcW w:w="197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47,518,150.94</w:t>
            </w:r>
            <w:r>
              <w:rPr>
                <w:rFonts w:ascii="Arial"/>
                <w:sz w:val="18"/>
              </w:rPr>
            </w: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77,000.00</w:t>
            </w:r>
            <w:r>
              <w:rPr>
                <w:rFonts w:ascii="Arial"/>
                <w:sz w:val="18"/>
              </w:rPr>
            </w:r>
          </w:p>
        </w:tc>
        <w:tc>
          <w:tcPr>
            <w:tcW w:w="197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22,860,107.59</w:t>
            </w:r>
            <w:r>
              <w:rPr>
                <w:rFonts w:ascii="Arial"/>
                <w:sz w:val="18"/>
              </w:rPr>
            </w: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70,455,258.53</w:t>
            </w:r>
            <w:r>
              <w:rPr>
                <w:rFonts w:ascii="Arial"/>
                <w:sz w:val="18"/>
              </w:rPr>
            </w:r>
          </w:p>
        </w:tc>
      </w:tr>
      <w:tr>
        <w:trPr>
          <w:trHeight w:val="322" w:hRule="exact"/>
        </w:trPr>
        <w:tc>
          <w:tcPr>
            <w:tcW w:w="197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本期增加金额</w:t>
            </w:r>
          </w:p>
        </w:tc>
        <w:tc>
          <w:tcPr>
            <w:tcW w:w="197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4,626,450.49</w:t>
            </w:r>
            <w:r>
              <w:rPr>
                <w:rFonts w:ascii="Arial"/>
                <w:sz w:val="18"/>
              </w:rPr>
            </w: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
        </w:tc>
        <w:tc>
          <w:tcPr>
            <w:tcW w:w="197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16,112,315.80</w:t>
            </w:r>
            <w:r>
              <w:rPr>
                <w:rFonts w:ascii="Arial"/>
                <w:sz w:val="18"/>
              </w:rPr>
            </w: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20,738,766.29</w:t>
            </w:r>
            <w:r>
              <w:rPr>
                <w:rFonts w:ascii="Arial"/>
                <w:sz w:val="18"/>
              </w:rPr>
            </w:r>
          </w:p>
        </w:tc>
      </w:tr>
      <w:tr>
        <w:trPr>
          <w:trHeight w:val="323" w:hRule="exact"/>
        </w:trPr>
        <w:tc>
          <w:tcPr>
            <w:tcW w:w="197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）购置</w:t>
            </w:r>
          </w:p>
        </w:tc>
        <w:tc>
          <w:tcPr>
            <w:tcW w:w="1971" w:type="dxa"/>
            <w:tcBorders>
              <w:top w:val="single" w:sz="4" w:space="0" w:color="5B9BD4"/>
              <w:left w:val="nil" w:sz="6" w:space="0" w:color="auto"/>
              <w:bottom w:val="single" w:sz="4" w:space="0" w:color="5B9BD4"/>
              <w:right w:val="nil" w:sz="6" w:space="0" w:color="auto"/>
            </w:tcBorders>
          </w:tcPr>
          <w:p>
            <w:pPr>
              <w:pStyle w:val="TableParagraph"/>
              <w:spacing w:line="240" w:lineRule="auto" w:before="48"/>
              <w:ind w:right="104"/>
              <w:jc w:val="right"/>
              <w:rPr>
                <w:rFonts w:ascii="Arial" w:hAnsi="Arial" w:cs="Arial" w:eastAsia="Arial" w:hint="default"/>
                <w:sz w:val="18"/>
                <w:szCs w:val="18"/>
              </w:rPr>
            </w:pPr>
            <w:r>
              <w:rPr>
                <w:rFonts w:ascii="Arial"/>
                <w:w w:val="95"/>
                <w:sz w:val="18"/>
              </w:rPr>
              <w:t>3,094,992.84</w:t>
            </w:r>
            <w:r>
              <w:rPr>
                <w:rFonts w:ascii="Arial"/>
                <w:sz w:val="18"/>
              </w:rPr>
            </w: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
        </w:tc>
        <w:tc>
          <w:tcPr>
            <w:tcW w:w="1971" w:type="dxa"/>
            <w:tcBorders>
              <w:top w:val="single" w:sz="4" w:space="0" w:color="5B9BD4"/>
              <w:left w:val="nil" w:sz="6" w:space="0" w:color="auto"/>
              <w:bottom w:val="single" w:sz="4" w:space="0" w:color="5B9BD4"/>
              <w:right w:val="nil" w:sz="6" w:space="0" w:color="auto"/>
            </w:tcBorders>
          </w:tcPr>
          <w:p>
            <w:pP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8"/>
              <w:ind w:right="104"/>
              <w:jc w:val="right"/>
              <w:rPr>
                <w:rFonts w:ascii="Arial" w:hAnsi="Arial" w:cs="Arial" w:eastAsia="Arial" w:hint="default"/>
                <w:sz w:val="18"/>
                <w:szCs w:val="18"/>
              </w:rPr>
            </w:pPr>
            <w:r>
              <w:rPr>
                <w:rFonts w:ascii="Arial"/>
                <w:w w:val="95"/>
                <w:sz w:val="18"/>
              </w:rPr>
              <w:t>3,094,992.84</w:t>
            </w:r>
            <w:r>
              <w:rPr>
                <w:rFonts w:ascii="Arial"/>
                <w:sz w:val="18"/>
              </w:rPr>
            </w:r>
          </w:p>
        </w:tc>
      </w:tr>
      <w:tr>
        <w:trPr>
          <w:trHeight w:val="322" w:hRule="exact"/>
        </w:trPr>
        <w:tc>
          <w:tcPr>
            <w:tcW w:w="197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w:t>
            </w:r>
            <w:r>
              <w:rPr>
                <w:rFonts w:ascii="宋体" w:hAnsi="宋体" w:cs="宋体" w:eastAsia="宋体" w:hint="default"/>
                <w:sz w:val="18"/>
                <w:szCs w:val="18"/>
              </w:rPr>
              <w:t>）内部研发</w:t>
            </w:r>
          </w:p>
        </w:tc>
        <w:tc>
          <w:tcPr>
            <w:tcW w:w="197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1,531,457.65</w:t>
            </w:r>
            <w:r>
              <w:rPr>
                <w:rFonts w:ascii="Arial"/>
                <w:sz w:val="18"/>
              </w:rPr>
            </w: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
        </w:tc>
        <w:tc>
          <w:tcPr>
            <w:tcW w:w="197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16,112,315.80</w:t>
            </w:r>
            <w:r>
              <w:rPr>
                <w:rFonts w:ascii="Arial"/>
                <w:sz w:val="18"/>
              </w:rPr>
            </w: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17,643,773.45</w:t>
            </w:r>
            <w:r>
              <w:rPr>
                <w:rFonts w:ascii="Arial"/>
                <w:sz w:val="18"/>
              </w:rPr>
            </w:r>
          </w:p>
        </w:tc>
      </w:tr>
      <w:tr>
        <w:trPr>
          <w:trHeight w:val="322" w:hRule="exact"/>
        </w:trPr>
        <w:tc>
          <w:tcPr>
            <w:tcW w:w="197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288"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本期减少金额</w:t>
            </w:r>
          </w:p>
        </w:tc>
        <w:tc>
          <w:tcPr>
            <w:tcW w:w="197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80,000.00</w:t>
            </w:r>
            <w:r>
              <w:rPr>
                <w:rFonts w:ascii="Arial"/>
                <w:sz w:val="18"/>
              </w:rPr>
            </w: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
        </w:tc>
        <w:tc>
          <w:tcPr>
            <w:tcW w:w="1971" w:type="dxa"/>
            <w:tcBorders>
              <w:top w:val="single" w:sz="4" w:space="0" w:color="5B9BD4"/>
              <w:left w:val="nil" w:sz="6" w:space="0" w:color="auto"/>
              <w:bottom w:val="single" w:sz="4" w:space="0" w:color="5B9BD4"/>
              <w:right w:val="nil" w:sz="6" w:space="0" w:color="auto"/>
            </w:tcBorders>
          </w:tcPr>
          <w:p>
            <w:pP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80,000.00</w:t>
            </w:r>
            <w:r>
              <w:rPr>
                <w:rFonts w:ascii="Arial"/>
                <w:sz w:val="18"/>
              </w:rPr>
            </w:r>
          </w:p>
        </w:tc>
      </w:tr>
      <w:tr>
        <w:trPr>
          <w:trHeight w:val="322" w:hRule="exact"/>
        </w:trPr>
        <w:tc>
          <w:tcPr>
            <w:tcW w:w="197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w:t>
            </w:r>
          </w:p>
        </w:tc>
        <w:tc>
          <w:tcPr>
            <w:tcW w:w="197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80,000.00</w:t>
            </w:r>
            <w:r>
              <w:rPr>
                <w:rFonts w:ascii="Arial"/>
                <w:sz w:val="18"/>
              </w:rPr>
            </w: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
        </w:tc>
        <w:tc>
          <w:tcPr>
            <w:tcW w:w="1971" w:type="dxa"/>
            <w:tcBorders>
              <w:top w:val="single" w:sz="4" w:space="0" w:color="5B9BD4"/>
              <w:left w:val="nil" w:sz="6" w:space="0" w:color="auto"/>
              <w:bottom w:val="single" w:sz="4" w:space="0" w:color="5B9BD4"/>
              <w:right w:val="nil" w:sz="6" w:space="0" w:color="auto"/>
            </w:tcBorders>
          </w:tcPr>
          <w:p>
            <w:pP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80,000.00</w:t>
            </w:r>
            <w:r>
              <w:rPr>
                <w:rFonts w:ascii="Arial"/>
                <w:sz w:val="18"/>
              </w:rPr>
            </w:r>
          </w:p>
        </w:tc>
      </w:tr>
      <w:tr>
        <w:trPr>
          <w:trHeight w:val="322" w:hRule="exact"/>
        </w:trPr>
        <w:tc>
          <w:tcPr>
            <w:tcW w:w="197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期末余额</w:t>
            </w:r>
          </w:p>
        </w:tc>
        <w:tc>
          <w:tcPr>
            <w:tcW w:w="197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52,064,601.43</w:t>
            </w:r>
            <w:r>
              <w:rPr>
                <w:rFonts w:ascii="Arial"/>
                <w:sz w:val="18"/>
              </w:rPr>
            </w: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77,000.00</w:t>
            </w:r>
            <w:r>
              <w:rPr>
                <w:rFonts w:ascii="Arial"/>
                <w:sz w:val="18"/>
              </w:rPr>
            </w:r>
          </w:p>
        </w:tc>
        <w:tc>
          <w:tcPr>
            <w:tcW w:w="197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38,972,423.39</w:t>
            </w:r>
            <w:r>
              <w:rPr>
                <w:rFonts w:ascii="Arial"/>
                <w:sz w:val="18"/>
              </w:rPr>
            </w: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91,114,024.82</w:t>
            </w:r>
            <w:r>
              <w:rPr>
                <w:rFonts w:ascii="Arial"/>
                <w:sz w:val="18"/>
              </w:rPr>
            </w:r>
          </w:p>
        </w:tc>
      </w:tr>
      <w:tr>
        <w:trPr>
          <w:trHeight w:val="322" w:hRule="exact"/>
        </w:trPr>
        <w:tc>
          <w:tcPr>
            <w:tcW w:w="197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971" w:type="dxa"/>
            <w:tcBorders>
              <w:top w:val="single" w:sz="4" w:space="0" w:color="5B9BD4"/>
              <w:left w:val="nil" w:sz="6" w:space="0" w:color="auto"/>
              <w:bottom w:val="single" w:sz="4" w:space="0" w:color="5B9BD4"/>
              <w:right w:val="nil" w:sz="6" w:space="0" w:color="auto"/>
            </w:tcBorders>
          </w:tcPr>
          <w:p>
            <w:pP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
        </w:tc>
        <w:tc>
          <w:tcPr>
            <w:tcW w:w="1971" w:type="dxa"/>
            <w:tcBorders>
              <w:top w:val="single" w:sz="4" w:space="0" w:color="5B9BD4"/>
              <w:left w:val="nil" w:sz="6" w:space="0" w:color="auto"/>
              <w:bottom w:val="single" w:sz="4" w:space="0" w:color="5B9BD4"/>
              <w:right w:val="nil" w:sz="6" w:space="0" w:color="auto"/>
            </w:tcBorders>
          </w:tcPr>
          <w:p>
            <w:pP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197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期初余额</w:t>
            </w:r>
          </w:p>
        </w:tc>
        <w:tc>
          <w:tcPr>
            <w:tcW w:w="197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10,360,243.20</w:t>
            </w:r>
            <w:r>
              <w:rPr>
                <w:rFonts w:ascii="Arial"/>
                <w:sz w:val="18"/>
              </w:rPr>
            </w: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77,000.00</w:t>
            </w:r>
            <w:r>
              <w:rPr>
                <w:rFonts w:ascii="Arial"/>
                <w:sz w:val="18"/>
              </w:rPr>
            </w:r>
          </w:p>
        </w:tc>
        <w:tc>
          <w:tcPr>
            <w:tcW w:w="197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22,300,495.93</w:t>
            </w:r>
            <w:r>
              <w:rPr>
                <w:rFonts w:ascii="Arial"/>
                <w:sz w:val="18"/>
              </w:rPr>
            </w: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32,737,739.13</w:t>
            </w:r>
            <w:r>
              <w:rPr>
                <w:rFonts w:ascii="Arial"/>
                <w:sz w:val="18"/>
              </w:rPr>
            </w:r>
          </w:p>
        </w:tc>
      </w:tr>
      <w:tr>
        <w:trPr>
          <w:trHeight w:val="322" w:hRule="exact"/>
        </w:trPr>
        <w:tc>
          <w:tcPr>
            <w:tcW w:w="197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本期增加金额</w:t>
            </w:r>
          </w:p>
        </w:tc>
        <w:tc>
          <w:tcPr>
            <w:tcW w:w="197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5,061,840.90</w:t>
            </w:r>
            <w:r>
              <w:rPr>
                <w:rFonts w:ascii="Arial"/>
                <w:sz w:val="18"/>
              </w:rPr>
            </w: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
        </w:tc>
        <w:tc>
          <w:tcPr>
            <w:tcW w:w="197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8,651,106.09</w:t>
            </w:r>
            <w:r>
              <w:rPr>
                <w:rFonts w:ascii="Arial"/>
                <w:sz w:val="18"/>
              </w:rPr>
            </w: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13,712,946.99</w:t>
            </w:r>
            <w:r>
              <w:rPr>
                <w:rFonts w:ascii="Arial"/>
                <w:sz w:val="18"/>
              </w:rPr>
            </w:r>
          </w:p>
        </w:tc>
      </w:tr>
      <w:tr>
        <w:trPr>
          <w:trHeight w:val="322" w:hRule="exact"/>
        </w:trPr>
        <w:tc>
          <w:tcPr>
            <w:tcW w:w="197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）计提</w:t>
            </w:r>
          </w:p>
        </w:tc>
        <w:tc>
          <w:tcPr>
            <w:tcW w:w="197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5,061,840.90</w:t>
            </w:r>
            <w:r>
              <w:rPr>
                <w:rFonts w:ascii="Arial"/>
                <w:sz w:val="18"/>
              </w:rPr>
            </w: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
        </w:tc>
        <w:tc>
          <w:tcPr>
            <w:tcW w:w="197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8,651,106.09</w:t>
            </w:r>
            <w:r>
              <w:rPr>
                <w:rFonts w:ascii="Arial"/>
                <w:sz w:val="18"/>
              </w:rPr>
            </w: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13,712,946.99</w:t>
            </w:r>
            <w:r>
              <w:rPr>
                <w:rFonts w:ascii="Arial"/>
                <w:sz w:val="18"/>
              </w:rPr>
            </w:r>
          </w:p>
        </w:tc>
      </w:tr>
      <w:tr>
        <w:trPr>
          <w:trHeight w:val="322" w:hRule="exact"/>
        </w:trPr>
        <w:tc>
          <w:tcPr>
            <w:tcW w:w="197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本期减少金额</w:t>
            </w:r>
          </w:p>
        </w:tc>
        <w:tc>
          <w:tcPr>
            <w:tcW w:w="197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20,000.00</w:t>
            </w:r>
            <w:r>
              <w:rPr>
                <w:rFonts w:ascii="Arial"/>
                <w:sz w:val="18"/>
              </w:rPr>
            </w: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
        </w:tc>
        <w:tc>
          <w:tcPr>
            <w:tcW w:w="1971" w:type="dxa"/>
            <w:tcBorders>
              <w:top w:val="single" w:sz="4" w:space="0" w:color="5B9BD4"/>
              <w:left w:val="nil" w:sz="6" w:space="0" w:color="auto"/>
              <w:bottom w:val="single" w:sz="4" w:space="0" w:color="5B9BD4"/>
              <w:right w:val="nil" w:sz="6" w:space="0" w:color="auto"/>
            </w:tcBorders>
          </w:tcPr>
          <w:p>
            <w:pP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20,000.00</w:t>
            </w:r>
            <w:r>
              <w:rPr>
                <w:rFonts w:ascii="Arial"/>
                <w:sz w:val="18"/>
              </w:rPr>
            </w:r>
          </w:p>
        </w:tc>
      </w:tr>
      <w:tr>
        <w:trPr>
          <w:trHeight w:val="322" w:hRule="exact"/>
        </w:trPr>
        <w:tc>
          <w:tcPr>
            <w:tcW w:w="197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w:t>
            </w:r>
          </w:p>
        </w:tc>
        <w:tc>
          <w:tcPr>
            <w:tcW w:w="197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20,000.00</w:t>
            </w:r>
            <w:r>
              <w:rPr>
                <w:rFonts w:ascii="Arial"/>
                <w:sz w:val="18"/>
              </w:rPr>
            </w: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
        </w:tc>
        <w:tc>
          <w:tcPr>
            <w:tcW w:w="1971" w:type="dxa"/>
            <w:tcBorders>
              <w:top w:val="single" w:sz="4" w:space="0" w:color="5B9BD4"/>
              <w:left w:val="nil" w:sz="6" w:space="0" w:color="auto"/>
              <w:bottom w:val="single" w:sz="4" w:space="0" w:color="5B9BD4"/>
              <w:right w:val="nil" w:sz="6" w:space="0" w:color="auto"/>
            </w:tcBorders>
          </w:tcPr>
          <w:p>
            <w:pP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20,000.00</w:t>
            </w:r>
            <w:r>
              <w:rPr>
                <w:rFonts w:ascii="Arial"/>
                <w:sz w:val="18"/>
              </w:rPr>
            </w:r>
          </w:p>
        </w:tc>
      </w:tr>
      <w:tr>
        <w:trPr>
          <w:trHeight w:val="322" w:hRule="exact"/>
        </w:trPr>
        <w:tc>
          <w:tcPr>
            <w:tcW w:w="197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期末余额</w:t>
            </w:r>
          </w:p>
        </w:tc>
        <w:tc>
          <w:tcPr>
            <w:tcW w:w="197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15,402,084.10</w:t>
            </w:r>
            <w:r>
              <w:rPr>
                <w:rFonts w:ascii="Arial"/>
                <w:sz w:val="18"/>
              </w:rPr>
            </w: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77,000.00</w:t>
            </w:r>
            <w:r>
              <w:rPr>
                <w:rFonts w:ascii="Arial"/>
                <w:sz w:val="18"/>
              </w:rPr>
            </w:r>
          </w:p>
        </w:tc>
        <w:tc>
          <w:tcPr>
            <w:tcW w:w="197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30,951,602.02</w:t>
            </w:r>
            <w:r>
              <w:rPr>
                <w:rFonts w:ascii="Arial"/>
                <w:sz w:val="18"/>
              </w:rPr>
            </w: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46,430,686.12</w:t>
            </w:r>
            <w:r>
              <w:rPr>
                <w:rFonts w:ascii="Arial"/>
                <w:sz w:val="18"/>
              </w:rPr>
            </w:r>
          </w:p>
        </w:tc>
      </w:tr>
      <w:tr>
        <w:trPr>
          <w:trHeight w:val="322" w:hRule="exact"/>
        </w:trPr>
        <w:tc>
          <w:tcPr>
            <w:tcW w:w="197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71" w:type="dxa"/>
            <w:tcBorders>
              <w:top w:val="single" w:sz="4" w:space="0" w:color="5B9BD4"/>
              <w:left w:val="nil" w:sz="6" w:space="0" w:color="auto"/>
              <w:bottom w:val="single" w:sz="4" w:space="0" w:color="5B9BD4"/>
              <w:right w:val="nil" w:sz="6" w:space="0" w:color="auto"/>
            </w:tcBorders>
          </w:tcPr>
          <w:p>
            <w:pP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
        </w:tc>
        <w:tc>
          <w:tcPr>
            <w:tcW w:w="1971" w:type="dxa"/>
            <w:tcBorders>
              <w:top w:val="single" w:sz="4" w:space="0" w:color="5B9BD4"/>
              <w:left w:val="nil" w:sz="6" w:space="0" w:color="auto"/>
              <w:bottom w:val="single" w:sz="4" w:space="0" w:color="5B9BD4"/>
              <w:right w:val="nil" w:sz="6" w:space="0" w:color="auto"/>
            </w:tcBorders>
          </w:tcPr>
          <w:p>
            <w:pP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197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期初余额</w:t>
            </w:r>
          </w:p>
        </w:tc>
        <w:tc>
          <w:tcPr>
            <w:tcW w:w="1971" w:type="dxa"/>
            <w:tcBorders>
              <w:top w:val="single" w:sz="4" w:space="0" w:color="5B9BD4"/>
              <w:left w:val="nil" w:sz="6" w:space="0" w:color="auto"/>
              <w:bottom w:val="single" w:sz="4" w:space="0" w:color="5B9BD4"/>
              <w:right w:val="nil" w:sz="6" w:space="0" w:color="auto"/>
            </w:tcBorders>
          </w:tcPr>
          <w:p>
            <w:pP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
        </w:tc>
        <w:tc>
          <w:tcPr>
            <w:tcW w:w="1971" w:type="dxa"/>
            <w:tcBorders>
              <w:top w:val="single" w:sz="4" w:space="0" w:color="5B9BD4"/>
              <w:left w:val="nil" w:sz="6" w:space="0" w:color="auto"/>
              <w:bottom w:val="single" w:sz="4" w:space="0" w:color="5B9BD4"/>
              <w:right w:val="nil" w:sz="6" w:space="0" w:color="auto"/>
            </w:tcBorders>
          </w:tcPr>
          <w:p>
            <w:pP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197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本期增加金额</w:t>
            </w:r>
          </w:p>
        </w:tc>
        <w:tc>
          <w:tcPr>
            <w:tcW w:w="1971" w:type="dxa"/>
            <w:tcBorders>
              <w:top w:val="single" w:sz="4" w:space="0" w:color="5B9BD4"/>
              <w:left w:val="nil" w:sz="6" w:space="0" w:color="auto"/>
              <w:bottom w:val="single" w:sz="4" w:space="0" w:color="5B9BD4"/>
              <w:right w:val="nil" w:sz="6" w:space="0" w:color="auto"/>
            </w:tcBorders>
          </w:tcPr>
          <w:p>
            <w:pP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
        </w:tc>
        <w:tc>
          <w:tcPr>
            <w:tcW w:w="1971" w:type="dxa"/>
            <w:tcBorders>
              <w:top w:val="single" w:sz="4" w:space="0" w:color="5B9BD4"/>
              <w:left w:val="nil" w:sz="6" w:space="0" w:color="auto"/>
              <w:bottom w:val="single" w:sz="4" w:space="0" w:color="5B9BD4"/>
              <w:right w:val="nil" w:sz="6" w:space="0" w:color="auto"/>
            </w:tcBorders>
          </w:tcPr>
          <w:p>
            <w:pP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197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）计提</w:t>
            </w:r>
          </w:p>
        </w:tc>
        <w:tc>
          <w:tcPr>
            <w:tcW w:w="1971" w:type="dxa"/>
            <w:tcBorders>
              <w:top w:val="single" w:sz="4" w:space="0" w:color="5B9BD4"/>
              <w:left w:val="nil" w:sz="6" w:space="0" w:color="auto"/>
              <w:bottom w:val="single" w:sz="4" w:space="0" w:color="5B9BD4"/>
              <w:right w:val="nil" w:sz="6" w:space="0" w:color="auto"/>
            </w:tcBorders>
          </w:tcPr>
          <w:p>
            <w:pP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
        </w:tc>
        <w:tc>
          <w:tcPr>
            <w:tcW w:w="1971" w:type="dxa"/>
            <w:tcBorders>
              <w:top w:val="single" w:sz="4" w:space="0" w:color="5B9BD4"/>
              <w:left w:val="nil" w:sz="6" w:space="0" w:color="auto"/>
              <w:bottom w:val="single" w:sz="4" w:space="0" w:color="5B9BD4"/>
              <w:right w:val="nil" w:sz="6" w:space="0" w:color="auto"/>
            </w:tcBorders>
          </w:tcPr>
          <w:p>
            <w:pP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197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本期减少金额</w:t>
            </w:r>
          </w:p>
        </w:tc>
        <w:tc>
          <w:tcPr>
            <w:tcW w:w="1971" w:type="dxa"/>
            <w:tcBorders>
              <w:top w:val="single" w:sz="4" w:space="0" w:color="5B9BD4"/>
              <w:left w:val="nil" w:sz="6" w:space="0" w:color="auto"/>
              <w:bottom w:val="single" w:sz="4" w:space="0" w:color="5B9BD4"/>
              <w:right w:val="nil" w:sz="6" w:space="0" w:color="auto"/>
            </w:tcBorders>
          </w:tcPr>
          <w:p>
            <w:pP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
        </w:tc>
        <w:tc>
          <w:tcPr>
            <w:tcW w:w="1971" w:type="dxa"/>
            <w:tcBorders>
              <w:top w:val="single" w:sz="4" w:space="0" w:color="5B9BD4"/>
              <w:left w:val="nil" w:sz="6" w:space="0" w:color="auto"/>
              <w:bottom w:val="single" w:sz="4" w:space="0" w:color="5B9BD4"/>
              <w:right w:val="nil" w:sz="6" w:space="0" w:color="auto"/>
            </w:tcBorders>
          </w:tcPr>
          <w:p>
            <w:pP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3" w:hRule="exact"/>
        </w:trPr>
        <w:tc>
          <w:tcPr>
            <w:tcW w:w="197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w:t>
            </w:r>
          </w:p>
        </w:tc>
        <w:tc>
          <w:tcPr>
            <w:tcW w:w="1971" w:type="dxa"/>
            <w:tcBorders>
              <w:top w:val="single" w:sz="4" w:space="0" w:color="5B9BD4"/>
              <w:left w:val="nil" w:sz="6" w:space="0" w:color="auto"/>
              <w:bottom w:val="single" w:sz="4" w:space="0" w:color="5B9BD4"/>
              <w:right w:val="nil" w:sz="6" w:space="0" w:color="auto"/>
            </w:tcBorders>
          </w:tcPr>
          <w:p>
            <w:pP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
        </w:tc>
        <w:tc>
          <w:tcPr>
            <w:tcW w:w="1971" w:type="dxa"/>
            <w:tcBorders>
              <w:top w:val="single" w:sz="4" w:space="0" w:color="5B9BD4"/>
              <w:left w:val="nil" w:sz="6" w:space="0" w:color="auto"/>
              <w:bottom w:val="single" w:sz="4" w:space="0" w:color="5B9BD4"/>
              <w:right w:val="nil" w:sz="6" w:space="0" w:color="auto"/>
            </w:tcBorders>
          </w:tcPr>
          <w:p>
            <w:pP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197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期末余额</w:t>
            </w:r>
          </w:p>
        </w:tc>
        <w:tc>
          <w:tcPr>
            <w:tcW w:w="1971" w:type="dxa"/>
            <w:tcBorders>
              <w:top w:val="single" w:sz="4" w:space="0" w:color="5B9BD4"/>
              <w:left w:val="nil" w:sz="6" w:space="0" w:color="auto"/>
              <w:bottom w:val="single" w:sz="4" w:space="0" w:color="5B9BD4"/>
              <w:right w:val="nil" w:sz="6" w:space="0" w:color="auto"/>
            </w:tcBorders>
          </w:tcPr>
          <w:p>
            <w:pP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
        </w:tc>
        <w:tc>
          <w:tcPr>
            <w:tcW w:w="1971" w:type="dxa"/>
            <w:tcBorders>
              <w:top w:val="single" w:sz="4" w:space="0" w:color="5B9BD4"/>
              <w:left w:val="nil" w:sz="6" w:space="0" w:color="auto"/>
              <w:bottom w:val="single" w:sz="4" w:space="0" w:color="5B9BD4"/>
              <w:right w:val="nil" w:sz="6" w:space="0" w:color="auto"/>
            </w:tcBorders>
          </w:tcPr>
          <w:p>
            <w:pP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197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71" w:type="dxa"/>
            <w:tcBorders>
              <w:top w:val="single" w:sz="4" w:space="0" w:color="5B9BD4"/>
              <w:left w:val="nil" w:sz="6" w:space="0" w:color="auto"/>
              <w:bottom w:val="single" w:sz="4" w:space="0" w:color="5B9BD4"/>
              <w:right w:val="nil" w:sz="6" w:space="0" w:color="auto"/>
            </w:tcBorders>
          </w:tcPr>
          <w:p>
            <w:pP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
        </w:tc>
        <w:tc>
          <w:tcPr>
            <w:tcW w:w="1971" w:type="dxa"/>
            <w:tcBorders>
              <w:top w:val="single" w:sz="4" w:space="0" w:color="5B9BD4"/>
              <w:left w:val="nil" w:sz="6" w:space="0" w:color="auto"/>
              <w:bottom w:val="single" w:sz="4" w:space="0" w:color="5B9BD4"/>
              <w:right w:val="nil" w:sz="6" w:space="0" w:color="auto"/>
            </w:tcBorders>
          </w:tcPr>
          <w:p>
            <w:pP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197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期末账面价值</w:t>
            </w:r>
          </w:p>
        </w:tc>
        <w:tc>
          <w:tcPr>
            <w:tcW w:w="197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36,662,517.33</w:t>
            </w:r>
            <w:r>
              <w:rPr>
                <w:rFonts w:ascii="Arial"/>
                <w:sz w:val="18"/>
              </w:rPr>
            </w: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
        </w:tc>
        <w:tc>
          <w:tcPr>
            <w:tcW w:w="197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8,020,821.37</w:t>
            </w:r>
            <w:r>
              <w:rPr>
                <w:rFonts w:ascii="Arial"/>
                <w:sz w:val="18"/>
              </w:rPr>
            </w: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44,683,338.70</w:t>
            </w:r>
            <w:r>
              <w:rPr>
                <w:rFonts w:ascii="Arial"/>
                <w:sz w:val="18"/>
              </w:rPr>
            </w:r>
          </w:p>
        </w:tc>
      </w:tr>
      <w:tr>
        <w:trPr>
          <w:trHeight w:val="322" w:hRule="exact"/>
        </w:trPr>
        <w:tc>
          <w:tcPr>
            <w:tcW w:w="197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期初账面价值</w:t>
            </w:r>
          </w:p>
        </w:tc>
        <w:tc>
          <w:tcPr>
            <w:tcW w:w="197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37,157,907.74</w:t>
            </w:r>
            <w:r>
              <w:rPr>
                <w:rFonts w:ascii="Arial"/>
                <w:sz w:val="18"/>
              </w:rPr>
            </w: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
        </w:tc>
        <w:tc>
          <w:tcPr>
            <w:tcW w:w="197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559,611.66</w:t>
            </w:r>
            <w:r>
              <w:rPr>
                <w:rFonts w:ascii="Arial"/>
                <w:sz w:val="18"/>
              </w:rPr>
            </w:r>
          </w:p>
        </w:tc>
        <w:tc>
          <w:tcPr>
            <w:tcW w:w="19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37,717,519.40</w:t>
            </w:r>
            <w:r>
              <w:rPr>
                <w:rFonts w:ascii="Arial"/>
                <w:sz w:val="18"/>
              </w:rPr>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13、开发支出" w:id="315"/>
      <w:bookmarkEnd w:id="315"/>
      <w:r>
        <w:rPr>
          <w:b w:val="0"/>
          <w:bCs w:val="0"/>
        </w:rPr>
      </w:r>
      <w:r>
        <w:rPr>
          <w:rFonts w:ascii="Trebuchet MS" w:hAnsi="Trebuchet MS" w:cs="Trebuchet MS" w:eastAsia="Trebuchet MS" w:hint="default"/>
        </w:rPr>
        <w:t>13</w:t>
      </w:r>
      <w:r>
        <w:rPr/>
        <w:t>、开发支出</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064"/>
        <w:gridCol w:w="1454"/>
        <w:gridCol w:w="1419"/>
        <w:gridCol w:w="708"/>
        <w:gridCol w:w="284"/>
        <w:gridCol w:w="1417"/>
        <w:gridCol w:w="1276"/>
        <w:gridCol w:w="425"/>
        <w:gridCol w:w="1520"/>
      </w:tblGrid>
      <w:tr>
        <w:trPr>
          <w:trHeight w:val="323" w:hRule="exact"/>
        </w:trPr>
        <w:tc>
          <w:tcPr>
            <w:tcW w:w="1064" w:type="dxa"/>
            <w:tcBorders>
              <w:top w:val="single" w:sz="4" w:space="0" w:color="5B9BD4"/>
              <w:left w:val="nil" w:sz="6" w:space="0" w:color="auto"/>
              <w:bottom w:val="nil" w:sz="6" w:space="0" w:color="auto"/>
              <w:right w:val="nil" w:sz="6" w:space="0" w:color="auto"/>
            </w:tcBorders>
            <w:shd w:val="clear" w:color="auto" w:fill="DEEAF6"/>
          </w:tcPr>
          <w:p>
            <w:pPr/>
          </w:p>
        </w:tc>
        <w:tc>
          <w:tcPr>
            <w:tcW w:w="1454" w:type="dxa"/>
            <w:tcBorders>
              <w:top w:val="single" w:sz="4" w:space="0" w:color="5B9BD4"/>
              <w:left w:val="nil" w:sz="6" w:space="0" w:color="auto"/>
              <w:bottom w:val="nil" w:sz="6" w:space="0" w:color="auto"/>
              <w:right w:val="nil" w:sz="6" w:space="0" w:color="auto"/>
            </w:tcBorders>
            <w:shd w:val="clear" w:color="auto" w:fill="DEEAF6"/>
          </w:tcPr>
          <w:p>
            <w:pPr/>
          </w:p>
        </w:tc>
        <w:tc>
          <w:tcPr>
            <w:tcW w:w="2127"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66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84" w:type="dxa"/>
            <w:tcBorders>
              <w:top w:val="single" w:sz="4" w:space="0" w:color="5B9BD4"/>
              <w:left w:val="nil" w:sz="6" w:space="0" w:color="auto"/>
              <w:bottom w:val="single" w:sz="4" w:space="0" w:color="5B9BD4"/>
              <w:right w:val="nil" w:sz="6" w:space="0" w:color="auto"/>
            </w:tcBorders>
            <w:shd w:val="clear" w:color="auto" w:fill="DEEAF6"/>
          </w:tcPr>
          <w:p>
            <w:pPr/>
          </w:p>
        </w:tc>
        <w:tc>
          <w:tcPr>
            <w:tcW w:w="2693"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1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425" w:type="dxa"/>
            <w:tcBorders>
              <w:top w:val="single" w:sz="4" w:space="0" w:color="5B9BD4"/>
              <w:left w:val="nil" w:sz="6" w:space="0" w:color="auto"/>
              <w:bottom w:val="single" w:sz="4" w:space="0" w:color="5B9BD4"/>
              <w:right w:val="nil" w:sz="6" w:space="0" w:color="auto"/>
            </w:tcBorders>
            <w:shd w:val="clear" w:color="auto" w:fill="DEEAF6"/>
          </w:tcPr>
          <w:p>
            <w:pPr/>
          </w:p>
        </w:tc>
        <w:tc>
          <w:tcPr>
            <w:tcW w:w="1520" w:type="dxa"/>
            <w:tcBorders>
              <w:top w:val="single" w:sz="4" w:space="0" w:color="5B9BD4"/>
              <w:left w:val="nil" w:sz="6" w:space="0" w:color="auto"/>
              <w:bottom w:val="nil" w:sz="6" w:space="0" w:color="auto"/>
              <w:right w:val="nil" w:sz="6" w:space="0" w:color="auto"/>
            </w:tcBorders>
            <w:shd w:val="clear" w:color="auto" w:fill="DEEAF6"/>
          </w:tcPr>
          <w:p>
            <w:pPr/>
          </w:p>
        </w:tc>
      </w:tr>
      <w:tr>
        <w:trPr>
          <w:trHeight w:val="247" w:hRule="exact"/>
        </w:trPr>
        <w:tc>
          <w:tcPr>
            <w:tcW w:w="1064"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5"/>
              <w:ind w:left="35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54"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5"/>
              <w:ind w:left="3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9" w:type="dxa"/>
            <w:tcBorders>
              <w:top w:val="single" w:sz="4" w:space="0" w:color="5B9BD4"/>
              <w:left w:val="nil" w:sz="6" w:space="0" w:color="auto"/>
              <w:bottom w:val="nil" w:sz="6" w:space="0" w:color="auto"/>
              <w:right w:val="nil" w:sz="6" w:space="0" w:color="auto"/>
            </w:tcBorders>
            <w:shd w:val="clear" w:color="auto" w:fill="DEEAF6"/>
          </w:tcPr>
          <w:p>
            <w:pPr/>
          </w:p>
        </w:tc>
        <w:tc>
          <w:tcPr>
            <w:tcW w:w="708" w:type="dxa"/>
            <w:tcBorders>
              <w:top w:val="single" w:sz="4" w:space="0" w:color="5B9BD4"/>
              <w:left w:val="nil" w:sz="6" w:space="0" w:color="auto"/>
              <w:bottom w:val="nil" w:sz="6" w:space="0" w:color="auto"/>
              <w:right w:val="nil" w:sz="6" w:space="0" w:color="auto"/>
            </w:tcBorders>
          </w:tcPr>
          <w:p>
            <w:pPr/>
          </w:p>
        </w:tc>
        <w:tc>
          <w:tcPr>
            <w:tcW w:w="284" w:type="dxa"/>
            <w:vMerge w:val="restart"/>
            <w:tcBorders>
              <w:top w:val="single" w:sz="4" w:space="0" w:color="5B9BD4"/>
              <w:left w:val="nil" w:sz="6" w:space="0" w:color="auto"/>
              <w:right w:val="nil" w:sz="6" w:space="0" w:color="auto"/>
            </w:tcBorders>
          </w:tcPr>
          <w:p>
            <w:pPr>
              <w:pStyle w:val="TableParagraph"/>
              <w:spacing w:line="622" w:lineRule="exact"/>
              <w:ind w:right="-40"/>
              <w:jc w:val="left"/>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180159" cy="395287"/>
                  <wp:effectExtent l="0" t="0" r="0" b="0"/>
                  <wp:docPr id="7" name="image13.png" descr=""/>
                  <wp:cNvGraphicFramePr>
                    <a:graphicFrameLocks noChangeAspect="1"/>
                  </wp:cNvGraphicFramePr>
                  <a:graphic>
                    <a:graphicData uri="http://schemas.openxmlformats.org/drawingml/2006/picture">
                      <pic:pic>
                        <pic:nvPicPr>
                          <pic:cNvPr id="8" name="image13.png"/>
                          <pic:cNvPicPr/>
                        </pic:nvPicPr>
                        <pic:blipFill>
                          <a:blip r:embed="rId51" cstate="print"/>
                          <a:stretch>
                            <a:fillRect/>
                          </a:stretch>
                        </pic:blipFill>
                        <pic:spPr>
                          <a:xfrm>
                            <a:off x="0" y="0"/>
                            <a:ext cx="180159" cy="395287"/>
                          </a:xfrm>
                          <a:prstGeom prst="rect">
                            <a:avLst/>
                          </a:prstGeom>
                        </pic:spPr>
                      </pic:pic>
                    </a:graphicData>
                  </a:graphic>
                </wp:inline>
              </w:drawing>
            </w:r>
            <w:r>
              <w:rPr>
                <w:rFonts w:ascii="宋体" w:hAnsi="宋体" w:cs="宋体" w:eastAsia="宋体" w:hint="default"/>
                <w:position w:val="-11"/>
                <w:sz w:val="20"/>
                <w:szCs w:val="20"/>
              </w:rPr>
            </w:r>
          </w:p>
        </w:tc>
        <w:tc>
          <w:tcPr>
            <w:tcW w:w="1417" w:type="dxa"/>
            <w:vMerge w:val="restart"/>
            <w:tcBorders>
              <w:top w:val="single" w:sz="4" w:space="0" w:color="5B9BD4"/>
              <w:left w:val="nil" w:sz="6" w:space="0" w:color="auto"/>
              <w:right w:val="nil" w:sz="6" w:space="0" w:color="auto"/>
            </w:tcBorders>
          </w:tcPr>
          <w:p>
            <w:pPr>
              <w:pStyle w:val="TableParagraph"/>
              <w:spacing w:line="316" w:lineRule="auto" w:before="5"/>
              <w:ind w:left="618" w:right="167" w:hanging="450"/>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276"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5"/>
              <w:ind w:left="546" w:right="189"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425" w:type="dxa"/>
            <w:vMerge w:val="restart"/>
            <w:tcBorders>
              <w:top w:val="single" w:sz="4" w:space="0" w:color="5B9BD4"/>
              <w:left w:val="nil" w:sz="6" w:space="0" w:color="auto"/>
              <w:right w:val="nil" w:sz="6" w:space="0" w:color="auto"/>
            </w:tcBorders>
          </w:tcPr>
          <w:p>
            <w:pPr/>
          </w:p>
        </w:tc>
        <w:tc>
          <w:tcPr>
            <w:tcW w:w="1520" w:type="dxa"/>
            <w:vMerge w:val="restart"/>
            <w:tcBorders>
              <w:top w:val="nil" w:sz="6" w:space="0" w:color="auto"/>
              <w:left w:val="nil" w:sz="6" w:space="0" w:color="auto"/>
              <w:right w:val="nil" w:sz="6" w:space="0" w:color="auto"/>
            </w:tcBorders>
            <w:shd w:val="clear" w:color="auto" w:fill="DEEAF6"/>
          </w:tcPr>
          <w:p>
            <w:pPr>
              <w:pStyle w:val="TableParagraph"/>
              <w:spacing w:line="240" w:lineRule="auto" w:before="5"/>
              <w:ind w:left="4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87" w:hRule="exact"/>
        </w:trPr>
        <w:tc>
          <w:tcPr>
            <w:tcW w:w="1064" w:type="dxa"/>
            <w:tcBorders>
              <w:top w:val="nil" w:sz="6" w:space="0" w:color="auto"/>
              <w:left w:val="nil" w:sz="6" w:space="0" w:color="auto"/>
              <w:bottom w:val="single" w:sz="4" w:space="0" w:color="5B9BD4"/>
              <w:right w:val="nil" w:sz="6" w:space="0" w:color="auto"/>
            </w:tcBorders>
            <w:shd w:val="clear" w:color="auto" w:fill="DEEAF6"/>
          </w:tcPr>
          <w:p>
            <w:pPr/>
          </w:p>
        </w:tc>
        <w:tc>
          <w:tcPr>
            <w:tcW w:w="1454" w:type="dxa"/>
            <w:tcBorders>
              <w:top w:val="nil" w:sz="6" w:space="0" w:color="auto"/>
              <w:left w:val="nil" w:sz="6" w:space="0" w:color="auto"/>
              <w:bottom w:val="single" w:sz="4" w:space="0" w:color="5B9BD4"/>
              <w:right w:val="nil" w:sz="6" w:space="0" w:color="auto"/>
            </w:tcBorders>
            <w:shd w:val="clear" w:color="auto" w:fill="DEEAF6"/>
          </w:tcPr>
          <w:p>
            <w:pPr/>
          </w:p>
        </w:tc>
        <w:tc>
          <w:tcPr>
            <w:tcW w:w="1419"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156" w:lineRule="exact"/>
              <w:ind w:left="169"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708" w:type="dxa"/>
            <w:tcBorders>
              <w:top w:val="nil" w:sz="6" w:space="0" w:color="auto"/>
              <w:left w:val="nil" w:sz="6" w:space="0" w:color="auto"/>
              <w:bottom w:val="single" w:sz="4" w:space="0" w:color="5B9BD4"/>
              <w:right w:val="nil" w:sz="6" w:space="0" w:color="auto"/>
            </w:tcBorders>
          </w:tcPr>
          <w:p>
            <w:pPr>
              <w:pStyle w:val="TableParagraph"/>
              <w:spacing w:line="156" w:lineRule="exact"/>
              <w:ind w:left="17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4" w:type="dxa"/>
            <w:vMerge/>
            <w:tcBorders>
              <w:left w:val="nil" w:sz="6" w:space="0" w:color="auto"/>
              <w:bottom w:val="single" w:sz="4" w:space="0" w:color="5B9BD4"/>
              <w:right w:val="nil" w:sz="6" w:space="0" w:color="auto"/>
            </w:tcBorders>
          </w:tcPr>
          <w:p>
            <w:pPr/>
          </w:p>
        </w:tc>
        <w:tc>
          <w:tcPr>
            <w:tcW w:w="1417" w:type="dxa"/>
            <w:vMerge/>
            <w:tcBorders>
              <w:left w:val="nil" w:sz="6" w:space="0" w:color="auto"/>
              <w:bottom w:val="single" w:sz="4" w:space="0" w:color="5B9BD4"/>
              <w:right w:val="nil" w:sz="6" w:space="0" w:color="auto"/>
            </w:tcBorders>
          </w:tcPr>
          <w:p>
            <w:pPr/>
          </w:p>
        </w:tc>
        <w:tc>
          <w:tcPr>
            <w:tcW w:w="1276" w:type="dxa"/>
            <w:vMerge/>
            <w:tcBorders>
              <w:left w:val="nil" w:sz="6" w:space="0" w:color="auto"/>
              <w:bottom w:val="single" w:sz="4" w:space="0" w:color="5B9BD4"/>
              <w:right w:val="nil" w:sz="6" w:space="0" w:color="auto"/>
            </w:tcBorders>
            <w:shd w:val="clear" w:color="auto" w:fill="DEEAF6"/>
          </w:tcPr>
          <w:p>
            <w:pPr/>
          </w:p>
        </w:tc>
        <w:tc>
          <w:tcPr>
            <w:tcW w:w="425" w:type="dxa"/>
            <w:vMerge/>
            <w:tcBorders>
              <w:left w:val="nil" w:sz="6" w:space="0" w:color="auto"/>
              <w:bottom w:val="single" w:sz="4" w:space="0" w:color="5B9BD4"/>
              <w:right w:val="nil" w:sz="6" w:space="0" w:color="auto"/>
            </w:tcBorders>
          </w:tcPr>
          <w:p>
            <w:pPr/>
          </w:p>
        </w:tc>
        <w:tc>
          <w:tcPr>
            <w:tcW w:w="1520" w:type="dxa"/>
            <w:vMerge/>
            <w:tcBorders>
              <w:left w:val="nil" w:sz="6" w:space="0" w:color="auto"/>
              <w:bottom w:val="single" w:sz="4" w:space="0" w:color="5B9BD4"/>
              <w:right w:val="nil" w:sz="6" w:space="0" w:color="auto"/>
            </w:tcBorders>
            <w:shd w:val="clear" w:color="auto" w:fill="DEEAF6"/>
          </w:tcPr>
          <w:p>
            <w:pPr/>
          </w:p>
        </w:tc>
      </w:tr>
      <w:tr>
        <w:trPr>
          <w:trHeight w:val="946" w:hRule="exact"/>
        </w:trPr>
        <w:tc>
          <w:tcPr>
            <w:tcW w:w="106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233"/>
              <w:jc w:val="both"/>
              <w:rPr>
                <w:rFonts w:ascii="宋体" w:hAnsi="宋体" w:cs="宋体" w:eastAsia="宋体" w:hint="default"/>
                <w:sz w:val="18"/>
                <w:szCs w:val="18"/>
              </w:rPr>
            </w:pPr>
            <w:r>
              <w:rPr>
                <w:rFonts w:ascii="宋体" w:hAnsi="宋体" w:cs="宋体" w:eastAsia="宋体" w:hint="default"/>
                <w:sz w:val="18"/>
                <w:szCs w:val="18"/>
              </w:rPr>
              <w:t>炎黄新星 电子商务 系统</w:t>
            </w:r>
          </w:p>
        </w:tc>
        <w:tc>
          <w:tcPr>
            <w:tcW w:w="1454"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6"/>
              <w:jc w:val="right"/>
              <w:rPr>
                <w:rFonts w:ascii="Arial" w:hAnsi="Arial" w:cs="Arial" w:eastAsia="Arial" w:hint="default"/>
                <w:sz w:val="18"/>
                <w:szCs w:val="18"/>
              </w:rPr>
            </w:pPr>
            <w:r>
              <w:rPr>
                <w:rFonts w:ascii="Arial"/>
                <w:w w:val="95"/>
                <w:sz w:val="18"/>
              </w:rPr>
              <w:t>251,282.04</w:t>
            </w:r>
            <w:r>
              <w:rPr>
                <w:rFonts w:ascii="Arial"/>
                <w:sz w:val="18"/>
              </w:rPr>
            </w:r>
          </w:p>
        </w:tc>
        <w:tc>
          <w:tcPr>
            <w:tcW w:w="1419" w:type="dxa"/>
            <w:tcBorders>
              <w:top w:val="single" w:sz="4" w:space="0" w:color="5B9BD4"/>
              <w:left w:val="nil" w:sz="6" w:space="0" w:color="auto"/>
              <w:bottom w:val="single" w:sz="4" w:space="0" w:color="5B9BD4"/>
              <w:right w:val="nil" w:sz="6" w:space="0" w:color="auto"/>
            </w:tcBorders>
            <w:shd w:val="clear" w:color="auto" w:fill="DEEAF6"/>
          </w:tcPr>
          <w:p>
            <w:pPr/>
          </w:p>
        </w:tc>
        <w:tc>
          <w:tcPr>
            <w:tcW w:w="708" w:type="dxa"/>
            <w:tcBorders>
              <w:top w:val="single" w:sz="4" w:space="0" w:color="5B9BD4"/>
              <w:left w:val="nil" w:sz="6" w:space="0" w:color="auto"/>
              <w:bottom w:val="single" w:sz="4" w:space="0" w:color="5B9BD4"/>
              <w:right w:val="nil" w:sz="6" w:space="0" w:color="auto"/>
            </w:tcBorders>
          </w:tcPr>
          <w:p>
            <w:pPr/>
          </w:p>
        </w:tc>
        <w:tc>
          <w:tcPr>
            <w:tcW w:w="284" w:type="dxa"/>
            <w:tcBorders>
              <w:top w:val="single" w:sz="4" w:space="0" w:color="5B9BD4"/>
              <w:left w:val="nil" w:sz="6" w:space="0" w:color="auto"/>
              <w:bottom w:val="single" w:sz="4" w:space="0" w:color="5B9BD4"/>
              <w:right w:val="nil" w:sz="6" w:space="0" w:color="auto"/>
            </w:tcBorders>
            <w:shd w:val="clear" w:color="auto" w:fill="DEEAF6"/>
          </w:tcPr>
          <w:p>
            <w:pPr/>
          </w:p>
        </w:tc>
        <w:tc>
          <w:tcPr>
            <w:tcW w:w="141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6"/>
              <w:jc w:val="right"/>
              <w:rPr>
                <w:rFonts w:ascii="Arial" w:hAnsi="Arial" w:cs="Arial" w:eastAsia="Arial" w:hint="default"/>
                <w:sz w:val="18"/>
                <w:szCs w:val="18"/>
              </w:rPr>
            </w:pPr>
            <w:r>
              <w:rPr>
                <w:rFonts w:ascii="Arial"/>
                <w:w w:val="95"/>
                <w:sz w:val="18"/>
              </w:rPr>
              <w:t>251,282.04</w:t>
            </w:r>
            <w:r>
              <w:rPr>
                <w:rFonts w:ascii="Arial"/>
                <w:sz w:val="18"/>
              </w:rPr>
            </w:r>
          </w:p>
        </w:tc>
        <w:tc>
          <w:tcPr>
            <w:tcW w:w="1276" w:type="dxa"/>
            <w:tcBorders>
              <w:top w:val="single" w:sz="4" w:space="0" w:color="5B9BD4"/>
              <w:left w:val="nil" w:sz="6" w:space="0" w:color="auto"/>
              <w:bottom w:val="single" w:sz="4" w:space="0" w:color="5B9BD4"/>
              <w:right w:val="nil" w:sz="6" w:space="0" w:color="auto"/>
            </w:tcBorders>
            <w:shd w:val="clear" w:color="auto" w:fill="DEEAF6"/>
          </w:tcPr>
          <w:p>
            <w:pPr/>
          </w:p>
        </w:tc>
        <w:tc>
          <w:tcPr>
            <w:tcW w:w="425" w:type="dxa"/>
            <w:tcBorders>
              <w:top w:val="single" w:sz="4" w:space="0" w:color="5B9BD4"/>
              <w:left w:val="nil" w:sz="6" w:space="0" w:color="auto"/>
              <w:bottom w:val="single" w:sz="4" w:space="0" w:color="5B9BD4"/>
              <w:right w:val="nil" w:sz="6" w:space="0" w:color="auto"/>
            </w:tcBorders>
          </w:tcPr>
          <w:p>
            <w:pPr/>
          </w:p>
        </w:tc>
        <w:tc>
          <w:tcPr>
            <w:tcW w:w="1520"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946" w:hRule="exact"/>
        </w:trPr>
        <w:tc>
          <w:tcPr>
            <w:tcW w:w="106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233"/>
              <w:jc w:val="both"/>
              <w:rPr>
                <w:rFonts w:ascii="宋体" w:hAnsi="宋体" w:cs="宋体" w:eastAsia="宋体" w:hint="default"/>
                <w:sz w:val="18"/>
                <w:szCs w:val="18"/>
              </w:rPr>
            </w:pPr>
            <w:r>
              <w:rPr>
                <w:rFonts w:ascii="宋体" w:hAnsi="宋体" w:cs="宋体" w:eastAsia="宋体" w:hint="default"/>
                <w:sz w:val="18"/>
                <w:szCs w:val="18"/>
              </w:rPr>
              <w:t>爱施德大 学网络学 院</w:t>
            </w:r>
          </w:p>
        </w:tc>
        <w:tc>
          <w:tcPr>
            <w:tcW w:w="1454"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6"/>
              <w:jc w:val="right"/>
              <w:rPr>
                <w:rFonts w:ascii="Arial" w:hAnsi="Arial" w:cs="Arial" w:eastAsia="Arial" w:hint="default"/>
                <w:sz w:val="18"/>
                <w:szCs w:val="18"/>
              </w:rPr>
            </w:pPr>
            <w:r>
              <w:rPr>
                <w:rFonts w:ascii="Arial"/>
                <w:w w:val="95"/>
                <w:sz w:val="18"/>
              </w:rPr>
              <w:t>213,675.22</w:t>
            </w:r>
            <w:r>
              <w:rPr>
                <w:rFonts w:ascii="Arial"/>
                <w:sz w:val="18"/>
              </w:rPr>
            </w:r>
          </w:p>
        </w:tc>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6"/>
              <w:jc w:val="right"/>
              <w:rPr>
                <w:rFonts w:ascii="Arial" w:hAnsi="Arial" w:cs="Arial" w:eastAsia="Arial" w:hint="default"/>
                <w:sz w:val="18"/>
                <w:szCs w:val="18"/>
              </w:rPr>
            </w:pPr>
            <w:r>
              <w:rPr>
                <w:rFonts w:ascii="Arial"/>
                <w:w w:val="95"/>
                <w:sz w:val="18"/>
              </w:rPr>
              <w:t>92,307.69</w:t>
            </w:r>
            <w:r>
              <w:rPr>
                <w:rFonts w:ascii="Arial"/>
                <w:sz w:val="18"/>
              </w:rPr>
            </w:r>
          </w:p>
        </w:tc>
        <w:tc>
          <w:tcPr>
            <w:tcW w:w="708" w:type="dxa"/>
            <w:tcBorders>
              <w:top w:val="single" w:sz="4" w:space="0" w:color="5B9BD4"/>
              <w:left w:val="nil" w:sz="6" w:space="0" w:color="auto"/>
              <w:bottom w:val="single" w:sz="4" w:space="0" w:color="5B9BD4"/>
              <w:right w:val="nil" w:sz="6" w:space="0" w:color="auto"/>
            </w:tcBorders>
          </w:tcPr>
          <w:p>
            <w:pPr/>
          </w:p>
        </w:tc>
        <w:tc>
          <w:tcPr>
            <w:tcW w:w="284" w:type="dxa"/>
            <w:tcBorders>
              <w:top w:val="single" w:sz="4" w:space="0" w:color="5B9BD4"/>
              <w:left w:val="nil" w:sz="6" w:space="0" w:color="auto"/>
              <w:bottom w:val="single" w:sz="4" w:space="0" w:color="5B9BD4"/>
              <w:right w:val="nil" w:sz="6" w:space="0" w:color="auto"/>
            </w:tcBorders>
            <w:shd w:val="clear" w:color="auto" w:fill="DEEAF6"/>
          </w:tcPr>
          <w:p>
            <w:pPr/>
          </w:p>
        </w:tc>
        <w:tc>
          <w:tcPr>
            <w:tcW w:w="141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6"/>
              <w:jc w:val="right"/>
              <w:rPr>
                <w:rFonts w:ascii="Arial" w:hAnsi="Arial" w:cs="Arial" w:eastAsia="Arial" w:hint="default"/>
                <w:sz w:val="18"/>
                <w:szCs w:val="18"/>
              </w:rPr>
            </w:pPr>
            <w:r>
              <w:rPr>
                <w:rFonts w:ascii="Arial"/>
                <w:w w:val="95"/>
                <w:sz w:val="18"/>
              </w:rPr>
              <w:t>305,982.91</w:t>
            </w:r>
            <w:r>
              <w:rPr>
                <w:rFonts w:ascii="Arial"/>
                <w:sz w:val="18"/>
              </w:rPr>
            </w:r>
          </w:p>
        </w:tc>
        <w:tc>
          <w:tcPr>
            <w:tcW w:w="1276" w:type="dxa"/>
            <w:tcBorders>
              <w:top w:val="single" w:sz="4" w:space="0" w:color="5B9BD4"/>
              <w:left w:val="nil" w:sz="6" w:space="0" w:color="auto"/>
              <w:bottom w:val="single" w:sz="4" w:space="0" w:color="5B9BD4"/>
              <w:right w:val="nil" w:sz="6" w:space="0" w:color="auto"/>
            </w:tcBorders>
            <w:shd w:val="clear" w:color="auto" w:fill="DEEAF6"/>
          </w:tcPr>
          <w:p>
            <w:pPr/>
          </w:p>
        </w:tc>
        <w:tc>
          <w:tcPr>
            <w:tcW w:w="425" w:type="dxa"/>
            <w:tcBorders>
              <w:top w:val="single" w:sz="4" w:space="0" w:color="5B9BD4"/>
              <w:left w:val="nil" w:sz="6" w:space="0" w:color="auto"/>
              <w:bottom w:val="single" w:sz="4" w:space="0" w:color="5B9BD4"/>
              <w:right w:val="nil" w:sz="6" w:space="0" w:color="auto"/>
            </w:tcBorders>
          </w:tcPr>
          <w:p>
            <w:pPr/>
          </w:p>
        </w:tc>
        <w:tc>
          <w:tcPr>
            <w:tcW w:w="1520"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5" w:hRule="exact"/>
        </w:trPr>
        <w:tc>
          <w:tcPr>
            <w:tcW w:w="106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233"/>
              <w:jc w:val="left"/>
              <w:rPr>
                <w:rFonts w:ascii="宋体" w:hAnsi="宋体" w:cs="宋体" w:eastAsia="宋体" w:hint="default"/>
                <w:sz w:val="18"/>
                <w:szCs w:val="18"/>
              </w:rPr>
            </w:pPr>
            <w:r>
              <w:rPr>
                <w:rFonts w:ascii="宋体" w:hAnsi="宋体" w:cs="宋体" w:eastAsia="宋体" w:hint="default"/>
                <w:sz w:val="18"/>
                <w:szCs w:val="18"/>
              </w:rPr>
              <w:t>客户服务 系统</w:t>
            </w:r>
          </w:p>
        </w:tc>
        <w:tc>
          <w:tcPr>
            <w:tcW w:w="1454"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788,671.76</w:t>
            </w:r>
            <w:r>
              <w:rPr>
                <w:rFonts w:ascii="Arial"/>
                <w:sz w:val="18"/>
              </w:rPr>
            </w:r>
          </w:p>
        </w:tc>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185,520.94</w:t>
            </w:r>
            <w:r>
              <w:rPr>
                <w:rFonts w:ascii="Arial"/>
                <w:sz w:val="18"/>
              </w:rPr>
            </w:r>
          </w:p>
        </w:tc>
        <w:tc>
          <w:tcPr>
            <w:tcW w:w="2410" w:type="dxa"/>
            <w:gridSpan w:val="3"/>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403" w:right="0"/>
              <w:jc w:val="left"/>
              <w:rPr>
                <w:rFonts w:ascii="Arial" w:hAnsi="Arial" w:cs="Arial" w:eastAsia="Arial" w:hint="default"/>
                <w:sz w:val="18"/>
                <w:szCs w:val="18"/>
              </w:rPr>
            </w:pPr>
            <w:r>
              <w:rPr>
                <w:rFonts w:ascii="Arial"/>
                <w:sz w:val="18"/>
              </w:rPr>
              <w:t>974,192.70</w:t>
            </w:r>
          </w:p>
        </w:tc>
        <w:tc>
          <w:tcPr>
            <w:tcW w:w="1276" w:type="dxa"/>
            <w:tcBorders>
              <w:top w:val="single" w:sz="4" w:space="0" w:color="5B9BD4"/>
              <w:left w:val="nil" w:sz="6" w:space="0" w:color="auto"/>
              <w:bottom w:val="single" w:sz="4" w:space="0" w:color="5B9BD4"/>
              <w:right w:val="nil" w:sz="6" w:space="0" w:color="auto"/>
            </w:tcBorders>
            <w:shd w:val="clear" w:color="auto" w:fill="DEEAF6"/>
          </w:tcPr>
          <w:p>
            <w:pPr/>
          </w:p>
        </w:tc>
        <w:tc>
          <w:tcPr>
            <w:tcW w:w="425" w:type="dxa"/>
            <w:tcBorders>
              <w:top w:val="single" w:sz="4" w:space="0" w:color="5B9BD4"/>
              <w:left w:val="nil" w:sz="6" w:space="0" w:color="auto"/>
              <w:bottom w:val="single" w:sz="4" w:space="0" w:color="5B9BD4"/>
              <w:right w:val="nil" w:sz="6" w:space="0" w:color="auto"/>
            </w:tcBorders>
          </w:tcPr>
          <w:p>
            <w:pPr/>
          </w:p>
        </w:tc>
        <w:tc>
          <w:tcPr>
            <w:tcW w:w="1520"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106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手机游戏</w:t>
            </w:r>
          </w:p>
        </w:tc>
        <w:tc>
          <w:tcPr>
            <w:tcW w:w="145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31,137,287.49</w:t>
            </w:r>
            <w:r>
              <w:rPr>
                <w:rFonts w:ascii="Arial"/>
                <w:sz w:val="18"/>
              </w:rPr>
            </w:r>
          </w:p>
        </w:tc>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27,417,480.55</w:t>
            </w:r>
            <w:r>
              <w:rPr>
                <w:rFonts w:ascii="Arial"/>
                <w:sz w:val="18"/>
              </w:rPr>
            </w:r>
          </w:p>
        </w:tc>
        <w:tc>
          <w:tcPr>
            <w:tcW w:w="708" w:type="dxa"/>
            <w:tcBorders>
              <w:top w:val="single" w:sz="4" w:space="0" w:color="5B9BD4"/>
              <w:left w:val="nil" w:sz="6" w:space="0" w:color="auto"/>
              <w:bottom w:val="single" w:sz="4" w:space="0" w:color="5B9BD4"/>
              <w:right w:val="nil" w:sz="6" w:space="0" w:color="auto"/>
            </w:tcBorders>
          </w:tcPr>
          <w:p>
            <w:pPr/>
          </w:p>
        </w:tc>
        <w:tc>
          <w:tcPr>
            <w:tcW w:w="284" w:type="dxa"/>
            <w:tcBorders>
              <w:top w:val="single" w:sz="4" w:space="0" w:color="5B9BD4"/>
              <w:left w:val="nil" w:sz="6" w:space="0" w:color="auto"/>
              <w:bottom w:val="single" w:sz="4" w:space="0" w:color="5B9BD4"/>
              <w:right w:val="nil" w:sz="6" w:space="0" w:color="auto"/>
            </w:tcBorders>
            <w:shd w:val="clear" w:color="auto" w:fill="DEEAF6"/>
          </w:tcPr>
          <w:p>
            <w:pPr/>
          </w:p>
        </w:tc>
        <w:tc>
          <w:tcPr>
            <w:tcW w:w="1417"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16,112,315.80</w:t>
            </w:r>
            <w:r>
              <w:rPr>
                <w:rFonts w:ascii="Arial"/>
                <w:sz w:val="18"/>
              </w:rPr>
            </w:r>
          </w:p>
        </w:tc>
        <w:tc>
          <w:tcPr>
            <w:tcW w:w="127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7,697,861.69</w:t>
            </w:r>
            <w:r>
              <w:rPr>
                <w:rFonts w:ascii="Arial"/>
                <w:sz w:val="18"/>
              </w:rPr>
            </w:r>
          </w:p>
        </w:tc>
        <w:tc>
          <w:tcPr>
            <w:tcW w:w="425" w:type="dxa"/>
            <w:tcBorders>
              <w:top w:val="single" w:sz="4" w:space="0" w:color="5B9BD4"/>
              <w:left w:val="nil" w:sz="6" w:space="0" w:color="auto"/>
              <w:bottom w:val="single" w:sz="4" w:space="0" w:color="5B9BD4"/>
              <w:right w:val="nil" w:sz="6" w:space="0" w:color="auto"/>
            </w:tcBorders>
          </w:tcPr>
          <w:p>
            <w:pPr/>
          </w:p>
        </w:tc>
        <w:tc>
          <w:tcPr>
            <w:tcW w:w="152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34,744,590.55</w:t>
            </w:r>
            <w:r>
              <w:rPr>
                <w:rFonts w:ascii="Arial"/>
                <w:sz w:val="18"/>
              </w:rPr>
            </w:r>
          </w:p>
        </w:tc>
      </w:tr>
      <w:tr>
        <w:trPr>
          <w:trHeight w:val="323" w:hRule="exact"/>
        </w:trPr>
        <w:tc>
          <w:tcPr>
            <w:tcW w:w="106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32,390,916.51</w:t>
            </w:r>
            <w:r>
              <w:rPr>
                <w:rFonts w:ascii="Arial"/>
                <w:sz w:val="18"/>
              </w:rPr>
            </w:r>
          </w:p>
        </w:tc>
        <w:tc>
          <w:tcPr>
            <w:tcW w:w="14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27,695,309.18</w:t>
            </w:r>
            <w:r>
              <w:rPr>
                <w:rFonts w:ascii="Arial"/>
                <w:sz w:val="18"/>
              </w:rPr>
            </w:r>
          </w:p>
        </w:tc>
        <w:tc>
          <w:tcPr>
            <w:tcW w:w="708" w:type="dxa"/>
            <w:tcBorders>
              <w:top w:val="single" w:sz="4" w:space="0" w:color="5B9BD4"/>
              <w:left w:val="nil" w:sz="6" w:space="0" w:color="auto"/>
              <w:bottom w:val="single" w:sz="4" w:space="0" w:color="5B9BD4"/>
              <w:right w:val="nil" w:sz="6" w:space="0" w:color="auto"/>
            </w:tcBorders>
          </w:tcPr>
          <w:p>
            <w:pPr/>
          </w:p>
        </w:tc>
        <w:tc>
          <w:tcPr>
            <w:tcW w:w="284" w:type="dxa"/>
            <w:tcBorders>
              <w:top w:val="single" w:sz="4" w:space="0" w:color="5B9BD4"/>
              <w:left w:val="nil" w:sz="6" w:space="0" w:color="auto"/>
              <w:bottom w:val="single" w:sz="4" w:space="0" w:color="5B9BD4"/>
              <w:right w:val="nil" w:sz="6" w:space="0" w:color="auto"/>
            </w:tcBorders>
            <w:shd w:val="clear" w:color="auto" w:fill="DEEAF6"/>
          </w:tcPr>
          <w:p>
            <w:pPr/>
          </w:p>
        </w:tc>
        <w:tc>
          <w:tcPr>
            <w:tcW w:w="1417"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17,643,773.45</w:t>
            </w:r>
            <w:r>
              <w:rPr>
                <w:rFonts w:ascii="Arial"/>
                <w:sz w:val="18"/>
              </w:rPr>
            </w:r>
          </w:p>
        </w:tc>
        <w:tc>
          <w:tcPr>
            <w:tcW w:w="127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7,697,861.69</w:t>
            </w:r>
            <w:r>
              <w:rPr>
                <w:rFonts w:ascii="Arial"/>
                <w:sz w:val="18"/>
              </w:rPr>
            </w:r>
          </w:p>
        </w:tc>
        <w:tc>
          <w:tcPr>
            <w:tcW w:w="425" w:type="dxa"/>
            <w:tcBorders>
              <w:top w:val="single" w:sz="4" w:space="0" w:color="5B9BD4"/>
              <w:left w:val="nil" w:sz="6" w:space="0" w:color="auto"/>
              <w:bottom w:val="single" w:sz="4" w:space="0" w:color="5B9BD4"/>
              <w:right w:val="nil" w:sz="6" w:space="0" w:color="auto"/>
            </w:tcBorders>
          </w:tcPr>
          <w:p>
            <w:pPr/>
          </w:p>
        </w:tc>
        <w:tc>
          <w:tcPr>
            <w:tcW w:w="152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34,744,590.55</w:t>
            </w:r>
            <w:r>
              <w:rPr>
                <w:rFonts w:ascii="Arial"/>
                <w:sz w:val="18"/>
              </w:rPr>
            </w:r>
          </w:p>
        </w:tc>
      </w:tr>
    </w:tbl>
    <w:p>
      <w:pPr>
        <w:spacing w:after="0" w:line="240" w:lineRule="auto"/>
        <w:jc w:val="right"/>
        <w:rPr>
          <w:rFonts w:ascii="Arial" w:hAnsi="Arial" w:cs="Arial" w:eastAsia="Arial" w:hint="default"/>
          <w:sz w:val="18"/>
          <w:szCs w:val="18"/>
        </w:rPr>
        <w:sectPr>
          <w:pgSz w:w="11910" w:h="16840"/>
          <w:pgMar w:header="877" w:footer="979" w:top="1100" w:bottom="1160" w:left="920" w:right="0"/>
        </w:sectPr>
      </w:pPr>
    </w:p>
    <w:p>
      <w:pPr>
        <w:spacing w:line="240" w:lineRule="auto" w:before="5"/>
        <w:rPr>
          <w:rFonts w:ascii="宋体" w:hAnsi="宋体" w:cs="宋体" w:eastAsia="宋体" w:hint="default"/>
          <w:sz w:val="20"/>
          <w:szCs w:val="20"/>
        </w:rPr>
      </w:pPr>
    </w:p>
    <w:p>
      <w:pPr>
        <w:pStyle w:val="Heading5"/>
        <w:spacing w:line="240" w:lineRule="auto"/>
        <w:ind w:right="1513"/>
        <w:jc w:val="left"/>
        <w:rPr>
          <w:b w:val="0"/>
          <w:bCs w:val="0"/>
        </w:rPr>
      </w:pPr>
      <w:bookmarkStart w:name="14、商誉" w:id="316"/>
      <w:bookmarkEnd w:id="316"/>
      <w:r>
        <w:rPr>
          <w:b w:val="0"/>
          <w:bCs w:val="0"/>
        </w:rPr>
      </w:r>
      <w:r>
        <w:rPr>
          <w:rFonts w:ascii="Trebuchet MS" w:hAnsi="Trebuchet MS" w:cs="Trebuchet MS" w:eastAsia="Trebuchet MS" w:hint="default"/>
        </w:rPr>
        <w:t>14</w:t>
      </w:r>
      <w:r>
        <w:rPr/>
        <w:t>、商誉</w:t>
      </w:r>
      <w:r>
        <w:rPr>
          <w:b w:val="0"/>
          <w:bCs w:val="0"/>
        </w:rPr>
      </w:r>
    </w:p>
    <w:p>
      <w:pPr>
        <w:spacing w:line="240" w:lineRule="auto" w:before="7"/>
        <w:rPr>
          <w:rFonts w:ascii="宋体" w:hAnsi="宋体" w:cs="宋体" w:eastAsia="宋体" w:hint="default"/>
          <w:b/>
          <w:bCs/>
          <w:sz w:val="24"/>
          <w:szCs w:val="24"/>
        </w:rPr>
      </w:pPr>
    </w:p>
    <w:p>
      <w:pPr>
        <w:spacing w:before="0"/>
        <w:ind w:left="636" w:right="1513" w:firstLine="0"/>
        <w:jc w:val="left"/>
        <w:rPr>
          <w:rFonts w:ascii="宋体" w:hAnsi="宋体" w:cs="宋体" w:eastAsia="宋体" w:hint="default"/>
          <w:sz w:val="21"/>
          <w:szCs w:val="21"/>
        </w:rPr>
      </w:pPr>
      <w:bookmarkStart w:name="（1）商誉账面原值" w:id="317"/>
      <w:bookmarkEnd w:id="317"/>
      <w:r>
        <w:rPr/>
      </w:r>
      <w:r>
        <w:rPr>
          <w:rFonts w:ascii="宋体" w:hAnsi="宋体" w:cs="宋体" w:eastAsia="宋体" w:hint="default"/>
          <w:b/>
          <w:bCs/>
          <w:sz w:val="21"/>
          <w:szCs w:val="21"/>
        </w:rPr>
        <w:t>（</w:t>
      </w:r>
      <w:r>
        <w:rPr>
          <w:rFonts w:ascii="Trebuchet MS" w:hAnsi="Trebuchet MS" w:cs="Trebuchet MS" w:eastAsia="Trebuchet MS"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367"/>
        <w:gridCol w:w="1576"/>
        <w:gridCol w:w="1560"/>
        <w:gridCol w:w="966"/>
        <w:gridCol w:w="1367"/>
        <w:gridCol w:w="1071"/>
        <w:gridCol w:w="1663"/>
      </w:tblGrid>
      <w:tr>
        <w:trPr>
          <w:trHeight w:val="322" w:hRule="exact"/>
        </w:trPr>
        <w:tc>
          <w:tcPr>
            <w:tcW w:w="1367"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5"/>
              <w:ind w:left="142" w:right="142"/>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576" w:type="dxa"/>
            <w:tcBorders>
              <w:top w:val="single" w:sz="4" w:space="0" w:color="5B9BD4"/>
              <w:left w:val="nil" w:sz="6" w:space="0" w:color="auto"/>
              <w:bottom w:val="nil" w:sz="6" w:space="0" w:color="auto"/>
              <w:right w:val="nil" w:sz="6" w:space="0" w:color="auto"/>
            </w:tcBorders>
            <w:shd w:val="clear" w:color="auto" w:fill="DEEAF6"/>
          </w:tcPr>
          <w:p>
            <w:pPr/>
          </w:p>
        </w:tc>
        <w:tc>
          <w:tcPr>
            <w:tcW w:w="2526"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438"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663" w:type="dxa"/>
            <w:tcBorders>
              <w:top w:val="single" w:sz="4" w:space="0" w:color="5B9BD4"/>
              <w:left w:val="nil" w:sz="6" w:space="0" w:color="auto"/>
              <w:bottom w:val="nil" w:sz="6" w:space="0" w:color="auto"/>
              <w:right w:val="nil" w:sz="6" w:space="0" w:color="auto"/>
            </w:tcBorders>
            <w:shd w:val="clear" w:color="auto" w:fill="DEEAF6"/>
          </w:tcPr>
          <w:p>
            <w:pPr/>
          </w:p>
        </w:tc>
      </w:tr>
      <w:tr>
        <w:trPr>
          <w:trHeight w:val="242" w:hRule="exact"/>
        </w:trPr>
        <w:tc>
          <w:tcPr>
            <w:tcW w:w="1367" w:type="dxa"/>
            <w:vMerge/>
            <w:tcBorders>
              <w:left w:val="nil" w:sz="6" w:space="0" w:color="auto"/>
              <w:right w:val="nil" w:sz="6" w:space="0" w:color="auto"/>
            </w:tcBorders>
            <w:shd w:val="clear" w:color="auto" w:fill="DEEAF6"/>
          </w:tcPr>
          <w:p>
            <w:pPr/>
          </w:p>
        </w:tc>
        <w:tc>
          <w:tcPr>
            <w:tcW w:w="1576"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60" w:type="dxa"/>
            <w:tcBorders>
              <w:top w:val="single" w:sz="4" w:space="0" w:color="5B9BD4"/>
              <w:left w:val="nil" w:sz="6" w:space="0" w:color="auto"/>
              <w:bottom w:val="nil" w:sz="6" w:space="0" w:color="auto"/>
              <w:right w:val="nil" w:sz="6" w:space="0" w:color="auto"/>
            </w:tcBorders>
            <w:shd w:val="clear" w:color="auto" w:fill="DEEAF6"/>
          </w:tcPr>
          <w:p>
            <w:pPr/>
          </w:p>
        </w:tc>
        <w:tc>
          <w:tcPr>
            <w:tcW w:w="966" w:type="dxa"/>
            <w:tcBorders>
              <w:top w:val="single" w:sz="4" w:space="0" w:color="5B9BD4"/>
              <w:left w:val="nil" w:sz="6" w:space="0" w:color="auto"/>
              <w:bottom w:val="nil" w:sz="6" w:space="0" w:color="auto"/>
              <w:right w:val="nil" w:sz="6" w:space="0" w:color="auto"/>
            </w:tcBorders>
            <w:shd w:val="clear" w:color="auto" w:fill="DEEAF6"/>
          </w:tcPr>
          <w:p>
            <w:pPr/>
          </w:p>
        </w:tc>
        <w:tc>
          <w:tcPr>
            <w:tcW w:w="1367" w:type="dxa"/>
            <w:tcBorders>
              <w:top w:val="single" w:sz="4" w:space="0" w:color="5B9BD4"/>
              <w:left w:val="nil" w:sz="6" w:space="0" w:color="auto"/>
              <w:bottom w:val="nil" w:sz="6" w:space="0" w:color="auto"/>
              <w:right w:val="nil" w:sz="6" w:space="0" w:color="auto"/>
            </w:tcBorders>
            <w:shd w:val="clear" w:color="auto" w:fill="DEEAF6"/>
          </w:tcPr>
          <w:p>
            <w:pPr/>
          </w:p>
        </w:tc>
        <w:tc>
          <w:tcPr>
            <w:tcW w:w="1071" w:type="dxa"/>
            <w:tcBorders>
              <w:top w:val="single" w:sz="4" w:space="0" w:color="5B9BD4"/>
              <w:left w:val="nil" w:sz="6" w:space="0" w:color="auto"/>
              <w:bottom w:val="nil" w:sz="6" w:space="0" w:color="auto"/>
              <w:right w:val="nil" w:sz="6" w:space="0" w:color="auto"/>
            </w:tcBorders>
            <w:shd w:val="clear" w:color="auto" w:fill="DEEAF6"/>
          </w:tcPr>
          <w:p>
            <w:pPr/>
          </w:p>
        </w:tc>
        <w:tc>
          <w:tcPr>
            <w:tcW w:w="1663"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77" w:hRule="exact"/>
        </w:trPr>
        <w:tc>
          <w:tcPr>
            <w:tcW w:w="1367" w:type="dxa"/>
            <w:vMerge/>
            <w:tcBorders>
              <w:left w:val="nil" w:sz="6" w:space="0" w:color="auto"/>
              <w:bottom w:val="single" w:sz="4" w:space="0" w:color="5B9BD4"/>
              <w:right w:val="nil" w:sz="6" w:space="0" w:color="auto"/>
            </w:tcBorders>
            <w:shd w:val="clear" w:color="auto" w:fill="DEEAF6"/>
          </w:tcPr>
          <w:p>
            <w:pPr/>
          </w:p>
        </w:tc>
        <w:tc>
          <w:tcPr>
            <w:tcW w:w="1576" w:type="dxa"/>
            <w:tcBorders>
              <w:top w:val="nil" w:sz="6" w:space="0" w:color="auto"/>
              <w:left w:val="nil" w:sz="6" w:space="0" w:color="auto"/>
              <w:bottom w:val="single" w:sz="4" w:space="0" w:color="5B9BD4"/>
              <w:right w:val="nil" w:sz="6" w:space="0" w:color="auto"/>
            </w:tcBorders>
            <w:shd w:val="clear" w:color="auto" w:fill="DEEAF6"/>
          </w:tcPr>
          <w:p>
            <w:pPr/>
          </w:p>
        </w:tc>
        <w:tc>
          <w:tcPr>
            <w:tcW w:w="1560"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156" w:lineRule="exact"/>
              <w:ind w:left="150"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966" w:type="dxa"/>
            <w:tcBorders>
              <w:top w:val="nil" w:sz="6" w:space="0" w:color="auto"/>
              <w:left w:val="nil" w:sz="6" w:space="0" w:color="auto"/>
              <w:bottom w:val="single" w:sz="4" w:space="0" w:color="5B9BD4"/>
              <w:right w:val="nil" w:sz="6" w:space="0" w:color="auto"/>
            </w:tcBorders>
            <w:shd w:val="clear" w:color="auto" w:fill="DEEAF6"/>
          </w:tcPr>
          <w:p>
            <w:pPr/>
          </w:p>
        </w:tc>
        <w:tc>
          <w:tcPr>
            <w:tcW w:w="1367"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156" w:lineRule="exact"/>
              <w:ind w:right="1"/>
              <w:jc w:val="center"/>
              <w:rPr>
                <w:rFonts w:ascii="宋体" w:hAnsi="宋体" w:cs="宋体" w:eastAsia="宋体" w:hint="default"/>
                <w:sz w:val="18"/>
                <w:szCs w:val="18"/>
              </w:rPr>
            </w:pPr>
            <w:r>
              <w:rPr>
                <w:rFonts w:ascii="宋体" w:hAnsi="宋体" w:cs="宋体" w:eastAsia="宋体" w:hint="default"/>
                <w:sz w:val="18"/>
                <w:szCs w:val="18"/>
              </w:rPr>
              <w:t>处置</w:t>
            </w:r>
          </w:p>
        </w:tc>
        <w:tc>
          <w:tcPr>
            <w:tcW w:w="1071" w:type="dxa"/>
            <w:tcBorders>
              <w:top w:val="nil" w:sz="6" w:space="0" w:color="auto"/>
              <w:left w:val="nil" w:sz="6" w:space="0" w:color="auto"/>
              <w:bottom w:val="single" w:sz="4" w:space="0" w:color="5B9BD4"/>
              <w:right w:val="nil" w:sz="6" w:space="0" w:color="auto"/>
            </w:tcBorders>
            <w:shd w:val="clear" w:color="auto" w:fill="DEEAF6"/>
          </w:tcPr>
          <w:p>
            <w:pPr/>
          </w:p>
        </w:tc>
        <w:tc>
          <w:tcPr>
            <w:tcW w:w="1663" w:type="dxa"/>
            <w:tcBorders>
              <w:top w:val="nil" w:sz="6" w:space="0" w:color="auto"/>
              <w:left w:val="nil" w:sz="6" w:space="0" w:color="auto"/>
              <w:bottom w:val="single" w:sz="4" w:space="0" w:color="5B9BD4"/>
              <w:right w:val="nil" w:sz="6" w:space="0" w:color="auto"/>
            </w:tcBorders>
            <w:shd w:val="clear" w:color="auto" w:fill="DEEAF6"/>
          </w:tcPr>
          <w:p>
            <w:pPr/>
          </w:p>
        </w:tc>
      </w:tr>
      <w:tr>
        <w:trPr>
          <w:trHeight w:val="1264" w:hRule="exact"/>
        </w:trPr>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11"/>
              <w:ind w:left="108" w:right="177"/>
              <w:jc w:val="both"/>
              <w:rPr>
                <w:rFonts w:ascii="宋体" w:hAnsi="宋体" w:cs="宋体" w:eastAsia="宋体" w:hint="default"/>
                <w:sz w:val="18"/>
                <w:szCs w:val="18"/>
              </w:rPr>
            </w:pPr>
            <w:r>
              <w:rPr>
                <w:rFonts w:ascii="宋体" w:hAnsi="宋体" w:cs="宋体" w:eastAsia="宋体" w:hint="default"/>
                <w:sz w:val="18"/>
                <w:szCs w:val="18"/>
              </w:rPr>
              <w:t>彩梦科技公司 收购北京龙迹 天地科技有限 公司</w:t>
            </w:r>
          </w:p>
        </w:tc>
        <w:tc>
          <w:tcPr>
            <w:tcW w:w="1576"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4"/>
              <w:jc w:val="right"/>
              <w:rPr>
                <w:rFonts w:ascii="Arial" w:hAnsi="Arial" w:cs="Arial" w:eastAsia="Arial" w:hint="default"/>
                <w:sz w:val="18"/>
                <w:szCs w:val="18"/>
              </w:rPr>
            </w:pPr>
            <w:r>
              <w:rPr>
                <w:rFonts w:ascii="Arial"/>
                <w:w w:val="95"/>
                <w:sz w:val="18"/>
              </w:rPr>
              <w:t>1,823,705.95</w:t>
            </w:r>
            <w:r>
              <w:rPr>
                <w:rFonts w:ascii="Arial"/>
                <w:sz w:val="18"/>
              </w:rPr>
            </w:r>
          </w:p>
        </w:tc>
        <w:tc>
          <w:tcPr>
            <w:tcW w:w="1560" w:type="dxa"/>
            <w:tcBorders>
              <w:top w:val="single" w:sz="4" w:space="0" w:color="5B9BD4"/>
              <w:left w:val="nil" w:sz="6" w:space="0" w:color="auto"/>
              <w:bottom w:val="single" w:sz="4" w:space="0" w:color="5B9BD4"/>
              <w:right w:val="nil" w:sz="6" w:space="0" w:color="auto"/>
            </w:tcBorders>
            <w:shd w:val="clear" w:color="auto" w:fill="DEEAF6"/>
          </w:tcPr>
          <w:p>
            <w:pPr/>
          </w:p>
        </w:tc>
        <w:tc>
          <w:tcPr>
            <w:tcW w:w="966" w:type="dxa"/>
            <w:tcBorders>
              <w:top w:val="single" w:sz="4" w:space="0" w:color="5B9BD4"/>
              <w:left w:val="nil" w:sz="6" w:space="0" w:color="auto"/>
              <w:bottom w:val="single" w:sz="4" w:space="0" w:color="5B9BD4"/>
              <w:right w:val="nil" w:sz="6" w:space="0" w:color="auto"/>
            </w:tcBorders>
          </w:tcPr>
          <w:p>
            <w:pP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
        </w:tc>
        <w:tc>
          <w:tcPr>
            <w:tcW w:w="1071" w:type="dxa"/>
            <w:tcBorders>
              <w:top w:val="single" w:sz="4" w:space="0" w:color="5B9BD4"/>
              <w:left w:val="nil" w:sz="6" w:space="0" w:color="auto"/>
              <w:bottom w:val="single" w:sz="4" w:space="0" w:color="5B9BD4"/>
              <w:right w:val="nil" w:sz="6" w:space="0" w:color="auto"/>
            </w:tcBorders>
          </w:tcPr>
          <w:p>
            <w:pPr/>
          </w:p>
        </w:tc>
        <w:tc>
          <w:tcPr>
            <w:tcW w:w="16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4"/>
              <w:jc w:val="right"/>
              <w:rPr>
                <w:rFonts w:ascii="Arial" w:hAnsi="Arial" w:cs="Arial" w:eastAsia="Arial" w:hint="default"/>
                <w:sz w:val="18"/>
                <w:szCs w:val="18"/>
              </w:rPr>
            </w:pPr>
            <w:r>
              <w:rPr>
                <w:rFonts w:ascii="Arial"/>
                <w:w w:val="95"/>
                <w:sz w:val="18"/>
              </w:rPr>
              <w:t>1,823,705.95</w:t>
            </w:r>
            <w:r>
              <w:rPr>
                <w:rFonts w:ascii="Arial"/>
                <w:sz w:val="18"/>
              </w:rPr>
            </w:r>
          </w:p>
        </w:tc>
      </w:tr>
      <w:tr>
        <w:trPr>
          <w:trHeight w:val="1258" w:hRule="exact"/>
        </w:trPr>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77"/>
              <w:jc w:val="both"/>
              <w:rPr>
                <w:rFonts w:ascii="宋体" w:hAnsi="宋体" w:cs="宋体" w:eastAsia="宋体" w:hint="default"/>
                <w:sz w:val="18"/>
                <w:szCs w:val="18"/>
              </w:rPr>
            </w:pPr>
            <w:r>
              <w:rPr>
                <w:rFonts w:ascii="宋体" w:hAnsi="宋体" w:cs="宋体" w:eastAsia="宋体" w:hint="default"/>
                <w:sz w:val="18"/>
                <w:szCs w:val="18"/>
              </w:rPr>
              <w:t>彩梦科技公司 收购北京雪狐 影视文化咨询 有限公司</w:t>
            </w:r>
          </w:p>
        </w:tc>
        <w:tc>
          <w:tcPr>
            <w:tcW w:w="1576"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Arial" w:hAnsi="Arial" w:cs="Arial" w:eastAsia="Arial" w:hint="default"/>
                <w:sz w:val="18"/>
                <w:szCs w:val="18"/>
              </w:rPr>
            </w:pPr>
            <w:r>
              <w:rPr>
                <w:rFonts w:ascii="Arial"/>
                <w:w w:val="95"/>
                <w:sz w:val="18"/>
              </w:rPr>
              <w:t>410,947.45</w:t>
            </w:r>
            <w:r>
              <w:rPr>
                <w:rFonts w:ascii="Arial"/>
                <w:sz w:val="18"/>
              </w:rPr>
            </w:r>
          </w:p>
        </w:tc>
        <w:tc>
          <w:tcPr>
            <w:tcW w:w="1560" w:type="dxa"/>
            <w:tcBorders>
              <w:top w:val="single" w:sz="4" w:space="0" w:color="5B9BD4"/>
              <w:left w:val="nil" w:sz="6" w:space="0" w:color="auto"/>
              <w:bottom w:val="single" w:sz="4" w:space="0" w:color="5B9BD4"/>
              <w:right w:val="nil" w:sz="6" w:space="0" w:color="auto"/>
            </w:tcBorders>
            <w:shd w:val="clear" w:color="auto" w:fill="DEEAF6"/>
          </w:tcPr>
          <w:p>
            <w:pPr/>
          </w:p>
        </w:tc>
        <w:tc>
          <w:tcPr>
            <w:tcW w:w="966" w:type="dxa"/>
            <w:tcBorders>
              <w:top w:val="single" w:sz="4" w:space="0" w:color="5B9BD4"/>
              <w:left w:val="nil" w:sz="6" w:space="0" w:color="auto"/>
              <w:bottom w:val="single" w:sz="4" w:space="0" w:color="5B9BD4"/>
              <w:right w:val="nil" w:sz="6" w:space="0" w:color="auto"/>
            </w:tcBorders>
          </w:tcPr>
          <w:p>
            <w:pP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
        </w:tc>
        <w:tc>
          <w:tcPr>
            <w:tcW w:w="1071" w:type="dxa"/>
            <w:tcBorders>
              <w:top w:val="single" w:sz="4" w:space="0" w:color="5B9BD4"/>
              <w:left w:val="nil" w:sz="6" w:space="0" w:color="auto"/>
              <w:bottom w:val="single" w:sz="4" w:space="0" w:color="5B9BD4"/>
              <w:right w:val="nil" w:sz="6" w:space="0" w:color="auto"/>
            </w:tcBorders>
          </w:tcPr>
          <w:p>
            <w:pPr/>
          </w:p>
        </w:tc>
        <w:tc>
          <w:tcPr>
            <w:tcW w:w="16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Arial" w:hAnsi="Arial" w:cs="Arial" w:eastAsia="Arial" w:hint="default"/>
                <w:sz w:val="18"/>
                <w:szCs w:val="18"/>
              </w:rPr>
            </w:pPr>
            <w:r>
              <w:rPr>
                <w:rFonts w:ascii="Arial"/>
                <w:w w:val="95"/>
                <w:sz w:val="18"/>
              </w:rPr>
              <w:t>410,947.45</w:t>
            </w:r>
            <w:r>
              <w:rPr>
                <w:rFonts w:ascii="Arial"/>
                <w:sz w:val="18"/>
              </w:rPr>
            </w:r>
          </w:p>
        </w:tc>
      </w:tr>
      <w:tr>
        <w:trPr>
          <w:trHeight w:val="1258" w:hRule="exact"/>
        </w:trPr>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77"/>
              <w:jc w:val="both"/>
              <w:rPr>
                <w:rFonts w:ascii="宋体" w:hAnsi="宋体" w:cs="宋体" w:eastAsia="宋体" w:hint="default"/>
                <w:sz w:val="18"/>
                <w:szCs w:val="18"/>
              </w:rPr>
            </w:pPr>
            <w:r>
              <w:rPr>
                <w:rFonts w:ascii="宋体" w:hAnsi="宋体" w:cs="宋体" w:eastAsia="宋体" w:hint="default"/>
                <w:sz w:val="18"/>
                <w:szCs w:val="18"/>
              </w:rPr>
              <w:t>彩梦科技公司 收购深圳市互 动科技有限公 司</w:t>
            </w:r>
          </w:p>
        </w:tc>
        <w:tc>
          <w:tcPr>
            <w:tcW w:w="1576"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4"/>
              <w:jc w:val="right"/>
              <w:rPr>
                <w:rFonts w:ascii="Arial" w:hAnsi="Arial" w:cs="Arial" w:eastAsia="Arial" w:hint="default"/>
                <w:sz w:val="18"/>
                <w:szCs w:val="18"/>
              </w:rPr>
            </w:pPr>
            <w:r>
              <w:rPr>
                <w:rFonts w:ascii="Arial"/>
                <w:w w:val="95"/>
                <w:sz w:val="18"/>
              </w:rPr>
              <w:t>8,472,839.87</w:t>
            </w:r>
            <w:r>
              <w:rPr>
                <w:rFonts w:ascii="Arial"/>
                <w:sz w:val="18"/>
              </w:rPr>
            </w:r>
          </w:p>
        </w:tc>
        <w:tc>
          <w:tcPr>
            <w:tcW w:w="1560" w:type="dxa"/>
            <w:tcBorders>
              <w:top w:val="single" w:sz="4" w:space="0" w:color="5B9BD4"/>
              <w:left w:val="nil" w:sz="6" w:space="0" w:color="auto"/>
              <w:bottom w:val="single" w:sz="4" w:space="0" w:color="5B9BD4"/>
              <w:right w:val="nil" w:sz="6" w:space="0" w:color="auto"/>
            </w:tcBorders>
            <w:shd w:val="clear" w:color="auto" w:fill="DEEAF6"/>
          </w:tcPr>
          <w:p>
            <w:pPr/>
          </w:p>
        </w:tc>
        <w:tc>
          <w:tcPr>
            <w:tcW w:w="966" w:type="dxa"/>
            <w:tcBorders>
              <w:top w:val="single" w:sz="4" w:space="0" w:color="5B9BD4"/>
              <w:left w:val="nil" w:sz="6" w:space="0" w:color="auto"/>
              <w:bottom w:val="single" w:sz="4" w:space="0" w:color="5B9BD4"/>
              <w:right w:val="nil" w:sz="6" w:space="0" w:color="auto"/>
            </w:tcBorders>
          </w:tcPr>
          <w:p>
            <w:pP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
        </w:tc>
        <w:tc>
          <w:tcPr>
            <w:tcW w:w="1071" w:type="dxa"/>
            <w:tcBorders>
              <w:top w:val="single" w:sz="4" w:space="0" w:color="5B9BD4"/>
              <w:left w:val="nil" w:sz="6" w:space="0" w:color="auto"/>
              <w:bottom w:val="single" w:sz="4" w:space="0" w:color="5B9BD4"/>
              <w:right w:val="nil" w:sz="6" w:space="0" w:color="auto"/>
            </w:tcBorders>
          </w:tcPr>
          <w:p>
            <w:pPr/>
          </w:p>
        </w:tc>
        <w:tc>
          <w:tcPr>
            <w:tcW w:w="16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4"/>
              <w:jc w:val="right"/>
              <w:rPr>
                <w:rFonts w:ascii="Arial" w:hAnsi="Arial" w:cs="Arial" w:eastAsia="Arial" w:hint="default"/>
                <w:sz w:val="18"/>
                <w:szCs w:val="18"/>
              </w:rPr>
            </w:pPr>
            <w:r>
              <w:rPr>
                <w:rFonts w:ascii="Arial"/>
                <w:w w:val="95"/>
                <w:sz w:val="18"/>
              </w:rPr>
              <w:t>8,472,839.87</w:t>
            </w:r>
            <w:r>
              <w:rPr>
                <w:rFonts w:ascii="Arial"/>
                <w:sz w:val="18"/>
              </w:rPr>
            </w:r>
          </w:p>
        </w:tc>
      </w:tr>
      <w:tr>
        <w:trPr>
          <w:trHeight w:val="1259" w:hRule="exact"/>
        </w:trPr>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6"/>
              <w:ind w:left="108" w:right="177"/>
              <w:jc w:val="both"/>
              <w:rPr>
                <w:rFonts w:ascii="宋体" w:hAnsi="宋体" w:cs="宋体" w:eastAsia="宋体" w:hint="default"/>
                <w:sz w:val="18"/>
                <w:szCs w:val="18"/>
              </w:rPr>
            </w:pPr>
            <w:r>
              <w:rPr>
                <w:rFonts w:ascii="宋体" w:hAnsi="宋体" w:cs="宋体" w:eastAsia="宋体" w:hint="default"/>
                <w:sz w:val="18"/>
                <w:szCs w:val="18"/>
              </w:rPr>
              <w:t>彩梦科技公司 收购北京汇乐 之音数字文化 传播有限公司</w:t>
            </w:r>
          </w:p>
        </w:tc>
        <w:tc>
          <w:tcPr>
            <w:tcW w:w="1576"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6"/>
              <w:jc w:val="right"/>
              <w:rPr>
                <w:rFonts w:ascii="Arial" w:hAnsi="Arial" w:cs="Arial" w:eastAsia="Arial" w:hint="default"/>
                <w:sz w:val="18"/>
                <w:szCs w:val="18"/>
              </w:rPr>
            </w:pPr>
            <w:r>
              <w:rPr>
                <w:rFonts w:ascii="Arial"/>
                <w:w w:val="95"/>
                <w:sz w:val="18"/>
              </w:rPr>
              <w:t>50,997.11</w:t>
            </w:r>
            <w:r>
              <w:rPr>
                <w:rFonts w:ascii="Arial"/>
                <w:sz w:val="18"/>
              </w:rPr>
            </w:r>
          </w:p>
        </w:tc>
        <w:tc>
          <w:tcPr>
            <w:tcW w:w="1560" w:type="dxa"/>
            <w:tcBorders>
              <w:top w:val="single" w:sz="4" w:space="0" w:color="5B9BD4"/>
              <w:left w:val="nil" w:sz="6" w:space="0" w:color="auto"/>
              <w:bottom w:val="single" w:sz="4" w:space="0" w:color="5B9BD4"/>
              <w:right w:val="nil" w:sz="6" w:space="0" w:color="auto"/>
            </w:tcBorders>
            <w:shd w:val="clear" w:color="auto" w:fill="DEEAF6"/>
          </w:tcPr>
          <w:p>
            <w:pPr/>
          </w:p>
        </w:tc>
        <w:tc>
          <w:tcPr>
            <w:tcW w:w="966" w:type="dxa"/>
            <w:tcBorders>
              <w:top w:val="single" w:sz="4" w:space="0" w:color="5B9BD4"/>
              <w:left w:val="nil" w:sz="6" w:space="0" w:color="auto"/>
              <w:bottom w:val="single" w:sz="4" w:space="0" w:color="5B9BD4"/>
              <w:right w:val="nil" w:sz="6" w:space="0" w:color="auto"/>
            </w:tcBorders>
          </w:tcPr>
          <w:p>
            <w:pP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
        </w:tc>
        <w:tc>
          <w:tcPr>
            <w:tcW w:w="1071" w:type="dxa"/>
            <w:tcBorders>
              <w:top w:val="single" w:sz="4" w:space="0" w:color="5B9BD4"/>
              <w:left w:val="nil" w:sz="6" w:space="0" w:color="auto"/>
              <w:bottom w:val="single" w:sz="4" w:space="0" w:color="5B9BD4"/>
              <w:right w:val="nil" w:sz="6" w:space="0" w:color="auto"/>
            </w:tcBorders>
          </w:tcPr>
          <w:p>
            <w:pPr/>
          </w:p>
        </w:tc>
        <w:tc>
          <w:tcPr>
            <w:tcW w:w="16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6"/>
              <w:jc w:val="right"/>
              <w:rPr>
                <w:rFonts w:ascii="Arial" w:hAnsi="Arial" w:cs="Arial" w:eastAsia="Arial" w:hint="default"/>
                <w:sz w:val="18"/>
                <w:szCs w:val="18"/>
              </w:rPr>
            </w:pPr>
            <w:r>
              <w:rPr>
                <w:rFonts w:ascii="Arial"/>
                <w:w w:val="95"/>
                <w:sz w:val="18"/>
              </w:rPr>
              <w:t>50,997.11</w:t>
            </w:r>
            <w:r>
              <w:rPr>
                <w:rFonts w:ascii="Arial"/>
                <w:sz w:val="18"/>
              </w:rPr>
            </w:r>
          </w:p>
        </w:tc>
      </w:tr>
      <w:tr>
        <w:trPr>
          <w:trHeight w:val="1258" w:hRule="exact"/>
        </w:trPr>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77"/>
              <w:jc w:val="both"/>
              <w:rPr>
                <w:rFonts w:ascii="宋体" w:hAnsi="宋体" w:cs="宋体" w:eastAsia="宋体" w:hint="default"/>
                <w:sz w:val="18"/>
                <w:szCs w:val="18"/>
              </w:rPr>
            </w:pPr>
            <w:r>
              <w:rPr>
                <w:rFonts w:ascii="宋体" w:hAnsi="宋体" w:cs="宋体" w:eastAsia="宋体" w:hint="default"/>
                <w:sz w:val="18"/>
                <w:szCs w:val="18"/>
              </w:rPr>
              <w:t>彩梦科技公司 收购北京铮尚 游文化传播有 限公司</w:t>
            </w:r>
          </w:p>
        </w:tc>
        <w:tc>
          <w:tcPr>
            <w:tcW w:w="1576"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Arial" w:hAnsi="Arial" w:cs="Arial" w:eastAsia="Arial" w:hint="default"/>
                <w:sz w:val="18"/>
                <w:szCs w:val="18"/>
              </w:rPr>
            </w:pPr>
            <w:r>
              <w:rPr>
                <w:rFonts w:ascii="Arial"/>
                <w:w w:val="95"/>
                <w:sz w:val="18"/>
              </w:rPr>
              <w:t>453,824.47</w:t>
            </w:r>
            <w:r>
              <w:rPr>
                <w:rFonts w:ascii="Arial"/>
                <w:sz w:val="18"/>
              </w:rPr>
            </w:r>
          </w:p>
        </w:tc>
        <w:tc>
          <w:tcPr>
            <w:tcW w:w="1560" w:type="dxa"/>
            <w:tcBorders>
              <w:top w:val="single" w:sz="4" w:space="0" w:color="5B9BD4"/>
              <w:left w:val="nil" w:sz="6" w:space="0" w:color="auto"/>
              <w:bottom w:val="single" w:sz="4" w:space="0" w:color="5B9BD4"/>
              <w:right w:val="nil" w:sz="6" w:space="0" w:color="auto"/>
            </w:tcBorders>
            <w:shd w:val="clear" w:color="auto" w:fill="DEEAF6"/>
          </w:tcPr>
          <w:p>
            <w:pPr/>
          </w:p>
        </w:tc>
        <w:tc>
          <w:tcPr>
            <w:tcW w:w="966" w:type="dxa"/>
            <w:tcBorders>
              <w:top w:val="single" w:sz="4" w:space="0" w:color="5B9BD4"/>
              <w:left w:val="nil" w:sz="6" w:space="0" w:color="auto"/>
              <w:bottom w:val="single" w:sz="4" w:space="0" w:color="5B9BD4"/>
              <w:right w:val="nil" w:sz="6" w:space="0" w:color="auto"/>
            </w:tcBorders>
          </w:tcPr>
          <w:p>
            <w:pP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
        </w:tc>
        <w:tc>
          <w:tcPr>
            <w:tcW w:w="1071" w:type="dxa"/>
            <w:tcBorders>
              <w:top w:val="single" w:sz="4" w:space="0" w:color="5B9BD4"/>
              <w:left w:val="nil" w:sz="6" w:space="0" w:color="auto"/>
              <w:bottom w:val="single" w:sz="4" w:space="0" w:color="5B9BD4"/>
              <w:right w:val="nil" w:sz="6" w:space="0" w:color="auto"/>
            </w:tcBorders>
          </w:tcPr>
          <w:p>
            <w:pPr/>
          </w:p>
        </w:tc>
        <w:tc>
          <w:tcPr>
            <w:tcW w:w="16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Arial" w:hAnsi="Arial" w:cs="Arial" w:eastAsia="Arial" w:hint="default"/>
                <w:sz w:val="18"/>
                <w:szCs w:val="18"/>
              </w:rPr>
            </w:pPr>
            <w:r>
              <w:rPr>
                <w:rFonts w:ascii="Arial"/>
                <w:w w:val="95"/>
                <w:sz w:val="18"/>
              </w:rPr>
              <w:t>453,824.47</w:t>
            </w:r>
            <w:r>
              <w:rPr>
                <w:rFonts w:ascii="Arial"/>
                <w:sz w:val="18"/>
              </w:rPr>
            </w:r>
          </w:p>
        </w:tc>
      </w:tr>
      <w:tr>
        <w:trPr>
          <w:trHeight w:val="1258" w:hRule="exact"/>
        </w:trPr>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77"/>
              <w:jc w:val="both"/>
              <w:rPr>
                <w:rFonts w:ascii="宋体" w:hAnsi="宋体" w:cs="宋体" w:eastAsia="宋体" w:hint="default"/>
                <w:sz w:val="18"/>
                <w:szCs w:val="18"/>
              </w:rPr>
            </w:pPr>
            <w:r>
              <w:rPr>
                <w:rFonts w:ascii="宋体" w:hAnsi="宋体" w:cs="宋体" w:eastAsia="宋体" w:hint="default"/>
                <w:sz w:val="18"/>
                <w:szCs w:val="18"/>
              </w:rPr>
              <w:t>瑞成汇达公司 收购深圳市安 派易讯移动科 技有限公司</w:t>
            </w:r>
          </w:p>
        </w:tc>
        <w:tc>
          <w:tcPr>
            <w:tcW w:w="1576"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4"/>
              <w:jc w:val="right"/>
              <w:rPr>
                <w:rFonts w:ascii="Arial" w:hAnsi="Arial" w:cs="Arial" w:eastAsia="Arial" w:hint="default"/>
                <w:sz w:val="18"/>
                <w:szCs w:val="18"/>
              </w:rPr>
            </w:pPr>
            <w:r>
              <w:rPr>
                <w:rFonts w:ascii="Arial"/>
                <w:w w:val="95"/>
                <w:sz w:val="18"/>
              </w:rPr>
              <w:t>3,658,019.16</w:t>
            </w:r>
            <w:r>
              <w:rPr>
                <w:rFonts w:ascii="Arial"/>
                <w:sz w:val="18"/>
              </w:rPr>
            </w:r>
          </w:p>
        </w:tc>
        <w:tc>
          <w:tcPr>
            <w:tcW w:w="1560" w:type="dxa"/>
            <w:tcBorders>
              <w:top w:val="single" w:sz="4" w:space="0" w:color="5B9BD4"/>
              <w:left w:val="nil" w:sz="6" w:space="0" w:color="auto"/>
              <w:bottom w:val="single" w:sz="4" w:space="0" w:color="5B9BD4"/>
              <w:right w:val="nil" w:sz="6" w:space="0" w:color="auto"/>
            </w:tcBorders>
            <w:shd w:val="clear" w:color="auto" w:fill="DEEAF6"/>
          </w:tcPr>
          <w:p>
            <w:pPr/>
          </w:p>
        </w:tc>
        <w:tc>
          <w:tcPr>
            <w:tcW w:w="966" w:type="dxa"/>
            <w:tcBorders>
              <w:top w:val="single" w:sz="4" w:space="0" w:color="5B9BD4"/>
              <w:left w:val="nil" w:sz="6" w:space="0" w:color="auto"/>
              <w:bottom w:val="single" w:sz="4" w:space="0" w:color="5B9BD4"/>
              <w:right w:val="nil" w:sz="6" w:space="0" w:color="auto"/>
            </w:tcBorders>
          </w:tcPr>
          <w:p>
            <w:pP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
        </w:tc>
        <w:tc>
          <w:tcPr>
            <w:tcW w:w="1071" w:type="dxa"/>
            <w:tcBorders>
              <w:top w:val="single" w:sz="4" w:space="0" w:color="5B9BD4"/>
              <w:left w:val="nil" w:sz="6" w:space="0" w:color="auto"/>
              <w:bottom w:val="single" w:sz="4" w:space="0" w:color="5B9BD4"/>
              <w:right w:val="nil" w:sz="6" w:space="0" w:color="auto"/>
            </w:tcBorders>
          </w:tcPr>
          <w:p>
            <w:pPr/>
          </w:p>
        </w:tc>
        <w:tc>
          <w:tcPr>
            <w:tcW w:w="16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4"/>
              <w:jc w:val="right"/>
              <w:rPr>
                <w:rFonts w:ascii="Arial" w:hAnsi="Arial" w:cs="Arial" w:eastAsia="Arial" w:hint="default"/>
                <w:sz w:val="18"/>
                <w:szCs w:val="18"/>
              </w:rPr>
            </w:pPr>
            <w:r>
              <w:rPr>
                <w:rFonts w:ascii="Arial"/>
                <w:w w:val="95"/>
                <w:sz w:val="18"/>
              </w:rPr>
              <w:t>3,658,019.16</w:t>
            </w:r>
            <w:r>
              <w:rPr>
                <w:rFonts w:ascii="Arial"/>
                <w:sz w:val="18"/>
              </w:rPr>
            </w:r>
          </w:p>
        </w:tc>
      </w:tr>
      <w:tr>
        <w:trPr>
          <w:trHeight w:val="634" w:hRule="exact"/>
        </w:trPr>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177"/>
              <w:jc w:val="left"/>
              <w:rPr>
                <w:rFonts w:ascii="宋体" w:hAnsi="宋体" w:cs="宋体" w:eastAsia="宋体" w:hint="default"/>
                <w:sz w:val="18"/>
                <w:szCs w:val="18"/>
              </w:rPr>
            </w:pPr>
            <w:r>
              <w:rPr>
                <w:rFonts w:ascii="宋体" w:hAnsi="宋体" w:cs="宋体" w:eastAsia="宋体" w:hint="default"/>
                <w:sz w:val="18"/>
                <w:szCs w:val="18"/>
              </w:rPr>
              <w:t>收购迈奔灵动 公司</w:t>
            </w:r>
          </w:p>
        </w:tc>
        <w:tc>
          <w:tcPr>
            <w:tcW w:w="1576"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150,341,797.39</w:t>
            </w:r>
            <w:r>
              <w:rPr>
                <w:rFonts w:ascii="Arial"/>
                <w:sz w:val="18"/>
              </w:rPr>
            </w:r>
          </w:p>
        </w:tc>
        <w:tc>
          <w:tcPr>
            <w:tcW w:w="1560" w:type="dxa"/>
            <w:tcBorders>
              <w:top w:val="single" w:sz="4" w:space="0" w:color="5B9BD4"/>
              <w:left w:val="nil" w:sz="6" w:space="0" w:color="auto"/>
              <w:bottom w:val="single" w:sz="4" w:space="0" w:color="5B9BD4"/>
              <w:right w:val="nil" w:sz="6" w:space="0" w:color="auto"/>
            </w:tcBorders>
            <w:shd w:val="clear" w:color="auto" w:fill="DEEAF6"/>
          </w:tcPr>
          <w:p>
            <w:pPr/>
          </w:p>
        </w:tc>
        <w:tc>
          <w:tcPr>
            <w:tcW w:w="966" w:type="dxa"/>
            <w:tcBorders>
              <w:top w:val="single" w:sz="4" w:space="0" w:color="5B9BD4"/>
              <w:left w:val="nil" w:sz="6" w:space="0" w:color="auto"/>
              <w:bottom w:val="single" w:sz="4" w:space="0" w:color="5B9BD4"/>
              <w:right w:val="nil" w:sz="6" w:space="0" w:color="auto"/>
            </w:tcBorders>
          </w:tcPr>
          <w:p>
            <w:pP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
        </w:tc>
        <w:tc>
          <w:tcPr>
            <w:tcW w:w="1071" w:type="dxa"/>
            <w:tcBorders>
              <w:top w:val="single" w:sz="4" w:space="0" w:color="5B9BD4"/>
              <w:left w:val="nil" w:sz="6" w:space="0" w:color="auto"/>
              <w:bottom w:val="single" w:sz="4" w:space="0" w:color="5B9BD4"/>
              <w:right w:val="nil" w:sz="6" w:space="0" w:color="auto"/>
            </w:tcBorders>
          </w:tcPr>
          <w:p>
            <w:pPr/>
          </w:p>
        </w:tc>
        <w:tc>
          <w:tcPr>
            <w:tcW w:w="16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150,341,797.39</w:t>
            </w:r>
            <w:r>
              <w:rPr>
                <w:rFonts w:ascii="Arial"/>
                <w:sz w:val="18"/>
              </w:rPr>
            </w:r>
          </w:p>
        </w:tc>
      </w:tr>
      <w:tr>
        <w:trPr>
          <w:trHeight w:val="322" w:hRule="exact"/>
        </w:trPr>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7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165,212,131.40</w:t>
            </w:r>
            <w:r>
              <w:rPr>
                <w:rFonts w:ascii="Arial"/>
                <w:sz w:val="18"/>
              </w:rPr>
            </w:r>
          </w:p>
        </w:tc>
        <w:tc>
          <w:tcPr>
            <w:tcW w:w="1560" w:type="dxa"/>
            <w:tcBorders>
              <w:top w:val="single" w:sz="4" w:space="0" w:color="5B9BD4"/>
              <w:left w:val="nil" w:sz="6" w:space="0" w:color="auto"/>
              <w:bottom w:val="single" w:sz="4" w:space="0" w:color="5B9BD4"/>
              <w:right w:val="nil" w:sz="6" w:space="0" w:color="auto"/>
            </w:tcBorders>
            <w:shd w:val="clear" w:color="auto" w:fill="DEEAF6"/>
          </w:tcPr>
          <w:p>
            <w:pPr/>
          </w:p>
        </w:tc>
        <w:tc>
          <w:tcPr>
            <w:tcW w:w="966" w:type="dxa"/>
            <w:tcBorders>
              <w:top w:val="single" w:sz="4" w:space="0" w:color="5B9BD4"/>
              <w:left w:val="nil" w:sz="6" w:space="0" w:color="auto"/>
              <w:bottom w:val="single" w:sz="4" w:space="0" w:color="5B9BD4"/>
              <w:right w:val="nil" w:sz="6" w:space="0" w:color="auto"/>
            </w:tcBorders>
          </w:tcPr>
          <w:p>
            <w:pP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
        </w:tc>
        <w:tc>
          <w:tcPr>
            <w:tcW w:w="1071" w:type="dxa"/>
            <w:tcBorders>
              <w:top w:val="single" w:sz="4" w:space="0" w:color="5B9BD4"/>
              <w:left w:val="nil" w:sz="6" w:space="0" w:color="auto"/>
              <w:bottom w:val="single" w:sz="4" w:space="0" w:color="5B9BD4"/>
              <w:right w:val="nil" w:sz="6" w:space="0" w:color="auto"/>
            </w:tcBorders>
          </w:tcPr>
          <w:p>
            <w:pPr/>
          </w:p>
        </w:tc>
        <w:tc>
          <w:tcPr>
            <w:tcW w:w="16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165,212,131.40</w:t>
            </w:r>
            <w:r>
              <w:rPr>
                <w:rFonts w:ascii="Arial"/>
                <w:sz w:val="18"/>
              </w:rPr>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2）商誉减值准备" w:id="318"/>
      <w:bookmarkEnd w:id="318"/>
      <w:r>
        <w:rPr>
          <w:b w:val="0"/>
          <w:bCs w:val="0"/>
        </w:rPr>
      </w:r>
      <w:r>
        <w:rPr/>
        <w:t>（</w:t>
      </w:r>
      <w:r>
        <w:rPr>
          <w:rFonts w:ascii="Trebuchet MS" w:hAnsi="Trebuchet MS" w:cs="Trebuchet MS" w:eastAsia="Trebuchet MS" w:hint="default"/>
        </w:rPr>
        <w:t>2</w:t>
      </w:r>
      <w:r>
        <w:rPr/>
        <w:t>）商誉减值准备</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5"/>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323" w:hRule="exact"/>
        </w:trPr>
        <w:tc>
          <w:tcPr>
            <w:tcW w:w="1367"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6"/>
              <w:ind w:left="108" w:right="177"/>
              <w:jc w:val="both"/>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7" w:type="dxa"/>
            <w:tcBorders>
              <w:top w:val="single" w:sz="4" w:space="0" w:color="5B9BD4"/>
              <w:left w:val="nil" w:sz="6" w:space="0" w:color="auto"/>
              <w:bottom w:val="nil" w:sz="6" w:space="0" w:color="auto"/>
              <w:right w:val="nil" w:sz="6" w:space="0" w:color="auto"/>
            </w:tcBorders>
            <w:shd w:val="clear" w:color="auto" w:fill="DEEAF6"/>
          </w:tcPr>
          <w:p>
            <w:pPr/>
          </w:p>
        </w:tc>
        <w:tc>
          <w:tcPr>
            <w:tcW w:w="1368" w:type="dxa"/>
            <w:tcBorders>
              <w:top w:val="single" w:sz="4" w:space="0" w:color="5B9BD4"/>
              <w:left w:val="nil" w:sz="6" w:space="0" w:color="auto"/>
              <w:bottom w:val="single" w:sz="4" w:space="0" w:color="5B9BD4"/>
              <w:right w:val="nil" w:sz="6" w:space="0" w:color="auto"/>
            </w:tcBorders>
            <w:shd w:val="clear" w:color="auto" w:fill="DEEAF6"/>
          </w:tcPr>
          <w:p>
            <w:pP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53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53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5B9BD4"/>
              <w:left w:val="nil" w:sz="6" w:space="0" w:color="auto"/>
              <w:bottom w:val="nil" w:sz="6" w:space="0" w:color="auto"/>
              <w:right w:val="nil" w:sz="6" w:space="0" w:color="auto"/>
            </w:tcBorders>
            <w:shd w:val="clear" w:color="auto" w:fill="DEEAF6"/>
          </w:tcPr>
          <w:p>
            <w:pPr/>
          </w:p>
        </w:tc>
      </w:tr>
      <w:tr>
        <w:trPr>
          <w:trHeight w:val="242" w:hRule="exact"/>
        </w:trPr>
        <w:tc>
          <w:tcPr>
            <w:tcW w:w="1367" w:type="dxa"/>
            <w:vMerge/>
            <w:tcBorders>
              <w:left w:val="nil" w:sz="6" w:space="0" w:color="auto"/>
              <w:right w:val="nil" w:sz="6" w:space="0" w:color="auto"/>
            </w:tcBorders>
            <w:shd w:val="clear" w:color="auto" w:fill="DEEAF6"/>
          </w:tcPr>
          <w:p>
            <w:pPr/>
          </w:p>
        </w:tc>
        <w:tc>
          <w:tcPr>
            <w:tcW w:w="1367"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1"/>
              <w:ind w:right="107"/>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5B9BD4"/>
              <w:left w:val="nil" w:sz="6" w:space="0" w:color="auto"/>
              <w:bottom w:val="nil" w:sz="6" w:space="0" w:color="auto"/>
              <w:right w:val="nil" w:sz="6" w:space="0" w:color="auto"/>
            </w:tcBorders>
            <w:shd w:val="clear" w:color="auto" w:fill="DEEAF6"/>
          </w:tcPr>
          <w:p>
            <w:pPr/>
          </w:p>
        </w:tc>
        <w:tc>
          <w:tcPr>
            <w:tcW w:w="1367" w:type="dxa"/>
            <w:tcBorders>
              <w:top w:val="single" w:sz="4" w:space="0" w:color="5B9BD4"/>
              <w:left w:val="nil" w:sz="6" w:space="0" w:color="auto"/>
              <w:bottom w:val="nil" w:sz="6" w:space="0" w:color="auto"/>
              <w:right w:val="nil" w:sz="6" w:space="0" w:color="auto"/>
            </w:tcBorders>
            <w:shd w:val="clear" w:color="auto" w:fill="DEEAF6"/>
          </w:tcPr>
          <w:p>
            <w:pPr/>
          </w:p>
        </w:tc>
        <w:tc>
          <w:tcPr>
            <w:tcW w:w="1367" w:type="dxa"/>
            <w:tcBorders>
              <w:top w:val="single" w:sz="4" w:space="0" w:color="5B9BD4"/>
              <w:left w:val="nil" w:sz="6" w:space="0" w:color="auto"/>
              <w:bottom w:val="nil" w:sz="6" w:space="0" w:color="auto"/>
              <w:right w:val="nil" w:sz="6" w:space="0" w:color="auto"/>
            </w:tcBorders>
            <w:shd w:val="clear" w:color="auto" w:fill="DEEAF6"/>
          </w:tcPr>
          <w:p>
            <w:pPr/>
          </w:p>
        </w:tc>
        <w:tc>
          <w:tcPr>
            <w:tcW w:w="1367" w:type="dxa"/>
            <w:tcBorders>
              <w:top w:val="single" w:sz="4" w:space="0" w:color="5B9BD4"/>
              <w:left w:val="nil" w:sz="6" w:space="0" w:color="auto"/>
              <w:bottom w:val="nil" w:sz="6" w:space="0" w:color="auto"/>
              <w:right w:val="nil" w:sz="6" w:space="0" w:color="auto"/>
            </w:tcBorders>
            <w:shd w:val="clear" w:color="auto" w:fill="DEEAF6"/>
          </w:tcPr>
          <w:p>
            <w:pPr/>
          </w:p>
        </w:tc>
        <w:tc>
          <w:tcPr>
            <w:tcW w:w="1367"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1"/>
              <w:ind w:right="107"/>
              <w:jc w:val="righ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77" w:hRule="exact"/>
        </w:trPr>
        <w:tc>
          <w:tcPr>
            <w:tcW w:w="1367" w:type="dxa"/>
            <w:vMerge/>
            <w:tcBorders>
              <w:left w:val="nil" w:sz="6" w:space="0" w:color="auto"/>
              <w:bottom w:val="single" w:sz="4" w:space="0" w:color="5B9BD4"/>
              <w:right w:val="nil" w:sz="6" w:space="0" w:color="auto"/>
            </w:tcBorders>
            <w:shd w:val="clear" w:color="auto" w:fill="DEEAF6"/>
          </w:tcPr>
          <w:p>
            <w:pPr/>
          </w:p>
        </w:tc>
        <w:tc>
          <w:tcPr>
            <w:tcW w:w="1367" w:type="dxa"/>
            <w:tcBorders>
              <w:top w:val="nil" w:sz="6" w:space="0" w:color="auto"/>
              <w:left w:val="nil" w:sz="6" w:space="0" w:color="auto"/>
              <w:bottom w:val="single" w:sz="4" w:space="0" w:color="5B9BD4"/>
              <w:right w:val="nil" w:sz="6" w:space="0" w:color="auto"/>
            </w:tcBorders>
            <w:shd w:val="clear" w:color="auto" w:fill="DEEAF6"/>
          </w:tcPr>
          <w:p>
            <w:pPr/>
          </w:p>
        </w:tc>
        <w:tc>
          <w:tcPr>
            <w:tcW w:w="1368"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156" w:lineRule="exact"/>
              <w:ind w:left="898"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nil" w:sz="6" w:space="0" w:color="auto"/>
              <w:left w:val="nil" w:sz="6" w:space="0" w:color="auto"/>
              <w:bottom w:val="single" w:sz="4" w:space="0" w:color="5B9BD4"/>
              <w:right w:val="nil" w:sz="6" w:space="0" w:color="auto"/>
            </w:tcBorders>
            <w:shd w:val="clear" w:color="auto" w:fill="DEEAF6"/>
          </w:tcPr>
          <w:p>
            <w:pPr/>
          </w:p>
        </w:tc>
        <w:tc>
          <w:tcPr>
            <w:tcW w:w="1367"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156" w:lineRule="exact"/>
              <w:ind w:left="898"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nil" w:sz="6" w:space="0" w:color="auto"/>
              <w:left w:val="nil" w:sz="6" w:space="0" w:color="auto"/>
              <w:bottom w:val="single" w:sz="4" w:space="0" w:color="5B9BD4"/>
              <w:right w:val="nil" w:sz="6" w:space="0" w:color="auto"/>
            </w:tcBorders>
            <w:shd w:val="clear" w:color="auto" w:fill="DEEAF6"/>
          </w:tcPr>
          <w:p>
            <w:pPr/>
          </w:p>
        </w:tc>
        <w:tc>
          <w:tcPr>
            <w:tcW w:w="1367" w:type="dxa"/>
            <w:tcBorders>
              <w:top w:val="nil" w:sz="6" w:space="0" w:color="auto"/>
              <w:left w:val="nil" w:sz="6" w:space="0" w:color="auto"/>
              <w:bottom w:val="single" w:sz="4" w:space="0" w:color="5B9BD4"/>
              <w:right w:val="nil" w:sz="6" w:space="0" w:color="auto"/>
            </w:tcBorders>
            <w:shd w:val="clear" w:color="auto" w:fill="DEEAF6"/>
          </w:tcPr>
          <w:p>
            <w:pPr/>
          </w:p>
        </w:tc>
      </w:tr>
      <w:tr>
        <w:trPr>
          <w:trHeight w:val="326" w:hRule="exact"/>
        </w:trPr>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北京瑞成汇达</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right="104"/>
              <w:jc w:val="right"/>
              <w:rPr>
                <w:rFonts w:ascii="Arial" w:hAnsi="Arial" w:cs="Arial" w:eastAsia="Arial" w:hint="default"/>
                <w:sz w:val="18"/>
                <w:szCs w:val="18"/>
              </w:rPr>
            </w:pPr>
            <w:r>
              <w:rPr>
                <w:rFonts w:ascii="Arial"/>
                <w:w w:val="95"/>
                <w:sz w:val="18"/>
              </w:rPr>
              <w:t>3,658,019.16</w:t>
            </w:r>
            <w:r>
              <w:rPr>
                <w:rFonts w:ascii="Arial"/>
                <w:sz w:val="18"/>
              </w:rPr>
            </w:r>
          </w:p>
        </w:tc>
        <w:tc>
          <w:tcPr>
            <w:tcW w:w="1368" w:type="dxa"/>
            <w:tcBorders>
              <w:top w:val="single" w:sz="4" w:space="0" w:color="5B9BD4"/>
              <w:left w:val="nil" w:sz="6" w:space="0" w:color="auto"/>
              <w:bottom w:val="single" w:sz="4" w:space="0" w:color="5B9BD4"/>
              <w:right w:val="nil" w:sz="6" w:space="0" w:color="auto"/>
            </w:tcBorders>
            <w:shd w:val="clear" w:color="auto" w:fill="DEEAF6"/>
          </w:tcPr>
          <w:p>
            <w:pPr/>
          </w:p>
        </w:tc>
        <w:tc>
          <w:tcPr>
            <w:tcW w:w="1367" w:type="dxa"/>
            <w:tcBorders>
              <w:top w:val="single" w:sz="4" w:space="0" w:color="5B9BD4"/>
              <w:left w:val="nil" w:sz="6" w:space="0" w:color="auto"/>
              <w:bottom w:val="single" w:sz="4" w:space="0" w:color="5B9BD4"/>
              <w:right w:val="nil" w:sz="6" w:space="0" w:color="auto"/>
            </w:tcBorders>
          </w:tcPr>
          <w:p>
            <w:pP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
        </w:tc>
        <w:tc>
          <w:tcPr>
            <w:tcW w:w="1367" w:type="dxa"/>
            <w:tcBorders>
              <w:top w:val="single" w:sz="4" w:space="0" w:color="5B9BD4"/>
              <w:left w:val="nil" w:sz="6" w:space="0" w:color="auto"/>
              <w:bottom w:val="single" w:sz="4" w:space="0" w:color="5B9BD4"/>
              <w:right w:val="nil" w:sz="6" w:space="0" w:color="auto"/>
            </w:tcBorders>
          </w:tcPr>
          <w:p>
            <w:pP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2"/>
              <w:ind w:right="104"/>
              <w:jc w:val="right"/>
              <w:rPr>
                <w:rFonts w:ascii="Arial" w:hAnsi="Arial" w:cs="Arial" w:eastAsia="Arial" w:hint="default"/>
                <w:sz w:val="18"/>
                <w:szCs w:val="18"/>
              </w:rPr>
            </w:pPr>
            <w:r>
              <w:rPr>
                <w:rFonts w:ascii="Arial"/>
                <w:w w:val="95"/>
                <w:sz w:val="18"/>
              </w:rPr>
              <w:t>3,658,019.16</w:t>
            </w:r>
            <w:r>
              <w:rPr>
                <w:rFonts w:ascii="Arial"/>
                <w:sz w:val="18"/>
              </w:rPr>
            </w:r>
          </w:p>
        </w:tc>
      </w:tr>
    </w:tbl>
    <w:p>
      <w:pPr>
        <w:spacing w:after="0" w:line="240" w:lineRule="auto"/>
        <w:jc w:val="right"/>
        <w:rPr>
          <w:rFonts w:ascii="Arial" w:hAnsi="Arial" w:cs="Arial" w:eastAsia="Arial" w:hint="default"/>
          <w:sz w:val="18"/>
          <w:szCs w:val="18"/>
        </w:rPr>
        <w:sectPr>
          <w:pgSz w:w="11910" w:h="16840"/>
          <w:pgMar w:header="877" w:footer="979" w:top="1100" w:bottom="1160" w:left="920" w:right="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258" w:hRule="exact"/>
        </w:trPr>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77"/>
              <w:jc w:val="both"/>
              <w:rPr>
                <w:rFonts w:ascii="宋体" w:hAnsi="宋体" w:cs="宋体" w:eastAsia="宋体" w:hint="default"/>
                <w:sz w:val="18"/>
                <w:szCs w:val="18"/>
              </w:rPr>
            </w:pPr>
            <w:r>
              <w:rPr>
                <w:rFonts w:ascii="宋体" w:hAnsi="宋体" w:cs="宋体" w:eastAsia="宋体" w:hint="default"/>
                <w:sz w:val="18"/>
                <w:szCs w:val="18"/>
              </w:rPr>
              <w:t>科技有限公司 收购深圳市安 派易讯移动科 技有限公司</w:t>
            </w:r>
          </w:p>
        </w:tc>
        <w:tc>
          <w:tcPr>
            <w:tcW w:w="1367" w:type="dxa"/>
            <w:tcBorders>
              <w:top w:val="single" w:sz="4" w:space="0" w:color="5B9BD4"/>
              <w:left w:val="nil" w:sz="6" w:space="0" w:color="auto"/>
              <w:bottom w:val="single" w:sz="4" w:space="0" w:color="5B9BD4"/>
              <w:right w:val="nil" w:sz="6" w:space="0" w:color="auto"/>
            </w:tcBorders>
          </w:tcPr>
          <w:p>
            <w:pPr/>
          </w:p>
        </w:tc>
        <w:tc>
          <w:tcPr>
            <w:tcW w:w="1368" w:type="dxa"/>
            <w:tcBorders>
              <w:top w:val="single" w:sz="4" w:space="0" w:color="5B9BD4"/>
              <w:left w:val="nil" w:sz="6" w:space="0" w:color="auto"/>
              <w:bottom w:val="single" w:sz="4" w:space="0" w:color="5B9BD4"/>
              <w:right w:val="nil" w:sz="6" w:space="0" w:color="auto"/>
            </w:tcBorders>
            <w:shd w:val="clear" w:color="auto" w:fill="DEEAF6"/>
          </w:tcPr>
          <w:p>
            <w:pPr/>
          </w:p>
        </w:tc>
        <w:tc>
          <w:tcPr>
            <w:tcW w:w="1367" w:type="dxa"/>
            <w:tcBorders>
              <w:top w:val="single" w:sz="4" w:space="0" w:color="5B9BD4"/>
              <w:left w:val="nil" w:sz="6" w:space="0" w:color="auto"/>
              <w:bottom w:val="single" w:sz="4" w:space="0" w:color="5B9BD4"/>
              <w:right w:val="nil" w:sz="6" w:space="0" w:color="auto"/>
            </w:tcBorders>
          </w:tcPr>
          <w:p>
            <w:pP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
        </w:tc>
        <w:tc>
          <w:tcPr>
            <w:tcW w:w="1367" w:type="dxa"/>
            <w:tcBorders>
              <w:top w:val="single" w:sz="4" w:space="0" w:color="5B9BD4"/>
              <w:left w:val="nil" w:sz="6" w:space="0" w:color="auto"/>
              <w:bottom w:val="single" w:sz="4" w:space="0" w:color="5B9BD4"/>
              <w:right w:val="nil" w:sz="6" w:space="0" w:color="auto"/>
            </w:tcBorders>
          </w:tcPr>
          <w:p>
            <w:pP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3" w:hRule="exact"/>
        </w:trPr>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48"/>
              <w:ind w:left="212" w:right="0"/>
              <w:jc w:val="left"/>
              <w:rPr>
                <w:rFonts w:ascii="Arial" w:hAnsi="Arial" w:cs="Arial" w:eastAsia="Arial" w:hint="default"/>
                <w:sz w:val="18"/>
                <w:szCs w:val="18"/>
              </w:rPr>
            </w:pPr>
            <w:r>
              <w:rPr>
                <w:rFonts w:ascii="Arial"/>
                <w:sz w:val="18"/>
              </w:rPr>
              <w:t>3,658,019.16</w:t>
            </w:r>
          </w:p>
        </w:tc>
        <w:tc>
          <w:tcPr>
            <w:tcW w:w="1368" w:type="dxa"/>
            <w:tcBorders>
              <w:top w:val="single" w:sz="4" w:space="0" w:color="5B9BD4"/>
              <w:left w:val="nil" w:sz="6" w:space="0" w:color="auto"/>
              <w:bottom w:val="single" w:sz="4" w:space="0" w:color="5B9BD4"/>
              <w:right w:val="nil" w:sz="6" w:space="0" w:color="auto"/>
            </w:tcBorders>
            <w:shd w:val="clear" w:color="auto" w:fill="DEEAF6"/>
          </w:tcPr>
          <w:p>
            <w:pPr/>
          </w:p>
        </w:tc>
        <w:tc>
          <w:tcPr>
            <w:tcW w:w="1367" w:type="dxa"/>
            <w:tcBorders>
              <w:top w:val="single" w:sz="4" w:space="0" w:color="5B9BD4"/>
              <w:left w:val="nil" w:sz="6" w:space="0" w:color="auto"/>
              <w:bottom w:val="single" w:sz="4" w:space="0" w:color="5B9BD4"/>
              <w:right w:val="nil" w:sz="6" w:space="0" w:color="auto"/>
            </w:tcBorders>
          </w:tcPr>
          <w:p>
            <w:pP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
        </w:tc>
        <w:tc>
          <w:tcPr>
            <w:tcW w:w="1367" w:type="dxa"/>
            <w:tcBorders>
              <w:top w:val="single" w:sz="4" w:space="0" w:color="5B9BD4"/>
              <w:left w:val="nil" w:sz="6" w:space="0" w:color="auto"/>
              <w:bottom w:val="single" w:sz="4" w:space="0" w:color="5B9BD4"/>
              <w:right w:val="nil" w:sz="6" w:space="0" w:color="auto"/>
            </w:tcBorders>
          </w:tcPr>
          <w:p>
            <w:pP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8"/>
              <w:ind w:left="212" w:right="0"/>
              <w:jc w:val="left"/>
              <w:rPr>
                <w:rFonts w:ascii="Arial" w:hAnsi="Arial" w:cs="Arial" w:eastAsia="Arial" w:hint="default"/>
                <w:sz w:val="18"/>
                <w:szCs w:val="18"/>
              </w:rPr>
            </w:pPr>
            <w:r>
              <w:rPr>
                <w:rFonts w:ascii="Arial"/>
                <w:sz w:val="18"/>
              </w:rPr>
              <w:t>3,658,019.16</w:t>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15、长期待摊费用" w:id="319"/>
      <w:bookmarkEnd w:id="319"/>
      <w:r>
        <w:rPr>
          <w:b w:val="0"/>
          <w:bCs w:val="0"/>
        </w:rPr>
      </w:r>
      <w:r>
        <w:rPr>
          <w:rFonts w:ascii="Trebuchet MS" w:hAnsi="Trebuchet MS" w:cs="Trebuchet MS" w:eastAsia="Trebuchet MS" w:hint="default"/>
        </w:rPr>
        <w:t>15</w:t>
      </w:r>
      <w:r>
        <w:rPr/>
        <w:t>、长期待摊费用</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317" w:hRule="exact"/>
        </w:trPr>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3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25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256"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256"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3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8" w:hRule="exact"/>
        </w:trPr>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5B9BD4"/>
              <w:left w:val="nil" w:sz="6" w:space="0" w:color="auto"/>
              <w:bottom w:val="single" w:sz="4" w:space="0" w:color="5B9BD4"/>
              <w:right w:val="nil" w:sz="6" w:space="0" w:color="auto"/>
            </w:tcBorders>
          </w:tcPr>
          <w:p>
            <w:pPr>
              <w:pStyle w:val="TableParagraph"/>
              <w:spacing w:line="240" w:lineRule="auto" w:before="53"/>
              <w:ind w:right="105"/>
              <w:jc w:val="right"/>
              <w:rPr>
                <w:rFonts w:ascii="Arial" w:hAnsi="Arial" w:cs="Arial" w:eastAsia="Arial" w:hint="default"/>
                <w:sz w:val="18"/>
                <w:szCs w:val="18"/>
              </w:rPr>
            </w:pPr>
            <w:r>
              <w:rPr>
                <w:rFonts w:ascii="Arial"/>
                <w:w w:val="95"/>
                <w:sz w:val="18"/>
              </w:rPr>
              <w:t>28,952,716.16</w:t>
            </w:r>
            <w:r>
              <w:rPr>
                <w:rFonts w:ascii="Arial"/>
                <w:sz w:val="18"/>
              </w:rPr>
            </w:r>
          </w:p>
        </w:tc>
        <w:tc>
          <w:tcPr>
            <w:tcW w:w="15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3"/>
              <w:ind w:right="106"/>
              <w:jc w:val="right"/>
              <w:rPr>
                <w:rFonts w:ascii="Arial" w:hAnsi="Arial" w:cs="Arial" w:eastAsia="Arial" w:hint="default"/>
                <w:sz w:val="18"/>
                <w:szCs w:val="18"/>
              </w:rPr>
            </w:pPr>
            <w:r>
              <w:rPr>
                <w:rFonts w:ascii="Arial"/>
                <w:w w:val="95"/>
                <w:sz w:val="18"/>
              </w:rPr>
              <w:t>5,833,504.38</w:t>
            </w:r>
            <w:r>
              <w:rPr>
                <w:rFonts w:ascii="Arial"/>
                <w:sz w:val="18"/>
              </w:rPr>
            </w:r>
          </w:p>
        </w:tc>
        <w:tc>
          <w:tcPr>
            <w:tcW w:w="1594" w:type="dxa"/>
            <w:tcBorders>
              <w:top w:val="single" w:sz="4" w:space="0" w:color="5B9BD4"/>
              <w:left w:val="nil" w:sz="6" w:space="0" w:color="auto"/>
              <w:bottom w:val="single" w:sz="4" w:space="0" w:color="5B9BD4"/>
              <w:right w:val="nil" w:sz="6" w:space="0" w:color="auto"/>
            </w:tcBorders>
          </w:tcPr>
          <w:p>
            <w:pPr>
              <w:pStyle w:val="TableParagraph"/>
              <w:spacing w:line="240" w:lineRule="auto" w:before="53"/>
              <w:ind w:right="105"/>
              <w:jc w:val="right"/>
              <w:rPr>
                <w:rFonts w:ascii="Arial" w:hAnsi="Arial" w:cs="Arial" w:eastAsia="Arial" w:hint="default"/>
                <w:sz w:val="18"/>
                <w:szCs w:val="18"/>
              </w:rPr>
            </w:pPr>
            <w:r>
              <w:rPr>
                <w:rFonts w:ascii="Arial"/>
                <w:w w:val="95"/>
                <w:sz w:val="18"/>
              </w:rPr>
              <w:t>17,300,235.97</w:t>
            </w:r>
            <w:r>
              <w:rPr>
                <w:rFonts w:ascii="Arial"/>
                <w:sz w:val="18"/>
              </w:rPr>
            </w: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
        </w:tc>
        <w:tc>
          <w:tcPr>
            <w:tcW w:w="1595" w:type="dxa"/>
            <w:tcBorders>
              <w:top w:val="single" w:sz="4" w:space="0" w:color="5B9BD4"/>
              <w:left w:val="nil" w:sz="6" w:space="0" w:color="auto"/>
              <w:bottom w:val="single" w:sz="4" w:space="0" w:color="5B9BD4"/>
              <w:right w:val="nil" w:sz="6" w:space="0" w:color="auto"/>
            </w:tcBorders>
          </w:tcPr>
          <w:p>
            <w:pPr>
              <w:pStyle w:val="TableParagraph"/>
              <w:spacing w:line="240" w:lineRule="auto" w:before="53"/>
              <w:ind w:right="107"/>
              <w:jc w:val="right"/>
              <w:rPr>
                <w:rFonts w:ascii="Arial" w:hAnsi="Arial" w:cs="Arial" w:eastAsia="Arial" w:hint="default"/>
                <w:sz w:val="18"/>
                <w:szCs w:val="18"/>
              </w:rPr>
            </w:pPr>
            <w:r>
              <w:rPr>
                <w:rFonts w:ascii="Arial"/>
                <w:w w:val="95"/>
                <w:sz w:val="18"/>
              </w:rPr>
              <w:t>17,485,984.57</w:t>
            </w:r>
            <w:r>
              <w:rPr>
                <w:rFonts w:ascii="Arial"/>
                <w:sz w:val="18"/>
              </w:rPr>
            </w:r>
          </w:p>
        </w:tc>
      </w:tr>
      <w:tr>
        <w:trPr>
          <w:trHeight w:val="322" w:hRule="exact"/>
        </w:trPr>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1,663,270.39</w:t>
            </w:r>
            <w:r>
              <w:rPr>
                <w:rFonts w:ascii="Arial"/>
                <w:sz w:val="18"/>
              </w:rPr>
            </w:r>
          </w:p>
        </w:tc>
        <w:tc>
          <w:tcPr>
            <w:tcW w:w="15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1,110,013.02</w:t>
            </w:r>
            <w:r>
              <w:rPr>
                <w:rFonts w:ascii="Arial"/>
                <w:sz w:val="18"/>
              </w:rPr>
            </w:r>
          </w:p>
        </w:tc>
        <w:tc>
          <w:tcPr>
            <w:tcW w:w="15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2,344,714.39</w:t>
            </w:r>
            <w:r>
              <w:rPr>
                <w:rFonts w:ascii="Arial"/>
                <w:sz w:val="18"/>
              </w:rPr>
            </w: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
        </w:tc>
        <w:tc>
          <w:tcPr>
            <w:tcW w:w="1595"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428,569.02</w:t>
            </w:r>
            <w:r>
              <w:rPr>
                <w:rFonts w:ascii="Arial"/>
                <w:sz w:val="18"/>
              </w:rPr>
            </w:r>
          </w:p>
        </w:tc>
      </w:tr>
      <w:tr>
        <w:trPr>
          <w:trHeight w:val="323" w:hRule="exact"/>
        </w:trPr>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30,615,986.55</w:t>
            </w:r>
            <w:r>
              <w:rPr>
                <w:rFonts w:ascii="Arial"/>
                <w:sz w:val="18"/>
              </w:rPr>
            </w:r>
          </w:p>
        </w:tc>
        <w:tc>
          <w:tcPr>
            <w:tcW w:w="15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6,943,517.40</w:t>
            </w:r>
            <w:r>
              <w:rPr>
                <w:rFonts w:ascii="Arial"/>
                <w:sz w:val="18"/>
              </w:rPr>
            </w:r>
          </w:p>
        </w:tc>
        <w:tc>
          <w:tcPr>
            <w:tcW w:w="15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19,644,950.36</w:t>
            </w:r>
            <w:r>
              <w:rPr>
                <w:rFonts w:ascii="Arial"/>
                <w:sz w:val="18"/>
              </w:rPr>
            </w: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
        </w:tc>
        <w:tc>
          <w:tcPr>
            <w:tcW w:w="1595"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17,914,553.59</w:t>
            </w:r>
            <w:r>
              <w:rPr>
                <w:rFonts w:ascii="Arial"/>
                <w:sz w:val="18"/>
              </w:rPr>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16、递延所得税资产/递延所得税负债" w:id="320"/>
      <w:bookmarkEnd w:id="320"/>
      <w:r>
        <w:rPr>
          <w:b w:val="0"/>
          <w:bCs w:val="0"/>
        </w:rPr>
      </w:r>
      <w:r>
        <w:rPr>
          <w:rFonts w:ascii="Trebuchet MS" w:hAnsi="Trebuchet MS" w:cs="Trebuchet MS" w:eastAsia="Trebuchet MS" w:hint="default"/>
        </w:rPr>
        <w:t>16</w:t>
      </w:r>
      <w:r>
        <w:rPr/>
        <w:t>、递延所得税资产</w:t>
      </w:r>
      <w:r>
        <w:rPr>
          <w:rFonts w:ascii="Trebuchet MS" w:hAnsi="Trebuchet MS" w:cs="Trebuchet MS" w:eastAsia="Trebuchet MS"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spacing w:before="0"/>
        <w:ind w:left="636" w:right="1513" w:firstLine="0"/>
        <w:jc w:val="left"/>
        <w:rPr>
          <w:rFonts w:ascii="宋体" w:hAnsi="宋体" w:cs="宋体" w:eastAsia="宋体" w:hint="default"/>
          <w:sz w:val="21"/>
          <w:szCs w:val="21"/>
        </w:rPr>
      </w:pPr>
      <w:bookmarkStart w:name="（1）未经抵销的递延所得税资产" w:id="321"/>
      <w:bookmarkEnd w:id="321"/>
      <w:r>
        <w:rPr/>
      </w:r>
      <w:r>
        <w:rPr>
          <w:rFonts w:ascii="宋体" w:hAnsi="宋体" w:cs="宋体" w:eastAsia="宋体" w:hint="default"/>
          <w:b/>
          <w:bCs/>
          <w:sz w:val="21"/>
          <w:szCs w:val="21"/>
        </w:rPr>
        <w:t>（</w:t>
      </w:r>
      <w:r>
        <w:rPr>
          <w:rFonts w:ascii="Trebuchet MS" w:hAnsi="Trebuchet MS" w:cs="Trebuchet MS" w:eastAsia="Trebuchet MS"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322" w:hRule="exact"/>
        </w:trPr>
        <w:tc>
          <w:tcPr>
            <w:tcW w:w="1912"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17" w:hRule="exact"/>
        </w:trPr>
        <w:tc>
          <w:tcPr>
            <w:tcW w:w="1912" w:type="dxa"/>
            <w:vMerge/>
            <w:tcBorders>
              <w:left w:val="nil" w:sz="6" w:space="0" w:color="auto"/>
              <w:bottom w:val="single" w:sz="4" w:space="0" w:color="5B9BD4"/>
              <w:right w:val="nil" w:sz="6" w:space="0" w:color="auto"/>
            </w:tcBorders>
            <w:shd w:val="clear" w:color="auto" w:fill="DEEAF6"/>
          </w:tcPr>
          <w:p>
            <w:pPr/>
          </w:p>
        </w:tc>
        <w:tc>
          <w:tcPr>
            <w:tcW w:w="191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237"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326"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236"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326"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326" w:hRule="exact"/>
        </w:trPr>
        <w:tc>
          <w:tcPr>
            <w:tcW w:w="191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w w:val="95"/>
                <w:sz w:val="18"/>
              </w:rPr>
              <w:t>139,474,860.28</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2"/>
              <w:ind w:right="105"/>
              <w:jc w:val="right"/>
              <w:rPr>
                <w:rFonts w:ascii="Arial" w:hAnsi="Arial" w:cs="Arial" w:eastAsia="Arial" w:hint="default"/>
                <w:sz w:val="18"/>
                <w:szCs w:val="18"/>
              </w:rPr>
            </w:pPr>
            <w:r>
              <w:rPr>
                <w:rFonts w:ascii="Arial"/>
                <w:w w:val="95"/>
                <w:sz w:val="18"/>
              </w:rPr>
              <w:t>34,494,270.83</w:t>
            </w:r>
            <w:r>
              <w:rPr>
                <w:rFonts w:ascii="Arial"/>
                <w:sz w:val="18"/>
              </w:rPr>
            </w:r>
          </w:p>
        </w:tc>
        <w:tc>
          <w:tcPr>
            <w:tcW w:w="1914"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right="106"/>
              <w:jc w:val="right"/>
              <w:rPr>
                <w:rFonts w:ascii="Arial" w:hAnsi="Arial" w:cs="Arial" w:eastAsia="Arial" w:hint="default"/>
                <w:sz w:val="18"/>
                <w:szCs w:val="18"/>
              </w:rPr>
            </w:pPr>
            <w:r>
              <w:rPr>
                <w:rFonts w:ascii="Arial"/>
                <w:w w:val="95"/>
                <w:sz w:val="18"/>
              </w:rPr>
              <w:t>139,560,685.96</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2"/>
              <w:ind w:right="105"/>
              <w:jc w:val="right"/>
              <w:rPr>
                <w:rFonts w:ascii="Arial" w:hAnsi="Arial" w:cs="Arial" w:eastAsia="Arial" w:hint="default"/>
                <w:sz w:val="18"/>
                <w:szCs w:val="18"/>
              </w:rPr>
            </w:pPr>
            <w:r>
              <w:rPr>
                <w:rFonts w:ascii="Arial"/>
                <w:w w:val="95"/>
                <w:sz w:val="18"/>
              </w:rPr>
              <w:t>34,567,585.03</w:t>
            </w:r>
            <w:r>
              <w:rPr>
                <w:rFonts w:ascii="Arial"/>
                <w:sz w:val="18"/>
              </w:rPr>
            </w:r>
          </w:p>
        </w:tc>
      </w:tr>
      <w:tr>
        <w:trPr>
          <w:trHeight w:val="323" w:hRule="exact"/>
        </w:trPr>
        <w:tc>
          <w:tcPr>
            <w:tcW w:w="191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12,043,786.68</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3,010,946.67</w:t>
            </w:r>
            <w:r>
              <w:rPr>
                <w:rFonts w:ascii="Arial"/>
                <w:sz w:val="18"/>
              </w:rPr>
            </w:r>
          </w:p>
        </w:tc>
        <w:tc>
          <w:tcPr>
            <w:tcW w:w="191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26,777,707.20</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6,694,426.80</w:t>
            </w:r>
            <w:r>
              <w:rPr>
                <w:rFonts w:ascii="Arial"/>
                <w:sz w:val="18"/>
              </w:rPr>
            </w:r>
          </w:p>
        </w:tc>
      </w:tr>
      <w:tr>
        <w:trPr>
          <w:trHeight w:val="322" w:hRule="exact"/>
        </w:trPr>
        <w:tc>
          <w:tcPr>
            <w:tcW w:w="191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467,443,411.98</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115,751,892.99</w:t>
            </w:r>
            <w:r>
              <w:rPr>
                <w:rFonts w:ascii="Arial"/>
                <w:sz w:val="18"/>
              </w:rPr>
            </w:r>
          </w:p>
        </w:tc>
        <w:tc>
          <w:tcPr>
            <w:tcW w:w="191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386,198,160.70</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95,407,188.22</w:t>
            </w:r>
            <w:r>
              <w:rPr>
                <w:rFonts w:ascii="Arial"/>
                <w:sz w:val="18"/>
              </w:rPr>
            </w:r>
          </w:p>
        </w:tc>
      </w:tr>
      <w:tr>
        <w:trPr>
          <w:trHeight w:val="634" w:hRule="exact"/>
        </w:trPr>
        <w:tc>
          <w:tcPr>
            <w:tcW w:w="191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83"/>
              <w:jc w:val="left"/>
              <w:rPr>
                <w:rFonts w:ascii="宋体" w:hAnsi="宋体" w:cs="宋体" w:eastAsia="宋体" w:hint="default"/>
                <w:sz w:val="18"/>
                <w:szCs w:val="18"/>
              </w:rPr>
            </w:pPr>
            <w:r>
              <w:rPr>
                <w:rFonts w:ascii="宋体" w:hAnsi="宋体" w:cs="宋体" w:eastAsia="宋体" w:hint="default"/>
                <w:sz w:val="18"/>
                <w:szCs w:val="18"/>
              </w:rPr>
              <w:t>交易性金融资产的公 允价值变动</w:t>
            </w:r>
          </w:p>
        </w:tc>
        <w:tc>
          <w:tcPr>
            <w:tcW w:w="1916" w:type="dxa"/>
            <w:tcBorders>
              <w:top w:val="single" w:sz="4" w:space="0" w:color="5B9BD4"/>
              <w:left w:val="nil" w:sz="6" w:space="0" w:color="auto"/>
              <w:bottom w:val="single" w:sz="4" w:space="0" w:color="5B9BD4"/>
              <w:right w:val="nil" w:sz="6" w:space="0" w:color="auto"/>
            </w:tcBorders>
          </w:tcPr>
          <w:p>
            <w:pP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
        </w:tc>
        <w:tc>
          <w:tcPr>
            <w:tcW w:w="1914"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1,968,458.40</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492,114.60</w:t>
            </w:r>
            <w:r>
              <w:rPr>
                <w:rFonts w:ascii="Arial"/>
                <w:sz w:val="18"/>
              </w:rPr>
            </w:r>
          </w:p>
        </w:tc>
      </w:tr>
      <w:tr>
        <w:trPr>
          <w:trHeight w:val="322" w:hRule="exact"/>
        </w:trPr>
        <w:tc>
          <w:tcPr>
            <w:tcW w:w="191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应收账款销售价保</w:t>
            </w:r>
          </w:p>
        </w:tc>
        <w:tc>
          <w:tcPr>
            <w:tcW w:w="191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20,835,463.01</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5,208,865.75</w:t>
            </w:r>
            <w:r>
              <w:rPr>
                <w:rFonts w:ascii="Arial"/>
                <w:sz w:val="18"/>
              </w:rPr>
            </w:r>
          </w:p>
        </w:tc>
        <w:tc>
          <w:tcPr>
            <w:tcW w:w="191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11,174,809.04</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2,793,702.26</w:t>
            </w:r>
            <w:r>
              <w:rPr>
                <w:rFonts w:ascii="Arial"/>
                <w:sz w:val="18"/>
              </w:rPr>
            </w:r>
          </w:p>
        </w:tc>
      </w:tr>
      <w:tr>
        <w:trPr>
          <w:trHeight w:val="322" w:hRule="exact"/>
        </w:trPr>
        <w:tc>
          <w:tcPr>
            <w:tcW w:w="191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6" w:type="dxa"/>
            <w:tcBorders>
              <w:top w:val="single" w:sz="4" w:space="0" w:color="5B9BD4"/>
              <w:left w:val="nil" w:sz="6" w:space="0" w:color="auto"/>
              <w:bottom w:val="single" w:sz="4" w:space="0" w:color="5B9BD4"/>
              <w:right w:val="nil" w:sz="6" w:space="0" w:color="auto"/>
            </w:tcBorders>
          </w:tcPr>
          <w:p>
            <w:pP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
        </w:tc>
        <w:tc>
          <w:tcPr>
            <w:tcW w:w="191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8,325,825.12</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2,081,456.28</w:t>
            </w:r>
            <w:r>
              <w:rPr>
                <w:rFonts w:ascii="Arial"/>
                <w:sz w:val="18"/>
              </w:rPr>
            </w:r>
          </w:p>
        </w:tc>
      </w:tr>
      <w:tr>
        <w:trPr>
          <w:trHeight w:val="322" w:hRule="exact"/>
        </w:trPr>
        <w:tc>
          <w:tcPr>
            <w:tcW w:w="191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6" w:type="dxa"/>
            <w:tcBorders>
              <w:top w:val="single" w:sz="4" w:space="0" w:color="5B9BD4"/>
              <w:left w:val="nil" w:sz="6" w:space="0" w:color="auto"/>
              <w:bottom w:val="single" w:sz="4" w:space="0" w:color="5B9BD4"/>
              <w:right w:val="nil" w:sz="6" w:space="0" w:color="auto"/>
            </w:tcBorders>
          </w:tcPr>
          <w:p>
            <w:pP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
        </w:tc>
        <w:tc>
          <w:tcPr>
            <w:tcW w:w="191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3,772,757.00</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918,189.25</w:t>
            </w:r>
            <w:r>
              <w:rPr>
                <w:rFonts w:ascii="Arial"/>
                <w:sz w:val="18"/>
              </w:rPr>
            </w:r>
          </w:p>
        </w:tc>
      </w:tr>
      <w:tr>
        <w:trPr>
          <w:trHeight w:val="323" w:hRule="exact"/>
        </w:trPr>
        <w:tc>
          <w:tcPr>
            <w:tcW w:w="191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639,797,521.95</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158,465,976.24</w:t>
            </w:r>
            <w:r>
              <w:rPr>
                <w:rFonts w:ascii="Arial"/>
                <w:sz w:val="18"/>
              </w:rPr>
            </w:r>
          </w:p>
        </w:tc>
        <w:tc>
          <w:tcPr>
            <w:tcW w:w="191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577,778,403.42</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142,954,662.44</w:t>
            </w:r>
            <w:r>
              <w:rPr>
                <w:rFonts w:ascii="Arial"/>
                <w:sz w:val="18"/>
              </w:rPr>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2）未经抵销的递延所得税负债" w:id="322"/>
      <w:bookmarkEnd w:id="322"/>
      <w:r>
        <w:rPr>
          <w:b w:val="0"/>
          <w:bCs w:val="0"/>
        </w:rPr>
      </w:r>
      <w:r>
        <w:rPr/>
        <w:t>（</w:t>
      </w:r>
      <w:r>
        <w:rPr>
          <w:rFonts w:ascii="Trebuchet MS" w:hAnsi="Trebuchet MS" w:cs="Trebuchet MS" w:eastAsia="Trebuchet MS" w:hint="default"/>
        </w:rPr>
        <w:t>2</w:t>
      </w:r>
      <w:r>
        <w:rPr/>
        <w:t>）未经抵销的递延所得税负债</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322" w:hRule="exact"/>
        </w:trPr>
        <w:tc>
          <w:tcPr>
            <w:tcW w:w="1912"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659" w:type="dxa"/>
            <w:gridSpan w:val="4"/>
            <w:tcBorders>
              <w:top w:val="single" w:sz="4" w:space="0" w:color="5B9BD4"/>
              <w:left w:val="nil" w:sz="6" w:space="0" w:color="auto"/>
              <w:bottom w:val="single" w:sz="4" w:space="0" w:color="5B9BD4"/>
              <w:right w:val="nil" w:sz="6" w:space="0" w:color="auto"/>
            </w:tcBorders>
            <w:shd w:val="clear" w:color="auto" w:fill="DEEAF6"/>
          </w:tcPr>
          <w:p>
            <w:pPr>
              <w:pStyle w:val="TableParagraph"/>
              <w:tabs>
                <w:tab w:pos="5385" w:val="left" w:leader="none"/>
              </w:tabs>
              <w:spacing w:line="240" w:lineRule="auto" w:before="5"/>
              <w:ind w:left="1555" w:right="0"/>
              <w:jc w:val="left"/>
              <w:rPr>
                <w:rFonts w:ascii="宋体" w:hAnsi="宋体" w:cs="宋体" w:eastAsia="宋体" w:hint="default"/>
                <w:sz w:val="18"/>
                <w:szCs w:val="18"/>
              </w:rPr>
            </w:pPr>
            <w:r>
              <w:rPr>
                <w:rFonts w:ascii="宋体" w:hAnsi="宋体" w:cs="宋体" w:eastAsia="宋体" w:hint="default"/>
                <w:sz w:val="18"/>
                <w:szCs w:val="18"/>
              </w:rPr>
              <w:t>期末余额</w:t>
              <w:tab/>
              <w:t>期初余额</w:t>
            </w:r>
          </w:p>
        </w:tc>
      </w:tr>
      <w:tr>
        <w:trPr>
          <w:trHeight w:val="317" w:hRule="exact"/>
        </w:trPr>
        <w:tc>
          <w:tcPr>
            <w:tcW w:w="1912" w:type="dxa"/>
            <w:vMerge/>
            <w:tcBorders>
              <w:left w:val="nil" w:sz="6" w:space="0" w:color="auto"/>
              <w:bottom w:val="single" w:sz="4" w:space="0" w:color="5B9BD4"/>
              <w:right w:val="nil" w:sz="6" w:space="0" w:color="auto"/>
            </w:tcBorders>
            <w:shd w:val="clear" w:color="auto" w:fill="DEEAF6"/>
          </w:tcPr>
          <w:p>
            <w:pPr/>
          </w:p>
        </w:tc>
        <w:tc>
          <w:tcPr>
            <w:tcW w:w="7659" w:type="dxa"/>
            <w:gridSpan w:val="4"/>
            <w:tcBorders>
              <w:top w:val="single" w:sz="4" w:space="0" w:color="5B9BD4"/>
              <w:left w:val="nil" w:sz="6" w:space="0" w:color="auto"/>
              <w:bottom w:val="single" w:sz="4" w:space="0" w:color="5B9BD4"/>
              <w:right w:val="nil" w:sz="6" w:space="0" w:color="auto"/>
            </w:tcBorders>
            <w:shd w:val="clear" w:color="auto" w:fill="DEEAF6"/>
          </w:tcPr>
          <w:p>
            <w:pPr>
              <w:pStyle w:val="TableParagraph"/>
              <w:tabs>
                <w:tab w:pos="2243" w:val="left" w:leader="none"/>
                <w:tab w:pos="4067" w:val="left" w:leader="none"/>
                <w:tab w:pos="6071" w:val="left" w:leader="none"/>
              </w:tabs>
              <w:spacing w:line="240" w:lineRule="auto" w:before="5"/>
              <w:ind w:left="237" w:right="0"/>
              <w:jc w:val="left"/>
              <w:rPr>
                <w:rFonts w:ascii="宋体" w:hAnsi="宋体" w:cs="宋体" w:eastAsia="宋体" w:hint="default"/>
                <w:sz w:val="18"/>
                <w:szCs w:val="18"/>
              </w:rPr>
            </w:pPr>
            <w:r>
              <w:rPr>
                <w:rFonts w:ascii="宋体" w:hAnsi="宋体" w:cs="宋体" w:eastAsia="宋体" w:hint="default"/>
                <w:sz w:val="18"/>
                <w:szCs w:val="18"/>
              </w:rPr>
              <w:t>应纳税暂时性差异</w:t>
              <w:tab/>
              <w:t>递延所得税负债</w:t>
              <w:tab/>
              <w:t>应纳税暂时性差异</w:t>
              <w:tab/>
              <w:t>递延所得税负债</w:t>
            </w:r>
          </w:p>
        </w:tc>
      </w:tr>
      <w:tr>
        <w:trPr>
          <w:trHeight w:val="640" w:hRule="exact"/>
        </w:trPr>
        <w:tc>
          <w:tcPr>
            <w:tcW w:w="191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11"/>
              <w:ind w:left="108" w:right="183"/>
              <w:jc w:val="left"/>
              <w:rPr>
                <w:rFonts w:ascii="宋体" w:hAnsi="宋体" w:cs="宋体" w:eastAsia="宋体" w:hint="default"/>
                <w:sz w:val="18"/>
                <w:szCs w:val="18"/>
              </w:rPr>
            </w:pPr>
            <w:r>
              <w:rPr>
                <w:rFonts w:ascii="宋体" w:hAnsi="宋体" w:cs="宋体" w:eastAsia="宋体" w:hint="default"/>
                <w:sz w:val="18"/>
                <w:szCs w:val="18"/>
              </w:rPr>
              <w:t>交易性金融资产公允 价值变动</w:t>
            </w:r>
          </w:p>
        </w:tc>
        <w:tc>
          <w:tcPr>
            <w:tcW w:w="1916" w:type="dxa"/>
            <w:tcBorders>
              <w:top w:val="single" w:sz="4" w:space="0" w:color="5B9BD4"/>
              <w:left w:val="nil" w:sz="6" w:space="0" w:color="auto"/>
              <w:bottom w:val="single" w:sz="4" w:space="0" w:color="5B9BD4"/>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21,117,184.28</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5,279,296.07</w:t>
            </w:r>
            <w:r>
              <w:rPr>
                <w:rFonts w:ascii="Arial"/>
                <w:sz w:val="18"/>
              </w:rPr>
            </w:r>
          </w:p>
        </w:tc>
        <w:tc>
          <w:tcPr>
            <w:tcW w:w="1914" w:type="dxa"/>
            <w:tcBorders>
              <w:top w:val="single" w:sz="4" w:space="0" w:color="5B9BD4"/>
              <w:left w:val="nil" w:sz="6" w:space="0" w:color="auto"/>
              <w:bottom w:val="single" w:sz="4" w:space="0" w:color="5B9BD4"/>
              <w:right w:val="nil" w:sz="6" w:space="0" w:color="auto"/>
            </w:tcBorders>
          </w:tcPr>
          <w:p>
            <w:pP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4" w:hRule="exact"/>
        </w:trPr>
        <w:tc>
          <w:tcPr>
            <w:tcW w:w="191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83"/>
              <w:jc w:val="left"/>
              <w:rPr>
                <w:rFonts w:ascii="宋体" w:hAnsi="宋体" w:cs="宋体" w:eastAsia="宋体" w:hint="default"/>
                <w:sz w:val="18"/>
                <w:szCs w:val="18"/>
              </w:rPr>
            </w:pPr>
            <w:r>
              <w:rPr>
                <w:rFonts w:ascii="宋体" w:hAnsi="宋体" w:cs="宋体" w:eastAsia="宋体" w:hint="default"/>
                <w:sz w:val="18"/>
                <w:szCs w:val="18"/>
              </w:rPr>
              <w:t>非同一控制下企业合 并资产评估增值</w:t>
            </w:r>
          </w:p>
        </w:tc>
        <w:tc>
          <w:tcPr>
            <w:tcW w:w="1916" w:type="dxa"/>
            <w:tcBorders>
              <w:top w:val="single" w:sz="4" w:space="0" w:color="5B9BD4"/>
              <w:left w:val="nil" w:sz="6" w:space="0" w:color="auto"/>
              <w:bottom w:val="single" w:sz="4" w:space="0" w:color="5B9BD4"/>
              <w:right w:val="nil" w:sz="6" w:space="0" w:color="auto"/>
            </w:tcBorders>
          </w:tcPr>
          <w:p>
            <w:pP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
        </w:tc>
        <w:tc>
          <w:tcPr>
            <w:tcW w:w="1914"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360,350.04</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45,043.75</w:t>
            </w:r>
            <w:r>
              <w:rPr>
                <w:rFonts w:ascii="Arial"/>
                <w:sz w:val="18"/>
              </w:rPr>
            </w:r>
          </w:p>
        </w:tc>
      </w:tr>
      <w:tr>
        <w:trPr>
          <w:trHeight w:val="323" w:hRule="exact"/>
        </w:trPr>
        <w:tc>
          <w:tcPr>
            <w:tcW w:w="191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21,117,184.28</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5,279,296.07</w:t>
            </w:r>
            <w:r>
              <w:rPr>
                <w:rFonts w:ascii="Arial"/>
                <w:sz w:val="18"/>
              </w:rPr>
            </w:r>
          </w:p>
        </w:tc>
        <w:tc>
          <w:tcPr>
            <w:tcW w:w="191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360,350.04</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45,043.75</w:t>
            </w:r>
            <w:r>
              <w:rPr>
                <w:rFonts w:ascii="Arial"/>
                <w:sz w:val="18"/>
              </w:rPr>
            </w:r>
          </w:p>
        </w:tc>
      </w:tr>
    </w:tbl>
    <w:p>
      <w:pPr>
        <w:spacing w:after="0" w:line="240" w:lineRule="auto"/>
        <w:jc w:val="right"/>
        <w:rPr>
          <w:rFonts w:ascii="Arial" w:hAnsi="Arial" w:cs="Arial" w:eastAsia="Arial" w:hint="default"/>
          <w:sz w:val="18"/>
          <w:szCs w:val="18"/>
        </w:rPr>
        <w:sectPr>
          <w:pgSz w:w="11910" w:h="16840"/>
          <w:pgMar w:header="877" w:footer="979" w:top="1100" w:bottom="1160" w:left="920" w:right="0"/>
        </w:sectPr>
      </w:pPr>
    </w:p>
    <w:p>
      <w:pPr>
        <w:spacing w:line="240" w:lineRule="auto" w:before="5"/>
        <w:rPr>
          <w:rFonts w:ascii="宋体" w:hAnsi="宋体" w:cs="宋体" w:eastAsia="宋体" w:hint="default"/>
          <w:sz w:val="20"/>
          <w:szCs w:val="20"/>
        </w:rPr>
      </w:pPr>
    </w:p>
    <w:p>
      <w:pPr>
        <w:pStyle w:val="Heading5"/>
        <w:spacing w:line="240" w:lineRule="auto"/>
        <w:ind w:right="1513"/>
        <w:jc w:val="left"/>
        <w:rPr>
          <w:b w:val="0"/>
          <w:bCs w:val="0"/>
        </w:rPr>
      </w:pPr>
      <w:bookmarkStart w:name="（3）以抵销后净额列示的递延所得税资产或负债" w:id="323"/>
      <w:bookmarkEnd w:id="323"/>
      <w:r>
        <w:rPr>
          <w:b w:val="0"/>
          <w:bCs w:val="0"/>
        </w:rPr>
      </w:r>
      <w:r>
        <w:rPr/>
        <w:t>（</w:t>
      </w:r>
      <w:r>
        <w:rPr>
          <w:rFonts w:ascii="Trebuchet MS" w:hAnsi="Trebuchet MS" w:cs="Trebuchet MS" w:eastAsia="Trebuchet MS" w:hint="default"/>
        </w:rPr>
        <w:t>3</w:t>
      </w:r>
      <w:r>
        <w:rPr/>
        <w:t>）以抵销后净额列示的递延所得税资产或负债</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629" w:hRule="exact"/>
        </w:trPr>
        <w:tc>
          <w:tcPr>
            <w:tcW w:w="9571" w:type="dxa"/>
            <w:gridSpan w:val="5"/>
            <w:tcBorders>
              <w:top w:val="single" w:sz="4" w:space="0" w:color="5B9BD4"/>
              <w:left w:val="nil" w:sz="6" w:space="0" w:color="auto"/>
              <w:bottom w:val="single" w:sz="4" w:space="0" w:color="5B9BD4"/>
              <w:right w:val="nil" w:sz="6" w:space="0" w:color="auto"/>
            </w:tcBorders>
            <w:shd w:val="clear" w:color="auto" w:fill="DEEAF6"/>
          </w:tcPr>
          <w:p>
            <w:pPr>
              <w:pStyle w:val="TableParagraph"/>
              <w:tabs>
                <w:tab w:pos="3827" w:val="left" w:leader="none"/>
                <w:tab w:pos="5741" w:val="left" w:leader="none"/>
                <w:tab w:pos="7655" w:val="left" w:leader="none"/>
              </w:tabs>
              <w:spacing w:line="196" w:lineRule="exact" w:before="5"/>
              <w:ind w:left="1912" w:right="0"/>
              <w:jc w:val="center"/>
              <w:rPr>
                <w:rFonts w:ascii="宋体" w:hAnsi="宋体" w:cs="宋体" w:eastAsia="宋体" w:hint="default"/>
                <w:sz w:val="18"/>
                <w:szCs w:val="18"/>
              </w:rPr>
            </w:pPr>
            <w:r>
              <w:rPr>
                <w:rFonts w:ascii="宋体" w:hAnsi="宋体" w:cs="宋体" w:eastAsia="宋体" w:hint="default"/>
                <w:sz w:val="18"/>
                <w:szCs w:val="18"/>
              </w:rPr>
              <w:t>递延所得税资产和负</w:t>
              <w:tab/>
              <w:t>抵销后递延所得税资</w:t>
              <w:tab/>
              <w:t>递延所得税资产和负</w:t>
              <w:tab/>
              <w:t>抵销后递延所得税资</w:t>
            </w:r>
          </w:p>
          <w:p>
            <w:pPr>
              <w:pStyle w:val="TableParagraph"/>
              <w:spacing w:line="156" w:lineRule="exact"/>
              <w:ind w:left="775" w:right="0"/>
              <w:jc w:val="left"/>
              <w:rPr>
                <w:rFonts w:ascii="宋体" w:hAnsi="宋体" w:cs="宋体" w:eastAsia="宋体" w:hint="default"/>
                <w:sz w:val="18"/>
                <w:szCs w:val="18"/>
              </w:rPr>
            </w:pPr>
            <w:r>
              <w:rPr>
                <w:rFonts w:ascii="宋体" w:hAnsi="宋体" w:cs="宋体" w:eastAsia="宋体" w:hint="default"/>
                <w:sz w:val="18"/>
                <w:szCs w:val="18"/>
              </w:rPr>
              <w:t>项目</w:t>
            </w:r>
          </w:p>
          <w:p>
            <w:pPr>
              <w:pStyle w:val="TableParagraph"/>
              <w:tabs>
                <w:tab w:pos="3827" w:val="left" w:leader="none"/>
                <w:tab w:pos="5831" w:val="left" w:leader="none"/>
                <w:tab w:pos="7655" w:val="left" w:leader="none"/>
              </w:tabs>
              <w:spacing w:line="196" w:lineRule="exact"/>
              <w:ind w:left="2002" w:right="0"/>
              <w:jc w:val="center"/>
              <w:rPr>
                <w:rFonts w:ascii="宋体" w:hAnsi="宋体" w:cs="宋体" w:eastAsia="宋体" w:hint="default"/>
                <w:sz w:val="18"/>
                <w:szCs w:val="18"/>
              </w:rPr>
            </w:pPr>
            <w:r>
              <w:rPr>
                <w:rFonts w:ascii="宋体" w:hAnsi="宋体" w:cs="宋体" w:eastAsia="宋体" w:hint="default"/>
                <w:sz w:val="18"/>
                <w:szCs w:val="18"/>
              </w:rPr>
              <w:t>债期末互抵金额</w:t>
              <w:tab/>
              <w:t>产或负债期末余额</w:t>
              <w:tab/>
              <w:t>债期初互抵金额</w:t>
              <w:tab/>
              <w:t>产或负债期初余额</w:t>
            </w:r>
          </w:p>
        </w:tc>
      </w:tr>
      <w:tr>
        <w:trPr>
          <w:trHeight w:val="328" w:hRule="exact"/>
        </w:trPr>
        <w:tc>
          <w:tcPr>
            <w:tcW w:w="191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5B9BD4"/>
              <w:left w:val="nil" w:sz="6" w:space="0" w:color="auto"/>
              <w:bottom w:val="single" w:sz="4" w:space="0" w:color="5B9BD4"/>
              <w:right w:val="nil" w:sz="6" w:space="0" w:color="auto"/>
            </w:tcBorders>
          </w:tcPr>
          <w:p>
            <w:pP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3"/>
              <w:ind w:right="105"/>
              <w:jc w:val="right"/>
              <w:rPr>
                <w:rFonts w:ascii="Arial" w:hAnsi="Arial" w:cs="Arial" w:eastAsia="Arial" w:hint="default"/>
                <w:sz w:val="18"/>
                <w:szCs w:val="18"/>
              </w:rPr>
            </w:pPr>
            <w:r>
              <w:rPr>
                <w:rFonts w:ascii="Arial"/>
                <w:w w:val="95"/>
                <w:sz w:val="18"/>
              </w:rPr>
              <w:t>158,465,976.24</w:t>
            </w:r>
            <w:r>
              <w:rPr>
                <w:rFonts w:ascii="Arial"/>
                <w:sz w:val="18"/>
              </w:rPr>
            </w:r>
          </w:p>
        </w:tc>
        <w:tc>
          <w:tcPr>
            <w:tcW w:w="1914" w:type="dxa"/>
            <w:tcBorders>
              <w:top w:val="single" w:sz="4" w:space="0" w:color="5B9BD4"/>
              <w:left w:val="nil" w:sz="6" w:space="0" w:color="auto"/>
              <w:bottom w:val="single" w:sz="4" w:space="0" w:color="5B9BD4"/>
              <w:right w:val="nil" w:sz="6" w:space="0" w:color="auto"/>
            </w:tcBorders>
          </w:tcPr>
          <w:p>
            <w:pP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3"/>
              <w:ind w:right="105"/>
              <w:jc w:val="right"/>
              <w:rPr>
                <w:rFonts w:ascii="Arial" w:hAnsi="Arial" w:cs="Arial" w:eastAsia="Arial" w:hint="default"/>
                <w:sz w:val="18"/>
                <w:szCs w:val="18"/>
              </w:rPr>
            </w:pPr>
            <w:r>
              <w:rPr>
                <w:rFonts w:ascii="Arial"/>
                <w:w w:val="95"/>
                <w:sz w:val="18"/>
              </w:rPr>
              <w:t>142,954,662.44</w:t>
            </w:r>
            <w:r>
              <w:rPr>
                <w:rFonts w:ascii="Arial"/>
                <w:sz w:val="18"/>
              </w:rPr>
            </w:r>
          </w:p>
        </w:tc>
      </w:tr>
      <w:tr>
        <w:trPr>
          <w:trHeight w:val="322" w:hRule="exact"/>
        </w:trPr>
        <w:tc>
          <w:tcPr>
            <w:tcW w:w="191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5B9BD4"/>
              <w:left w:val="nil" w:sz="6" w:space="0" w:color="auto"/>
              <w:bottom w:val="single" w:sz="4" w:space="0" w:color="5B9BD4"/>
              <w:right w:val="nil" w:sz="6" w:space="0" w:color="auto"/>
            </w:tcBorders>
          </w:tcPr>
          <w:p>
            <w:pP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5,279,296.07</w:t>
            </w:r>
            <w:r>
              <w:rPr>
                <w:rFonts w:ascii="Arial"/>
                <w:sz w:val="18"/>
              </w:rPr>
            </w:r>
          </w:p>
        </w:tc>
        <w:tc>
          <w:tcPr>
            <w:tcW w:w="1914" w:type="dxa"/>
            <w:tcBorders>
              <w:top w:val="single" w:sz="4" w:space="0" w:color="5B9BD4"/>
              <w:left w:val="nil" w:sz="6" w:space="0" w:color="auto"/>
              <w:bottom w:val="single" w:sz="4" w:space="0" w:color="5B9BD4"/>
              <w:right w:val="nil" w:sz="6" w:space="0" w:color="auto"/>
            </w:tcBorders>
          </w:tcPr>
          <w:p>
            <w:pP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45,043.75</w:t>
            </w:r>
            <w:r>
              <w:rPr>
                <w:rFonts w:ascii="Arial"/>
                <w:sz w:val="18"/>
              </w:rPr>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4）未确认递延所得税资产明细" w:id="324"/>
      <w:bookmarkEnd w:id="324"/>
      <w:r>
        <w:rPr>
          <w:b w:val="0"/>
          <w:bCs w:val="0"/>
        </w:rPr>
      </w:r>
      <w:r>
        <w:rPr/>
        <w:t>（</w:t>
      </w:r>
      <w:r>
        <w:rPr>
          <w:rFonts w:ascii="Trebuchet MS" w:hAnsi="Trebuchet MS" w:cs="Trebuchet MS" w:eastAsia="Trebuchet MS" w:hint="default"/>
        </w:rPr>
        <w:t>4</w:t>
      </w:r>
      <w:r>
        <w:rPr/>
        <w:t>）未确认递延所得税资产明细</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5"/>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188"/>
        <w:gridCol w:w="3194"/>
        <w:gridCol w:w="3189"/>
      </w:tblGrid>
      <w:tr>
        <w:trPr>
          <w:trHeight w:val="317"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6"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right="104"/>
              <w:jc w:val="right"/>
              <w:rPr>
                <w:rFonts w:ascii="Arial" w:hAnsi="Arial" w:cs="Arial" w:eastAsia="Arial" w:hint="default"/>
                <w:sz w:val="18"/>
                <w:szCs w:val="18"/>
              </w:rPr>
            </w:pPr>
            <w:r>
              <w:rPr>
                <w:rFonts w:ascii="Arial"/>
                <w:w w:val="95"/>
                <w:sz w:val="18"/>
              </w:rPr>
              <w:t>5,836,809.30</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50,534,678.90</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36,422,479.27</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spacing w:val="-1"/>
                <w:sz w:val="18"/>
              </w:rPr>
              <w:t>56,371,488.206</w:t>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36,422,479.27</w:t>
            </w:r>
            <w:r>
              <w:rPr>
                <w:rFonts w:ascii="Arial"/>
                <w:sz w:val="18"/>
              </w:rPr>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5）未确认递延所得税资产的可抵扣亏损将于以下年度到期" w:id="325"/>
      <w:bookmarkEnd w:id="325"/>
      <w:r>
        <w:rPr>
          <w:b w:val="0"/>
          <w:bCs w:val="0"/>
        </w:rPr>
      </w:r>
      <w:r>
        <w:rPr/>
        <w:t>（</w:t>
      </w:r>
      <w:r>
        <w:rPr>
          <w:rFonts w:ascii="Trebuchet MS" w:hAnsi="Trebuchet MS" w:cs="Trebuchet MS" w:eastAsia="Trebuchet MS" w:hint="default"/>
        </w:rPr>
        <w:t>5</w:t>
      </w:r>
      <w:r>
        <w:rPr/>
        <w:t>）未确认递延所得税资产的可抵扣亏损将于以下年度到期</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5"/>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2390"/>
        <w:gridCol w:w="2396"/>
        <w:gridCol w:w="2392"/>
        <w:gridCol w:w="2392"/>
      </w:tblGrid>
      <w:tr>
        <w:trPr>
          <w:trHeight w:val="317" w:hRule="exact"/>
        </w:trPr>
        <w:tc>
          <w:tcPr>
            <w:tcW w:w="23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26" w:hRule="exact"/>
        </w:trPr>
        <w:tc>
          <w:tcPr>
            <w:tcW w:w="23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left="108"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11"/>
                <w:sz w:val="18"/>
                <w:szCs w:val="18"/>
              </w:rPr>
              <w:t> </w:t>
            </w:r>
            <w:r>
              <w:rPr>
                <w:rFonts w:ascii="宋体" w:hAnsi="宋体" w:cs="宋体" w:eastAsia="宋体" w:hint="default"/>
                <w:sz w:val="18"/>
                <w:szCs w:val="18"/>
              </w:rPr>
              <w:t>年</w:t>
            </w:r>
          </w:p>
        </w:tc>
        <w:tc>
          <w:tcPr>
            <w:tcW w:w="2396"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w w:val="95"/>
                <w:sz w:val="18"/>
              </w:rPr>
              <w:t>1,858,233.53</w:t>
            </w:r>
            <w:r>
              <w:rPr>
                <w:rFonts w:ascii="Arial"/>
                <w:sz w:val="18"/>
              </w:rPr>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2"/>
              <w:ind w:right="105"/>
              <w:jc w:val="right"/>
              <w:rPr>
                <w:rFonts w:ascii="Arial" w:hAnsi="Arial" w:cs="Arial" w:eastAsia="Arial" w:hint="default"/>
                <w:sz w:val="18"/>
                <w:szCs w:val="18"/>
              </w:rPr>
            </w:pPr>
            <w:r>
              <w:rPr>
                <w:rFonts w:ascii="Arial"/>
                <w:w w:val="95"/>
                <w:sz w:val="18"/>
              </w:rPr>
              <w:t>5,159,445.65</w:t>
            </w:r>
            <w:r>
              <w:rPr>
                <w:rFonts w:ascii="Arial"/>
                <w:sz w:val="18"/>
              </w:rPr>
            </w: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hAnsi="宋体" w:cs="宋体" w:eastAsia="宋体" w:hint="default"/>
                <w:sz w:val="18"/>
                <w:szCs w:val="18"/>
              </w:rPr>
              <w:t>子公司亏损</w:t>
            </w:r>
          </w:p>
        </w:tc>
      </w:tr>
      <w:tr>
        <w:trPr>
          <w:trHeight w:val="323" w:hRule="exact"/>
        </w:trPr>
        <w:tc>
          <w:tcPr>
            <w:tcW w:w="23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11"/>
                <w:sz w:val="18"/>
                <w:szCs w:val="18"/>
              </w:rPr>
              <w:t> </w:t>
            </w:r>
            <w:r>
              <w:rPr>
                <w:rFonts w:ascii="宋体" w:hAnsi="宋体" w:cs="宋体" w:eastAsia="宋体" w:hint="default"/>
                <w:sz w:val="18"/>
                <w:szCs w:val="18"/>
              </w:rPr>
              <w:t>年</w:t>
            </w:r>
          </w:p>
        </w:tc>
        <w:tc>
          <w:tcPr>
            <w:tcW w:w="239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12,118,868.43</w:t>
            </w:r>
            <w:r>
              <w:rPr>
                <w:rFonts w:ascii="Arial"/>
                <w:sz w:val="18"/>
              </w:rPr>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15,600,727.93</w:t>
            </w:r>
            <w:r>
              <w:rPr>
                <w:rFonts w:ascii="Arial"/>
                <w:sz w:val="18"/>
              </w:rPr>
            </w: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6"/>
              <w:ind w:right="107"/>
              <w:jc w:val="right"/>
              <w:rPr>
                <w:rFonts w:ascii="宋体" w:hAnsi="宋体" w:cs="宋体" w:eastAsia="宋体" w:hint="default"/>
                <w:sz w:val="18"/>
                <w:szCs w:val="18"/>
              </w:rPr>
            </w:pPr>
            <w:r>
              <w:rPr>
                <w:rFonts w:ascii="宋体" w:hAnsi="宋体" w:cs="宋体" w:eastAsia="宋体" w:hint="default"/>
                <w:sz w:val="18"/>
                <w:szCs w:val="18"/>
              </w:rPr>
              <w:t>子公司亏损</w:t>
            </w:r>
          </w:p>
        </w:tc>
      </w:tr>
      <w:tr>
        <w:trPr>
          <w:trHeight w:val="322" w:hRule="exact"/>
        </w:trPr>
        <w:tc>
          <w:tcPr>
            <w:tcW w:w="23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11"/>
                <w:sz w:val="18"/>
                <w:szCs w:val="18"/>
              </w:rPr>
              <w:t> </w:t>
            </w:r>
            <w:r>
              <w:rPr>
                <w:rFonts w:ascii="宋体" w:hAnsi="宋体" w:cs="宋体" w:eastAsia="宋体" w:hint="default"/>
                <w:sz w:val="18"/>
                <w:szCs w:val="18"/>
              </w:rPr>
              <w:t>年</w:t>
            </w:r>
          </w:p>
        </w:tc>
        <w:tc>
          <w:tcPr>
            <w:tcW w:w="239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4,726,062.79</w:t>
            </w:r>
            <w:r>
              <w:rPr>
                <w:rFonts w:ascii="Arial"/>
                <w:sz w:val="18"/>
              </w:rPr>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8,940,476.92</w:t>
            </w:r>
            <w:r>
              <w:rPr>
                <w:rFonts w:ascii="Arial"/>
                <w:sz w:val="18"/>
              </w:rPr>
            </w: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6"/>
              <w:ind w:right="107"/>
              <w:jc w:val="right"/>
              <w:rPr>
                <w:rFonts w:ascii="宋体" w:hAnsi="宋体" w:cs="宋体" w:eastAsia="宋体" w:hint="default"/>
                <w:sz w:val="18"/>
                <w:szCs w:val="18"/>
              </w:rPr>
            </w:pPr>
            <w:r>
              <w:rPr>
                <w:rFonts w:ascii="宋体" w:hAnsi="宋体" w:cs="宋体" w:eastAsia="宋体" w:hint="default"/>
                <w:sz w:val="18"/>
                <w:szCs w:val="18"/>
              </w:rPr>
              <w:t>子公司亏损</w:t>
            </w:r>
          </w:p>
        </w:tc>
      </w:tr>
      <w:tr>
        <w:trPr>
          <w:trHeight w:val="322" w:hRule="exact"/>
        </w:trPr>
        <w:tc>
          <w:tcPr>
            <w:tcW w:w="23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11"/>
                <w:sz w:val="18"/>
                <w:szCs w:val="18"/>
              </w:rPr>
              <w:t> </w:t>
            </w:r>
            <w:r>
              <w:rPr>
                <w:rFonts w:ascii="宋体" w:hAnsi="宋体" w:cs="宋体" w:eastAsia="宋体" w:hint="default"/>
                <w:sz w:val="18"/>
                <w:szCs w:val="18"/>
              </w:rPr>
              <w:t>年</w:t>
            </w:r>
          </w:p>
        </w:tc>
        <w:tc>
          <w:tcPr>
            <w:tcW w:w="239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427,484.00</w:t>
            </w:r>
            <w:r>
              <w:rPr>
                <w:rFonts w:ascii="Arial"/>
                <w:sz w:val="18"/>
              </w:rPr>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6,721,828.77</w:t>
            </w:r>
            <w:r>
              <w:rPr>
                <w:rFonts w:ascii="Arial"/>
                <w:sz w:val="18"/>
              </w:rPr>
            </w: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107"/>
              <w:jc w:val="right"/>
              <w:rPr>
                <w:rFonts w:ascii="宋体" w:hAnsi="宋体" w:cs="宋体" w:eastAsia="宋体" w:hint="default"/>
                <w:sz w:val="18"/>
                <w:szCs w:val="18"/>
              </w:rPr>
            </w:pPr>
            <w:r>
              <w:rPr>
                <w:rFonts w:ascii="宋体" w:hAnsi="宋体" w:cs="宋体" w:eastAsia="宋体" w:hint="default"/>
                <w:sz w:val="18"/>
                <w:szCs w:val="18"/>
              </w:rPr>
              <w:t>子公司亏损</w:t>
            </w:r>
          </w:p>
        </w:tc>
      </w:tr>
      <w:tr>
        <w:trPr>
          <w:trHeight w:val="322" w:hRule="exact"/>
        </w:trPr>
        <w:tc>
          <w:tcPr>
            <w:tcW w:w="23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11"/>
                <w:sz w:val="18"/>
                <w:szCs w:val="18"/>
              </w:rPr>
              <w:t> </w:t>
            </w:r>
            <w:r>
              <w:rPr>
                <w:rFonts w:ascii="宋体" w:hAnsi="宋体" w:cs="宋体" w:eastAsia="宋体" w:hint="default"/>
                <w:sz w:val="18"/>
                <w:szCs w:val="18"/>
              </w:rPr>
              <w:t>年</w:t>
            </w:r>
          </w:p>
        </w:tc>
        <w:tc>
          <w:tcPr>
            <w:tcW w:w="239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31,404,030.15</w:t>
            </w:r>
            <w:r>
              <w:rPr>
                <w:rFonts w:ascii="Arial"/>
                <w:sz w:val="18"/>
              </w:rPr>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107"/>
              <w:jc w:val="right"/>
              <w:rPr>
                <w:rFonts w:ascii="宋体" w:hAnsi="宋体" w:cs="宋体" w:eastAsia="宋体" w:hint="default"/>
                <w:sz w:val="18"/>
                <w:szCs w:val="18"/>
              </w:rPr>
            </w:pPr>
            <w:r>
              <w:rPr>
                <w:rFonts w:ascii="宋体" w:hAnsi="宋体" w:cs="宋体" w:eastAsia="宋体" w:hint="default"/>
                <w:sz w:val="18"/>
                <w:szCs w:val="18"/>
              </w:rPr>
              <w:t>子公司亏损</w:t>
            </w:r>
          </w:p>
        </w:tc>
      </w:tr>
      <w:tr>
        <w:trPr>
          <w:trHeight w:val="322" w:hRule="exact"/>
        </w:trPr>
        <w:tc>
          <w:tcPr>
            <w:tcW w:w="23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50,534,678.90</w:t>
            </w:r>
            <w:r>
              <w:rPr>
                <w:rFonts w:ascii="Arial"/>
                <w:sz w:val="18"/>
              </w:rPr>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36,422,479.27</w:t>
            </w:r>
            <w:r>
              <w:rPr>
                <w:rFonts w:ascii="Arial"/>
                <w:sz w:val="18"/>
              </w:rPr>
            </w: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w:t>
            </w:r>
            <w:r>
              <w:rPr>
                <w:rFonts w:ascii="Arial"/>
                <w:sz w:val="18"/>
              </w:rPr>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17、其他非流动资产" w:id="326"/>
      <w:bookmarkEnd w:id="326"/>
      <w:r>
        <w:rPr>
          <w:b w:val="0"/>
          <w:bCs w:val="0"/>
        </w:rPr>
      </w:r>
      <w:r>
        <w:rPr>
          <w:rFonts w:ascii="Trebuchet MS" w:hAnsi="Trebuchet MS" w:cs="Trebuchet MS" w:eastAsia="Trebuchet MS" w:hint="default"/>
        </w:rPr>
        <w:t>17</w:t>
      </w:r>
      <w:r>
        <w:rPr/>
        <w:t>、其他非流动资产</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188"/>
        <w:gridCol w:w="3194"/>
        <w:gridCol w:w="3189"/>
      </w:tblGrid>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国鑫基金管理有限公司</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8,000,000.00</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华贵人寿保险股份有限公司</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5,000,000.00</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海南先锋网信小额贷款有限公司</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5,000,000.00</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18,000,000.00</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
        </w:tc>
      </w:tr>
    </w:tbl>
    <w:p>
      <w:pPr>
        <w:spacing w:line="240" w:lineRule="auto" w:before="0"/>
        <w:rPr>
          <w:rFonts w:ascii="宋体" w:hAnsi="宋体" w:cs="宋体" w:eastAsia="宋体" w:hint="default"/>
          <w:sz w:val="15"/>
          <w:szCs w:val="15"/>
        </w:rPr>
      </w:pPr>
    </w:p>
    <w:p>
      <w:pPr>
        <w:pStyle w:val="BodyText"/>
        <w:spacing w:line="544" w:lineRule="auto" w:before="18"/>
        <w:ind w:left="633" w:right="5479"/>
        <w:jc w:val="left"/>
      </w:pPr>
      <w:r>
        <w:rPr/>
        <w:t>其他说明： 注：对外投资详细情况，参见附注十三、</w:t>
      </w:r>
      <w:r>
        <w:rPr>
          <w:rFonts w:ascii="Arial" w:hAnsi="Arial" w:cs="Arial" w:eastAsia="Arial" w:hint="default"/>
        </w:rPr>
        <w:t>1</w:t>
      </w:r>
      <w:r>
        <w:rPr/>
        <w:t>、（</w:t>
      </w:r>
      <w:r>
        <w:rPr>
          <w:rFonts w:ascii="Arial" w:hAnsi="Arial" w:cs="Arial" w:eastAsia="Arial" w:hint="default"/>
        </w:rPr>
        <w:t>1</w:t>
      </w:r>
      <w:r>
        <w:rPr/>
        <w:t>）。</w:t>
      </w:r>
    </w:p>
    <w:p>
      <w:pPr>
        <w:spacing w:after="0" w:line="544" w:lineRule="auto"/>
        <w:jc w:val="left"/>
        <w:sectPr>
          <w:pgSz w:w="11910" w:h="16840"/>
          <w:pgMar w:header="877" w:footer="979" w:top="1100" w:bottom="1160" w:left="920" w:right="0"/>
        </w:sectPr>
      </w:pPr>
    </w:p>
    <w:p>
      <w:pPr>
        <w:spacing w:line="240" w:lineRule="auto" w:before="5"/>
        <w:rPr>
          <w:rFonts w:ascii="宋体" w:hAnsi="宋体" w:cs="宋体" w:eastAsia="宋体" w:hint="default"/>
          <w:sz w:val="20"/>
          <w:szCs w:val="20"/>
        </w:rPr>
      </w:pPr>
    </w:p>
    <w:p>
      <w:pPr>
        <w:pStyle w:val="Heading5"/>
        <w:spacing w:line="240" w:lineRule="auto"/>
        <w:ind w:right="1513"/>
        <w:jc w:val="left"/>
        <w:rPr>
          <w:b w:val="0"/>
          <w:bCs w:val="0"/>
        </w:rPr>
      </w:pPr>
      <w:bookmarkStart w:name="18、短期借款" w:id="327"/>
      <w:bookmarkEnd w:id="327"/>
      <w:r>
        <w:rPr>
          <w:b w:val="0"/>
          <w:bCs w:val="0"/>
        </w:rPr>
      </w:r>
      <w:r>
        <w:rPr>
          <w:rFonts w:ascii="Trebuchet MS" w:hAnsi="Trebuchet MS" w:cs="Trebuchet MS" w:eastAsia="Trebuchet MS" w:hint="default"/>
        </w:rPr>
        <w:t>18</w:t>
      </w:r>
      <w:r>
        <w:rPr/>
        <w:t>、短期借款</w:t>
      </w:r>
      <w:r>
        <w:rPr>
          <w:b w:val="0"/>
          <w:bCs w:val="0"/>
        </w:rPr>
      </w:r>
    </w:p>
    <w:p>
      <w:pPr>
        <w:spacing w:line="240" w:lineRule="auto" w:before="7"/>
        <w:rPr>
          <w:rFonts w:ascii="宋体" w:hAnsi="宋体" w:cs="宋体" w:eastAsia="宋体" w:hint="default"/>
          <w:b/>
          <w:bCs/>
          <w:sz w:val="24"/>
          <w:szCs w:val="24"/>
        </w:rPr>
      </w:pPr>
    </w:p>
    <w:p>
      <w:pPr>
        <w:spacing w:before="0"/>
        <w:ind w:left="636" w:right="1513" w:firstLine="0"/>
        <w:jc w:val="left"/>
        <w:rPr>
          <w:rFonts w:ascii="宋体" w:hAnsi="宋体" w:cs="宋体" w:eastAsia="宋体" w:hint="default"/>
          <w:sz w:val="21"/>
          <w:szCs w:val="21"/>
        </w:rPr>
      </w:pPr>
      <w:bookmarkStart w:name="（1）短期借款分类" w:id="328"/>
      <w:bookmarkEnd w:id="328"/>
      <w:r>
        <w:rPr/>
      </w:r>
      <w:r>
        <w:rPr>
          <w:rFonts w:ascii="宋体" w:hAnsi="宋体" w:cs="宋体" w:eastAsia="宋体" w:hint="default"/>
          <w:b/>
          <w:bCs/>
          <w:sz w:val="21"/>
          <w:szCs w:val="21"/>
        </w:rPr>
        <w:t>（</w:t>
      </w:r>
      <w:r>
        <w:rPr>
          <w:rFonts w:ascii="Trebuchet MS" w:hAnsi="Trebuchet MS" w:cs="Trebuchet MS" w:eastAsia="Trebuchet MS"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188"/>
        <w:gridCol w:w="3194"/>
        <w:gridCol w:w="3189"/>
      </w:tblGrid>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4" w:type="dxa"/>
            <w:tcBorders>
              <w:top w:val="single" w:sz="4" w:space="0" w:color="5B9BD4"/>
              <w:left w:val="nil" w:sz="6" w:space="0" w:color="auto"/>
              <w:bottom w:val="single" w:sz="4" w:space="0" w:color="5B9BD4"/>
              <w:right w:val="nil" w:sz="6" w:space="0" w:color="auto"/>
            </w:tcBorders>
          </w:tcPr>
          <w:p>
            <w:pP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100,000,000.00</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4" w:type="dxa"/>
            <w:tcBorders>
              <w:top w:val="single" w:sz="4" w:space="0" w:color="5B9BD4"/>
              <w:left w:val="nil" w:sz="6" w:space="0" w:color="auto"/>
              <w:bottom w:val="single" w:sz="4" w:space="0" w:color="5B9BD4"/>
              <w:right w:val="nil" w:sz="6" w:space="0" w:color="auto"/>
            </w:tcBorders>
          </w:tcPr>
          <w:p>
            <w:pP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3,001,055,291.52</w:t>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2,137,188,000.00</w:t>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5B9BD4"/>
              <w:left w:val="nil" w:sz="6" w:space="0" w:color="auto"/>
              <w:bottom w:val="single" w:sz="4" w:space="0" w:color="5B9BD4"/>
              <w:right w:val="nil" w:sz="6" w:space="0" w:color="auto"/>
            </w:tcBorders>
          </w:tcPr>
          <w:p>
            <w:pP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3,001,055,291.52</w:t>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2,237,188,000.00</w:t>
            </w:r>
          </w:p>
        </w:tc>
      </w:tr>
    </w:tbl>
    <w:p>
      <w:pPr>
        <w:spacing w:line="240" w:lineRule="auto" w:before="0"/>
        <w:rPr>
          <w:rFonts w:ascii="宋体" w:hAnsi="宋体" w:cs="宋体" w:eastAsia="宋体" w:hint="default"/>
          <w:sz w:val="15"/>
          <w:szCs w:val="15"/>
        </w:rPr>
      </w:pPr>
    </w:p>
    <w:p>
      <w:pPr>
        <w:pStyle w:val="BodyText"/>
        <w:spacing w:line="544" w:lineRule="auto" w:before="18"/>
        <w:ind w:left="634" w:right="5268"/>
        <w:jc w:val="left"/>
      </w:pPr>
      <w:r>
        <w:rPr/>
        <w:t>短期借款分类的说明： 注：保证借款的详细情况，参见附注十一、</w:t>
      </w:r>
      <w:r>
        <w:rPr>
          <w:rFonts w:ascii="Arial" w:hAnsi="Arial" w:cs="Arial" w:eastAsia="Arial" w:hint="default"/>
        </w:rPr>
        <w:t>5</w:t>
      </w:r>
      <w:r>
        <w:rPr/>
        <w:t>、（</w:t>
      </w:r>
      <w:r>
        <w:rPr>
          <w:rFonts w:ascii="Arial" w:hAnsi="Arial" w:cs="Arial" w:eastAsia="Arial" w:hint="default"/>
        </w:rPr>
        <w:t>2</w:t>
      </w:r>
      <w:r>
        <w:rPr/>
        <w:t>）。</w:t>
      </w:r>
    </w:p>
    <w:p>
      <w:pPr>
        <w:pStyle w:val="Heading5"/>
        <w:spacing w:line="251" w:lineRule="exact" w:before="0"/>
        <w:ind w:right="1513"/>
        <w:jc w:val="left"/>
        <w:rPr>
          <w:b w:val="0"/>
          <w:bCs w:val="0"/>
        </w:rPr>
      </w:pPr>
      <w:bookmarkStart w:name="（2）已逾期未偿还的短期借款情况" w:id="329"/>
      <w:bookmarkEnd w:id="329"/>
      <w:r>
        <w:rPr>
          <w:b w:val="0"/>
          <w:bCs w:val="0"/>
        </w:rPr>
      </w:r>
      <w:r>
        <w:rPr/>
        <w:t>（</w:t>
      </w:r>
      <w:r>
        <w:rPr>
          <w:rFonts w:ascii="Trebuchet MS" w:hAnsi="Trebuchet MS" w:cs="Trebuchet MS" w:eastAsia="Trebuchet MS" w:hint="default"/>
        </w:rPr>
        <w:t>2</w:t>
      </w:r>
      <w:r>
        <w:rPr/>
        <w:t>）已逾期未偿还的短期借款情况</w:t>
      </w:r>
      <w:r>
        <w:rPr>
          <w:b w:val="0"/>
          <w:bCs w:val="0"/>
        </w:rPr>
      </w:r>
    </w:p>
    <w:p>
      <w:pPr>
        <w:spacing w:line="240" w:lineRule="auto" w:before="7"/>
        <w:rPr>
          <w:rFonts w:ascii="宋体" w:hAnsi="宋体" w:cs="宋体" w:eastAsia="宋体" w:hint="default"/>
          <w:b/>
          <w:bCs/>
          <w:sz w:val="30"/>
          <w:szCs w:val="30"/>
        </w:rPr>
      </w:pPr>
    </w:p>
    <w:p>
      <w:pPr>
        <w:spacing w:line="453" w:lineRule="auto" w:before="0"/>
        <w:ind w:left="636" w:right="5831" w:hanging="3"/>
        <w:jc w:val="left"/>
        <w:rPr>
          <w:rFonts w:ascii="宋体" w:hAnsi="宋体" w:cs="宋体" w:eastAsia="宋体" w:hint="default"/>
          <w:sz w:val="21"/>
          <w:szCs w:val="21"/>
        </w:rPr>
      </w:pPr>
      <w:r>
        <w:rPr>
          <w:rFonts w:ascii="宋体" w:hAnsi="宋体" w:cs="宋体" w:eastAsia="宋体" w:hint="default"/>
          <w:sz w:val="21"/>
          <w:szCs w:val="21"/>
        </w:rPr>
        <w:t>本期末已逾期未偿还的短期借款总额为</w:t>
      </w:r>
      <w:r>
        <w:rPr>
          <w:rFonts w:ascii="宋体" w:hAnsi="宋体" w:cs="宋体" w:eastAsia="宋体" w:hint="default"/>
          <w:spacing w:val="-53"/>
          <w:sz w:val="21"/>
          <w:szCs w:val="21"/>
        </w:rPr>
        <w:t> </w:t>
      </w:r>
      <w:r>
        <w:rPr>
          <w:rFonts w:ascii="Arial" w:hAnsi="Arial" w:cs="Arial" w:eastAsia="Arial" w:hint="default"/>
          <w:sz w:val="21"/>
          <w:szCs w:val="21"/>
        </w:rPr>
        <w:t>0.00</w:t>
      </w:r>
      <w:r>
        <w:rPr>
          <w:rFonts w:ascii="Arial" w:hAnsi="Arial" w:cs="Arial" w:eastAsia="Arial" w:hint="default"/>
          <w:spacing w:val="-7"/>
          <w:sz w:val="21"/>
          <w:szCs w:val="21"/>
        </w:rPr>
        <w:t> </w:t>
      </w:r>
      <w:r>
        <w:rPr>
          <w:rFonts w:ascii="宋体" w:hAnsi="宋体" w:cs="宋体" w:eastAsia="宋体" w:hint="default"/>
          <w:sz w:val="21"/>
          <w:szCs w:val="21"/>
        </w:rPr>
        <w:t>元。 </w:t>
      </w:r>
      <w:bookmarkStart w:name="19、应付票据" w:id="330"/>
      <w:bookmarkEnd w:id="330"/>
      <w:r>
        <w:rPr>
          <w:rFonts w:ascii="宋体" w:hAnsi="宋体" w:cs="宋体" w:eastAsia="宋体" w:hint="default"/>
          <w:sz w:val="21"/>
          <w:szCs w:val="21"/>
        </w:rPr>
      </w:r>
      <w:r>
        <w:rPr>
          <w:rFonts w:ascii="Trebuchet MS" w:hAnsi="Trebuchet MS" w:cs="Trebuchet MS" w:eastAsia="Trebuchet MS" w:hint="default"/>
          <w:b/>
          <w:bCs/>
          <w:sz w:val="21"/>
          <w:szCs w:val="21"/>
        </w:rPr>
        <w:t>19</w:t>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7"/>
        <w:rPr>
          <w:rFonts w:ascii="宋体" w:hAnsi="宋体" w:cs="宋体" w:eastAsia="宋体" w:hint="default"/>
          <w:b/>
          <w:bCs/>
          <w:sz w:val="12"/>
          <w:szCs w:val="12"/>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188"/>
        <w:gridCol w:w="3194"/>
        <w:gridCol w:w="3189"/>
      </w:tblGrid>
      <w:tr>
        <w:trPr>
          <w:trHeight w:val="317"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7"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right="104"/>
              <w:jc w:val="right"/>
              <w:rPr>
                <w:rFonts w:ascii="Arial" w:hAnsi="Arial" w:cs="Arial" w:eastAsia="Arial" w:hint="default"/>
                <w:sz w:val="18"/>
                <w:szCs w:val="18"/>
              </w:rPr>
            </w:pPr>
            <w:r>
              <w:rPr>
                <w:rFonts w:ascii="Arial"/>
                <w:w w:val="95"/>
                <w:sz w:val="18"/>
              </w:rPr>
              <w:t>3,150,000.00</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2"/>
              <w:ind w:right="105"/>
              <w:jc w:val="right"/>
              <w:rPr>
                <w:rFonts w:ascii="Arial" w:hAnsi="Arial" w:cs="Arial" w:eastAsia="Arial" w:hint="default"/>
                <w:sz w:val="18"/>
                <w:szCs w:val="18"/>
              </w:rPr>
            </w:pPr>
            <w:r>
              <w:rPr>
                <w:rFonts w:ascii="Arial"/>
                <w:w w:val="95"/>
                <w:sz w:val="18"/>
              </w:rPr>
              <w:t>864,688,774.30</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3,150,000.00</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864,688,774.30</w:t>
            </w:r>
            <w:r>
              <w:rPr>
                <w:rFonts w:ascii="Arial"/>
                <w:sz w:val="18"/>
              </w:rPr>
            </w:r>
          </w:p>
        </w:tc>
      </w:tr>
    </w:tbl>
    <w:p>
      <w:pPr>
        <w:spacing w:line="240" w:lineRule="auto" w:before="0"/>
        <w:rPr>
          <w:rFonts w:ascii="宋体" w:hAnsi="宋体" w:cs="宋体" w:eastAsia="宋体" w:hint="default"/>
          <w:sz w:val="15"/>
          <w:szCs w:val="15"/>
        </w:rPr>
      </w:pPr>
    </w:p>
    <w:p>
      <w:pPr>
        <w:spacing w:line="453" w:lineRule="auto" w:before="18"/>
        <w:ind w:left="636" w:right="5831" w:hanging="3"/>
        <w:jc w:val="left"/>
        <w:rPr>
          <w:rFonts w:ascii="宋体" w:hAnsi="宋体" w:cs="宋体" w:eastAsia="宋体" w:hint="default"/>
          <w:sz w:val="21"/>
          <w:szCs w:val="21"/>
        </w:rPr>
      </w:pPr>
      <w:r>
        <w:rPr>
          <w:rFonts w:ascii="宋体" w:hAnsi="宋体" w:cs="宋体" w:eastAsia="宋体" w:hint="default"/>
          <w:sz w:val="21"/>
          <w:szCs w:val="21"/>
        </w:rPr>
        <w:t>本期末已到期未支付的应付票据总额为</w:t>
      </w:r>
      <w:r>
        <w:rPr>
          <w:rFonts w:ascii="宋体" w:hAnsi="宋体" w:cs="宋体" w:eastAsia="宋体" w:hint="default"/>
          <w:spacing w:val="-53"/>
          <w:sz w:val="21"/>
          <w:szCs w:val="21"/>
        </w:rPr>
        <w:t> </w:t>
      </w:r>
      <w:r>
        <w:rPr>
          <w:rFonts w:ascii="Arial" w:hAnsi="Arial" w:cs="Arial" w:eastAsia="Arial" w:hint="default"/>
          <w:sz w:val="21"/>
          <w:szCs w:val="21"/>
        </w:rPr>
        <w:t>0.00</w:t>
      </w:r>
      <w:r>
        <w:rPr>
          <w:rFonts w:ascii="Arial" w:hAnsi="Arial" w:cs="Arial" w:eastAsia="Arial" w:hint="default"/>
          <w:spacing w:val="-7"/>
          <w:sz w:val="21"/>
          <w:szCs w:val="21"/>
        </w:rPr>
        <w:t> </w:t>
      </w:r>
      <w:r>
        <w:rPr>
          <w:rFonts w:ascii="宋体" w:hAnsi="宋体" w:cs="宋体" w:eastAsia="宋体" w:hint="default"/>
          <w:sz w:val="21"/>
          <w:szCs w:val="21"/>
        </w:rPr>
        <w:t>元。 </w:t>
      </w:r>
      <w:bookmarkStart w:name="20、应付账款" w:id="331"/>
      <w:bookmarkEnd w:id="331"/>
      <w:r>
        <w:rPr>
          <w:rFonts w:ascii="宋体" w:hAnsi="宋体" w:cs="宋体" w:eastAsia="宋体" w:hint="default"/>
          <w:sz w:val="21"/>
          <w:szCs w:val="21"/>
        </w:rPr>
      </w:r>
      <w:r>
        <w:rPr>
          <w:rFonts w:ascii="Trebuchet MS" w:hAnsi="Trebuchet MS" w:cs="Trebuchet MS" w:eastAsia="Trebuchet MS" w:hint="default"/>
          <w:b/>
          <w:bCs/>
          <w:sz w:val="21"/>
          <w:szCs w:val="21"/>
        </w:rPr>
        <w:t>20</w:t>
      </w:r>
      <w:r>
        <w:rPr>
          <w:rFonts w:ascii="宋体" w:hAnsi="宋体" w:cs="宋体" w:eastAsia="宋体" w:hint="default"/>
          <w:b/>
          <w:bCs/>
          <w:sz w:val="21"/>
          <w:szCs w:val="21"/>
        </w:rPr>
        <w:t>、应付账款</w:t>
      </w:r>
      <w:r>
        <w:rPr>
          <w:rFonts w:ascii="宋体" w:hAnsi="宋体" w:cs="宋体" w:eastAsia="宋体" w:hint="default"/>
          <w:sz w:val="21"/>
          <w:szCs w:val="21"/>
        </w:rPr>
      </w:r>
    </w:p>
    <w:p>
      <w:pPr>
        <w:pStyle w:val="Heading5"/>
        <w:spacing w:line="240" w:lineRule="auto" w:before="104"/>
        <w:ind w:right="1513"/>
        <w:jc w:val="left"/>
        <w:rPr>
          <w:b w:val="0"/>
          <w:bCs w:val="0"/>
        </w:rPr>
      </w:pPr>
      <w:bookmarkStart w:name="（1）应付账款列示" w:id="332"/>
      <w:bookmarkEnd w:id="332"/>
      <w:r>
        <w:rPr>
          <w:b w:val="0"/>
          <w:bCs w:val="0"/>
        </w:rPr>
      </w:r>
      <w:r>
        <w:rPr/>
        <w:t>（</w:t>
      </w:r>
      <w:r>
        <w:rPr>
          <w:rFonts w:ascii="Trebuchet MS" w:hAnsi="Trebuchet MS" w:cs="Trebuchet MS" w:eastAsia="Trebuchet MS" w:hint="default"/>
        </w:rPr>
        <w:t>1</w:t>
      </w:r>
      <w:r>
        <w:rPr/>
        <w:t>）应付账款列示</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188"/>
        <w:gridCol w:w="3194"/>
        <w:gridCol w:w="3189"/>
      </w:tblGrid>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年以内</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1,639,691,005.18</w:t>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960,575,922.16</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5,486,710.24</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2,662,451.25</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1,132,209.34</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2,147,815.63</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年以上</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496,922.97</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6,405,997.76</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1,646,806,847.73</w:t>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971,792,186.80</w:t>
            </w:r>
            <w:r>
              <w:rPr>
                <w:rFonts w:ascii="Arial"/>
                <w:sz w:val="18"/>
              </w:rPr>
            </w:r>
          </w:p>
        </w:tc>
      </w:tr>
    </w:tbl>
    <w:p>
      <w:pPr>
        <w:spacing w:after="0" w:line="240" w:lineRule="auto"/>
        <w:jc w:val="right"/>
        <w:rPr>
          <w:rFonts w:ascii="Arial" w:hAnsi="Arial" w:cs="Arial" w:eastAsia="Arial" w:hint="default"/>
          <w:sz w:val="18"/>
          <w:szCs w:val="18"/>
        </w:rPr>
        <w:sectPr>
          <w:pgSz w:w="11910" w:h="16840"/>
          <w:pgMar w:header="877" w:footer="979" w:top="1100" w:bottom="1160" w:left="920" w:right="0"/>
        </w:sectPr>
      </w:pPr>
    </w:p>
    <w:p>
      <w:pPr>
        <w:spacing w:line="240" w:lineRule="auto" w:before="5"/>
        <w:rPr>
          <w:rFonts w:ascii="宋体" w:hAnsi="宋体" w:cs="宋体" w:eastAsia="宋体" w:hint="default"/>
          <w:sz w:val="20"/>
          <w:szCs w:val="20"/>
        </w:rPr>
      </w:pPr>
    </w:p>
    <w:p>
      <w:pPr>
        <w:pStyle w:val="Heading5"/>
        <w:spacing w:line="240" w:lineRule="auto"/>
        <w:ind w:right="1513"/>
        <w:jc w:val="left"/>
        <w:rPr>
          <w:b w:val="0"/>
          <w:bCs w:val="0"/>
        </w:rPr>
      </w:pPr>
      <w:bookmarkStart w:name="21、预收款项" w:id="333"/>
      <w:bookmarkEnd w:id="333"/>
      <w:r>
        <w:rPr>
          <w:b w:val="0"/>
          <w:bCs w:val="0"/>
        </w:rPr>
      </w:r>
      <w:r>
        <w:rPr>
          <w:rFonts w:ascii="Trebuchet MS" w:hAnsi="Trebuchet MS" w:cs="Trebuchet MS" w:eastAsia="Trebuchet MS" w:hint="default"/>
        </w:rPr>
        <w:t>21</w:t>
      </w:r>
      <w:r>
        <w:rPr/>
        <w:t>、预收款项</w:t>
      </w:r>
      <w:r>
        <w:rPr>
          <w:b w:val="0"/>
          <w:bCs w:val="0"/>
        </w:rPr>
      </w:r>
    </w:p>
    <w:p>
      <w:pPr>
        <w:spacing w:line="240" w:lineRule="auto" w:before="7"/>
        <w:rPr>
          <w:rFonts w:ascii="宋体" w:hAnsi="宋体" w:cs="宋体" w:eastAsia="宋体" w:hint="default"/>
          <w:b/>
          <w:bCs/>
          <w:sz w:val="24"/>
          <w:szCs w:val="24"/>
        </w:rPr>
      </w:pPr>
    </w:p>
    <w:p>
      <w:pPr>
        <w:spacing w:before="0"/>
        <w:ind w:left="636" w:right="1513" w:firstLine="0"/>
        <w:jc w:val="left"/>
        <w:rPr>
          <w:rFonts w:ascii="宋体" w:hAnsi="宋体" w:cs="宋体" w:eastAsia="宋体" w:hint="default"/>
          <w:sz w:val="21"/>
          <w:szCs w:val="21"/>
        </w:rPr>
      </w:pPr>
      <w:bookmarkStart w:name="（1）预收款项列示" w:id="334"/>
      <w:bookmarkEnd w:id="334"/>
      <w:r>
        <w:rPr/>
      </w:r>
      <w:r>
        <w:rPr>
          <w:rFonts w:ascii="宋体" w:hAnsi="宋体" w:cs="宋体" w:eastAsia="宋体" w:hint="default"/>
          <w:b/>
          <w:bCs/>
          <w:sz w:val="21"/>
          <w:szCs w:val="21"/>
        </w:rPr>
        <w:t>（</w:t>
      </w:r>
      <w:r>
        <w:rPr>
          <w:rFonts w:ascii="Trebuchet MS" w:hAnsi="Trebuchet MS" w:cs="Trebuchet MS" w:eastAsia="Trebuchet MS" w:hint="default"/>
          <w:b/>
          <w:bCs/>
          <w:sz w:val="21"/>
          <w:szCs w:val="21"/>
        </w:rPr>
        <w:t>1</w:t>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188"/>
        <w:gridCol w:w="3194"/>
        <w:gridCol w:w="3189"/>
      </w:tblGrid>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年以内</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456,815,816.80</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388,319,798.44</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610,687.65</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4,058,377.41</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135,456.09</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457,561,960.54</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392,378,175.85</w:t>
            </w:r>
            <w:r>
              <w:rPr>
                <w:rFonts w:ascii="Arial"/>
                <w:sz w:val="18"/>
              </w:rPr>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22、应付职工薪酬" w:id="335"/>
      <w:bookmarkEnd w:id="335"/>
      <w:r>
        <w:rPr>
          <w:b w:val="0"/>
          <w:bCs w:val="0"/>
        </w:rPr>
      </w:r>
      <w:r>
        <w:rPr>
          <w:rFonts w:ascii="Trebuchet MS" w:hAnsi="Trebuchet MS" w:cs="Trebuchet MS" w:eastAsia="Trebuchet MS" w:hint="default"/>
        </w:rPr>
        <w:t>22</w:t>
      </w:r>
      <w:r>
        <w:rPr/>
        <w:t>、应付职工薪酬</w:t>
      </w:r>
      <w:r>
        <w:rPr>
          <w:b w:val="0"/>
          <w:bCs w:val="0"/>
        </w:rPr>
      </w:r>
    </w:p>
    <w:p>
      <w:pPr>
        <w:spacing w:line="240" w:lineRule="auto" w:before="7"/>
        <w:rPr>
          <w:rFonts w:ascii="宋体" w:hAnsi="宋体" w:cs="宋体" w:eastAsia="宋体" w:hint="default"/>
          <w:b/>
          <w:bCs/>
          <w:sz w:val="24"/>
          <w:szCs w:val="24"/>
        </w:rPr>
      </w:pPr>
    </w:p>
    <w:p>
      <w:pPr>
        <w:spacing w:before="0"/>
        <w:ind w:left="636" w:right="1513" w:firstLine="0"/>
        <w:jc w:val="left"/>
        <w:rPr>
          <w:rFonts w:ascii="宋体" w:hAnsi="宋体" w:cs="宋体" w:eastAsia="宋体" w:hint="default"/>
          <w:sz w:val="21"/>
          <w:szCs w:val="21"/>
        </w:rPr>
      </w:pPr>
      <w:bookmarkStart w:name="（1）应付职工薪酬列示" w:id="336"/>
      <w:bookmarkEnd w:id="336"/>
      <w:r>
        <w:rPr/>
      </w:r>
      <w:r>
        <w:rPr>
          <w:rFonts w:ascii="宋体" w:hAnsi="宋体" w:cs="宋体" w:eastAsia="宋体" w:hint="default"/>
          <w:b/>
          <w:bCs/>
          <w:sz w:val="21"/>
          <w:szCs w:val="21"/>
        </w:rPr>
        <w:t>（</w:t>
      </w:r>
      <w:r>
        <w:rPr>
          <w:rFonts w:ascii="Trebuchet MS" w:hAnsi="Trebuchet MS" w:cs="Trebuchet MS" w:eastAsia="Trebuchet MS"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5"/>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317" w:hRule="exact"/>
        </w:trPr>
        <w:tc>
          <w:tcPr>
            <w:tcW w:w="191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59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59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5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59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6" w:hRule="exact"/>
        </w:trPr>
        <w:tc>
          <w:tcPr>
            <w:tcW w:w="191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w w:val="95"/>
                <w:sz w:val="18"/>
              </w:rPr>
              <w:t>58,305,237.61</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2"/>
              <w:ind w:right="105"/>
              <w:jc w:val="right"/>
              <w:rPr>
                <w:rFonts w:ascii="Arial" w:hAnsi="Arial" w:cs="Arial" w:eastAsia="Arial" w:hint="default"/>
                <w:sz w:val="18"/>
                <w:szCs w:val="18"/>
              </w:rPr>
            </w:pPr>
            <w:r>
              <w:rPr>
                <w:rFonts w:ascii="Arial"/>
                <w:w w:val="95"/>
                <w:sz w:val="18"/>
              </w:rPr>
              <w:t>424,938,148.51</w:t>
            </w:r>
            <w:r>
              <w:rPr>
                <w:rFonts w:ascii="Arial"/>
                <w:sz w:val="18"/>
              </w:rPr>
            </w:r>
          </w:p>
        </w:tc>
        <w:tc>
          <w:tcPr>
            <w:tcW w:w="1914"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left="559" w:right="0"/>
              <w:jc w:val="left"/>
              <w:rPr>
                <w:rFonts w:ascii="Arial" w:hAnsi="Arial" w:cs="Arial" w:eastAsia="Arial" w:hint="default"/>
                <w:sz w:val="18"/>
                <w:szCs w:val="18"/>
              </w:rPr>
            </w:pPr>
            <w:r>
              <w:rPr>
                <w:rFonts w:ascii="Arial"/>
                <w:sz w:val="18"/>
              </w:rPr>
              <w:t>406,765,307.58</w:t>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2"/>
              <w:ind w:right="105"/>
              <w:jc w:val="right"/>
              <w:rPr>
                <w:rFonts w:ascii="Arial" w:hAnsi="Arial" w:cs="Arial" w:eastAsia="Arial" w:hint="default"/>
                <w:sz w:val="18"/>
                <w:szCs w:val="18"/>
              </w:rPr>
            </w:pPr>
            <w:r>
              <w:rPr>
                <w:rFonts w:ascii="Arial"/>
                <w:w w:val="95"/>
                <w:sz w:val="18"/>
              </w:rPr>
              <w:t>76,478,078.54</w:t>
            </w:r>
            <w:r>
              <w:rPr>
                <w:rFonts w:ascii="Arial"/>
                <w:sz w:val="18"/>
              </w:rPr>
            </w:r>
          </w:p>
        </w:tc>
      </w:tr>
      <w:tr>
        <w:trPr>
          <w:trHeight w:val="634" w:hRule="exact"/>
        </w:trPr>
        <w:tc>
          <w:tcPr>
            <w:tcW w:w="191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2" w:lineRule="auto" w:before="5"/>
              <w:ind w:left="108" w:right="12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Arial" w:hAnsi="Arial" w:cs="Arial" w:eastAsia="Arial" w:hint="default"/>
                <w:sz w:val="18"/>
                <w:szCs w:val="18"/>
              </w:rPr>
              <w:t>-</w:t>
            </w:r>
            <w:r>
              <w:rPr>
                <w:rFonts w:ascii="宋体" w:hAnsi="宋体" w:cs="宋体" w:eastAsia="宋体" w:hint="default"/>
                <w:sz w:val="18"/>
                <w:szCs w:val="18"/>
              </w:rPr>
              <w:t>设定 提存计划</w:t>
            </w:r>
          </w:p>
        </w:tc>
        <w:tc>
          <w:tcPr>
            <w:tcW w:w="1916"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908,793.74</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25,928,724.51</w:t>
            </w:r>
            <w:r>
              <w:rPr>
                <w:rFonts w:ascii="Arial"/>
                <w:sz w:val="18"/>
              </w:rPr>
            </w:r>
          </w:p>
        </w:tc>
        <w:tc>
          <w:tcPr>
            <w:tcW w:w="1914"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58" w:right="0"/>
              <w:jc w:val="left"/>
              <w:rPr>
                <w:rFonts w:ascii="Arial" w:hAnsi="Arial" w:cs="Arial" w:eastAsia="Arial" w:hint="default"/>
                <w:sz w:val="18"/>
                <w:szCs w:val="18"/>
              </w:rPr>
            </w:pPr>
            <w:r>
              <w:rPr>
                <w:rFonts w:ascii="Arial"/>
                <w:sz w:val="18"/>
              </w:rPr>
              <w:t>26,194,382.57</w:t>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643,135.68</w:t>
            </w:r>
            <w:r>
              <w:rPr>
                <w:rFonts w:ascii="Arial"/>
                <w:sz w:val="18"/>
              </w:rPr>
            </w:r>
          </w:p>
        </w:tc>
      </w:tr>
      <w:tr>
        <w:trPr>
          <w:trHeight w:val="322" w:hRule="exact"/>
        </w:trPr>
        <w:tc>
          <w:tcPr>
            <w:tcW w:w="191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6,835,594.11</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8,136,602.33</w:t>
            </w:r>
            <w:r>
              <w:rPr>
                <w:rFonts w:ascii="Arial"/>
                <w:sz w:val="18"/>
              </w:rPr>
            </w:r>
          </w:p>
        </w:tc>
        <w:tc>
          <w:tcPr>
            <w:tcW w:w="191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658" w:right="0"/>
              <w:jc w:val="left"/>
              <w:rPr>
                <w:rFonts w:ascii="Arial" w:hAnsi="Arial" w:cs="Arial" w:eastAsia="Arial" w:hint="default"/>
                <w:sz w:val="18"/>
                <w:szCs w:val="18"/>
              </w:rPr>
            </w:pPr>
            <w:r>
              <w:rPr>
                <w:rFonts w:ascii="Arial"/>
                <w:sz w:val="18"/>
              </w:rPr>
              <w:t>14,972,196.44</w:t>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4" w:hRule="exact"/>
        </w:trPr>
        <w:tc>
          <w:tcPr>
            <w:tcW w:w="191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183"/>
              <w:jc w:val="left"/>
              <w:rPr>
                <w:rFonts w:ascii="宋体" w:hAnsi="宋体" w:cs="宋体" w:eastAsia="宋体" w:hint="default"/>
                <w:sz w:val="18"/>
                <w:szCs w:val="18"/>
              </w:rPr>
            </w:pPr>
            <w:r>
              <w:rPr>
                <w:rFonts w:ascii="宋体" w:hAnsi="宋体" w:cs="宋体" w:eastAsia="宋体" w:hint="default"/>
                <w:sz w:val="18"/>
                <w:szCs w:val="18"/>
              </w:rPr>
              <w:t>四、一年内到期的其 他福利</w:t>
            </w:r>
          </w:p>
        </w:tc>
        <w:tc>
          <w:tcPr>
            <w:tcW w:w="1916" w:type="dxa"/>
            <w:tcBorders>
              <w:top w:val="single" w:sz="4" w:space="0" w:color="5B9BD4"/>
              <w:left w:val="nil" w:sz="6" w:space="0" w:color="auto"/>
              <w:bottom w:val="single" w:sz="4" w:space="0" w:color="5B9BD4"/>
              <w:right w:val="nil" w:sz="6" w:space="0" w:color="auto"/>
            </w:tcBorders>
          </w:tcPr>
          <w:p>
            <w:pP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
        </w:tc>
        <w:tc>
          <w:tcPr>
            <w:tcW w:w="1914" w:type="dxa"/>
            <w:tcBorders>
              <w:top w:val="single" w:sz="4" w:space="0" w:color="5B9BD4"/>
              <w:left w:val="nil" w:sz="6" w:space="0" w:color="auto"/>
              <w:bottom w:val="single" w:sz="4" w:space="0" w:color="5B9BD4"/>
              <w:right w:val="nil" w:sz="6" w:space="0" w:color="auto"/>
            </w:tcBorders>
          </w:tcPr>
          <w:p>
            <w:pP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3" w:hRule="exact"/>
        </w:trPr>
        <w:tc>
          <w:tcPr>
            <w:tcW w:w="191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66,049,625.46</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459,003,475.35</w:t>
            </w:r>
            <w:r>
              <w:rPr>
                <w:rFonts w:ascii="Arial"/>
                <w:sz w:val="18"/>
              </w:rPr>
            </w:r>
          </w:p>
        </w:tc>
        <w:tc>
          <w:tcPr>
            <w:tcW w:w="191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559" w:right="0"/>
              <w:jc w:val="left"/>
              <w:rPr>
                <w:rFonts w:ascii="Arial" w:hAnsi="Arial" w:cs="Arial" w:eastAsia="Arial" w:hint="default"/>
                <w:sz w:val="18"/>
                <w:szCs w:val="18"/>
              </w:rPr>
            </w:pPr>
            <w:r>
              <w:rPr>
                <w:rFonts w:ascii="Arial"/>
                <w:sz w:val="18"/>
              </w:rPr>
              <w:t>447,931,886.59</w:t>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77,121,214.22</w:t>
            </w:r>
            <w:r>
              <w:rPr>
                <w:rFonts w:ascii="Arial"/>
                <w:sz w:val="18"/>
              </w:rPr>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2）短期薪酬列示" w:id="337"/>
      <w:bookmarkEnd w:id="337"/>
      <w:r>
        <w:rPr>
          <w:b w:val="0"/>
          <w:bCs w:val="0"/>
        </w:rPr>
      </w:r>
      <w:r>
        <w:rPr/>
        <w:t>（</w:t>
      </w:r>
      <w:r>
        <w:rPr>
          <w:rFonts w:ascii="Trebuchet MS" w:hAnsi="Trebuchet MS" w:cs="Trebuchet MS" w:eastAsia="Trebuchet MS" w:hint="default"/>
        </w:rPr>
        <w:t>2</w:t>
      </w:r>
      <w:r>
        <w:rPr/>
        <w:t>）短期薪酬列示</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2236"/>
        <w:gridCol w:w="1701"/>
        <w:gridCol w:w="1984"/>
        <w:gridCol w:w="1844"/>
        <w:gridCol w:w="1807"/>
      </w:tblGrid>
      <w:tr>
        <w:trPr>
          <w:trHeight w:val="317" w:hRule="exact"/>
        </w:trPr>
        <w:tc>
          <w:tcPr>
            <w:tcW w:w="22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8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56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5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39" w:hRule="exact"/>
        </w:trPr>
        <w:tc>
          <w:tcPr>
            <w:tcW w:w="22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2" w:lineRule="auto" w:before="10"/>
              <w:ind w:left="108" w:right="107"/>
              <w:jc w:val="left"/>
              <w:rPr>
                <w:rFonts w:ascii="宋体" w:hAnsi="宋体" w:cs="宋体" w:eastAsia="宋体" w:hint="default"/>
                <w:sz w:val="18"/>
                <w:szCs w:val="18"/>
              </w:rPr>
            </w:pPr>
            <w:r>
              <w:rPr>
                <w:rFonts w:ascii="Arial" w:hAnsi="Arial" w:cs="Arial" w:eastAsia="Arial" w:hint="default"/>
                <w:spacing w:val="-6"/>
                <w:sz w:val="18"/>
                <w:szCs w:val="18"/>
              </w:rPr>
              <w:t>1</w:t>
            </w:r>
            <w:r>
              <w:rPr>
                <w:rFonts w:ascii="宋体" w:hAnsi="宋体" w:cs="宋体" w:eastAsia="宋体" w:hint="default"/>
                <w:spacing w:val="-6"/>
                <w:sz w:val="18"/>
                <w:szCs w:val="18"/>
              </w:rPr>
              <w:t>、工资、奖金、津贴和补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贴</w:t>
            </w:r>
          </w:p>
        </w:tc>
        <w:tc>
          <w:tcPr>
            <w:tcW w:w="1701" w:type="dxa"/>
            <w:tcBorders>
              <w:top w:val="single" w:sz="4" w:space="0" w:color="5B9BD4"/>
              <w:left w:val="nil" w:sz="6" w:space="0" w:color="auto"/>
              <w:bottom w:val="single" w:sz="4" w:space="0" w:color="5B9BD4"/>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56,167,737.98</w:t>
            </w:r>
            <w:r>
              <w:rPr>
                <w:rFonts w:ascii="Arial"/>
                <w:sz w:val="18"/>
              </w:rPr>
            </w:r>
          </w:p>
        </w:tc>
        <w:tc>
          <w:tcPr>
            <w:tcW w:w="19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391,577,341.22</w:t>
            </w:r>
            <w:r>
              <w:rPr>
                <w:rFonts w:ascii="Arial"/>
                <w:sz w:val="18"/>
              </w:rPr>
            </w:r>
          </w:p>
        </w:tc>
        <w:tc>
          <w:tcPr>
            <w:tcW w:w="1844" w:type="dxa"/>
            <w:tcBorders>
              <w:top w:val="single" w:sz="4" w:space="0" w:color="5B9BD4"/>
              <w:left w:val="nil" w:sz="6" w:space="0" w:color="auto"/>
              <w:bottom w:val="single" w:sz="4" w:space="0" w:color="5B9BD4"/>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373,428,438.53</w:t>
            </w:r>
            <w:r>
              <w:rPr>
                <w:rFonts w:ascii="Arial"/>
                <w:sz w:val="18"/>
              </w:rPr>
            </w:r>
          </w:p>
        </w:tc>
        <w:tc>
          <w:tcPr>
            <w:tcW w:w="180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74,316,640.67</w:t>
            </w:r>
            <w:r>
              <w:rPr>
                <w:rFonts w:ascii="Arial"/>
                <w:sz w:val="18"/>
              </w:rPr>
            </w:r>
          </w:p>
        </w:tc>
      </w:tr>
      <w:tr>
        <w:trPr>
          <w:trHeight w:val="322" w:hRule="exact"/>
        </w:trPr>
        <w:tc>
          <w:tcPr>
            <w:tcW w:w="22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、职工福利费</w:t>
            </w:r>
          </w:p>
        </w:tc>
        <w:tc>
          <w:tcPr>
            <w:tcW w:w="1701" w:type="dxa"/>
            <w:tcBorders>
              <w:top w:val="single" w:sz="4" w:space="0" w:color="5B9BD4"/>
              <w:left w:val="nil" w:sz="6" w:space="0" w:color="auto"/>
              <w:bottom w:val="single" w:sz="4" w:space="0" w:color="5B9BD4"/>
              <w:right w:val="nil" w:sz="6" w:space="0" w:color="auto"/>
            </w:tcBorders>
          </w:tcPr>
          <w:p>
            <w:pPr/>
          </w:p>
        </w:tc>
        <w:tc>
          <w:tcPr>
            <w:tcW w:w="19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5,740,080.55</w:t>
            </w:r>
            <w:r>
              <w:rPr>
                <w:rFonts w:ascii="Arial"/>
                <w:sz w:val="18"/>
              </w:rPr>
            </w:r>
          </w:p>
        </w:tc>
        <w:tc>
          <w:tcPr>
            <w:tcW w:w="184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5,740,080.55</w:t>
            </w:r>
            <w:r>
              <w:rPr>
                <w:rFonts w:ascii="Arial"/>
                <w:sz w:val="18"/>
              </w:rPr>
            </w:r>
          </w:p>
        </w:tc>
        <w:tc>
          <w:tcPr>
            <w:tcW w:w="1807"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2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、社会保险费</w:t>
            </w:r>
          </w:p>
        </w:tc>
        <w:tc>
          <w:tcPr>
            <w:tcW w:w="170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223,915.55</w:t>
            </w:r>
            <w:r>
              <w:rPr>
                <w:rFonts w:ascii="Arial"/>
                <w:sz w:val="18"/>
              </w:rPr>
            </w:r>
          </w:p>
        </w:tc>
        <w:tc>
          <w:tcPr>
            <w:tcW w:w="19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13,924,913.28</w:t>
            </w:r>
            <w:r>
              <w:rPr>
                <w:rFonts w:ascii="Arial"/>
                <w:sz w:val="18"/>
              </w:rPr>
            </w:r>
          </w:p>
        </w:tc>
        <w:tc>
          <w:tcPr>
            <w:tcW w:w="184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13,982,490.34</w:t>
            </w:r>
            <w:r>
              <w:rPr>
                <w:rFonts w:ascii="Arial"/>
                <w:sz w:val="18"/>
              </w:rPr>
            </w:r>
          </w:p>
        </w:tc>
        <w:tc>
          <w:tcPr>
            <w:tcW w:w="180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166,338.49</w:t>
            </w:r>
            <w:r>
              <w:rPr>
                <w:rFonts w:ascii="Arial"/>
                <w:sz w:val="18"/>
              </w:rPr>
            </w:r>
          </w:p>
        </w:tc>
      </w:tr>
      <w:tr>
        <w:trPr>
          <w:trHeight w:val="322" w:hRule="exact"/>
        </w:trPr>
        <w:tc>
          <w:tcPr>
            <w:tcW w:w="22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32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70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205,802.69</w:t>
            </w:r>
            <w:r>
              <w:rPr>
                <w:rFonts w:ascii="Arial"/>
                <w:sz w:val="18"/>
              </w:rPr>
            </w:r>
          </w:p>
        </w:tc>
        <w:tc>
          <w:tcPr>
            <w:tcW w:w="19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12,122,016.06</w:t>
            </w:r>
            <w:r>
              <w:rPr>
                <w:rFonts w:ascii="Arial"/>
                <w:sz w:val="18"/>
              </w:rPr>
            </w:r>
          </w:p>
        </w:tc>
        <w:tc>
          <w:tcPr>
            <w:tcW w:w="184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12,180,654.26</w:t>
            </w:r>
            <w:r>
              <w:rPr>
                <w:rFonts w:ascii="Arial"/>
                <w:sz w:val="18"/>
              </w:rPr>
            </w:r>
          </w:p>
        </w:tc>
        <w:tc>
          <w:tcPr>
            <w:tcW w:w="180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147,164.49</w:t>
            </w:r>
            <w:r>
              <w:rPr>
                <w:rFonts w:ascii="Arial"/>
                <w:sz w:val="18"/>
              </w:rPr>
            </w:r>
          </w:p>
        </w:tc>
      </w:tr>
      <w:tr>
        <w:trPr>
          <w:trHeight w:val="322" w:hRule="exact"/>
        </w:trPr>
        <w:tc>
          <w:tcPr>
            <w:tcW w:w="22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32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70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18,112.86</w:t>
            </w:r>
            <w:r>
              <w:rPr>
                <w:rFonts w:ascii="Arial"/>
                <w:sz w:val="18"/>
              </w:rPr>
            </w:r>
          </w:p>
        </w:tc>
        <w:tc>
          <w:tcPr>
            <w:tcW w:w="19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698,516.90</w:t>
            </w:r>
            <w:r>
              <w:rPr>
                <w:rFonts w:ascii="Arial"/>
                <w:sz w:val="18"/>
              </w:rPr>
            </w:r>
          </w:p>
        </w:tc>
        <w:tc>
          <w:tcPr>
            <w:tcW w:w="184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701,433.15</w:t>
            </w:r>
            <w:r>
              <w:rPr>
                <w:rFonts w:ascii="Arial"/>
                <w:sz w:val="18"/>
              </w:rPr>
            </w:r>
          </w:p>
        </w:tc>
        <w:tc>
          <w:tcPr>
            <w:tcW w:w="180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15,196.61</w:t>
            </w:r>
            <w:r>
              <w:rPr>
                <w:rFonts w:ascii="Arial"/>
                <w:sz w:val="18"/>
              </w:rPr>
            </w:r>
          </w:p>
        </w:tc>
      </w:tr>
      <w:tr>
        <w:trPr>
          <w:trHeight w:val="322" w:hRule="exact"/>
        </w:trPr>
        <w:tc>
          <w:tcPr>
            <w:tcW w:w="22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32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701" w:type="dxa"/>
            <w:tcBorders>
              <w:top w:val="single" w:sz="4" w:space="0" w:color="5B9BD4"/>
              <w:left w:val="nil" w:sz="6" w:space="0" w:color="auto"/>
              <w:bottom w:val="single" w:sz="4" w:space="0" w:color="5B9BD4"/>
              <w:right w:val="nil" w:sz="6" w:space="0" w:color="auto"/>
            </w:tcBorders>
          </w:tcPr>
          <w:p>
            <w:pPr/>
          </w:p>
        </w:tc>
        <w:tc>
          <w:tcPr>
            <w:tcW w:w="19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1,104,380.32</w:t>
            </w:r>
            <w:r>
              <w:rPr>
                <w:rFonts w:ascii="Arial"/>
                <w:sz w:val="18"/>
              </w:rPr>
            </w:r>
          </w:p>
        </w:tc>
        <w:tc>
          <w:tcPr>
            <w:tcW w:w="184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1,100,402.93</w:t>
            </w:r>
            <w:r>
              <w:rPr>
                <w:rFonts w:ascii="Arial"/>
                <w:sz w:val="18"/>
              </w:rPr>
            </w:r>
          </w:p>
        </w:tc>
        <w:tc>
          <w:tcPr>
            <w:tcW w:w="180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w w:val="95"/>
                <w:sz w:val="18"/>
              </w:rPr>
              <w:t>3,977.39</w:t>
            </w:r>
            <w:r>
              <w:rPr>
                <w:rFonts w:ascii="Arial"/>
                <w:sz w:val="18"/>
              </w:rPr>
            </w:r>
          </w:p>
        </w:tc>
      </w:tr>
      <w:tr>
        <w:trPr>
          <w:trHeight w:val="322" w:hRule="exact"/>
        </w:trPr>
        <w:tc>
          <w:tcPr>
            <w:tcW w:w="22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、住房公积金</w:t>
            </w:r>
          </w:p>
        </w:tc>
        <w:tc>
          <w:tcPr>
            <w:tcW w:w="170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22,742.93</w:t>
            </w:r>
            <w:r>
              <w:rPr>
                <w:rFonts w:ascii="Arial"/>
                <w:sz w:val="18"/>
              </w:rPr>
            </w:r>
          </w:p>
        </w:tc>
        <w:tc>
          <w:tcPr>
            <w:tcW w:w="19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9,844,433.54</w:t>
            </w:r>
            <w:r>
              <w:rPr>
                <w:rFonts w:ascii="Arial"/>
                <w:sz w:val="18"/>
              </w:rPr>
            </w:r>
          </w:p>
        </w:tc>
        <w:tc>
          <w:tcPr>
            <w:tcW w:w="184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9,765,319.20</w:t>
            </w:r>
            <w:r>
              <w:rPr>
                <w:rFonts w:ascii="Arial"/>
                <w:sz w:val="18"/>
              </w:rPr>
            </w:r>
          </w:p>
        </w:tc>
        <w:tc>
          <w:tcPr>
            <w:tcW w:w="180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101,857.27</w:t>
            </w:r>
            <w:r>
              <w:rPr>
                <w:rFonts w:ascii="Arial"/>
                <w:sz w:val="18"/>
              </w:rPr>
            </w:r>
          </w:p>
        </w:tc>
      </w:tr>
      <w:tr>
        <w:trPr>
          <w:trHeight w:val="634" w:hRule="exact"/>
        </w:trPr>
        <w:tc>
          <w:tcPr>
            <w:tcW w:w="22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2" w:lineRule="auto" w:before="6"/>
              <w:ind w:left="108" w:right="107"/>
              <w:jc w:val="left"/>
              <w:rPr>
                <w:rFonts w:ascii="宋体" w:hAnsi="宋体" w:cs="宋体" w:eastAsia="宋体" w:hint="default"/>
                <w:sz w:val="18"/>
                <w:szCs w:val="18"/>
              </w:rPr>
            </w:pPr>
            <w:r>
              <w:rPr>
                <w:rFonts w:ascii="Arial" w:hAnsi="Arial" w:cs="Arial" w:eastAsia="Arial" w:hint="default"/>
                <w:spacing w:val="-6"/>
                <w:sz w:val="18"/>
                <w:szCs w:val="18"/>
              </w:rPr>
              <w:t>5</w:t>
            </w:r>
            <w:r>
              <w:rPr>
                <w:rFonts w:ascii="宋体" w:hAnsi="宋体" w:cs="宋体" w:eastAsia="宋体" w:hint="default"/>
                <w:spacing w:val="-6"/>
                <w:sz w:val="18"/>
                <w:szCs w:val="18"/>
              </w:rPr>
              <w:t>、工会经费和职工教育经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费</w:t>
            </w:r>
          </w:p>
        </w:tc>
        <w:tc>
          <w:tcPr>
            <w:tcW w:w="1701"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1,890,841.15</w:t>
            </w:r>
            <w:r>
              <w:rPr>
                <w:rFonts w:ascii="Arial"/>
                <w:sz w:val="18"/>
              </w:rPr>
            </w:r>
          </w:p>
        </w:tc>
        <w:tc>
          <w:tcPr>
            <w:tcW w:w="19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3,382,365.04</w:t>
            </w:r>
            <w:r>
              <w:rPr>
                <w:rFonts w:ascii="Arial"/>
                <w:sz w:val="18"/>
              </w:rPr>
            </w:r>
          </w:p>
        </w:tc>
        <w:tc>
          <w:tcPr>
            <w:tcW w:w="1844"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3,379,964.08</w:t>
            </w:r>
            <w:r>
              <w:rPr>
                <w:rFonts w:ascii="Arial"/>
                <w:sz w:val="18"/>
              </w:rPr>
            </w:r>
          </w:p>
        </w:tc>
        <w:tc>
          <w:tcPr>
            <w:tcW w:w="180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1,893,242.11</w:t>
            </w:r>
            <w:r>
              <w:rPr>
                <w:rFonts w:ascii="Arial"/>
                <w:sz w:val="18"/>
              </w:rPr>
            </w:r>
          </w:p>
        </w:tc>
      </w:tr>
      <w:tr>
        <w:trPr>
          <w:trHeight w:val="322" w:hRule="exact"/>
        </w:trPr>
        <w:tc>
          <w:tcPr>
            <w:tcW w:w="22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、短期带薪缺勤</w:t>
            </w:r>
          </w:p>
        </w:tc>
        <w:tc>
          <w:tcPr>
            <w:tcW w:w="1701" w:type="dxa"/>
            <w:tcBorders>
              <w:top w:val="single" w:sz="4" w:space="0" w:color="5B9BD4"/>
              <w:left w:val="nil" w:sz="6" w:space="0" w:color="auto"/>
              <w:bottom w:val="single" w:sz="4" w:space="0" w:color="5B9BD4"/>
              <w:right w:val="nil" w:sz="6" w:space="0" w:color="auto"/>
            </w:tcBorders>
          </w:tcPr>
          <w:p>
            <w:pPr/>
          </w:p>
        </w:tc>
        <w:tc>
          <w:tcPr>
            <w:tcW w:w="1984" w:type="dxa"/>
            <w:tcBorders>
              <w:top w:val="single" w:sz="4" w:space="0" w:color="5B9BD4"/>
              <w:left w:val="nil" w:sz="6" w:space="0" w:color="auto"/>
              <w:bottom w:val="single" w:sz="4" w:space="0" w:color="5B9BD4"/>
              <w:right w:val="nil" w:sz="6" w:space="0" w:color="auto"/>
            </w:tcBorders>
            <w:shd w:val="clear" w:color="auto" w:fill="DEEAF6"/>
          </w:tcPr>
          <w:p>
            <w:pPr/>
          </w:p>
        </w:tc>
        <w:tc>
          <w:tcPr>
            <w:tcW w:w="1844" w:type="dxa"/>
            <w:tcBorders>
              <w:top w:val="single" w:sz="4" w:space="0" w:color="5B9BD4"/>
              <w:left w:val="nil" w:sz="6" w:space="0" w:color="auto"/>
              <w:bottom w:val="single" w:sz="4" w:space="0" w:color="5B9BD4"/>
              <w:right w:val="nil" w:sz="6" w:space="0" w:color="auto"/>
            </w:tcBorders>
          </w:tcPr>
          <w:p>
            <w:pPr/>
          </w:p>
        </w:tc>
        <w:tc>
          <w:tcPr>
            <w:tcW w:w="1807"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2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7</w:t>
            </w:r>
            <w:r>
              <w:rPr>
                <w:rFonts w:ascii="宋体" w:hAnsi="宋体" w:cs="宋体" w:eastAsia="宋体" w:hint="default"/>
                <w:sz w:val="18"/>
                <w:szCs w:val="18"/>
              </w:rPr>
              <w:t>、短期利润分享计划</w:t>
            </w:r>
          </w:p>
        </w:tc>
        <w:tc>
          <w:tcPr>
            <w:tcW w:w="1701" w:type="dxa"/>
            <w:tcBorders>
              <w:top w:val="single" w:sz="4" w:space="0" w:color="5B9BD4"/>
              <w:left w:val="nil" w:sz="6" w:space="0" w:color="auto"/>
              <w:bottom w:val="single" w:sz="4" w:space="0" w:color="5B9BD4"/>
              <w:right w:val="nil" w:sz="6" w:space="0" w:color="auto"/>
            </w:tcBorders>
          </w:tcPr>
          <w:p>
            <w:pPr/>
          </w:p>
        </w:tc>
        <w:tc>
          <w:tcPr>
            <w:tcW w:w="1984" w:type="dxa"/>
            <w:tcBorders>
              <w:top w:val="single" w:sz="4" w:space="0" w:color="5B9BD4"/>
              <w:left w:val="nil" w:sz="6" w:space="0" w:color="auto"/>
              <w:bottom w:val="single" w:sz="4" w:space="0" w:color="5B9BD4"/>
              <w:right w:val="nil" w:sz="6" w:space="0" w:color="auto"/>
            </w:tcBorders>
            <w:shd w:val="clear" w:color="auto" w:fill="DEEAF6"/>
          </w:tcPr>
          <w:p>
            <w:pPr/>
          </w:p>
        </w:tc>
        <w:tc>
          <w:tcPr>
            <w:tcW w:w="1844" w:type="dxa"/>
            <w:tcBorders>
              <w:top w:val="single" w:sz="4" w:space="0" w:color="5B9BD4"/>
              <w:left w:val="nil" w:sz="6" w:space="0" w:color="auto"/>
              <w:bottom w:val="single" w:sz="4" w:space="0" w:color="5B9BD4"/>
              <w:right w:val="nil" w:sz="6" w:space="0" w:color="auto"/>
            </w:tcBorders>
          </w:tcPr>
          <w:p>
            <w:pPr/>
          </w:p>
        </w:tc>
        <w:tc>
          <w:tcPr>
            <w:tcW w:w="1807"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2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Arial" w:hAnsi="Arial" w:cs="Arial" w:eastAsia="Arial" w:hint="default"/>
                <w:sz w:val="18"/>
                <w:szCs w:val="18"/>
              </w:rPr>
              <w:t>8</w:t>
            </w:r>
            <w:r>
              <w:rPr>
                <w:rFonts w:ascii="宋体" w:hAnsi="宋体" w:cs="宋体" w:eastAsia="宋体" w:hint="default"/>
                <w:sz w:val="18"/>
                <w:szCs w:val="18"/>
              </w:rPr>
              <w:t>、其他短期薪酬</w:t>
            </w:r>
          </w:p>
        </w:tc>
        <w:tc>
          <w:tcPr>
            <w:tcW w:w="1701" w:type="dxa"/>
            <w:tcBorders>
              <w:top w:val="single" w:sz="4" w:space="0" w:color="5B9BD4"/>
              <w:left w:val="nil" w:sz="6" w:space="0" w:color="auto"/>
              <w:bottom w:val="single" w:sz="4" w:space="0" w:color="5B9BD4"/>
              <w:right w:val="nil" w:sz="6" w:space="0" w:color="auto"/>
            </w:tcBorders>
          </w:tcPr>
          <w:p>
            <w:pPr/>
          </w:p>
        </w:tc>
        <w:tc>
          <w:tcPr>
            <w:tcW w:w="19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469,014.88</w:t>
            </w:r>
            <w:r>
              <w:rPr>
                <w:rFonts w:ascii="Arial"/>
                <w:sz w:val="18"/>
              </w:rPr>
            </w:r>
          </w:p>
        </w:tc>
        <w:tc>
          <w:tcPr>
            <w:tcW w:w="184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469,014.88</w:t>
            </w:r>
            <w:r>
              <w:rPr>
                <w:rFonts w:ascii="Arial"/>
                <w:sz w:val="18"/>
              </w:rPr>
            </w:r>
          </w:p>
        </w:tc>
        <w:tc>
          <w:tcPr>
            <w:tcW w:w="1807"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22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58,305,237.61</w:t>
            </w:r>
            <w:r>
              <w:rPr>
                <w:rFonts w:ascii="Arial"/>
                <w:sz w:val="18"/>
              </w:rPr>
            </w:r>
          </w:p>
        </w:tc>
        <w:tc>
          <w:tcPr>
            <w:tcW w:w="19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424,938,148.51</w:t>
            </w:r>
            <w:r>
              <w:rPr>
                <w:rFonts w:ascii="Arial"/>
                <w:sz w:val="18"/>
              </w:rPr>
            </w:r>
          </w:p>
        </w:tc>
        <w:tc>
          <w:tcPr>
            <w:tcW w:w="184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406,765,307.58</w:t>
            </w:r>
            <w:r>
              <w:rPr>
                <w:rFonts w:ascii="Arial"/>
                <w:sz w:val="18"/>
              </w:rPr>
            </w:r>
          </w:p>
        </w:tc>
        <w:tc>
          <w:tcPr>
            <w:tcW w:w="180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76,478,078.54</w:t>
            </w:r>
            <w:r>
              <w:rPr>
                <w:rFonts w:ascii="Arial"/>
                <w:sz w:val="18"/>
              </w:rPr>
            </w:r>
          </w:p>
        </w:tc>
      </w:tr>
    </w:tbl>
    <w:p>
      <w:pPr>
        <w:spacing w:after="0" w:line="240" w:lineRule="auto"/>
        <w:jc w:val="right"/>
        <w:rPr>
          <w:rFonts w:ascii="Arial" w:hAnsi="Arial" w:cs="Arial" w:eastAsia="Arial" w:hint="default"/>
          <w:sz w:val="18"/>
          <w:szCs w:val="18"/>
        </w:rPr>
        <w:sectPr>
          <w:pgSz w:w="11910" w:h="16840"/>
          <w:pgMar w:header="877" w:footer="979" w:top="1100" w:bottom="1160" w:left="920" w:right="0"/>
        </w:sectPr>
      </w:pPr>
    </w:p>
    <w:p>
      <w:pPr>
        <w:spacing w:line="240" w:lineRule="auto" w:before="5"/>
        <w:rPr>
          <w:rFonts w:ascii="宋体" w:hAnsi="宋体" w:cs="宋体" w:eastAsia="宋体" w:hint="default"/>
          <w:sz w:val="20"/>
          <w:szCs w:val="20"/>
        </w:rPr>
      </w:pPr>
    </w:p>
    <w:p>
      <w:pPr>
        <w:pStyle w:val="Heading5"/>
        <w:spacing w:line="240" w:lineRule="auto"/>
        <w:ind w:right="1513"/>
        <w:jc w:val="left"/>
        <w:rPr>
          <w:b w:val="0"/>
          <w:bCs w:val="0"/>
        </w:rPr>
      </w:pPr>
      <w:bookmarkStart w:name="（3）设定提存计划列示" w:id="338"/>
      <w:bookmarkEnd w:id="338"/>
      <w:r>
        <w:rPr>
          <w:b w:val="0"/>
          <w:bCs w:val="0"/>
        </w:rPr>
      </w:r>
      <w:r>
        <w:rPr/>
        <w:t>（</w:t>
      </w:r>
      <w:r>
        <w:rPr>
          <w:rFonts w:ascii="Trebuchet MS" w:hAnsi="Trebuchet MS" w:cs="Trebuchet MS" w:eastAsia="Trebuchet MS" w:hint="default"/>
        </w:rPr>
        <w:t>3</w:t>
      </w:r>
      <w:r>
        <w:rPr/>
        <w:t>）设定提存计划列示</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317" w:hRule="exact"/>
        </w:trPr>
        <w:tc>
          <w:tcPr>
            <w:tcW w:w="9571" w:type="dxa"/>
            <w:gridSpan w:val="5"/>
            <w:tcBorders>
              <w:top w:val="single" w:sz="4" w:space="0" w:color="5B9BD4"/>
              <w:left w:val="nil" w:sz="6" w:space="0" w:color="auto"/>
              <w:bottom w:val="single" w:sz="4" w:space="0" w:color="5B9BD4"/>
              <w:right w:val="nil" w:sz="6" w:space="0" w:color="auto"/>
            </w:tcBorders>
            <w:shd w:val="clear" w:color="auto" w:fill="DEEAF6"/>
          </w:tcPr>
          <w:p>
            <w:pPr>
              <w:pStyle w:val="TableParagraph"/>
              <w:tabs>
                <w:tab w:pos="2509" w:val="left" w:leader="none"/>
                <w:tab w:pos="4425" w:val="left" w:leader="none"/>
                <w:tab w:pos="6339" w:val="left" w:leader="none"/>
                <w:tab w:pos="8253" w:val="left" w:leader="none"/>
              </w:tabs>
              <w:spacing w:line="240" w:lineRule="auto" w:before="5"/>
              <w:ind w:left="775" w:right="0"/>
              <w:jc w:val="left"/>
              <w:rPr>
                <w:rFonts w:ascii="宋体" w:hAnsi="宋体" w:cs="宋体" w:eastAsia="宋体" w:hint="default"/>
                <w:sz w:val="18"/>
                <w:szCs w:val="18"/>
              </w:rPr>
            </w:pPr>
            <w:r>
              <w:rPr>
                <w:rFonts w:ascii="宋体" w:hAnsi="宋体" w:cs="宋体" w:eastAsia="宋体" w:hint="default"/>
                <w:sz w:val="18"/>
                <w:szCs w:val="18"/>
              </w:rPr>
              <w:t>项目</w:t>
              <w:tab/>
              <w:t>期初余额</w:t>
              <w:tab/>
              <w:t>本期增加</w:t>
              <w:tab/>
              <w:t>本期减少</w:t>
              <w:tab/>
              <w:t>期末余额</w:t>
            </w:r>
          </w:p>
        </w:tc>
      </w:tr>
      <w:tr>
        <w:trPr>
          <w:trHeight w:val="328" w:hRule="exact"/>
        </w:trPr>
        <w:tc>
          <w:tcPr>
            <w:tcW w:w="191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1"/>
              <w:ind w:left="108"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、基本养老保险</w:t>
            </w:r>
          </w:p>
        </w:tc>
        <w:tc>
          <w:tcPr>
            <w:tcW w:w="1916" w:type="dxa"/>
            <w:tcBorders>
              <w:top w:val="single" w:sz="4" w:space="0" w:color="5B9BD4"/>
              <w:left w:val="nil" w:sz="6" w:space="0" w:color="auto"/>
              <w:bottom w:val="single" w:sz="4" w:space="0" w:color="5B9BD4"/>
              <w:right w:val="nil" w:sz="6" w:space="0" w:color="auto"/>
            </w:tcBorders>
          </w:tcPr>
          <w:p>
            <w:pPr>
              <w:pStyle w:val="TableParagraph"/>
              <w:spacing w:line="240" w:lineRule="auto" w:before="53"/>
              <w:ind w:right="106"/>
              <w:jc w:val="right"/>
              <w:rPr>
                <w:rFonts w:ascii="Arial" w:hAnsi="Arial" w:cs="Arial" w:eastAsia="Arial" w:hint="default"/>
                <w:sz w:val="18"/>
                <w:szCs w:val="18"/>
              </w:rPr>
            </w:pPr>
            <w:r>
              <w:rPr>
                <w:rFonts w:ascii="Arial"/>
                <w:w w:val="95"/>
                <w:sz w:val="18"/>
              </w:rPr>
              <w:t>879,426.27</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3"/>
              <w:ind w:right="105"/>
              <w:jc w:val="right"/>
              <w:rPr>
                <w:rFonts w:ascii="Arial" w:hAnsi="Arial" w:cs="Arial" w:eastAsia="Arial" w:hint="default"/>
                <w:sz w:val="18"/>
                <w:szCs w:val="18"/>
              </w:rPr>
            </w:pPr>
            <w:r>
              <w:rPr>
                <w:rFonts w:ascii="Arial"/>
                <w:w w:val="95"/>
                <w:sz w:val="18"/>
              </w:rPr>
              <w:t>24,272,894.99</w:t>
            </w:r>
            <w:r>
              <w:rPr>
                <w:rFonts w:ascii="Arial"/>
                <w:sz w:val="18"/>
              </w:rPr>
            </w:r>
          </w:p>
        </w:tc>
        <w:tc>
          <w:tcPr>
            <w:tcW w:w="1914" w:type="dxa"/>
            <w:tcBorders>
              <w:top w:val="single" w:sz="4" w:space="0" w:color="5B9BD4"/>
              <w:left w:val="nil" w:sz="6" w:space="0" w:color="auto"/>
              <w:bottom w:val="single" w:sz="4" w:space="0" w:color="5B9BD4"/>
              <w:right w:val="nil" w:sz="6" w:space="0" w:color="auto"/>
            </w:tcBorders>
          </w:tcPr>
          <w:p>
            <w:pPr>
              <w:pStyle w:val="TableParagraph"/>
              <w:spacing w:line="240" w:lineRule="auto" w:before="53"/>
              <w:ind w:right="106"/>
              <w:jc w:val="right"/>
              <w:rPr>
                <w:rFonts w:ascii="Arial" w:hAnsi="Arial" w:cs="Arial" w:eastAsia="Arial" w:hint="default"/>
                <w:sz w:val="18"/>
                <w:szCs w:val="18"/>
              </w:rPr>
            </w:pPr>
            <w:r>
              <w:rPr>
                <w:rFonts w:ascii="Arial"/>
                <w:w w:val="95"/>
                <w:sz w:val="18"/>
              </w:rPr>
              <w:t>24,513,998.20</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3"/>
              <w:ind w:right="106"/>
              <w:jc w:val="right"/>
              <w:rPr>
                <w:rFonts w:ascii="Arial" w:hAnsi="Arial" w:cs="Arial" w:eastAsia="Arial" w:hint="default"/>
                <w:sz w:val="18"/>
                <w:szCs w:val="18"/>
              </w:rPr>
            </w:pPr>
            <w:r>
              <w:rPr>
                <w:rFonts w:ascii="Arial"/>
                <w:w w:val="95"/>
                <w:sz w:val="18"/>
              </w:rPr>
              <w:t>638,323.06</w:t>
            </w:r>
            <w:r>
              <w:rPr>
                <w:rFonts w:ascii="Arial"/>
                <w:sz w:val="18"/>
              </w:rPr>
            </w:r>
          </w:p>
        </w:tc>
      </w:tr>
      <w:tr>
        <w:trPr>
          <w:trHeight w:val="322" w:hRule="exact"/>
        </w:trPr>
        <w:tc>
          <w:tcPr>
            <w:tcW w:w="191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、失业保险费</w:t>
            </w:r>
          </w:p>
        </w:tc>
        <w:tc>
          <w:tcPr>
            <w:tcW w:w="191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29,367.47</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1,655,829.52</w:t>
            </w:r>
            <w:r>
              <w:rPr>
                <w:rFonts w:ascii="Arial"/>
                <w:sz w:val="18"/>
              </w:rPr>
            </w:r>
          </w:p>
        </w:tc>
        <w:tc>
          <w:tcPr>
            <w:tcW w:w="191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1,680,384.37</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w w:val="95"/>
                <w:sz w:val="18"/>
              </w:rPr>
              <w:t>4,812.62</w:t>
            </w:r>
            <w:r>
              <w:rPr>
                <w:rFonts w:ascii="Arial"/>
                <w:sz w:val="18"/>
              </w:rPr>
            </w:r>
          </w:p>
        </w:tc>
      </w:tr>
      <w:tr>
        <w:trPr>
          <w:trHeight w:val="322" w:hRule="exact"/>
        </w:trPr>
        <w:tc>
          <w:tcPr>
            <w:tcW w:w="191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、企业年金缴费</w:t>
            </w:r>
          </w:p>
        </w:tc>
        <w:tc>
          <w:tcPr>
            <w:tcW w:w="1916" w:type="dxa"/>
            <w:tcBorders>
              <w:top w:val="single" w:sz="4" w:space="0" w:color="5B9BD4"/>
              <w:left w:val="nil" w:sz="6" w:space="0" w:color="auto"/>
              <w:bottom w:val="single" w:sz="4" w:space="0" w:color="5B9BD4"/>
              <w:right w:val="nil" w:sz="6" w:space="0" w:color="auto"/>
            </w:tcBorders>
          </w:tcPr>
          <w:p>
            <w:pP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
        </w:tc>
        <w:tc>
          <w:tcPr>
            <w:tcW w:w="1914" w:type="dxa"/>
            <w:tcBorders>
              <w:top w:val="single" w:sz="4" w:space="0" w:color="5B9BD4"/>
              <w:left w:val="nil" w:sz="6" w:space="0" w:color="auto"/>
              <w:bottom w:val="single" w:sz="4" w:space="0" w:color="5B9BD4"/>
              <w:right w:val="nil" w:sz="6" w:space="0" w:color="auto"/>
            </w:tcBorders>
          </w:tcPr>
          <w:p>
            <w:pP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191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908,793.74</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25,928,724.51</w:t>
            </w:r>
            <w:r>
              <w:rPr>
                <w:rFonts w:ascii="Arial"/>
                <w:sz w:val="18"/>
              </w:rPr>
            </w:r>
          </w:p>
        </w:tc>
        <w:tc>
          <w:tcPr>
            <w:tcW w:w="191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26,194,382.57</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643,135.68</w:t>
            </w:r>
            <w:r>
              <w:rPr>
                <w:rFonts w:ascii="Arial"/>
                <w:sz w:val="18"/>
              </w:rPr>
            </w:r>
          </w:p>
        </w:tc>
      </w:tr>
    </w:tbl>
    <w:p>
      <w:pPr>
        <w:spacing w:line="240" w:lineRule="auto" w:before="0"/>
        <w:rPr>
          <w:rFonts w:ascii="宋体" w:hAnsi="宋体" w:cs="宋体" w:eastAsia="宋体" w:hint="default"/>
          <w:sz w:val="15"/>
          <w:szCs w:val="15"/>
        </w:rPr>
      </w:pPr>
    </w:p>
    <w:p>
      <w:pPr>
        <w:pStyle w:val="BodyText"/>
        <w:spacing w:line="408" w:lineRule="auto" w:before="18"/>
        <w:ind w:left="214" w:right="419" w:firstLine="420"/>
        <w:jc w:val="left"/>
      </w:pPr>
      <w:r>
        <w:rPr/>
        <w:t>本公司按规定参加由政府机构设立的养老保险、失业保险计划，根据该等计划，本公司分别按员工基 本工资乘以各地适用的比例向该等计划缴存费用。除上述缴存费用外，本公司不再承担进一步支付义务。</w:t>
      </w:r>
      <w:r>
        <w:rPr>
          <w:spacing w:val="-35"/>
        </w:rPr>
        <w:t> </w:t>
      </w:r>
      <w:r>
        <w:rPr>
          <w:spacing w:val="-35"/>
        </w:rPr>
      </w:r>
      <w:r>
        <w:rPr/>
        <w:t>相应的支出于发生时计入当期损益或相关资产的成本。</w:t>
      </w:r>
    </w:p>
    <w:p>
      <w:pPr>
        <w:pStyle w:val="Heading5"/>
        <w:spacing w:line="240" w:lineRule="auto" w:before="125"/>
        <w:ind w:right="1513"/>
        <w:jc w:val="left"/>
        <w:rPr>
          <w:b w:val="0"/>
          <w:bCs w:val="0"/>
        </w:rPr>
      </w:pPr>
      <w:bookmarkStart w:name="23、应交税费" w:id="339"/>
      <w:bookmarkEnd w:id="339"/>
      <w:r>
        <w:rPr>
          <w:b w:val="0"/>
          <w:bCs w:val="0"/>
        </w:rPr>
      </w:r>
      <w:r>
        <w:rPr>
          <w:rFonts w:ascii="Trebuchet MS" w:hAnsi="Trebuchet MS" w:cs="Trebuchet MS" w:eastAsia="Trebuchet MS" w:hint="default"/>
        </w:rPr>
        <w:t>23</w:t>
      </w:r>
      <w:r>
        <w:rPr/>
        <w:t>、应交税费</w:t>
      </w:r>
      <w:r>
        <w:rPr>
          <w:b w:val="0"/>
          <w:bCs w:val="0"/>
        </w:rPr>
      </w:r>
    </w:p>
    <w:p>
      <w:pPr>
        <w:spacing w:line="240" w:lineRule="auto" w:before="5"/>
        <w:rPr>
          <w:rFonts w:ascii="宋体" w:hAnsi="宋体" w:cs="宋体" w:eastAsia="宋体" w:hint="default"/>
          <w:b/>
          <w:bCs/>
          <w:sz w:val="30"/>
          <w:szCs w:val="30"/>
        </w:rPr>
      </w:pPr>
    </w:p>
    <w:p>
      <w:pPr>
        <w:pStyle w:val="BodyText"/>
        <w:spacing w:line="240" w:lineRule="auto"/>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188"/>
        <w:gridCol w:w="3194"/>
        <w:gridCol w:w="3189"/>
      </w:tblGrid>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47,930,110.19</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2,957,551.93</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1,028,442.74</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762,847.45</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15,747,372.31</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5,450,479.92</w:t>
            </w:r>
            <w:r>
              <w:rPr>
                <w:rFonts w:ascii="Arial"/>
                <w:sz w:val="18"/>
              </w:rPr>
            </w:r>
          </w:p>
        </w:tc>
      </w:tr>
      <w:tr>
        <w:trPr>
          <w:trHeight w:val="323"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8"/>
              <w:ind w:right="104"/>
              <w:jc w:val="right"/>
              <w:rPr>
                <w:rFonts w:ascii="Arial" w:hAnsi="Arial" w:cs="Arial" w:eastAsia="Arial" w:hint="default"/>
                <w:sz w:val="18"/>
                <w:szCs w:val="18"/>
              </w:rPr>
            </w:pPr>
            <w:r>
              <w:rPr>
                <w:rFonts w:ascii="Arial"/>
                <w:w w:val="95"/>
                <w:sz w:val="18"/>
              </w:rPr>
              <w:t>3,144,138.02</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8"/>
              <w:ind w:right="104"/>
              <w:jc w:val="right"/>
              <w:rPr>
                <w:rFonts w:ascii="Arial" w:hAnsi="Arial" w:cs="Arial" w:eastAsia="Arial" w:hint="default"/>
                <w:sz w:val="18"/>
                <w:szCs w:val="18"/>
              </w:rPr>
            </w:pPr>
            <w:r>
              <w:rPr>
                <w:rFonts w:ascii="Arial"/>
                <w:w w:val="95"/>
                <w:sz w:val="18"/>
              </w:rPr>
              <w:t>4,168,089.01</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499,787.74</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6,813,559.97</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765,288.02</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4,897,433.78</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150,503.15</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1,064,326.67</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69,265,642.17</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26,114,288.73</w:t>
            </w:r>
            <w:r>
              <w:rPr>
                <w:rFonts w:ascii="Arial"/>
                <w:sz w:val="18"/>
              </w:rPr>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24、应付利息" w:id="340"/>
      <w:bookmarkEnd w:id="340"/>
      <w:r>
        <w:rPr>
          <w:b w:val="0"/>
          <w:bCs w:val="0"/>
        </w:rPr>
      </w:r>
      <w:r>
        <w:rPr>
          <w:rFonts w:ascii="Trebuchet MS" w:hAnsi="Trebuchet MS" w:cs="Trebuchet MS" w:eastAsia="Trebuchet MS" w:hint="default"/>
        </w:rPr>
        <w:t>24</w:t>
      </w:r>
      <w:r>
        <w:rPr/>
        <w:t>、应付利息</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188"/>
        <w:gridCol w:w="3194"/>
        <w:gridCol w:w="3189"/>
      </w:tblGrid>
      <w:tr>
        <w:trPr>
          <w:trHeight w:val="317"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7"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194" w:type="dxa"/>
            <w:tcBorders>
              <w:top w:val="single" w:sz="4" w:space="0" w:color="5B9BD4"/>
              <w:left w:val="nil" w:sz="6" w:space="0" w:color="auto"/>
              <w:bottom w:val="single" w:sz="4" w:space="0" w:color="5B9BD4"/>
              <w:right w:val="nil" w:sz="6" w:space="0" w:color="auto"/>
            </w:tcBorders>
          </w:tcPr>
          <w:p>
            <w:pP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4,760,000.00</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3,927,232.27</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3,093,894.45</w:t>
            </w:r>
            <w:r>
              <w:rPr>
                <w:rFonts w:ascii="Arial"/>
                <w:sz w:val="18"/>
              </w:rPr>
            </w:r>
          </w:p>
        </w:tc>
      </w:tr>
      <w:tr>
        <w:trPr>
          <w:trHeight w:val="634"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2" w:lineRule="auto" w:before="5"/>
              <w:ind w:left="108" w:right="269"/>
              <w:jc w:val="left"/>
              <w:rPr>
                <w:rFonts w:ascii="宋体" w:hAnsi="宋体" w:cs="宋体" w:eastAsia="宋体" w:hint="default"/>
                <w:sz w:val="18"/>
                <w:szCs w:val="18"/>
              </w:rPr>
            </w:pPr>
            <w:r>
              <w:rPr>
                <w:rFonts w:ascii="宋体" w:hAnsi="宋体" w:cs="宋体" w:eastAsia="宋体" w:hint="default"/>
                <w:sz w:val="18"/>
                <w:szCs w:val="18"/>
              </w:rPr>
              <w:t>划分为金融负债的优先股</w:t>
            </w:r>
            <w:r>
              <w:rPr>
                <w:rFonts w:ascii="Arial" w:hAnsi="Arial" w:cs="Arial" w:eastAsia="Arial" w:hint="default"/>
                <w:w w:val="217"/>
                <w:sz w:val="18"/>
                <w:szCs w:val="18"/>
              </w:rPr>
              <w:t>\</w:t>
            </w:r>
            <w:r>
              <w:rPr>
                <w:rFonts w:ascii="宋体" w:hAnsi="宋体" w:cs="宋体" w:eastAsia="宋体" w:hint="default"/>
                <w:sz w:val="18"/>
                <w:szCs w:val="18"/>
              </w:rPr>
              <w:t>永续债利 </w:t>
            </w:r>
            <w:r>
              <w:rPr>
                <w:rFonts w:ascii="宋体" w:hAnsi="宋体" w:cs="宋体" w:eastAsia="宋体" w:hint="default"/>
                <w:w w:val="105"/>
                <w:sz w:val="18"/>
                <w:szCs w:val="18"/>
              </w:rPr>
              <w:t>息</w:t>
            </w:r>
          </w:p>
        </w:tc>
        <w:tc>
          <w:tcPr>
            <w:tcW w:w="3194" w:type="dxa"/>
            <w:tcBorders>
              <w:top w:val="single" w:sz="4" w:space="0" w:color="5B9BD4"/>
              <w:left w:val="nil" w:sz="6" w:space="0" w:color="auto"/>
              <w:bottom w:val="single" w:sz="4" w:space="0" w:color="5B9BD4"/>
              <w:right w:val="nil" w:sz="6" w:space="0" w:color="auto"/>
            </w:tcBorders>
          </w:tcPr>
          <w:p>
            <w:pP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3"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8,687,232.27</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3,093,894.45</w:t>
            </w:r>
            <w:r>
              <w:rPr>
                <w:rFonts w:ascii="Arial"/>
                <w:sz w:val="18"/>
              </w:rPr>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25、应付股利" w:id="341"/>
      <w:bookmarkEnd w:id="341"/>
      <w:r>
        <w:rPr>
          <w:b w:val="0"/>
          <w:bCs w:val="0"/>
        </w:rPr>
      </w:r>
      <w:r>
        <w:rPr>
          <w:rFonts w:ascii="Trebuchet MS" w:hAnsi="Trebuchet MS" w:cs="Trebuchet MS" w:eastAsia="Trebuchet MS" w:hint="default"/>
        </w:rPr>
        <w:t>25</w:t>
      </w:r>
      <w:r>
        <w:rPr/>
        <w:t>、应付股利</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188"/>
        <w:gridCol w:w="3194"/>
        <w:gridCol w:w="3189"/>
      </w:tblGrid>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2039" w:right="0"/>
              <w:jc w:val="left"/>
              <w:rPr>
                <w:rFonts w:ascii="Arial" w:hAnsi="Arial" w:cs="Arial" w:eastAsia="Arial" w:hint="default"/>
                <w:sz w:val="18"/>
                <w:szCs w:val="18"/>
              </w:rPr>
            </w:pPr>
            <w:r>
              <w:rPr>
                <w:rFonts w:ascii="Arial"/>
                <w:sz w:val="18"/>
              </w:rPr>
              <w:t>3,000,000.00</w:t>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
        </w:tc>
      </w:tr>
    </w:tbl>
    <w:p>
      <w:pPr>
        <w:spacing w:after="0"/>
        <w:sectPr>
          <w:pgSz w:w="11910" w:h="16840"/>
          <w:pgMar w:header="877" w:footer="979" w:top="1100" w:bottom="1160" w:left="920" w:right="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3188"/>
        <w:gridCol w:w="3194"/>
        <w:gridCol w:w="3189"/>
      </w:tblGrid>
      <w:tr>
        <w:trPr>
          <w:trHeight w:val="634"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2" w:lineRule="auto" w:before="5"/>
              <w:ind w:left="108" w:right="269"/>
              <w:jc w:val="left"/>
              <w:rPr>
                <w:rFonts w:ascii="宋体" w:hAnsi="宋体" w:cs="宋体" w:eastAsia="宋体" w:hint="default"/>
                <w:sz w:val="18"/>
                <w:szCs w:val="18"/>
              </w:rPr>
            </w:pPr>
            <w:r>
              <w:rPr>
                <w:rFonts w:ascii="宋体" w:hAnsi="宋体" w:cs="宋体" w:eastAsia="宋体" w:hint="default"/>
                <w:sz w:val="18"/>
                <w:szCs w:val="18"/>
              </w:rPr>
              <w:t>划分为权益工具的优先股</w:t>
            </w:r>
            <w:r>
              <w:rPr>
                <w:rFonts w:ascii="Arial" w:hAnsi="Arial" w:cs="Arial" w:eastAsia="Arial" w:hint="default"/>
                <w:w w:val="217"/>
                <w:sz w:val="18"/>
                <w:szCs w:val="18"/>
              </w:rPr>
              <w:t>\</w:t>
            </w:r>
            <w:r>
              <w:rPr>
                <w:rFonts w:ascii="宋体" w:hAnsi="宋体" w:cs="宋体" w:eastAsia="宋体" w:hint="default"/>
                <w:sz w:val="18"/>
                <w:szCs w:val="18"/>
              </w:rPr>
              <w:t>永续债股 </w:t>
            </w:r>
            <w:r>
              <w:rPr>
                <w:rFonts w:ascii="宋体" w:hAnsi="宋体" w:cs="宋体" w:eastAsia="宋体" w:hint="default"/>
                <w:w w:val="105"/>
                <w:sz w:val="18"/>
                <w:szCs w:val="18"/>
              </w:rPr>
              <w:t>利</w:t>
            </w:r>
          </w:p>
        </w:tc>
        <w:tc>
          <w:tcPr>
            <w:tcW w:w="3194" w:type="dxa"/>
            <w:tcBorders>
              <w:top w:val="single" w:sz="4" w:space="0" w:color="5B9BD4"/>
              <w:left w:val="nil" w:sz="6" w:space="0" w:color="auto"/>
              <w:bottom w:val="single" w:sz="4" w:space="0" w:color="5B9BD4"/>
              <w:right w:val="nil" w:sz="6" w:space="0" w:color="auto"/>
            </w:tcBorders>
          </w:tcPr>
          <w:p>
            <w:pP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2039" w:right="0"/>
              <w:jc w:val="left"/>
              <w:rPr>
                <w:rFonts w:ascii="Arial" w:hAnsi="Arial" w:cs="Arial" w:eastAsia="Arial" w:hint="default"/>
                <w:sz w:val="18"/>
                <w:szCs w:val="18"/>
              </w:rPr>
            </w:pPr>
            <w:r>
              <w:rPr>
                <w:rFonts w:ascii="Arial"/>
                <w:sz w:val="18"/>
              </w:rPr>
              <w:t>3,000,000.00</w:t>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26、其他应付款" w:id="342"/>
      <w:bookmarkEnd w:id="342"/>
      <w:r>
        <w:rPr>
          <w:b w:val="0"/>
          <w:bCs w:val="0"/>
        </w:rPr>
      </w:r>
      <w:r>
        <w:rPr>
          <w:rFonts w:ascii="Trebuchet MS" w:hAnsi="Trebuchet MS" w:cs="Trebuchet MS" w:eastAsia="Trebuchet MS" w:hint="default"/>
        </w:rPr>
        <w:t>26</w:t>
      </w:r>
      <w:r>
        <w:rPr/>
        <w:t>、其他应付款</w:t>
      </w:r>
      <w:r>
        <w:rPr>
          <w:b w:val="0"/>
          <w:bCs w:val="0"/>
        </w:rPr>
      </w:r>
    </w:p>
    <w:p>
      <w:pPr>
        <w:spacing w:line="240" w:lineRule="auto" w:before="8"/>
        <w:rPr>
          <w:rFonts w:ascii="宋体" w:hAnsi="宋体" w:cs="宋体" w:eastAsia="宋体" w:hint="default"/>
          <w:b/>
          <w:bCs/>
          <w:sz w:val="24"/>
          <w:szCs w:val="24"/>
        </w:rPr>
      </w:pPr>
    </w:p>
    <w:p>
      <w:pPr>
        <w:spacing w:before="0"/>
        <w:ind w:left="636" w:right="1513" w:firstLine="0"/>
        <w:jc w:val="left"/>
        <w:rPr>
          <w:rFonts w:ascii="宋体" w:hAnsi="宋体" w:cs="宋体" w:eastAsia="宋体" w:hint="default"/>
          <w:sz w:val="21"/>
          <w:szCs w:val="21"/>
        </w:rPr>
      </w:pPr>
      <w:bookmarkStart w:name="（1）按款项性质列示其他应付款" w:id="343"/>
      <w:bookmarkEnd w:id="343"/>
      <w:r>
        <w:rPr/>
      </w:r>
      <w:r>
        <w:rPr>
          <w:rFonts w:ascii="宋体" w:hAnsi="宋体" w:cs="宋体" w:eastAsia="宋体" w:hint="default"/>
          <w:b/>
          <w:bCs/>
          <w:sz w:val="21"/>
          <w:szCs w:val="21"/>
        </w:rPr>
        <w:t>（</w:t>
      </w:r>
      <w:r>
        <w:rPr>
          <w:rFonts w:ascii="Trebuchet MS" w:hAnsi="Trebuchet MS" w:cs="Trebuchet MS" w:eastAsia="Trebuchet MS" w:hint="default"/>
          <w:b/>
          <w:bCs/>
          <w:sz w:val="21"/>
          <w:szCs w:val="21"/>
        </w:rPr>
        <w:t>1</w:t>
      </w:r>
      <w:r>
        <w:rPr>
          <w:rFonts w:ascii="宋体" w:hAnsi="宋体" w:cs="宋体" w:eastAsia="宋体" w:hint="default"/>
          <w:b/>
          <w:bCs/>
          <w:sz w:val="21"/>
          <w:szCs w:val="21"/>
        </w:rPr>
        <w:t>）按款项性质列示其他应付款</w:t>
      </w:r>
      <w:r>
        <w:rPr>
          <w:rFonts w:ascii="宋体" w:hAnsi="宋体" w:cs="宋体" w:eastAsia="宋体" w:hint="default"/>
          <w:sz w:val="21"/>
          <w:szCs w:val="21"/>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188"/>
        <w:gridCol w:w="3194"/>
        <w:gridCol w:w="3189"/>
      </w:tblGrid>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年以内</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91,296,162.76</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29,197,491.07</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16,130,737.33</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5,305,039.74</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1,217,742.82</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652,753.29</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年以上</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791,661.65</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622,833.51</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109,436,304.56</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35,778,117.61</w:t>
            </w:r>
            <w:r>
              <w:rPr>
                <w:rFonts w:ascii="Arial"/>
                <w:sz w:val="18"/>
              </w:rPr>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27、应付债券" w:id="344"/>
      <w:bookmarkEnd w:id="344"/>
      <w:r>
        <w:rPr>
          <w:b w:val="0"/>
          <w:bCs w:val="0"/>
        </w:rPr>
      </w:r>
      <w:r>
        <w:rPr>
          <w:rFonts w:ascii="Trebuchet MS" w:hAnsi="Trebuchet MS" w:cs="Trebuchet MS" w:eastAsia="Trebuchet MS" w:hint="default"/>
        </w:rPr>
        <w:t>27</w:t>
      </w:r>
      <w:r>
        <w:rPr/>
        <w:t>、应付债券</w:t>
      </w:r>
      <w:r>
        <w:rPr>
          <w:b w:val="0"/>
          <w:bCs w:val="0"/>
        </w:rPr>
      </w:r>
    </w:p>
    <w:p>
      <w:pPr>
        <w:spacing w:line="240" w:lineRule="auto" w:before="8"/>
        <w:rPr>
          <w:rFonts w:ascii="宋体" w:hAnsi="宋体" w:cs="宋体" w:eastAsia="宋体" w:hint="default"/>
          <w:b/>
          <w:bCs/>
          <w:sz w:val="24"/>
          <w:szCs w:val="24"/>
        </w:rPr>
      </w:pPr>
    </w:p>
    <w:p>
      <w:pPr>
        <w:spacing w:before="0"/>
        <w:ind w:left="636" w:right="1513" w:firstLine="0"/>
        <w:jc w:val="left"/>
        <w:rPr>
          <w:rFonts w:ascii="宋体" w:hAnsi="宋体" w:cs="宋体" w:eastAsia="宋体" w:hint="default"/>
          <w:sz w:val="21"/>
          <w:szCs w:val="21"/>
        </w:rPr>
      </w:pPr>
      <w:bookmarkStart w:name="（1）应付债券" w:id="345"/>
      <w:bookmarkEnd w:id="345"/>
      <w:r>
        <w:rPr/>
      </w:r>
      <w:r>
        <w:rPr>
          <w:rFonts w:ascii="宋体" w:hAnsi="宋体" w:cs="宋体" w:eastAsia="宋体" w:hint="default"/>
          <w:b/>
          <w:bCs/>
          <w:sz w:val="21"/>
          <w:szCs w:val="21"/>
        </w:rPr>
        <w:t>（</w:t>
      </w:r>
      <w:r>
        <w:rPr>
          <w:rFonts w:ascii="Trebuchet MS" w:hAnsi="Trebuchet MS" w:cs="Trebuchet MS" w:eastAsia="Trebuchet MS" w:hint="default"/>
          <w:b/>
          <w:bCs/>
          <w:sz w:val="21"/>
          <w:szCs w:val="21"/>
        </w:rPr>
        <w:t>1</w:t>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188"/>
        <w:gridCol w:w="3194"/>
        <w:gridCol w:w="3189"/>
      </w:tblGrid>
      <w:tr>
        <w:trPr>
          <w:trHeight w:val="317" w:hRule="exact"/>
        </w:trPr>
        <w:tc>
          <w:tcPr>
            <w:tcW w:w="9570" w:type="dxa"/>
            <w:gridSpan w:val="3"/>
            <w:tcBorders>
              <w:top w:val="single" w:sz="4" w:space="0" w:color="5B9BD4"/>
              <w:left w:val="nil" w:sz="6" w:space="0" w:color="auto"/>
              <w:bottom w:val="single" w:sz="4" w:space="0" w:color="5B9BD4"/>
              <w:right w:val="nil" w:sz="6" w:space="0" w:color="auto"/>
            </w:tcBorders>
            <w:shd w:val="clear" w:color="auto" w:fill="DEEAF6"/>
          </w:tcPr>
          <w:p>
            <w:pPr>
              <w:pStyle w:val="TableParagraph"/>
              <w:tabs>
                <w:tab w:pos="4423" w:val="left" w:leader="none"/>
                <w:tab w:pos="7615" w:val="left" w:leader="none"/>
              </w:tabs>
              <w:spacing w:line="240" w:lineRule="auto" w:before="5"/>
              <w:ind w:left="1414" w:right="0"/>
              <w:jc w:val="left"/>
              <w:rPr>
                <w:rFonts w:ascii="宋体" w:hAnsi="宋体" w:cs="宋体" w:eastAsia="宋体" w:hint="default"/>
                <w:sz w:val="18"/>
                <w:szCs w:val="18"/>
              </w:rPr>
            </w:pPr>
            <w:r>
              <w:rPr>
                <w:rFonts w:ascii="宋体" w:hAnsi="宋体" w:cs="宋体" w:eastAsia="宋体" w:hint="default"/>
                <w:sz w:val="18"/>
                <w:szCs w:val="18"/>
              </w:rPr>
              <w:t>项目</w:t>
              <w:tab/>
              <w:t>期末余额</w:t>
              <w:tab/>
              <w:t>期初余额</w:t>
            </w:r>
          </w:p>
        </w:tc>
      </w:tr>
      <w:tr>
        <w:trPr>
          <w:trHeight w:val="327"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一般公司债券</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w w:val="95"/>
                <w:sz w:val="18"/>
              </w:rPr>
              <w:t>595,407,936.00</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595,407,936.00</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2）应付债券的增减变动（不包括划分为金融负债的优先股、永续债等其他金融工具）" w:id="346"/>
      <w:bookmarkEnd w:id="346"/>
      <w:r>
        <w:rPr>
          <w:b w:val="0"/>
          <w:bCs w:val="0"/>
        </w:rPr>
      </w:r>
      <w:r>
        <w:rPr/>
        <w:t>（</w:t>
      </w:r>
      <w:r>
        <w:rPr>
          <w:rFonts w:ascii="Trebuchet MS" w:hAnsi="Trebuchet MS" w:cs="Trebuchet MS" w:eastAsia="Trebuchet MS" w:hint="default"/>
        </w:rPr>
        <w:t>2</w:t>
      </w:r>
      <w:r>
        <w:rPr/>
        <w:t>）应付债券的增减变动（不包括划分为金融负债的优先股、永续债等其他金融工具）</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38" w:type="dxa"/>
        <w:tblLayout w:type="fixed"/>
        <w:tblCellMar>
          <w:top w:w="0" w:type="dxa"/>
          <w:left w:w="0" w:type="dxa"/>
          <w:bottom w:w="0" w:type="dxa"/>
          <w:right w:w="0" w:type="dxa"/>
        </w:tblCellMar>
        <w:tblLook w:val="01E0"/>
      </w:tblPr>
      <w:tblGrid>
        <w:gridCol w:w="1560"/>
        <w:gridCol w:w="779"/>
        <w:gridCol w:w="851"/>
        <w:gridCol w:w="710"/>
        <w:gridCol w:w="992"/>
        <w:gridCol w:w="708"/>
        <w:gridCol w:w="992"/>
        <w:gridCol w:w="794"/>
        <w:gridCol w:w="798"/>
        <w:gridCol w:w="677"/>
        <w:gridCol w:w="919"/>
      </w:tblGrid>
      <w:tr>
        <w:trPr>
          <w:trHeight w:val="946" w:hRule="exact"/>
        </w:trPr>
        <w:tc>
          <w:tcPr>
            <w:tcW w:w="156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7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85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161"/>
              <w:ind w:left="334" w:right="155" w:hanging="180"/>
              <w:jc w:val="left"/>
              <w:rPr>
                <w:rFonts w:ascii="宋体" w:hAnsi="宋体" w:cs="宋体" w:eastAsia="宋体" w:hint="default"/>
                <w:sz w:val="18"/>
                <w:szCs w:val="18"/>
              </w:rPr>
            </w:pPr>
            <w:r>
              <w:rPr>
                <w:rFonts w:ascii="宋体" w:hAnsi="宋体" w:cs="宋体" w:eastAsia="宋体" w:hint="default"/>
                <w:sz w:val="18"/>
                <w:szCs w:val="18"/>
              </w:rPr>
              <w:t>发行日 期</w:t>
            </w:r>
          </w:p>
        </w:tc>
        <w:tc>
          <w:tcPr>
            <w:tcW w:w="71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161"/>
              <w:ind w:left="174" w:right="173"/>
              <w:jc w:val="left"/>
              <w:rPr>
                <w:rFonts w:ascii="宋体" w:hAnsi="宋体" w:cs="宋体" w:eastAsia="宋体" w:hint="default"/>
                <w:sz w:val="18"/>
                <w:szCs w:val="18"/>
              </w:rPr>
            </w:pPr>
            <w:r>
              <w:rPr>
                <w:rFonts w:ascii="宋体" w:hAnsi="宋体" w:cs="宋体" w:eastAsia="宋体" w:hint="default"/>
                <w:sz w:val="18"/>
                <w:szCs w:val="18"/>
              </w:rPr>
              <w:t>债券 期限</w:t>
            </w:r>
          </w:p>
        </w:tc>
        <w:tc>
          <w:tcPr>
            <w:tcW w:w="9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0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161"/>
              <w:ind w:left="173" w:right="173"/>
              <w:jc w:val="left"/>
              <w:rPr>
                <w:rFonts w:ascii="宋体" w:hAnsi="宋体" w:cs="宋体" w:eastAsia="宋体" w:hint="default"/>
                <w:sz w:val="18"/>
                <w:szCs w:val="18"/>
              </w:rPr>
            </w:pPr>
            <w:r>
              <w:rPr>
                <w:rFonts w:ascii="宋体" w:hAnsi="宋体" w:cs="宋体" w:eastAsia="宋体" w:hint="default"/>
                <w:sz w:val="18"/>
                <w:szCs w:val="18"/>
              </w:rPr>
              <w:t>期初 金额</w:t>
            </w:r>
          </w:p>
        </w:tc>
        <w:tc>
          <w:tcPr>
            <w:tcW w:w="9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26" w:right="125"/>
              <w:jc w:val="center"/>
              <w:rPr>
                <w:rFonts w:ascii="宋体" w:hAnsi="宋体" w:cs="宋体" w:eastAsia="宋体" w:hint="default"/>
                <w:sz w:val="18"/>
                <w:szCs w:val="18"/>
              </w:rPr>
            </w:pPr>
            <w:r>
              <w:rPr>
                <w:rFonts w:ascii="宋体" w:hAnsi="宋体" w:cs="宋体" w:eastAsia="宋体" w:hint="default"/>
                <w:sz w:val="18"/>
                <w:szCs w:val="18"/>
              </w:rPr>
              <w:t>按面值 计提利 息</w:t>
            </w:r>
          </w:p>
        </w:tc>
        <w:tc>
          <w:tcPr>
            <w:tcW w:w="79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161"/>
              <w:ind w:left="218" w:right="127" w:hanging="90"/>
              <w:jc w:val="left"/>
              <w:rPr>
                <w:rFonts w:ascii="宋体" w:hAnsi="宋体" w:cs="宋体" w:eastAsia="宋体" w:hint="default"/>
                <w:sz w:val="18"/>
                <w:szCs w:val="18"/>
              </w:rPr>
            </w:pPr>
            <w:r>
              <w:rPr>
                <w:rFonts w:ascii="宋体" w:hAnsi="宋体" w:cs="宋体" w:eastAsia="宋体" w:hint="default"/>
                <w:sz w:val="18"/>
                <w:szCs w:val="18"/>
              </w:rPr>
              <w:t>溢折价 摊销</w:t>
            </w:r>
          </w:p>
        </w:tc>
        <w:tc>
          <w:tcPr>
            <w:tcW w:w="67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161"/>
              <w:ind w:left="158" w:right="156"/>
              <w:jc w:val="left"/>
              <w:rPr>
                <w:rFonts w:ascii="宋体" w:hAnsi="宋体" w:cs="宋体" w:eastAsia="宋体" w:hint="default"/>
                <w:sz w:val="18"/>
                <w:szCs w:val="18"/>
              </w:rPr>
            </w:pPr>
            <w:r>
              <w:rPr>
                <w:rFonts w:ascii="宋体" w:hAnsi="宋体" w:cs="宋体" w:eastAsia="宋体" w:hint="default"/>
                <w:sz w:val="18"/>
                <w:szCs w:val="18"/>
              </w:rPr>
              <w:t>本期 偿还</w:t>
            </w:r>
          </w:p>
        </w:tc>
        <w:tc>
          <w:tcPr>
            <w:tcW w:w="9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161"/>
              <w:ind w:left="369" w:right="187" w:hanging="180"/>
              <w:jc w:val="left"/>
              <w:rPr>
                <w:rFonts w:ascii="宋体" w:hAnsi="宋体" w:cs="宋体" w:eastAsia="宋体" w:hint="default"/>
                <w:sz w:val="18"/>
                <w:szCs w:val="18"/>
              </w:rPr>
            </w:pPr>
            <w:r>
              <w:rPr>
                <w:rFonts w:ascii="宋体" w:hAnsi="宋体" w:cs="宋体" w:eastAsia="宋体" w:hint="default"/>
                <w:sz w:val="18"/>
                <w:szCs w:val="18"/>
              </w:rPr>
              <w:t>期末金 额</w:t>
            </w:r>
          </w:p>
        </w:tc>
      </w:tr>
      <w:tr>
        <w:trPr>
          <w:trHeight w:val="634" w:hRule="exact"/>
        </w:trPr>
        <w:tc>
          <w:tcPr>
            <w:tcW w:w="156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一般公司债券</w:t>
            </w:r>
          </w:p>
        </w:tc>
        <w:tc>
          <w:tcPr>
            <w:tcW w:w="779"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100.00</w:t>
            </w:r>
            <w:r>
              <w:rPr>
                <w:rFonts w:ascii="Arial"/>
                <w:sz w:val="18"/>
              </w:rPr>
            </w:r>
          </w:p>
        </w:tc>
        <w:tc>
          <w:tcPr>
            <w:tcW w:w="85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76" w:right="0"/>
              <w:jc w:val="center"/>
              <w:rPr>
                <w:rFonts w:ascii="Arial" w:hAnsi="Arial" w:cs="Arial" w:eastAsia="Arial" w:hint="default"/>
                <w:sz w:val="18"/>
                <w:szCs w:val="18"/>
              </w:rPr>
            </w:pPr>
            <w:r>
              <w:rPr>
                <w:rFonts w:ascii="Arial"/>
                <w:sz w:val="18"/>
              </w:rPr>
              <w:t>2015-1</w:t>
            </w:r>
          </w:p>
          <w:p>
            <w:pPr>
              <w:pStyle w:val="TableParagraph"/>
              <w:spacing w:line="240" w:lineRule="auto" w:before="105"/>
              <w:ind w:left="276" w:right="0"/>
              <w:jc w:val="center"/>
              <w:rPr>
                <w:rFonts w:ascii="Arial" w:hAnsi="Arial" w:cs="Arial" w:eastAsia="Arial" w:hint="default"/>
                <w:sz w:val="18"/>
                <w:szCs w:val="18"/>
              </w:rPr>
            </w:pPr>
            <w:r>
              <w:rPr>
                <w:rFonts w:ascii="Arial"/>
                <w:sz w:val="18"/>
              </w:rPr>
              <w:t>1-13</w:t>
            </w:r>
          </w:p>
        </w:tc>
        <w:tc>
          <w:tcPr>
            <w:tcW w:w="710"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9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77" w:right="0"/>
              <w:jc w:val="center"/>
              <w:rPr>
                <w:rFonts w:ascii="Arial" w:hAnsi="Arial" w:cs="Arial" w:eastAsia="Arial" w:hint="default"/>
                <w:sz w:val="18"/>
                <w:szCs w:val="18"/>
              </w:rPr>
            </w:pPr>
            <w:r>
              <w:rPr>
                <w:rFonts w:ascii="Arial"/>
                <w:sz w:val="18"/>
              </w:rPr>
              <w:t>600,000,</w:t>
            </w:r>
          </w:p>
          <w:p>
            <w:pPr>
              <w:pStyle w:val="TableParagraph"/>
              <w:spacing w:line="240" w:lineRule="auto" w:before="105"/>
              <w:ind w:left="228" w:right="0"/>
              <w:jc w:val="center"/>
              <w:rPr>
                <w:rFonts w:ascii="Arial" w:hAnsi="Arial" w:cs="Arial" w:eastAsia="Arial" w:hint="default"/>
                <w:sz w:val="18"/>
                <w:szCs w:val="18"/>
              </w:rPr>
            </w:pPr>
            <w:r>
              <w:rPr>
                <w:rFonts w:ascii="Arial"/>
                <w:sz w:val="18"/>
              </w:rPr>
              <w:t>000.00</w:t>
            </w:r>
          </w:p>
        </w:tc>
        <w:tc>
          <w:tcPr>
            <w:tcW w:w="708" w:type="dxa"/>
            <w:tcBorders>
              <w:top w:val="single" w:sz="4" w:space="0" w:color="5B9BD4"/>
              <w:left w:val="nil" w:sz="6" w:space="0" w:color="auto"/>
              <w:bottom w:val="single" w:sz="4" w:space="0" w:color="5B9BD4"/>
              <w:right w:val="nil" w:sz="6" w:space="0" w:color="auto"/>
            </w:tcBorders>
          </w:tcPr>
          <w:p>
            <w:pPr/>
          </w:p>
        </w:tc>
        <w:tc>
          <w:tcPr>
            <w:tcW w:w="9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77" w:right="0"/>
              <w:jc w:val="center"/>
              <w:rPr>
                <w:rFonts w:ascii="Arial" w:hAnsi="Arial" w:cs="Arial" w:eastAsia="Arial" w:hint="default"/>
                <w:sz w:val="18"/>
                <w:szCs w:val="18"/>
              </w:rPr>
            </w:pPr>
            <w:r>
              <w:rPr>
                <w:rFonts w:ascii="Arial"/>
                <w:sz w:val="18"/>
              </w:rPr>
              <w:t>595,200,</w:t>
            </w:r>
          </w:p>
          <w:p>
            <w:pPr>
              <w:pStyle w:val="TableParagraph"/>
              <w:spacing w:line="240" w:lineRule="auto" w:before="105"/>
              <w:ind w:left="228" w:right="0"/>
              <w:jc w:val="center"/>
              <w:rPr>
                <w:rFonts w:ascii="Arial" w:hAnsi="Arial" w:cs="Arial" w:eastAsia="Arial" w:hint="default"/>
                <w:sz w:val="18"/>
                <w:szCs w:val="18"/>
              </w:rPr>
            </w:pPr>
            <w:r>
              <w:rPr>
                <w:rFonts w:ascii="Arial"/>
                <w:sz w:val="18"/>
              </w:rPr>
              <w:t>000.00</w:t>
            </w:r>
          </w:p>
        </w:tc>
        <w:tc>
          <w:tcPr>
            <w:tcW w:w="794"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33" w:right="0"/>
              <w:jc w:val="center"/>
              <w:rPr>
                <w:rFonts w:ascii="Arial" w:hAnsi="Arial" w:cs="Arial" w:eastAsia="Arial" w:hint="default"/>
                <w:sz w:val="18"/>
                <w:szCs w:val="18"/>
              </w:rPr>
            </w:pPr>
            <w:r>
              <w:rPr>
                <w:rFonts w:ascii="Arial"/>
                <w:sz w:val="18"/>
              </w:rPr>
              <w:t>207,93</w:t>
            </w:r>
          </w:p>
          <w:p>
            <w:pPr>
              <w:pStyle w:val="TableParagraph"/>
              <w:spacing w:line="240" w:lineRule="auto" w:before="105"/>
              <w:ind w:left="232" w:right="0"/>
              <w:jc w:val="center"/>
              <w:rPr>
                <w:rFonts w:ascii="Arial" w:hAnsi="Arial" w:cs="Arial" w:eastAsia="Arial" w:hint="default"/>
                <w:sz w:val="18"/>
                <w:szCs w:val="18"/>
              </w:rPr>
            </w:pPr>
            <w:r>
              <w:rPr>
                <w:rFonts w:ascii="Arial"/>
                <w:sz w:val="18"/>
              </w:rPr>
              <w:t>6.00</w:t>
            </w:r>
          </w:p>
        </w:tc>
        <w:tc>
          <w:tcPr>
            <w:tcW w:w="677" w:type="dxa"/>
            <w:tcBorders>
              <w:top w:val="single" w:sz="4" w:space="0" w:color="5B9BD4"/>
              <w:left w:val="nil" w:sz="6" w:space="0" w:color="auto"/>
              <w:bottom w:val="single" w:sz="4" w:space="0" w:color="5B9BD4"/>
              <w:right w:val="nil" w:sz="6" w:space="0" w:color="auto"/>
            </w:tcBorders>
          </w:tcPr>
          <w:p>
            <w:pPr/>
          </w:p>
        </w:tc>
        <w:tc>
          <w:tcPr>
            <w:tcW w:w="9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4" w:right="0"/>
              <w:jc w:val="center"/>
              <w:rPr>
                <w:rFonts w:ascii="Arial" w:hAnsi="Arial" w:cs="Arial" w:eastAsia="Arial" w:hint="default"/>
                <w:sz w:val="18"/>
                <w:szCs w:val="18"/>
              </w:rPr>
            </w:pPr>
            <w:r>
              <w:rPr>
                <w:rFonts w:ascii="Arial"/>
                <w:sz w:val="18"/>
              </w:rPr>
              <w:t>595,407,</w:t>
            </w:r>
          </w:p>
          <w:p>
            <w:pPr>
              <w:pStyle w:val="TableParagraph"/>
              <w:spacing w:line="240" w:lineRule="auto" w:before="105"/>
              <w:ind w:left="154" w:right="0"/>
              <w:jc w:val="center"/>
              <w:rPr>
                <w:rFonts w:ascii="Arial" w:hAnsi="Arial" w:cs="Arial" w:eastAsia="Arial" w:hint="default"/>
                <w:sz w:val="18"/>
                <w:szCs w:val="18"/>
              </w:rPr>
            </w:pPr>
            <w:r>
              <w:rPr>
                <w:rFonts w:ascii="Arial"/>
                <w:sz w:val="18"/>
              </w:rPr>
              <w:t>936.00</w:t>
            </w:r>
          </w:p>
        </w:tc>
      </w:tr>
      <w:tr>
        <w:trPr>
          <w:trHeight w:val="634" w:hRule="exact"/>
        </w:trPr>
        <w:tc>
          <w:tcPr>
            <w:tcW w:w="156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18"/>
                <w:szCs w:val="18"/>
              </w:rPr>
            </w:pPr>
            <w:r>
              <w:rPr>
                <w:rFonts w:ascii="Arial"/>
                <w:w w:val="95"/>
                <w:sz w:val="18"/>
              </w:rPr>
              <w:t>--</w:t>
            </w:r>
            <w:r>
              <w:rPr>
                <w:rFonts w:ascii="Arial"/>
                <w:sz w:val="18"/>
              </w:rPr>
            </w:r>
          </w:p>
        </w:tc>
        <w:tc>
          <w:tcPr>
            <w:tcW w:w="85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18"/>
                <w:szCs w:val="18"/>
              </w:rPr>
            </w:pPr>
            <w:r>
              <w:rPr>
                <w:rFonts w:ascii="Arial"/>
                <w:w w:val="95"/>
                <w:sz w:val="18"/>
              </w:rPr>
              <w:t>--</w:t>
            </w:r>
            <w:r>
              <w:rPr>
                <w:rFonts w:ascii="Arial"/>
                <w:sz w:val="18"/>
              </w:rPr>
            </w:r>
          </w:p>
        </w:tc>
        <w:tc>
          <w:tcPr>
            <w:tcW w:w="710"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w:t>
            </w:r>
            <w:r>
              <w:rPr>
                <w:rFonts w:ascii="Arial"/>
                <w:sz w:val="18"/>
              </w:rPr>
            </w:r>
          </w:p>
        </w:tc>
        <w:tc>
          <w:tcPr>
            <w:tcW w:w="9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77" w:right="0"/>
              <w:jc w:val="center"/>
              <w:rPr>
                <w:rFonts w:ascii="Arial" w:hAnsi="Arial" w:cs="Arial" w:eastAsia="Arial" w:hint="default"/>
                <w:sz w:val="18"/>
                <w:szCs w:val="18"/>
              </w:rPr>
            </w:pPr>
            <w:r>
              <w:rPr>
                <w:rFonts w:ascii="Arial"/>
                <w:sz w:val="18"/>
              </w:rPr>
              <w:t>600,000,</w:t>
            </w:r>
          </w:p>
          <w:p>
            <w:pPr>
              <w:pStyle w:val="TableParagraph"/>
              <w:spacing w:line="240" w:lineRule="auto" w:before="105"/>
              <w:ind w:left="228" w:right="0"/>
              <w:jc w:val="center"/>
              <w:rPr>
                <w:rFonts w:ascii="Arial" w:hAnsi="Arial" w:cs="Arial" w:eastAsia="Arial" w:hint="default"/>
                <w:sz w:val="18"/>
                <w:szCs w:val="18"/>
              </w:rPr>
            </w:pPr>
            <w:r>
              <w:rPr>
                <w:rFonts w:ascii="Arial"/>
                <w:sz w:val="18"/>
              </w:rPr>
              <w:t>000.00</w:t>
            </w:r>
          </w:p>
        </w:tc>
        <w:tc>
          <w:tcPr>
            <w:tcW w:w="708" w:type="dxa"/>
            <w:tcBorders>
              <w:top w:val="single" w:sz="4" w:space="0" w:color="5B9BD4"/>
              <w:left w:val="nil" w:sz="6" w:space="0" w:color="auto"/>
              <w:bottom w:val="single" w:sz="4" w:space="0" w:color="5B9BD4"/>
              <w:right w:val="nil" w:sz="6" w:space="0" w:color="auto"/>
            </w:tcBorders>
          </w:tcPr>
          <w:p>
            <w:pPr/>
          </w:p>
        </w:tc>
        <w:tc>
          <w:tcPr>
            <w:tcW w:w="9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77" w:right="0"/>
              <w:jc w:val="center"/>
              <w:rPr>
                <w:rFonts w:ascii="Arial" w:hAnsi="Arial" w:cs="Arial" w:eastAsia="Arial" w:hint="default"/>
                <w:sz w:val="18"/>
                <w:szCs w:val="18"/>
              </w:rPr>
            </w:pPr>
            <w:r>
              <w:rPr>
                <w:rFonts w:ascii="Arial"/>
                <w:sz w:val="18"/>
              </w:rPr>
              <w:t>595,200,</w:t>
            </w:r>
          </w:p>
          <w:p>
            <w:pPr>
              <w:pStyle w:val="TableParagraph"/>
              <w:spacing w:line="240" w:lineRule="auto" w:before="105"/>
              <w:ind w:left="228" w:right="0"/>
              <w:jc w:val="center"/>
              <w:rPr>
                <w:rFonts w:ascii="Arial" w:hAnsi="Arial" w:cs="Arial" w:eastAsia="Arial" w:hint="default"/>
                <w:sz w:val="18"/>
                <w:szCs w:val="18"/>
              </w:rPr>
            </w:pPr>
            <w:r>
              <w:rPr>
                <w:rFonts w:ascii="Arial"/>
                <w:sz w:val="18"/>
              </w:rPr>
              <w:t>000.00</w:t>
            </w:r>
          </w:p>
        </w:tc>
        <w:tc>
          <w:tcPr>
            <w:tcW w:w="794" w:type="dxa"/>
            <w:tcBorders>
              <w:top w:val="single" w:sz="4" w:space="0" w:color="5B9BD4"/>
              <w:left w:val="nil" w:sz="6" w:space="0" w:color="auto"/>
              <w:bottom w:val="single" w:sz="4" w:space="0" w:color="5B9BD4"/>
              <w:right w:val="nil" w:sz="6" w:space="0" w:color="auto"/>
            </w:tcBorders>
          </w:tcPr>
          <w:p>
            <w:pPr/>
          </w:p>
        </w:tc>
        <w:tc>
          <w:tcPr>
            <w:tcW w:w="79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33" w:right="0"/>
              <w:jc w:val="center"/>
              <w:rPr>
                <w:rFonts w:ascii="Arial" w:hAnsi="Arial" w:cs="Arial" w:eastAsia="Arial" w:hint="default"/>
                <w:sz w:val="18"/>
                <w:szCs w:val="18"/>
              </w:rPr>
            </w:pPr>
            <w:r>
              <w:rPr>
                <w:rFonts w:ascii="Arial"/>
                <w:sz w:val="18"/>
              </w:rPr>
              <w:t>207,93</w:t>
            </w:r>
          </w:p>
          <w:p>
            <w:pPr>
              <w:pStyle w:val="TableParagraph"/>
              <w:spacing w:line="240" w:lineRule="auto" w:before="105"/>
              <w:ind w:left="232" w:right="0"/>
              <w:jc w:val="center"/>
              <w:rPr>
                <w:rFonts w:ascii="Arial" w:hAnsi="Arial" w:cs="Arial" w:eastAsia="Arial" w:hint="default"/>
                <w:sz w:val="18"/>
                <w:szCs w:val="18"/>
              </w:rPr>
            </w:pPr>
            <w:r>
              <w:rPr>
                <w:rFonts w:ascii="Arial"/>
                <w:sz w:val="18"/>
              </w:rPr>
              <w:t>6.00</w:t>
            </w:r>
          </w:p>
        </w:tc>
        <w:tc>
          <w:tcPr>
            <w:tcW w:w="677" w:type="dxa"/>
            <w:tcBorders>
              <w:top w:val="single" w:sz="4" w:space="0" w:color="5B9BD4"/>
              <w:left w:val="nil" w:sz="6" w:space="0" w:color="auto"/>
              <w:bottom w:val="single" w:sz="4" w:space="0" w:color="5B9BD4"/>
              <w:right w:val="nil" w:sz="6" w:space="0" w:color="auto"/>
            </w:tcBorders>
          </w:tcPr>
          <w:p>
            <w:pPr/>
          </w:p>
        </w:tc>
        <w:tc>
          <w:tcPr>
            <w:tcW w:w="91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4" w:right="0"/>
              <w:jc w:val="center"/>
              <w:rPr>
                <w:rFonts w:ascii="Arial" w:hAnsi="Arial" w:cs="Arial" w:eastAsia="Arial" w:hint="default"/>
                <w:sz w:val="18"/>
                <w:szCs w:val="18"/>
              </w:rPr>
            </w:pPr>
            <w:r>
              <w:rPr>
                <w:rFonts w:ascii="Arial"/>
                <w:sz w:val="18"/>
              </w:rPr>
              <w:t>595,407,</w:t>
            </w:r>
          </w:p>
          <w:p>
            <w:pPr>
              <w:pStyle w:val="TableParagraph"/>
              <w:spacing w:line="240" w:lineRule="auto" w:before="105"/>
              <w:ind w:left="154" w:right="0"/>
              <w:jc w:val="center"/>
              <w:rPr>
                <w:rFonts w:ascii="Arial" w:hAnsi="Arial" w:cs="Arial" w:eastAsia="Arial" w:hint="default"/>
                <w:sz w:val="18"/>
                <w:szCs w:val="18"/>
              </w:rPr>
            </w:pPr>
            <w:r>
              <w:rPr>
                <w:rFonts w:ascii="Arial"/>
                <w:sz w:val="18"/>
              </w:rPr>
              <w:t>936.00</w:t>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28、预计负债" w:id="347"/>
      <w:bookmarkEnd w:id="347"/>
      <w:r>
        <w:rPr>
          <w:b w:val="0"/>
          <w:bCs w:val="0"/>
        </w:rPr>
      </w:r>
      <w:r>
        <w:rPr>
          <w:rFonts w:ascii="Trebuchet MS" w:hAnsi="Trebuchet MS" w:cs="Trebuchet MS" w:eastAsia="Trebuchet MS" w:hint="default"/>
        </w:rPr>
        <w:t>28</w:t>
      </w:r>
      <w:r>
        <w:rPr/>
        <w:t>、预计负债</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5"/>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2390"/>
        <w:gridCol w:w="2396"/>
        <w:gridCol w:w="2392"/>
        <w:gridCol w:w="2392"/>
      </w:tblGrid>
      <w:tr>
        <w:trPr>
          <w:trHeight w:val="318" w:hRule="exact"/>
        </w:trPr>
        <w:tc>
          <w:tcPr>
            <w:tcW w:w="23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26" w:hRule="exact"/>
        </w:trPr>
        <w:tc>
          <w:tcPr>
            <w:tcW w:w="23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396"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right="106"/>
              <w:jc w:val="right"/>
              <w:rPr>
                <w:rFonts w:ascii="Arial" w:hAnsi="Arial" w:cs="Arial" w:eastAsia="Arial" w:hint="default"/>
                <w:sz w:val="18"/>
                <w:szCs w:val="18"/>
              </w:rPr>
            </w:pPr>
            <w:r>
              <w:rPr>
                <w:rFonts w:ascii="Arial"/>
                <w:w w:val="95"/>
                <w:sz w:val="18"/>
              </w:rPr>
              <w:t>10,929.00</w:t>
            </w:r>
            <w:r>
              <w:rPr>
                <w:rFonts w:ascii="Arial"/>
                <w:sz w:val="18"/>
              </w:rPr>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2"/>
              <w:ind w:right="105"/>
              <w:jc w:val="right"/>
              <w:rPr>
                <w:rFonts w:ascii="Arial" w:hAnsi="Arial" w:cs="Arial" w:eastAsia="Arial" w:hint="default"/>
                <w:sz w:val="18"/>
                <w:szCs w:val="18"/>
              </w:rPr>
            </w:pPr>
            <w:r>
              <w:rPr>
                <w:rFonts w:ascii="Arial"/>
                <w:w w:val="95"/>
                <w:sz w:val="18"/>
              </w:rPr>
              <w:t>3,772,757.00</w:t>
            </w:r>
            <w:r>
              <w:rPr>
                <w:rFonts w:ascii="Arial"/>
                <w:sz w:val="18"/>
              </w:rPr>
            </w: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hAnsi="宋体" w:cs="宋体" w:eastAsia="宋体" w:hint="default"/>
                <w:sz w:val="18"/>
                <w:szCs w:val="18"/>
              </w:rPr>
              <w:t>参见注释</w:t>
            </w:r>
          </w:p>
        </w:tc>
      </w:tr>
      <w:tr>
        <w:trPr>
          <w:trHeight w:val="323" w:hRule="exact"/>
        </w:trPr>
        <w:tc>
          <w:tcPr>
            <w:tcW w:w="23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10,929.00</w:t>
            </w:r>
            <w:r>
              <w:rPr>
                <w:rFonts w:ascii="Arial"/>
                <w:sz w:val="18"/>
              </w:rPr>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3,772,757.00</w:t>
            </w:r>
            <w:r>
              <w:rPr>
                <w:rFonts w:ascii="Arial"/>
                <w:sz w:val="18"/>
              </w:rPr>
            </w: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w:t>
            </w:r>
            <w:r>
              <w:rPr>
                <w:rFonts w:ascii="Arial"/>
                <w:sz w:val="18"/>
              </w:rPr>
            </w:r>
          </w:p>
        </w:tc>
      </w:tr>
    </w:tbl>
    <w:p>
      <w:pPr>
        <w:spacing w:line="240" w:lineRule="auto" w:before="0"/>
        <w:rPr>
          <w:rFonts w:ascii="宋体" w:hAnsi="宋体" w:cs="宋体" w:eastAsia="宋体" w:hint="default"/>
          <w:sz w:val="15"/>
          <w:szCs w:val="15"/>
        </w:rPr>
      </w:pPr>
    </w:p>
    <w:p>
      <w:pPr>
        <w:pStyle w:val="BodyText"/>
        <w:spacing w:line="240" w:lineRule="auto" w:before="18"/>
        <w:ind w:left="634" w:right="419"/>
        <w:jc w:val="left"/>
      </w:pPr>
      <w:r>
        <w:rPr/>
        <w:t>注：</w:t>
      </w:r>
      <w:r>
        <w:rPr>
          <w:rFonts w:ascii="Arial" w:hAnsi="Arial" w:cs="Arial" w:eastAsia="Arial" w:hint="default"/>
        </w:rPr>
        <w:t>2015</w:t>
      </w:r>
      <w:r>
        <w:rPr/>
        <w:t>年</w:t>
      </w:r>
      <w:r>
        <w:rPr>
          <w:rFonts w:ascii="Arial" w:hAnsi="Arial" w:cs="Arial" w:eastAsia="Arial" w:hint="default"/>
        </w:rPr>
        <w:t>7</w:t>
      </w:r>
      <w:r>
        <w:rPr/>
        <w:t>月</w:t>
      </w:r>
      <w:r>
        <w:rPr>
          <w:rFonts w:ascii="Arial" w:hAnsi="Arial" w:cs="Arial" w:eastAsia="Arial" w:hint="default"/>
        </w:rPr>
        <w:t>22</w:t>
      </w:r>
      <w:r>
        <w:rPr/>
        <w:t>日，乐视网信息技术（北京）股份有限公对本公司之子公司迈奔灵动公司在“机锋</w:t>
      </w:r>
    </w:p>
    <w:p>
      <w:pPr>
        <w:spacing w:after="0" w:line="240" w:lineRule="auto"/>
        <w:jc w:val="left"/>
        <w:sectPr>
          <w:pgSz w:w="11910" w:h="16840"/>
          <w:pgMar w:header="877" w:footer="979" w:top="1100" w:bottom="1160" w:left="920" w:right="0"/>
        </w:sectPr>
      </w:pPr>
    </w:p>
    <w:p>
      <w:pPr>
        <w:spacing w:line="240" w:lineRule="auto" w:before="7"/>
        <w:rPr>
          <w:rFonts w:ascii="宋体" w:hAnsi="宋体" w:cs="宋体" w:eastAsia="宋体" w:hint="default"/>
          <w:sz w:val="27"/>
          <w:szCs w:val="27"/>
        </w:rPr>
      </w:pPr>
    </w:p>
    <w:p>
      <w:pPr>
        <w:pStyle w:val="BodyText"/>
        <w:spacing w:line="388" w:lineRule="auto" w:before="18"/>
        <w:ind w:left="213" w:right="1134"/>
        <w:jc w:val="both"/>
      </w:pPr>
      <w:r>
        <w:rPr/>
        <w:t>网”向公众提供《将爱进行到底》等</w:t>
      </w:r>
      <w:r>
        <w:rPr>
          <w:rFonts w:ascii="Arial" w:hAnsi="Arial" w:cs="Arial" w:eastAsia="Arial" w:hint="default"/>
        </w:rPr>
        <w:t>7</w:t>
      </w:r>
      <w:r>
        <w:rPr/>
        <w:t>部影视作品下载服务，以及乐视网（天津）信息技术有限公对本公</w:t>
      </w:r>
      <w:r>
        <w:rPr>
          <w:spacing w:val="-43"/>
        </w:rPr>
        <w:t> </w:t>
      </w:r>
      <w:r>
        <w:rPr>
          <w:spacing w:val="-43"/>
        </w:rPr>
      </w:r>
      <w:r>
        <w:rPr/>
        <w:t>司之子公司迈奔灵动公司在“机锋网”向公众提供《二次曝光》等</w:t>
      </w:r>
      <w:r>
        <w:rPr>
          <w:rFonts w:ascii="Arial" w:hAnsi="Arial" w:cs="Arial" w:eastAsia="Arial" w:hint="default"/>
        </w:rPr>
        <w:t>8</w:t>
      </w:r>
      <w:r>
        <w:rPr/>
        <w:t>部影视作品下载服务提出诉讼，截至</w:t>
      </w:r>
      <w:r>
        <w:rPr>
          <w:spacing w:val="-41"/>
        </w:rPr>
        <w:t> </w:t>
      </w:r>
      <w:r>
        <w:rPr>
          <w:spacing w:val="-41"/>
        </w:rPr>
      </w:r>
      <w:r>
        <w:rPr>
          <w:rFonts w:ascii="Arial" w:hAnsi="Arial" w:cs="Arial" w:eastAsia="Arial" w:hint="default"/>
        </w:rPr>
        <w:t>2015</w:t>
      </w:r>
      <w:r>
        <w:rPr/>
        <w:t>年</w:t>
      </w:r>
      <w:r>
        <w:rPr>
          <w:rFonts w:ascii="Arial" w:hAnsi="Arial" w:cs="Arial" w:eastAsia="Arial" w:hint="default"/>
        </w:rPr>
        <w:t>12</w:t>
      </w:r>
      <w:r>
        <w:rPr/>
        <w:t>月</w:t>
      </w:r>
      <w:r>
        <w:rPr>
          <w:rFonts w:ascii="Arial" w:hAnsi="Arial" w:cs="Arial" w:eastAsia="Arial" w:hint="default"/>
        </w:rPr>
        <w:t>31</w:t>
      </w:r>
      <w:r>
        <w:rPr/>
        <w:t>日，该案件尚未开始诉讼程序。</w:t>
      </w:r>
    </w:p>
    <w:p>
      <w:pPr>
        <w:pStyle w:val="Heading5"/>
        <w:spacing w:line="240" w:lineRule="auto" w:before="112"/>
        <w:ind w:right="1513"/>
        <w:jc w:val="left"/>
        <w:rPr>
          <w:b w:val="0"/>
          <w:bCs w:val="0"/>
        </w:rPr>
      </w:pPr>
      <w:bookmarkStart w:name="29、递延收益" w:id="348"/>
      <w:bookmarkEnd w:id="348"/>
      <w:r>
        <w:rPr>
          <w:b w:val="0"/>
          <w:bCs w:val="0"/>
        </w:rPr>
      </w:r>
      <w:r>
        <w:rPr>
          <w:rFonts w:ascii="Trebuchet MS" w:hAnsi="Trebuchet MS" w:cs="Trebuchet MS" w:eastAsia="Trebuchet MS" w:hint="default"/>
        </w:rPr>
        <w:t>29</w:t>
      </w:r>
      <w:r>
        <w:rPr/>
        <w:t>、递延收益</w:t>
      </w:r>
      <w:r>
        <w:rPr>
          <w:b w:val="0"/>
          <w:bCs w:val="0"/>
        </w:rPr>
      </w:r>
    </w:p>
    <w:p>
      <w:pPr>
        <w:spacing w:line="240" w:lineRule="auto" w:before="5"/>
        <w:rPr>
          <w:rFonts w:ascii="宋体" w:hAnsi="宋体" w:cs="宋体" w:eastAsia="宋体" w:hint="default"/>
          <w:b/>
          <w:bCs/>
          <w:sz w:val="30"/>
          <w:szCs w:val="30"/>
        </w:rPr>
      </w:pPr>
    </w:p>
    <w:p>
      <w:pPr>
        <w:pStyle w:val="BodyText"/>
        <w:spacing w:line="240" w:lineRule="auto"/>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317" w:hRule="exact"/>
        </w:trPr>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3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3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3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3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36"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640" w:hRule="exact"/>
        </w:trPr>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5B9BD4"/>
              <w:left w:val="nil" w:sz="6" w:space="0" w:color="auto"/>
              <w:bottom w:val="single" w:sz="4" w:space="0" w:color="5B9BD4"/>
              <w:right w:val="nil" w:sz="6" w:space="0" w:color="auto"/>
            </w:tcBorders>
          </w:tcPr>
          <w:p>
            <w:pPr/>
          </w:p>
        </w:tc>
        <w:tc>
          <w:tcPr>
            <w:tcW w:w="15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18"/>
                <w:szCs w:val="18"/>
              </w:rPr>
            </w:pPr>
            <w:r>
              <w:rPr>
                <w:rFonts w:ascii="Arial"/>
                <w:w w:val="95"/>
                <w:sz w:val="18"/>
              </w:rPr>
              <w:t>360,000.00</w:t>
            </w:r>
            <w:r>
              <w:rPr>
                <w:rFonts w:ascii="Arial"/>
                <w:sz w:val="18"/>
              </w:rPr>
            </w:r>
          </w:p>
        </w:tc>
        <w:tc>
          <w:tcPr>
            <w:tcW w:w="1594" w:type="dxa"/>
            <w:tcBorders>
              <w:top w:val="single" w:sz="4" w:space="0" w:color="5B9BD4"/>
              <w:left w:val="nil" w:sz="6" w:space="0" w:color="auto"/>
              <w:bottom w:val="single" w:sz="4" w:space="0" w:color="5B9BD4"/>
              <w:right w:val="nil" w:sz="6" w:space="0" w:color="auto"/>
            </w:tcBorders>
          </w:tcPr>
          <w:p>
            <w:pP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360,000.00</w:t>
            </w:r>
            <w:r>
              <w:rPr>
                <w:rFonts w:ascii="Arial"/>
                <w:sz w:val="18"/>
              </w:rPr>
            </w:r>
          </w:p>
        </w:tc>
        <w:tc>
          <w:tcPr>
            <w:tcW w:w="1595" w:type="dxa"/>
            <w:tcBorders>
              <w:top w:val="single" w:sz="4" w:space="0" w:color="5B9BD4"/>
              <w:left w:val="nil" w:sz="6" w:space="0" w:color="auto"/>
              <w:bottom w:val="single" w:sz="4" w:space="0" w:color="5B9BD4"/>
              <w:right w:val="nil" w:sz="6" w:space="0" w:color="auto"/>
            </w:tcBorders>
          </w:tcPr>
          <w:p>
            <w:pPr>
              <w:pStyle w:val="TableParagraph"/>
              <w:spacing w:line="240" w:lineRule="auto" w:before="11"/>
              <w:ind w:right="107"/>
              <w:jc w:val="right"/>
              <w:rPr>
                <w:rFonts w:ascii="宋体" w:hAnsi="宋体" w:cs="宋体" w:eastAsia="宋体" w:hint="default"/>
                <w:sz w:val="18"/>
                <w:szCs w:val="18"/>
              </w:rPr>
            </w:pPr>
            <w:r>
              <w:rPr>
                <w:rFonts w:ascii="宋体" w:hAnsi="宋体" w:cs="宋体" w:eastAsia="宋体" w:hint="default"/>
                <w:sz w:val="18"/>
                <w:szCs w:val="18"/>
              </w:rPr>
              <w:t>与资产相关政府</w:t>
            </w:r>
          </w:p>
          <w:p>
            <w:pPr>
              <w:pStyle w:val="TableParagraph"/>
              <w:spacing w:line="240" w:lineRule="auto" w:before="76"/>
              <w:ind w:right="107"/>
              <w:jc w:val="right"/>
              <w:rPr>
                <w:rFonts w:ascii="宋体" w:hAnsi="宋体" w:cs="宋体" w:eastAsia="宋体" w:hint="default"/>
                <w:sz w:val="18"/>
                <w:szCs w:val="18"/>
              </w:rPr>
            </w:pPr>
            <w:r>
              <w:rPr>
                <w:rFonts w:ascii="宋体" w:hAnsi="宋体" w:cs="宋体" w:eastAsia="宋体" w:hint="default"/>
                <w:sz w:val="18"/>
                <w:szCs w:val="18"/>
              </w:rPr>
              <w:t>补助</w:t>
            </w:r>
          </w:p>
        </w:tc>
      </w:tr>
      <w:tr>
        <w:trPr>
          <w:trHeight w:val="322" w:hRule="exact"/>
        </w:trPr>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5B9BD4"/>
              <w:left w:val="nil" w:sz="6" w:space="0" w:color="auto"/>
              <w:bottom w:val="single" w:sz="4" w:space="0" w:color="5B9BD4"/>
              <w:right w:val="nil" w:sz="6" w:space="0" w:color="auto"/>
            </w:tcBorders>
          </w:tcPr>
          <w:p>
            <w:pPr/>
          </w:p>
        </w:tc>
        <w:tc>
          <w:tcPr>
            <w:tcW w:w="15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w w:val="95"/>
                <w:sz w:val="18"/>
              </w:rPr>
              <w:t>360,000.00</w:t>
            </w:r>
            <w:r>
              <w:rPr>
                <w:rFonts w:ascii="Arial"/>
                <w:sz w:val="18"/>
              </w:rPr>
            </w:r>
          </w:p>
        </w:tc>
        <w:tc>
          <w:tcPr>
            <w:tcW w:w="1594" w:type="dxa"/>
            <w:tcBorders>
              <w:top w:val="single" w:sz="4" w:space="0" w:color="5B9BD4"/>
              <w:left w:val="nil" w:sz="6" w:space="0" w:color="auto"/>
              <w:bottom w:val="single" w:sz="4" w:space="0" w:color="5B9BD4"/>
              <w:right w:val="nil" w:sz="6" w:space="0" w:color="auto"/>
            </w:tcBorders>
          </w:tcPr>
          <w:p>
            <w:pP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360,000.00</w:t>
            </w:r>
            <w:r>
              <w:rPr>
                <w:rFonts w:ascii="Arial"/>
                <w:sz w:val="18"/>
              </w:rPr>
            </w:r>
          </w:p>
        </w:tc>
        <w:tc>
          <w:tcPr>
            <w:tcW w:w="1595"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w:t>
            </w:r>
            <w:r>
              <w:rPr>
                <w:rFonts w:ascii="Arial"/>
                <w:sz w:val="18"/>
              </w:rPr>
            </w:r>
          </w:p>
        </w:tc>
      </w:tr>
    </w:tbl>
    <w:p>
      <w:pPr>
        <w:spacing w:line="240" w:lineRule="auto" w:before="0"/>
        <w:rPr>
          <w:rFonts w:ascii="宋体" w:hAnsi="宋体" w:cs="宋体" w:eastAsia="宋体" w:hint="default"/>
          <w:sz w:val="15"/>
          <w:szCs w:val="15"/>
        </w:rPr>
      </w:pPr>
    </w:p>
    <w:p>
      <w:pPr>
        <w:pStyle w:val="BodyText"/>
        <w:spacing w:line="240" w:lineRule="auto" w:before="18"/>
        <w:ind w:left="634" w:right="1513"/>
        <w:jc w:val="left"/>
      </w:pPr>
      <w:r>
        <w:rPr/>
        <w:t>涉及政府补助的项目：</w:t>
      </w:r>
    </w:p>
    <w:p>
      <w:pPr>
        <w:spacing w:line="240" w:lineRule="auto" w:before="4"/>
        <w:rPr>
          <w:rFonts w:ascii="宋体" w:hAnsi="宋体" w:cs="宋体" w:eastAsia="宋体" w:hint="default"/>
          <w:sz w:val="25"/>
          <w:szCs w:val="25"/>
        </w:rPr>
      </w:pPr>
    </w:p>
    <w:p>
      <w:pPr>
        <w:pStyle w:val="BodyText"/>
        <w:spacing w:line="240" w:lineRule="auto" w:before="18"/>
        <w:ind w:left="0" w:right="1129"/>
        <w:jc w:val="right"/>
      </w:pPr>
      <w:r>
        <w:rPr/>
        <w:t>单位： 元</w:t>
      </w:r>
    </w:p>
    <w:p>
      <w:pPr>
        <w:spacing w:line="240" w:lineRule="auto" w:before="5"/>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629" w:hRule="exact"/>
        </w:trPr>
        <w:tc>
          <w:tcPr>
            <w:tcW w:w="9572" w:type="dxa"/>
            <w:gridSpan w:val="7"/>
            <w:tcBorders>
              <w:top w:val="single" w:sz="4" w:space="0" w:color="5B9BD4"/>
              <w:left w:val="nil" w:sz="6" w:space="0" w:color="auto"/>
              <w:bottom w:val="single" w:sz="4" w:space="0" w:color="5B9BD4"/>
              <w:right w:val="nil" w:sz="6" w:space="0" w:color="auto"/>
            </w:tcBorders>
            <w:shd w:val="clear" w:color="auto" w:fill="DEEAF6"/>
          </w:tcPr>
          <w:p>
            <w:pPr>
              <w:pStyle w:val="TableParagraph"/>
              <w:tabs>
                <w:tab w:pos="4246" w:val="left" w:leader="none"/>
                <w:tab w:pos="8398" w:val="left" w:leader="none"/>
              </w:tabs>
              <w:spacing w:line="202" w:lineRule="exact" w:before="6"/>
              <w:ind w:left="2879" w:right="0"/>
              <w:jc w:val="left"/>
              <w:rPr>
                <w:rFonts w:ascii="Arial" w:hAnsi="Arial" w:cs="Arial" w:eastAsia="Arial" w:hint="default"/>
                <w:sz w:val="18"/>
                <w:szCs w:val="18"/>
              </w:rPr>
            </w:pPr>
            <w:r>
              <w:rPr>
                <w:rFonts w:ascii="宋体" w:hAnsi="宋体" w:cs="宋体" w:eastAsia="宋体" w:hint="default"/>
                <w:sz w:val="18"/>
                <w:szCs w:val="18"/>
              </w:rPr>
              <w:t>本期新增补助</w:t>
              <w:tab/>
              <w:t>本期计入营业</w:t>
              <w:tab/>
              <w:t>与资产相关</w:t>
            </w:r>
            <w:r>
              <w:rPr>
                <w:rFonts w:ascii="Arial" w:hAnsi="Arial" w:cs="Arial" w:eastAsia="Arial" w:hint="default"/>
                <w:sz w:val="18"/>
                <w:szCs w:val="18"/>
              </w:rPr>
              <w:t>/</w:t>
            </w:r>
          </w:p>
          <w:p>
            <w:pPr>
              <w:pStyle w:val="TableParagraph"/>
              <w:tabs>
                <w:tab w:pos="1691" w:val="left" w:leader="none"/>
                <w:tab w:pos="5793" w:val="left" w:leader="none"/>
                <w:tab w:pos="7160" w:val="left" w:leader="none"/>
              </w:tabs>
              <w:spacing w:line="150" w:lineRule="exact"/>
              <w:ind w:left="322" w:right="0"/>
              <w:jc w:val="left"/>
              <w:rPr>
                <w:rFonts w:ascii="宋体" w:hAnsi="宋体" w:cs="宋体" w:eastAsia="宋体" w:hint="default"/>
                <w:sz w:val="18"/>
                <w:szCs w:val="18"/>
              </w:rPr>
            </w:pPr>
            <w:r>
              <w:rPr>
                <w:rFonts w:ascii="宋体" w:hAnsi="宋体" w:cs="宋体" w:eastAsia="宋体" w:hint="default"/>
                <w:sz w:val="18"/>
                <w:szCs w:val="18"/>
              </w:rPr>
              <w:t>负债项目</w:t>
              <w:tab/>
              <w:t>期初余额</w:t>
              <w:tab/>
              <w:t>其他变动</w:t>
              <w:tab/>
              <w:t>期末余额</w:t>
            </w:r>
          </w:p>
          <w:p>
            <w:pPr>
              <w:pStyle w:val="TableParagraph"/>
              <w:tabs>
                <w:tab w:pos="4336" w:val="left" w:leader="none"/>
                <w:tab w:pos="8438" w:val="left" w:leader="none"/>
              </w:tabs>
              <w:spacing w:line="196" w:lineRule="exact"/>
              <w:ind w:left="3239" w:right="0"/>
              <w:jc w:val="left"/>
              <w:rPr>
                <w:rFonts w:ascii="宋体" w:hAnsi="宋体" w:cs="宋体" w:eastAsia="宋体" w:hint="default"/>
                <w:sz w:val="18"/>
                <w:szCs w:val="18"/>
              </w:rPr>
            </w:pPr>
            <w:r>
              <w:rPr>
                <w:rFonts w:ascii="宋体" w:hAnsi="宋体" w:cs="宋体" w:eastAsia="宋体" w:hint="default"/>
                <w:sz w:val="18"/>
                <w:szCs w:val="18"/>
              </w:rPr>
              <w:t>金额</w:t>
              <w:tab/>
              <w:t>外收入金额</w:t>
              <w:tab/>
              <w:t>与收益相关</w:t>
            </w:r>
          </w:p>
        </w:tc>
      </w:tr>
      <w:tr>
        <w:trPr>
          <w:trHeight w:val="1263" w:hRule="exact"/>
        </w:trPr>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10"/>
              <w:ind w:left="108" w:right="177"/>
              <w:jc w:val="both"/>
              <w:rPr>
                <w:rFonts w:ascii="宋体" w:hAnsi="宋体" w:cs="宋体" w:eastAsia="宋体" w:hint="default"/>
                <w:sz w:val="18"/>
                <w:szCs w:val="18"/>
              </w:rPr>
            </w:pPr>
            <w:r>
              <w:rPr>
                <w:rFonts w:ascii="宋体" w:hAnsi="宋体" w:cs="宋体" w:eastAsia="宋体" w:hint="default"/>
                <w:sz w:val="18"/>
                <w:szCs w:val="18"/>
              </w:rPr>
              <w:t>北京市国有文 化资产监督管 理办公室专项 资金</w:t>
            </w:r>
          </w:p>
        </w:tc>
        <w:tc>
          <w:tcPr>
            <w:tcW w:w="1369" w:type="dxa"/>
            <w:tcBorders>
              <w:top w:val="single" w:sz="4" w:space="0" w:color="5B9BD4"/>
              <w:left w:val="nil" w:sz="6" w:space="0" w:color="auto"/>
              <w:bottom w:val="single" w:sz="4" w:space="0" w:color="5B9BD4"/>
              <w:right w:val="nil" w:sz="6" w:space="0" w:color="auto"/>
            </w:tcBorders>
          </w:tcPr>
          <w:p>
            <w:pP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6"/>
              <w:jc w:val="right"/>
              <w:rPr>
                <w:rFonts w:ascii="Arial" w:hAnsi="Arial" w:cs="Arial" w:eastAsia="Arial" w:hint="default"/>
                <w:sz w:val="18"/>
                <w:szCs w:val="18"/>
              </w:rPr>
            </w:pPr>
            <w:r>
              <w:rPr>
                <w:rFonts w:ascii="Arial"/>
                <w:w w:val="95"/>
                <w:sz w:val="18"/>
              </w:rPr>
              <w:t>360,000.00</w:t>
            </w:r>
            <w:r>
              <w:rPr>
                <w:rFonts w:ascii="Arial"/>
                <w:sz w:val="18"/>
              </w:rPr>
            </w:r>
          </w:p>
        </w:tc>
        <w:tc>
          <w:tcPr>
            <w:tcW w:w="1367" w:type="dxa"/>
            <w:tcBorders>
              <w:top w:val="single" w:sz="4" w:space="0" w:color="5B9BD4"/>
              <w:left w:val="nil" w:sz="6" w:space="0" w:color="auto"/>
              <w:bottom w:val="single" w:sz="4" w:space="0" w:color="5B9BD4"/>
              <w:right w:val="nil" w:sz="6" w:space="0" w:color="auto"/>
            </w:tcBorders>
          </w:tcPr>
          <w:p>
            <w:pPr/>
          </w:p>
        </w:tc>
        <w:tc>
          <w:tcPr>
            <w:tcW w:w="1368" w:type="dxa"/>
            <w:tcBorders>
              <w:top w:val="single" w:sz="4" w:space="0" w:color="5B9BD4"/>
              <w:left w:val="nil" w:sz="6" w:space="0" w:color="auto"/>
              <w:bottom w:val="single" w:sz="4" w:space="0" w:color="5B9BD4"/>
              <w:right w:val="nil" w:sz="6" w:space="0" w:color="auto"/>
            </w:tcBorders>
            <w:shd w:val="clear" w:color="auto" w:fill="DEEAF6"/>
          </w:tcPr>
          <w:p>
            <w:pP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7"/>
              <w:jc w:val="right"/>
              <w:rPr>
                <w:rFonts w:ascii="Arial" w:hAnsi="Arial" w:cs="Arial" w:eastAsia="Arial" w:hint="default"/>
                <w:sz w:val="18"/>
                <w:szCs w:val="18"/>
              </w:rPr>
            </w:pPr>
            <w:r>
              <w:rPr>
                <w:rFonts w:ascii="Arial"/>
                <w:w w:val="95"/>
                <w:sz w:val="18"/>
              </w:rPr>
              <w:t>360,000.00</w:t>
            </w:r>
            <w:r>
              <w:rPr>
                <w:rFonts w:ascii="Arial"/>
                <w:sz w:val="18"/>
              </w:rPr>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3" w:hRule="exact"/>
        </w:trPr>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89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5B9BD4"/>
              <w:left w:val="nil" w:sz="6" w:space="0" w:color="auto"/>
              <w:bottom w:val="single" w:sz="4" w:space="0" w:color="5B9BD4"/>
              <w:right w:val="nil" w:sz="6" w:space="0" w:color="auto"/>
            </w:tcBorders>
          </w:tcPr>
          <w:p>
            <w:pP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360,000.00</w:t>
            </w:r>
            <w:r>
              <w:rPr>
                <w:rFonts w:ascii="Arial"/>
                <w:sz w:val="18"/>
              </w:rPr>
            </w:r>
          </w:p>
        </w:tc>
        <w:tc>
          <w:tcPr>
            <w:tcW w:w="1367" w:type="dxa"/>
            <w:tcBorders>
              <w:top w:val="single" w:sz="4" w:space="0" w:color="5B9BD4"/>
              <w:left w:val="nil" w:sz="6" w:space="0" w:color="auto"/>
              <w:bottom w:val="single" w:sz="4" w:space="0" w:color="5B9BD4"/>
              <w:right w:val="nil" w:sz="6" w:space="0" w:color="auto"/>
            </w:tcBorders>
          </w:tcPr>
          <w:p>
            <w:pPr/>
          </w:p>
        </w:tc>
        <w:tc>
          <w:tcPr>
            <w:tcW w:w="1368" w:type="dxa"/>
            <w:tcBorders>
              <w:top w:val="single" w:sz="4" w:space="0" w:color="5B9BD4"/>
              <w:left w:val="nil" w:sz="6" w:space="0" w:color="auto"/>
              <w:bottom w:val="single" w:sz="4" w:space="0" w:color="5B9BD4"/>
              <w:right w:val="nil" w:sz="6" w:space="0" w:color="auto"/>
            </w:tcBorders>
            <w:shd w:val="clear" w:color="auto" w:fill="DEEAF6"/>
          </w:tcPr>
          <w:p>
            <w:pP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360,000.00</w:t>
            </w:r>
            <w:r>
              <w:rPr>
                <w:rFonts w:ascii="Arial"/>
                <w:sz w:val="18"/>
              </w:rPr>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w w:val="95"/>
                <w:sz w:val="18"/>
              </w:rPr>
              <w:t>--</w:t>
            </w:r>
            <w:r>
              <w:rPr>
                <w:rFonts w:ascii="Arial"/>
                <w:sz w:val="18"/>
              </w:rPr>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30、股本" w:id="349"/>
      <w:bookmarkEnd w:id="349"/>
      <w:r>
        <w:rPr>
          <w:b w:val="0"/>
          <w:bCs w:val="0"/>
        </w:rPr>
      </w:r>
      <w:r>
        <w:rPr>
          <w:rFonts w:ascii="Trebuchet MS" w:hAnsi="Trebuchet MS" w:cs="Trebuchet MS" w:eastAsia="Trebuchet MS" w:hint="default"/>
        </w:rPr>
        <w:t>30</w:t>
      </w:r>
      <w:r>
        <w:rPr/>
        <w:t>、股本</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30"/>
        <w:jc w:val="right"/>
      </w:pPr>
      <w:r>
        <w:rPr/>
        <w:t>单位：元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993"/>
        <w:gridCol w:w="1525"/>
        <w:gridCol w:w="992"/>
        <w:gridCol w:w="710"/>
        <w:gridCol w:w="851"/>
        <w:gridCol w:w="1417"/>
        <w:gridCol w:w="1593"/>
        <w:gridCol w:w="1488"/>
      </w:tblGrid>
      <w:tr>
        <w:trPr>
          <w:trHeight w:val="322" w:hRule="exact"/>
        </w:trPr>
        <w:tc>
          <w:tcPr>
            <w:tcW w:w="9569" w:type="dxa"/>
            <w:gridSpan w:val="8"/>
            <w:tcBorders>
              <w:top w:val="single" w:sz="4" w:space="0" w:color="5B9BD4"/>
              <w:left w:val="nil" w:sz="6" w:space="0" w:color="auto"/>
              <w:bottom w:val="nil" w:sz="6" w:space="0" w:color="auto"/>
              <w:right w:val="nil" w:sz="6" w:space="0" w:color="auto"/>
            </w:tcBorders>
            <w:shd w:val="clear" w:color="auto" w:fill="DEEAF6"/>
          </w:tcPr>
          <w:p>
            <w:pPr>
              <w:pStyle w:val="TableParagraph"/>
              <w:spacing w:line="240" w:lineRule="auto" w:before="5"/>
              <w:ind w:left="1030"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Arial" w:hAnsi="Arial" w:cs="Arial" w:eastAsia="Arial" w:hint="default"/>
                <w:sz w:val="18"/>
                <w:szCs w:val="18"/>
              </w:rPr>
              <w:t>+</w:t>
            </w:r>
            <w:r>
              <w:rPr>
                <w:rFonts w:ascii="宋体" w:hAnsi="宋体" w:cs="宋体" w:eastAsia="宋体" w:hint="default"/>
                <w:sz w:val="18"/>
                <w:szCs w:val="18"/>
              </w:rPr>
              <w:t>、—）</w:t>
            </w:r>
          </w:p>
        </w:tc>
      </w:tr>
      <w:tr>
        <w:trPr>
          <w:trHeight w:val="247" w:hRule="exact"/>
        </w:trPr>
        <w:tc>
          <w:tcPr>
            <w:tcW w:w="993" w:type="dxa"/>
            <w:tcBorders>
              <w:top w:val="nil" w:sz="6" w:space="0" w:color="auto"/>
              <w:left w:val="nil" w:sz="6" w:space="0" w:color="auto"/>
              <w:bottom w:val="nil" w:sz="6" w:space="0" w:color="auto"/>
              <w:right w:val="nil" w:sz="6" w:space="0" w:color="auto"/>
            </w:tcBorders>
            <w:shd w:val="clear" w:color="auto" w:fill="DEEAF6"/>
          </w:tcPr>
          <w:p>
            <w:pPr/>
          </w:p>
        </w:tc>
        <w:tc>
          <w:tcPr>
            <w:tcW w:w="1525"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992" w:type="dxa"/>
            <w:tcBorders>
              <w:top w:val="single" w:sz="4" w:space="0" w:color="5B9BD4"/>
              <w:left w:val="nil" w:sz="6" w:space="0" w:color="auto"/>
              <w:bottom w:val="nil" w:sz="6" w:space="0" w:color="auto"/>
              <w:right w:val="nil" w:sz="6" w:space="0" w:color="auto"/>
            </w:tcBorders>
            <w:shd w:val="clear" w:color="auto" w:fill="DEEAF6"/>
          </w:tcPr>
          <w:p>
            <w:pPr/>
          </w:p>
        </w:tc>
        <w:tc>
          <w:tcPr>
            <w:tcW w:w="710" w:type="dxa"/>
            <w:tcBorders>
              <w:top w:val="single" w:sz="4" w:space="0" w:color="5B9BD4"/>
              <w:left w:val="nil" w:sz="6" w:space="0" w:color="auto"/>
              <w:bottom w:val="nil" w:sz="6" w:space="0" w:color="auto"/>
              <w:right w:val="nil" w:sz="6" w:space="0" w:color="auto"/>
            </w:tcBorders>
            <w:shd w:val="clear" w:color="auto" w:fill="DEEAF6"/>
          </w:tcPr>
          <w:p>
            <w:pPr/>
          </w:p>
        </w:tc>
        <w:tc>
          <w:tcPr>
            <w:tcW w:w="851"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5"/>
              <w:ind w:left="244" w:right="155"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417" w:type="dxa"/>
            <w:tcBorders>
              <w:top w:val="single" w:sz="4" w:space="0" w:color="5B9BD4"/>
              <w:left w:val="nil" w:sz="6" w:space="0" w:color="auto"/>
              <w:bottom w:val="nil" w:sz="6" w:space="0" w:color="auto"/>
              <w:right w:val="nil" w:sz="6" w:space="0" w:color="auto"/>
            </w:tcBorders>
            <w:shd w:val="clear" w:color="auto" w:fill="DEEAF6"/>
          </w:tcPr>
          <w:p>
            <w:pPr/>
          </w:p>
        </w:tc>
        <w:tc>
          <w:tcPr>
            <w:tcW w:w="1593" w:type="dxa"/>
            <w:tcBorders>
              <w:top w:val="single" w:sz="4" w:space="0" w:color="5B9BD4"/>
              <w:left w:val="nil" w:sz="6" w:space="0" w:color="auto"/>
              <w:bottom w:val="nil" w:sz="6" w:space="0" w:color="auto"/>
              <w:right w:val="nil" w:sz="6" w:space="0" w:color="auto"/>
            </w:tcBorders>
            <w:shd w:val="clear" w:color="auto" w:fill="DEEAF6"/>
          </w:tcPr>
          <w:p>
            <w:pPr/>
          </w:p>
        </w:tc>
        <w:tc>
          <w:tcPr>
            <w:tcW w:w="1488"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82" w:hRule="exact"/>
        </w:trPr>
        <w:tc>
          <w:tcPr>
            <w:tcW w:w="993" w:type="dxa"/>
            <w:tcBorders>
              <w:top w:val="nil" w:sz="6" w:space="0" w:color="auto"/>
              <w:left w:val="nil" w:sz="6" w:space="0" w:color="auto"/>
              <w:bottom w:val="single" w:sz="4" w:space="0" w:color="5B9BD4"/>
              <w:right w:val="nil" w:sz="6" w:space="0" w:color="auto"/>
            </w:tcBorders>
            <w:shd w:val="clear" w:color="auto" w:fill="DEEAF6"/>
          </w:tcPr>
          <w:p>
            <w:pPr/>
          </w:p>
        </w:tc>
        <w:tc>
          <w:tcPr>
            <w:tcW w:w="1525" w:type="dxa"/>
            <w:tcBorders>
              <w:top w:val="nil" w:sz="6" w:space="0" w:color="auto"/>
              <w:left w:val="nil" w:sz="6" w:space="0" w:color="auto"/>
              <w:bottom w:val="single" w:sz="4" w:space="0" w:color="5B9BD4"/>
              <w:right w:val="nil" w:sz="6" w:space="0" w:color="auto"/>
            </w:tcBorders>
            <w:shd w:val="clear" w:color="auto" w:fill="DEEAF6"/>
          </w:tcPr>
          <w:p>
            <w:pPr/>
          </w:p>
        </w:tc>
        <w:tc>
          <w:tcPr>
            <w:tcW w:w="992"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156" w:lineRule="exact"/>
              <w:ind w:left="13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10"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156" w:lineRule="exact"/>
              <w:ind w:left="174"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51" w:type="dxa"/>
            <w:vMerge/>
            <w:tcBorders>
              <w:left w:val="nil" w:sz="6" w:space="0" w:color="auto"/>
              <w:bottom w:val="single" w:sz="4" w:space="0" w:color="5B9BD4"/>
              <w:right w:val="nil" w:sz="6" w:space="0" w:color="auto"/>
            </w:tcBorders>
            <w:shd w:val="clear" w:color="auto" w:fill="DEEAF6"/>
          </w:tcPr>
          <w:p>
            <w:pPr/>
          </w:p>
        </w:tc>
        <w:tc>
          <w:tcPr>
            <w:tcW w:w="1417"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156" w:lineRule="exact"/>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593"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156" w:lineRule="exact"/>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88" w:type="dxa"/>
            <w:tcBorders>
              <w:top w:val="nil" w:sz="6" w:space="0" w:color="auto"/>
              <w:left w:val="nil" w:sz="6" w:space="0" w:color="auto"/>
              <w:bottom w:val="single" w:sz="4" w:space="0" w:color="5B9BD4"/>
              <w:right w:val="nil" w:sz="6" w:space="0" w:color="auto"/>
            </w:tcBorders>
            <w:shd w:val="clear" w:color="auto" w:fill="DEEAF6"/>
          </w:tcPr>
          <w:p>
            <w:pPr/>
          </w:p>
        </w:tc>
      </w:tr>
      <w:tr>
        <w:trPr>
          <w:trHeight w:val="328" w:hRule="exact"/>
        </w:trPr>
        <w:tc>
          <w:tcPr>
            <w:tcW w:w="99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1"/>
              <w:ind w:left="165"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525" w:type="dxa"/>
            <w:tcBorders>
              <w:top w:val="single" w:sz="4" w:space="0" w:color="5B9BD4"/>
              <w:left w:val="nil" w:sz="6" w:space="0" w:color="auto"/>
              <w:bottom w:val="single" w:sz="4" w:space="0" w:color="5B9BD4"/>
              <w:right w:val="nil" w:sz="6" w:space="0" w:color="auto"/>
            </w:tcBorders>
          </w:tcPr>
          <w:p>
            <w:pPr>
              <w:pStyle w:val="TableParagraph"/>
              <w:spacing w:line="240" w:lineRule="auto" w:before="53"/>
              <w:ind w:left="62" w:right="0"/>
              <w:jc w:val="center"/>
              <w:rPr>
                <w:rFonts w:ascii="Arial" w:hAnsi="Arial" w:cs="Arial" w:eastAsia="Arial" w:hint="default"/>
                <w:sz w:val="18"/>
                <w:szCs w:val="18"/>
              </w:rPr>
            </w:pPr>
            <w:r>
              <w:rPr>
                <w:rFonts w:ascii="Arial"/>
                <w:sz w:val="18"/>
              </w:rPr>
              <w:t>994,766,266.00</w:t>
            </w:r>
          </w:p>
        </w:tc>
        <w:tc>
          <w:tcPr>
            <w:tcW w:w="992" w:type="dxa"/>
            <w:tcBorders>
              <w:top w:val="single" w:sz="4" w:space="0" w:color="5B9BD4"/>
              <w:left w:val="nil" w:sz="6" w:space="0" w:color="auto"/>
              <w:bottom w:val="single" w:sz="4" w:space="0" w:color="5B9BD4"/>
              <w:right w:val="nil" w:sz="6" w:space="0" w:color="auto"/>
            </w:tcBorders>
            <w:shd w:val="clear" w:color="auto" w:fill="DEEAF6"/>
          </w:tcPr>
          <w:p>
            <w:pPr/>
          </w:p>
        </w:tc>
        <w:tc>
          <w:tcPr>
            <w:tcW w:w="710" w:type="dxa"/>
            <w:tcBorders>
              <w:top w:val="single" w:sz="4" w:space="0" w:color="5B9BD4"/>
              <w:left w:val="nil" w:sz="6" w:space="0" w:color="auto"/>
              <w:bottom w:val="single" w:sz="4" w:space="0" w:color="5B9BD4"/>
              <w:right w:val="nil" w:sz="6" w:space="0" w:color="auto"/>
            </w:tcBorders>
          </w:tcPr>
          <w:p>
            <w:pPr/>
          </w:p>
        </w:tc>
        <w:tc>
          <w:tcPr>
            <w:tcW w:w="851" w:type="dxa"/>
            <w:tcBorders>
              <w:top w:val="single" w:sz="4" w:space="0" w:color="5B9BD4"/>
              <w:left w:val="nil" w:sz="6" w:space="0" w:color="auto"/>
              <w:bottom w:val="single" w:sz="4" w:space="0" w:color="5B9BD4"/>
              <w:right w:val="nil" w:sz="6" w:space="0" w:color="auto"/>
            </w:tcBorders>
            <w:shd w:val="clear" w:color="auto" w:fill="DEEAF6"/>
          </w:tcPr>
          <w:p>
            <w:pPr/>
          </w:p>
        </w:tc>
        <w:tc>
          <w:tcPr>
            <w:tcW w:w="1417" w:type="dxa"/>
            <w:tcBorders>
              <w:top w:val="single" w:sz="4" w:space="0" w:color="5B9BD4"/>
              <w:left w:val="nil" w:sz="6" w:space="0" w:color="auto"/>
              <w:bottom w:val="single" w:sz="4" w:space="0" w:color="5B9BD4"/>
              <w:right w:val="nil" w:sz="6" w:space="0" w:color="auto"/>
            </w:tcBorders>
          </w:tcPr>
          <w:p>
            <w:pPr>
              <w:pStyle w:val="TableParagraph"/>
              <w:spacing w:line="240" w:lineRule="auto" w:before="53"/>
              <w:ind w:left="95" w:right="0"/>
              <w:jc w:val="center"/>
              <w:rPr>
                <w:rFonts w:ascii="Arial" w:hAnsi="Arial" w:cs="Arial" w:eastAsia="Arial" w:hint="default"/>
                <w:sz w:val="18"/>
                <w:szCs w:val="18"/>
              </w:rPr>
            </w:pPr>
            <w:r>
              <w:rPr>
                <w:rFonts w:ascii="Arial"/>
                <w:sz w:val="18"/>
              </w:rPr>
              <w:t>-3,381,427.00</w:t>
            </w:r>
          </w:p>
        </w:tc>
        <w:tc>
          <w:tcPr>
            <w:tcW w:w="159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3"/>
              <w:ind w:left="379" w:right="0"/>
              <w:jc w:val="left"/>
              <w:rPr>
                <w:rFonts w:ascii="Arial" w:hAnsi="Arial" w:cs="Arial" w:eastAsia="Arial" w:hint="default"/>
                <w:sz w:val="18"/>
                <w:szCs w:val="18"/>
              </w:rPr>
            </w:pPr>
            <w:r>
              <w:rPr>
                <w:rFonts w:ascii="Arial"/>
                <w:sz w:val="18"/>
              </w:rPr>
              <w:t>-3,381,427.00</w:t>
            </w:r>
          </w:p>
        </w:tc>
        <w:tc>
          <w:tcPr>
            <w:tcW w:w="1488" w:type="dxa"/>
            <w:tcBorders>
              <w:top w:val="single" w:sz="4" w:space="0" w:color="5B9BD4"/>
              <w:left w:val="nil" w:sz="6" w:space="0" w:color="auto"/>
              <w:bottom w:val="single" w:sz="4" w:space="0" w:color="5B9BD4"/>
              <w:right w:val="nil" w:sz="6" w:space="0" w:color="auto"/>
            </w:tcBorders>
          </w:tcPr>
          <w:p>
            <w:pPr>
              <w:pStyle w:val="TableParagraph"/>
              <w:spacing w:line="240" w:lineRule="auto" w:before="53"/>
              <w:ind w:left="25" w:right="0"/>
              <w:jc w:val="center"/>
              <w:rPr>
                <w:rFonts w:ascii="Arial" w:hAnsi="Arial" w:cs="Arial" w:eastAsia="Arial" w:hint="default"/>
                <w:sz w:val="18"/>
                <w:szCs w:val="18"/>
              </w:rPr>
            </w:pPr>
            <w:r>
              <w:rPr>
                <w:rFonts w:ascii="Arial"/>
                <w:sz w:val="18"/>
              </w:rPr>
              <w:t>991,384,839.00</w:t>
            </w:r>
          </w:p>
        </w:tc>
      </w:tr>
    </w:tbl>
    <w:p>
      <w:pPr>
        <w:spacing w:line="240" w:lineRule="auto" w:before="0"/>
        <w:rPr>
          <w:rFonts w:ascii="宋体" w:hAnsi="宋体" w:cs="宋体" w:eastAsia="宋体" w:hint="default"/>
          <w:sz w:val="15"/>
          <w:szCs w:val="15"/>
        </w:rPr>
      </w:pPr>
    </w:p>
    <w:p>
      <w:pPr>
        <w:pStyle w:val="BodyText"/>
        <w:spacing w:line="388" w:lineRule="auto" w:before="18"/>
        <w:ind w:left="213" w:right="1128" w:firstLine="420"/>
        <w:jc w:val="both"/>
      </w:pPr>
      <w:r>
        <w:rPr/>
        <w:t>注：本年回购首期股权激励计划之限制性股票，减少股本</w:t>
      </w:r>
      <w:r>
        <w:rPr>
          <w:rFonts w:ascii="Arial" w:hAnsi="Arial" w:cs="Arial" w:eastAsia="Arial" w:hint="default"/>
        </w:rPr>
        <w:t>6,016,000</w:t>
      </w:r>
      <w:r>
        <w:rPr/>
        <w:t>股；第二期股票期权激励计划之 第一个行权期符合条件行权增资，增加股本</w:t>
      </w:r>
      <w:r>
        <w:rPr>
          <w:rFonts w:ascii="Arial" w:hAnsi="Arial" w:cs="Arial" w:eastAsia="Arial" w:hint="default"/>
        </w:rPr>
        <w:t>2,634,573</w:t>
      </w:r>
      <w:r>
        <w:rPr/>
        <w:t>股。以上股本增加的工商变更登记已办理完成，股</w:t>
      </w:r>
      <w:r>
        <w:rPr>
          <w:spacing w:val="-25"/>
        </w:rPr>
        <w:t> </w:t>
      </w:r>
      <w:r>
        <w:rPr/>
        <w:t>本减少的相关变更手续已于</w:t>
      </w:r>
      <w:r>
        <w:rPr>
          <w:rFonts w:ascii="Arial" w:hAnsi="Arial" w:cs="Arial" w:eastAsia="Arial" w:hint="default"/>
        </w:rPr>
        <w:t>2016</w:t>
      </w:r>
      <w:r>
        <w:rPr/>
        <w:t>年</w:t>
      </w:r>
      <w:r>
        <w:rPr>
          <w:rFonts w:ascii="Arial" w:hAnsi="Arial" w:cs="Arial" w:eastAsia="Arial" w:hint="default"/>
        </w:rPr>
        <w:t>1</w:t>
      </w:r>
      <w:r>
        <w:rPr/>
        <w:t>月</w:t>
      </w:r>
      <w:r>
        <w:rPr>
          <w:rFonts w:ascii="Arial" w:hAnsi="Arial" w:cs="Arial" w:eastAsia="Arial" w:hint="default"/>
        </w:rPr>
        <w:t>26</w:t>
      </w:r>
      <w:r>
        <w:rPr/>
        <w:t>日变更完成。</w:t>
      </w:r>
    </w:p>
    <w:p>
      <w:pPr>
        <w:pStyle w:val="Heading5"/>
        <w:spacing w:line="240" w:lineRule="auto" w:before="112"/>
        <w:ind w:right="1513"/>
        <w:jc w:val="left"/>
        <w:rPr>
          <w:b w:val="0"/>
          <w:bCs w:val="0"/>
        </w:rPr>
      </w:pPr>
      <w:bookmarkStart w:name="31、资本公积" w:id="350"/>
      <w:bookmarkEnd w:id="350"/>
      <w:r>
        <w:rPr>
          <w:b w:val="0"/>
          <w:bCs w:val="0"/>
        </w:rPr>
      </w:r>
      <w:r>
        <w:rPr>
          <w:rFonts w:ascii="Trebuchet MS" w:hAnsi="Trebuchet MS" w:cs="Trebuchet MS" w:eastAsia="Trebuchet MS" w:hint="default"/>
        </w:rPr>
        <w:t>31</w:t>
      </w:r>
      <w:r>
        <w:rPr/>
        <w:t>、资本公积</w:t>
      </w:r>
      <w:r>
        <w:rPr>
          <w:b w:val="0"/>
          <w:bCs w:val="0"/>
        </w:rPr>
      </w:r>
    </w:p>
    <w:p>
      <w:pPr>
        <w:spacing w:line="240" w:lineRule="auto" w:before="5"/>
        <w:rPr>
          <w:rFonts w:ascii="宋体" w:hAnsi="宋体" w:cs="宋体" w:eastAsia="宋体" w:hint="default"/>
          <w:b/>
          <w:bCs/>
          <w:sz w:val="30"/>
          <w:szCs w:val="30"/>
        </w:rPr>
      </w:pPr>
    </w:p>
    <w:p>
      <w:pPr>
        <w:pStyle w:val="BodyText"/>
        <w:spacing w:line="240" w:lineRule="auto"/>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317" w:hRule="exact"/>
        </w:trPr>
        <w:tc>
          <w:tcPr>
            <w:tcW w:w="191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59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59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5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59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8" w:hRule="exact"/>
        </w:trPr>
        <w:tc>
          <w:tcPr>
            <w:tcW w:w="191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pacing w:val="-2"/>
                <w:sz w:val="18"/>
                <w:szCs w:val="18"/>
              </w:rPr>
              <w:t>资本溢价（股本溢价）</w:t>
            </w:r>
          </w:p>
        </w:tc>
        <w:tc>
          <w:tcPr>
            <w:tcW w:w="1916" w:type="dxa"/>
            <w:tcBorders>
              <w:top w:val="single" w:sz="4" w:space="0" w:color="5B9BD4"/>
              <w:left w:val="nil" w:sz="6" w:space="0" w:color="auto"/>
              <w:bottom w:val="single" w:sz="4" w:space="0" w:color="5B9BD4"/>
              <w:right w:val="nil" w:sz="6" w:space="0" w:color="auto"/>
            </w:tcBorders>
          </w:tcPr>
          <w:p>
            <w:pPr>
              <w:pStyle w:val="TableParagraph"/>
              <w:spacing w:line="240" w:lineRule="auto" w:before="53"/>
              <w:ind w:right="106"/>
              <w:jc w:val="right"/>
              <w:rPr>
                <w:rFonts w:ascii="Arial" w:hAnsi="Arial" w:cs="Arial" w:eastAsia="Arial" w:hint="default"/>
                <w:sz w:val="18"/>
                <w:szCs w:val="18"/>
              </w:rPr>
            </w:pPr>
            <w:r>
              <w:rPr>
                <w:rFonts w:ascii="Arial"/>
                <w:spacing w:val="-1"/>
                <w:sz w:val="18"/>
              </w:rPr>
              <w:t>1,495,610,988.90</w:t>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3"/>
              <w:ind w:right="105"/>
              <w:jc w:val="right"/>
              <w:rPr>
                <w:rFonts w:ascii="Arial" w:hAnsi="Arial" w:cs="Arial" w:eastAsia="Arial" w:hint="default"/>
                <w:sz w:val="18"/>
                <w:szCs w:val="18"/>
              </w:rPr>
            </w:pPr>
            <w:r>
              <w:rPr>
                <w:rFonts w:ascii="Arial"/>
                <w:w w:val="95"/>
                <w:sz w:val="18"/>
              </w:rPr>
              <w:t>33,150,705.09</w:t>
            </w:r>
            <w:r>
              <w:rPr>
                <w:rFonts w:ascii="Arial"/>
                <w:sz w:val="18"/>
              </w:rPr>
            </w:r>
          </w:p>
        </w:tc>
        <w:tc>
          <w:tcPr>
            <w:tcW w:w="1914" w:type="dxa"/>
            <w:tcBorders>
              <w:top w:val="single" w:sz="4" w:space="0" w:color="5B9BD4"/>
              <w:left w:val="nil" w:sz="6" w:space="0" w:color="auto"/>
              <w:bottom w:val="single" w:sz="4" w:space="0" w:color="5B9BD4"/>
              <w:right w:val="nil" w:sz="6" w:space="0" w:color="auto"/>
            </w:tcBorders>
          </w:tcPr>
          <w:p>
            <w:pPr>
              <w:pStyle w:val="TableParagraph"/>
              <w:spacing w:line="240" w:lineRule="auto" w:before="53"/>
              <w:ind w:right="106"/>
              <w:jc w:val="right"/>
              <w:rPr>
                <w:rFonts w:ascii="Arial" w:hAnsi="Arial" w:cs="Arial" w:eastAsia="Arial" w:hint="default"/>
                <w:sz w:val="18"/>
                <w:szCs w:val="18"/>
              </w:rPr>
            </w:pPr>
            <w:r>
              <w:rPr>
                <w:rFonts w:ascii="Arial"/>
                <w:w w:val="95"/>
                <w:sz w:val="18"/>
              </w:rPr>
              <w:t>53,732,213.71</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3"/>
              <w:ind w:right="106"/>
              <w:jc w:val="right"/>
              <w:rPr>
                <w:rFonts w:ascii="Arial" w:hAnsi="Arial" w:cs="Arial" w:eastAsia="Arial" w:hint="default"/>
                <w:sz w:val="18"/>
                <w:szCs w:val="18"/>
              </w:rPr>
            </w:pPr>
            <w:r>
              <w:rPr>
                <w:rFonts w:ascii="Arial"/>
                <w:spacing w:val="-1"/>
                <w:sz w:val="18"/>
              </w:rPr>
              <w:t>1,475,029,480.28</w:t>
            </w:r>
          </w:p>
        </w:tc>
      </w:tr>
      <w:tr>
        <w:trPr>
          <w:trHeight w:val="322" w:hRule="exact"/>
        </w:trPr>
        <w:tc>
          <w:tcPr>
            <w:tcW w:w="191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2,984,457.71</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659,159.14</w:t>
            </w:r>
            <w:r>
              <w:rPr>
                <w:rFonts w:ascii="Arial"/>
                <w:sz w:val="18"/>
              </w:rPr>
            </w:r>
          </w:p>
        </w:tc>
        <w:tc>
          <w:tcPr>
            <w:tcW w:w="191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1,837,302.43</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1,806,314.42</w:t>
            </w:r>
            <w:r>
              <w:rPr>
                <w:rFonts w:ascii="Arial"/>
                <w:sz w:val="18"/>
              </w:rPr>
            </w:r>
          </w:p>
        </w:tc>
      </w:tr>
    </w:tbl>
    <w:p>
      <w:pPr>
        <w:spacing w:after="0" w:line="240" w:lineRule="auto"/>
        <w:jc w:val="right"/>
        <w:rPr>
          <w:rFonts w:ascii="Arial" w:hAnsi="Arial" w:cs="Arial" w:eastAsia="Arial" w:hint="default"/>
          <w:sz w:val="18"/>
          <w:szCs w:val="18"/>
        </w:rPr>
        <w:sectPr>
          <w:pgSz w:w="11910" w:h="16840"/>
          <w:pgMar w:header="877" w:footer="979" w:top="1100" w:bottom="1160" w:left="920" w:right="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1912"/>
        <w:gridCol w:w="2192"/>
        <w:gridCol w:w="1914"/>
        <w:gridCol w:w="1639"/>
        <w:gridCol w:w="1914"/>
      </w:tblGrid>
      <w:tr>
        <w:trPr>
          <w:trHeight w:val="323" w:hRule="exact"/>
        </w:trPr>
        <w:tc>
          <w:tcPr>
            <w:tcW w:w="191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92" w:type="dxa"/>
            <w:tcBorders>
              <w:top w:val="single" w:sz="4" w:space="0" w:color="5B9BD4"/>
              <w:left w:val="nil" w:sz="6" w:space="0" w:color="auto"/>
              <w:bottom w:val="single" w:sz="4" w:space="0" w:color="5B9BD4"/>
              <w:right w:val="nil" w:sz="6" w:space="0" w:color="auto"/>
            </w:tcBorders>
          </w:tcPr>
          <w:p>
            <w:pPr>
              <w:pStyle w:val="TableParagraph"/>
              <w:tabs>
                <w:tab w:pos="2575" w:val="left" w:leader="none"/>
              </w:tabs>
              <w:spacing w:line="240" w:lineRule="auto" w:before="47"/>
              <w:ind w:left="412" w:right="-384"/>
              <w:jc w:val="left"/>
              <w:rPr>
                <w:rFonts w:ascii="Arial" w:hAnsi="Arial" w:cs="Arial" w:eastAsia="Arial" w:hint="default"/>
                <w:sz w:val="18"/>
                <w:szCs w:val="18"/>
              </w:rPr>
            </w:pPr>
            <w:r>
              <w:rPr>
                <w:rFonts w:ascii="Arial"/>
                <w:sz w:val="18"/>
              </w:rPr>
              <w:t>1,498,595,446.61 </w:t>
            </w:r>
            <w:r>
              <w:rPr>
                <w:rFonts w:ascii="Arial"/>
                <w:spacing w:val="8"/>
                <w:sz w:val="18"/>
              </w:rPr>
              <w:t> </w:t>
            </w:r>
            <w:r>
              <w:rPr>
                <w:rFonts w:ascii="Arial"/>
                <w:spacing w:val="8"/>
                <w:w w:val="89"/>
                <w:sz w:val="18"/>
              </w:rPr>
            </w:r>
            <w:r>
              <w:rPr>
                <w:rFonts w:ascii="Arial"/>
                <w:w w:val="89"/>
                <w:sz w:val="18"/>
                <w:shd w:fill="DEEAF6" w:color="auto" w:val="clear"/>
              </w:rPr>
              <w:t> </w:t>
            </w:r>
            <w:r>
              <w:rPr>
                <w:rFonts w:ascii="Arial"/>
                <w:sz w:val="18"/>
                <w:shd w:fill="DEEAF6" w:color="auto" w:val="clear"/>
              </w:rPr>
              <w:tab/>
            </w:r>
            <w:r>
              <w:rPr>
                <w:rFonts w:ascii="Arial"/>
                <w:sz w:val="18"/>
              </w:rPr>
            </w:r>
          </w:p>
        </w:tc>
        <w:tc>
          <w:tcPr>
            <w:tcW w:w="1914" w:type="dxa"/>
            <w:tcBorders>
              <w:top w:val="single" w:sz="4" w:space="0" w:color="5B9BD4"/>
              <w:left w:val="nil" w:sz="6" w:space="0" w:color="auto"/>
              <w:bottom w:val="single" w:sz="4" w:space="0" w:color="5B9BD4"/>
              <w:right w:val="nil" w:sz="6" w:space="0" w:color="auto"/>
            </w:tcBorders>
          </w:tcPr>
          <w:p>
            <w:pPr>
              <w:pStyle w:val="TableParagraph"/>
              <w:tabs>
                <w:tab w:pos="1638" w:val="left" w:leader="none"/>
              </w:tabs>
              <w:spacing w:line="240" w:lineRule="auto" w:before="47"/>
              <w:ind w:left="383" w:right="0"/>
              <w:jc w:val="left"/>
              <w:rPr>
                <w:rFonts w:ascii="Arial" w:hAnsi="Arial" w:cs="Arial" w:eastAsia="Arial" w:hint="default"/>
                <w:sz w:val="18"/>
                <w:szCs w:val="18"/>
              </w:rPr>
            </w:pPr>
            <w:r>
              <w:rPr>
                <w:rFonts w:ascii="Arial"/>
                <w:w w:val="99"/>
                <w:sz w:val="18"/>
              </w:rPr>
            </w:r>
            <w:r>
              <w:rPr>
                <w:rFonts w:ascii="Arial"/>
                <w:sz w:val="18"/>
                <w:shd w:fill="DEEAF6" w:color="auto" w:val="clear"/>
              </w:rPr>
              <w:t>33,809,864.23</w:t>
              <w:tab/>
            </w:r>
            <w:r>
              <w:rPr>
                <w:rFonts w:ascii="Arial"/>
                <w:sz w:val="18"/>
              </w:rPr>
            </w:r>
          </w:p>
        </w:tc>
        <w:tc>
          <w:tcPr>
            <w:tcW w:w="163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383" w:right="0"/>
              <w:jc w:val="left"/>
              <w:rPr>
                <w:rFonts w:ascii="Arial" w:hAnsi="Arial" w:cs="Arial" w:eastAsia="Arial" w:hint="default"/>
                <w:sz w:val="18"/>
                <w:szCs w:val="18"/>
              </w:rPr>
            </w:pPr>
            <w:r>
              <w:rPr>
                <w:rFonts w:ascii="Arial"/>
                <w:sz w:val="18"/>
              </w:rPr>
              <w:t>55,569,516.14</w:t>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410" w:right="0"/>
              <w:jc w:val="left"/>
              <w:rPr>
                <w:rFonts w:ascii="Arial" w:hAnsi="Arial" w:cs="Arial" w:eastAsia="Arial" w:hint="default"/>
                <w:sz w:val="18"/>
                <w:szCs w:val="18"/>
              </w:rPr>
            </w:pPr>
            <w:r>
              <w:rPr>
                <w:rFonts w:ascii="Arial"/>
                <w:sz w:val="18"/>
              </w:rPr>
              <w:t>1,476,835,794.70</w:t>
            </w:r>
          </w:p>
        </w:tc>
      </w:tr>
    </w:tbl>
    <w:p>
      <w:pPr>
        <w:spacing w:line="240" w:lineRule="auto" w:before="0"/>
        <w:rPr>
          <w:rFonts w:ascii="宋体" w:hAnsi="宋体" w:cs="宋体" w:eastAsia="宋体" w:hint="default"/>
          <w:sz w:val="15"/>
          <w:szCs w:val="15"/>
        </w:rPr>
      </w:pPr>
    </w:p>
    <w:p>
      <w:pPr>
        <w:pStyle w:val="BodyText"/>
        <w:spacing w:line="388" w:lineRule="auto" w:before="18"/>
        <w:ind w:left="213" w:right="1131" w:firstLine="420"/>
        <w:jc w:val="both"/>
      </w:pPr>
      <w:r>
        <w:rPr/>
        <w:t>注：①资本溢价本年增加</w:t>
      </w:r>
      <w:r>
        <w:rPr>
          <w:spacing w:val="-49"/>
        </w:rPr>
        <w:t> </w:t>
      </w:r>
      <w:r>
        <w:rPr>
          <w:rFonts w:ascii="Arial" w:hAnsi="Arial" w:cs="Arial" w:eastAsia="Arial" w:hint="default"/>
        </w:rPr>
        <w:t>33,150,705.09</w:t>
      </w:r>
      <w:r>
        <w:rPr>
          <w:rFonts w:ascii="Arial" w:hAnsi="Arial" w:cs="Arial" w:eastAsia="Arial" w:hint="default"/>
          <w:spacing w:val="-2"/>
        </w:rPr>
        <w:t> </w:t>
      </w:r>
      <w:r>
        <w:rPr/>
        <w:t>元，其中</w:t>
      </w:r>
      <w:r>
        <w:rPr>
          <w:spacing w:val="-48"/>
        </w:rPr>
        <w:t> </w:t>
      </w:r>
      <w:r>
        <w:rPr>
          <w:rFonts w:ascii="Arial" w:hAnsi="Arial" w:cs="Arial" w:eastAsia="Arial" w:hint="default"/>
        </w:rPr>
        <w:t>31,622,653.81</w:t>
      </w:r>
      <w:r>
        <w:rPr>
          <w:rFonts w:ascii="Arial" w:hAnsi="Arial" w:cs="Arial" w:eastAsia="Arial" w:hint="default"/>
          <w:spacing w:val="-2"/>
        </w:rPr>
        <w:t> </w:t>
      </w:r>
      <w:r>
        <w:rPr/>
        <w:t>元系第二期股票期权激励计划第一 </w:t>
      </w:r>
      <w:r>
        <w:rPr>
          <w:w w:val="95"/>
        </w:rPr>
        <w:t>个行权期符合行权条件的人员行权购入公司股票形成；</w:t>
      </w:r>
      <w:r>
        <w:rPr>
          <w:rFonts w:ascii="Arial" w:hAnsi="Arial" w:cs="Arial" w:eastAsia="Arial" w:hint="default"/>
          <w:w w:val="95"/>
        </w:rPr>
        <w:t>1,528,051.28 </w:t>
      </w:r>
      <w:r>
        <w:rPr>
          <w:w w:val="95"/>
        </w:rPr>
        <w:t>元系由其他资本公积结转至资本溢价</w:t>
      </w:r>
      <w:r>
        <w:rPr>
          <w:spacing w:val="-53"/>
          <w:w w:val="95"/>
        </w:rPr>
        <w:t> </w:t>
      </w:r>
      <w:r>
        <w:rPr/>
        <w:t>形成。</w:t>
      </w:r>
    </w:p>
    <w:p>
      <w:pPr>
        <w:spacing w:line="240" w:lineRule="auto" w:before="10"/>
        <w:rPr>
          <w:rFonts w:ascii="宋体" w:hAnsi="宋体" w:cs="宋体" w:eastAsia="宋体" w:hint="default"/>
          <w:sz w:val="16"/>
          <w:szCs w:val="16"/>
        </w:rPr>
      </w:pPr>
    </w:p>
    <w:p>
      <w:pPr>
        <w:pStyle w:val="BodyText"/>
        <w:spacing w:line="388" w:lineRule="auto"/>
        <w:ind w:left="213" w:right="1131" w:firstLine="420"/>
        <w:jc w:val="both"/>
      </w:pPr>
      <w:r>
        <w:rPr/>
        <w:t>②资本溢价本年减少</w:t>
      </w:r>
      <w:r>
        <w:rPr>
          <w:spacing w:val="-48"/>
        </w:rPr>
        <w:t> </w:t>
      </w:r>
      <w:r>
        <w:rPr>
          <w:rFonts w:ascii="Arial" w:hAnsi="Arial" w:cs="Arial" w:eastAsia="Arial" w:hint="default"/>
        </w:rPr>
        <w:t>53,732,213.71 </w:t>
      </w:r>
      <w:r>
        <w:rPr/>
        <w:t>元，其中</w:t>
      </w:r>
      <w:r>
        <w:rPr>
          <w:spacing w:val="-48"/>
        </w:rPr>
        <w:t> </w:t>
      </w:r>
      <w:r>
        <w:rPr>
          <w:rFonts w:ascii="Arial" w:hAnsi="Arial" w:cs="Arial" w:eastAsia="Arial" w:hint="default"/>
        </w:rPr>
        <w:t>46,624,000.00 </w:t>
      </w:r>
      <w:r>
        <w:rPr/>
        <w:t>元系公司回购首期股票期权与限制性股 票激励计划中的限制性股票形成；</w:t>
      </w:r>
      <w:r>
        <w:rPr>
          <w:rFonts w:ascii="Arial" w:hAnsi="Arial" w:cs="Arial" w:eastAsia="Arial" w:hint="default"/>
        </w:rPr>
        <w:t>7,108,213.71 </w:t>
      </w:r>
      <w:r>
        <w:rPr/>
        <w:t>元系因受让迈奔灵动公司少数股东持有的</w:t>
      </w:r>
      <w:r>
        <w:rPr>
          <w:spacing w:val="-24"/>
        </w:rPr>
        <w:t> </w:t>
      </w:r>
      <w:r>
        <w:rPr>
          <w:rFonts w:ascii="Arial" w:hAnsi="Arial" w:cs="Arial" w:eastAsia="Arial" w:hint="default"/>
        </w:rPr>
        <w:t>32.12%</w:t>
      </w:r>
      <w:r>
        <w:rPr/>
        <w:t>股权导 致资本溢价形成。</w:t>
      </w:r>
    </w:p>
    <w:p>
      <w:pPr>
        <w:spacing w:line="240" w:lineRule="auto" w:before="10"/>
        <w:rPr>
          <w:rFonts w:ascii="宋体" w:hAnsi="宋体" w:cs="宋体" w:eastAsia="宋体" w:hint="default"/>
          <w:sz w:val="16"/>
          <w:szCs w:val="16"/>
        </w:rPr>
      </w:pPr>
    </w:p>
    <w:p>
      <w:pPr>
        <w:pStyle w:val="BodyText"/>
        <w:spacing w:line="398" w:lineRule="auto"/>
        <w:ind w:left="214" w:right="1131" w:firstLine="420"/>
        <w:jc w:val="both"/>
      </w:pPr>
      <w:r>
        <w:rPr/>
        <w:t>③其他资本公积本年增加 </w:t>
      </w:r>
      <w:r>
        <w:rPr>
          <w:rFonts w:ascii="Arial" w:hAnsi="Arial" w:cs="Arial" w:eastAsia="Arial" w:hint="default"/>
        </w:rPr>
        <w:t>659,159.14</w:t>
      </w:r>
      <w:r>
        <w:rPr>
          <w:rFonts w:ascii="Arial" w:hAnsi="Arial" w:cs="Arial" w:eastAsia="Arial" w:hint="default"/>
          <w:spacing w:val="20"/>
        </w:rPr>
        <w:t> </w:t>
      </w:r>
      <w:r>
        <w:rPr/>
        <w:t>元，系本公司之子公司迈奔灵动公司投资的联营企业磨盘股份 </w:t>
      </w:r>
      <w:r>
        <w:rPr>
          <w:spacing w:val="-1"/>
        </w:rPr>
        <w:t>公司除净损益、其他综合收益以及利润分配以外的所有者权益的其他变动导致，本公司之子公司迈奔灵动</w:t>
      </w:r>
      <w:r>
        <w:rPr>
          <w:spacing w:val="-81"/>
        </w:rPr>
        <w:t> </w:t>
      </w:r>
      <w:r>
        <w:rPr>
          <w:spacing w:val="-81"/>
        </w:rPr>
      </w:r>
      <w:r>
        <w:rPr/>
        <w:t>公司按所持股权比例计算，调整增加长期股权投资，同时调整增加其他资本公积形成。</w:t>
      </w:r>
    </w:p>
    <w:p>
      <w:pPr>
        <w:spacing w:line="240" w:lineRule="auto" w:before="1"/>
        <w:rPr>
          <w:rFonts w:ascii="宋体" w:hAnsi="宋体" w:cs="宋体" w:eastAsia="宋体" w:hint="default"/>
          <w:sz w:val="16"/>
          <w:szCs w:val="16"/>
        </w:rPr>
      </w:pPr>
    </w:p>
    <w:p>
      <w:pPr>
        <w:pStyle w:val="BodyText"/>
        <w:spacing w:line="398" w:lineRule="auto"/>
        <w:ind w:left="213" w:right="419" w:firstLine="420"/>
        <w:jc w:val="left"/>
      </w:pPr>
      <w:r>
        <w:rPr/>
        <w:t>④其他资本公积本年减少</w:t>
      </w:r>
      <w:r>
        <w:rPr>
          <w:spacing w:val="-41"/>
        </w:rPr>
        <w:t> </w:t>
      </w:r>
      <w:r>
        <w:rPr>
          <w:rFonts w:ascii="Arial" w:hAnsi="Arial" w:cs="Arial" w:eastAsia="Arial" w:hint="default"/>
        </w:rPr>
        <w:t>1,837,302.43</w:t>
      </w:r>
      <w:r>
        <w:rPr>
          <w:rFonts w:ascii="Arial" w:hAnsi="Arial" w:cs="Arial" w:eastAsia="Arial" w:hint="default"/>
          <w:spacing w:val="5"/>
        </w:rPr>
        <w:t> </w:t>
      </w:r>
      <w:r>
        <w:rPr/>
        <w:t>元，其中</w:t>
      </w:r>
      <w:r>
        <w:rPr>
          <w:spacing w:val="-41"/>
        </w:rPr>
        <w:t> </w:t>
      </w:r>
      <w:r>
        <w:rPr>
          <w:rFonts w:ascii="Arial" w:hAnsi="Arial" w:cs="Arial" w:eastAsia="Arial" w:hint="default"/>
        </w:rPr>
        <w:t>1,528,051.28</w:t>
      </w:r>
      <w:r>
        <w:rPr>
          <w:rFonts w:ascii="Arial" w:hAnsi="Arial" w:cs="Arial" w:eastAsia="Arial" w:hint="default"/>
          <w:spacing w:val="5"/>
        </w:rPr>
        <w:t> </w:t>
      </w:r>
      <w:r>
        <w:rPr/>
        <w:t>元系第二期股票期权激励计划第一个 行权期符合行权条件的人员行权购入公司股票，相应股份支付确认的其他资本公积结转至资本溢价形成；</w:t>
      </w:r>
      <w:r>
        <w:rPr>
          <w:spacing w:val="-35"/>
        </w:rPr>
        <w:t> </w:t>
      </w:r>
      <w:r>
        <w:rPr>
          <w:spacing w:val="-35"/>
        </w:rPr>
      </w:r>
      <w:r>
        <w:rPr>
          <w:rFonts w:ascii="Arial" w:hAnsi="Arial" w:cs="Arial" w:eastAsia="Arial" w:hint="default"/>
        </w:rPr>
        <w:t>309,251.15</w:t>
      </w:r>
      <w:r>
        <w:rPr>
          <w:rFonts w:ascii="Arial" w:hAnsi="Arial" w:cs="Arial" w:eastAsia="Arial" w:hint="default"/>
          <w:spacing w:val="-10"/>
        </w:rPr>
        <w:t> </w:t>
      </w:r>
      <w:r>
        <w:rPr/>
        <w:t>元系调整本公司股份支付成本形成。</w:t>
      </w:r>
    </w:p>
    <w:p>
      <w:pPr>
        <w:pStyle w:val="Heading5"/>
        <w:spacing w:line="240" w:lineRule="auto" w:before="102"/>
        <w:ind w:right="1513"/>
        <w:jc w:val="left"/>
        <w:rPr>
          <w:b w:val="0"/>
          <w:bCs w:val="0"/>
        </w:rPr>
      </w:pPr>
      <w:bookmarkStart w:name="32、其他综合收益" w:id="351"/>
      <w:bookmarkEnd w:id="351"/>
      <w:r>
        <w:rPr>
          <w:b w:val="0"/>
          <w:bCs w:val="0"/>
        </w:rPr>
      </w:r>
      <w:r>
        <w:rPr>
          <w:rFonts w:ascii="Trebuchet MS" w:hAnsi="Trebuchet MS" w:cs="Trebuchet MS" w:eastAsia="Trebuchet MS" w:hint="default"/>
        </w:rPr>
        <w:t>32</w:t>
      </w:r>
      <w:r>
        <w:rPr/>
        <w:t>、其他综合收益</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2811"/>
        <w:gridCol w:w="1070"/>
        <w:gridCol w:w="935"/>
        <w:gridCol w:w="1152"/>
        <w:gridCol w:w="935"/>
        <w:gridCol w:w="936"/>
        <w:gridCol w:w="775"/>
        <w:gridCol w:w="955"/>
      </w:tblGrid>
      <w:tr>
        <w:trPr>
          <w:trHeight w:val="322" w:hRule="exact"/>
        </w:trPr>
        <w:tc>
          <w:tcPr>
            <w:tcW w:w="2811" w:type="dxa"/>
            <w:tcBorders>
              <w:top w:val="single" w:sz="4" w:space="0" w:color="5B9BD4"/>
              <w:left w:val="nil" w:sz="6" w:space="0" w:color="auto"/>
              <w:bottom w:val="nil" w:sz="6" w:space="0" w:color="auto"/>
              <w:right w:val="nil" w:sz="6" w:space="0" w:color="auto"/>
            </w:tcBorders>
            <w:shd w:val="clear" w:color="auto" w:fill="DEEAF6"/>
          </w:tcPr>
          <w:p>
            <w:pPr/>
          </w:p>
        </w:tc>
        <w:tc>
          <w:tcPr>
            <w:tcW w:w="1070" w:type="dxa"/>
            <w:tcBorders>
              <w:top w:val="single" w:sz="4" w:space="0" w:color="5B9BD4"/>
              <w:left w:val="nil" w:sz="6" w:space="0" w:color="auto"/>
              <w:bottom w:val="nil" w:sz="6" w:space="0" w:color="auto"/>
              <w:right w:val="nil" w:sz="6" w:space="0" w:color="auto"/>
            </w:tcBorders>
            <w:shd w:val="clear" w:color="auto" w:fill="DEEAF6"/>
          </w:tcPr>
          <w:p>
            <w:pPr/>
          </w:p>
        </w:tc>
        <w:tc>
          <w:tcPr>
            <w:tcW w:w="4733" w:type="dxa"/>
            <w:gridSpan w:val="5"/>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955"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258" w:hRule="exact"/>
        </w:trPr>
        <w:tc>
          <w:tcPr>
            <w:tcW w:w="2811"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161"/>
              <w:ind w:left="195" w:right="197"/>
              <w:jc w:val="both"/>
              <w:rPr>
                <w:rFonts w:ascii="宋体" w:hAnsi="宋体" w:cs="宋体" w:eastAsia="宋体" w:hint="default"/>
                <w:sz w:val="18"/>
                <w:szCs w:val="18"/>
              </w:rPr>
            </w:pPr>
            <w:r>
              <w:rPr>
                <w:rFonts w:ascii="宋体" w:hAnsi="宋体" w:cs="宋体" w:eastAsia="宋体" w:hint="default"/>
                <w:sz w:val="18"/>
                <w:szCs w:val="18"/>
              </w:rPr>
              <w:t>本期所 得税前 发生额</w:t>
            </w:r>
          </w:p>
        </w:tc>
        <w:tc>
          <w:tcPr>
            <w:tcW w:w="115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25" w:right="125"/>
              <w:jc w:val="center"/>
              <w:rPr>
                <w:rFonts w:ascii="宋体" w:hAnsi="宋体" w:cs="宋体" w:eastAsia="宋体" w:hint="default"/>
                <w:sz w:val="18"/>
                <w:szCs w:val="18"/>
              </w:rPr>
            </w:pPr>
            <w:r>
              <w:rPr>
                <w:rFonts w:ascii="宋体" w:hAnsi="宋体" w:cs="宋体" w:eastAsia="宋体" w:hint="default"/>
                <w:sz w:val="18"/>
                <w:szCs w:val="18"/>
              </w:rPr>
              <w:t>减：前期计 入其他综合 收益当期转 入损益</w:t>
            </w:r>
          </w:p>
        </w:tc>
        <w:tc>
          <w:tcPr>
            <w:tcW w:w="93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
              <w:ind w:right="0"/>
              <w:jc w:val="left"/>
              <w:rPr>
                <w:rFonts w:ascii="宋体" w:hAnsi="宋体" w:cs="宋体" w:eastAsia="宋体" w:hint="default"/>
                <w:sz w:val="24"/>
                <w:szCs w:val="24"/>
              </w:rPr>
            </w:pPr>
          </w:p>
          <w:p>
            <w:pPr>
              <w:pStyle w:val="TableParagraph"/>
              <w:spacing w:line="316" w:lineRule="auto"/>
              <w:ind w:left="196" w:right="106"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9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
              <w:ind w:right="0"/>
              <w:jc w:val="left"/>
              <w:rPr>
                <w:rFonts w:ascii="宋体" w:hAnsi="宋体" w:cs="宋体" w:eastAsia="宋体" w:hint="default"/>
                <w:sz w:val="24"/>
                <w:szCs w:val="24"/>
              </w:rPr>
            </w:pPr>
          </w:p>
          <w:p>
            <w:pPr>
              <w:pStyle w:val="TableParagraph"/>
              <w:spacing w:line="316" w:lineRule="auto"/>
              <w:ind w:left="107" w:right="106"/>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77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161"/>
              <w:ind w:left="117" w:right="115"/>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955" w:type="dxa"/>
            <w:vMerge/>
            <w:tcBorders>
              <w:left w:val="nil" w:sz="6" w:space="0" w:color="auto"/>
              <w:bottom w:val="single" w:sz="4" w:space="0" w:color="5B9BD4"/>
              <w:right w:val="nil" w:sz="6" w:space="0" w:color="auto"/>
            </w:tcBorders>
            <w:shd w:val="clear" w:color="auto" w:fill="DEEAF6"/>
          </w:tcPr>
          <w:p>
            <w:pPr/>
          </w:p>
        </w:tc>
      </w:tr>
      <w:tr>
        <w:trPr>
          <w:trHeight w:val="634" w:hRule="exact"/>
        </w:trPr>
        <w:tc>
          <w:tcPr>
            <w:tcW w:w="281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180"/>
              <w:jc w:val="left"/>
              <w:rPr>
                <w:rFonts w:ascii="宋体" w:hAnsi="宋体" w:cs="宋体" w:eastAsia="宋体" w:hint="default"/>
                <w:sz w:val="18"/>
                <w:szCs w:val="18"/>
              </w:rPr>
            </w:pPr>
            <w:r>
              <w:rPr>
                <w:rFonts w:ascii="宋体" w:hAnsi="宋体" w:cs="宋体" w:eastAsia="宋体" w:hint="default"/>
                <w:sz w:val="18"/>
                <w:szCs w:val="18"/>
              </w:rPr>
              <w:t>一、以后不能重分类进损益的其 他综合收益</w:t>
            </w:r>
          </w:p>
        </w:tc>
        <w:tc>
          <w:tcPr>
            <w:tcW w:w="1070" w:type="dxa"/>
            <w:tcBorders>
              <w:top w:val="single" w:sz="4" w:space="0" w:color="5B9BD4"/>
              <w:left w:val="nil" w:sz="6" w:space="0" w:color="auto"/>
              <w:bottom w:val="single" w:sz="4" w:space="0" w:color="5B9BD4"/>
              <w:right w:val="nil" w:sz="6" w:space="0" w:color="auto"/>
            </w:tcBorders>
          </w:tcPr>
          <w:p>
            <w:pPr/>
          </w:p>
        </w:tc>
        <w:tc>
          <w:tcPr>
            <w:tcW w:w="935" w:type="dxa"/>
            <w:tcBorders>
              <w:top w:val="single" w:sz="4" w:space="0" w:color="5B9BD4"/>
              <w:left w:val="nil" w:sz="6" w:space="0" w:color="auto"/>
              <w:bottom w:val="single" w:sz="4" w:space="0" w:color="5B9BD4"/>
              <w:right w:val="nil" w:sz="6" w:space="0" w:color="auto"/>
            </w:tcBorders>
            <w:shd w:val="clear" w:color="auto" w:fill="DEEAF6"/>
          </w:tcPr>
          <w:p>
            <w:pPr/>
          </w:p>
        </w:tc>
        <w:tc>
          <w:tcPr>
            <w:tcW w:w="1152" w:type="dxa"/>
            <w:tcBorders>
              <w:top w:val="single" w:sz="4" w:space="0" w:color="5B9BD4"/>
              <w:left w:val="nil" w:sz="6" w:space="0" w:color="auto"/>
              <w:bottom w:val="single" w:sz="4" w:space="0" w:color="5B9BD4"/>
              <w:right w:val="nil" w:sz="6" w:space="0" w:color="auto"/>
            </w:tcBorders>
          </w:tcPr>
          <w:p>
            <w:pPr/>
          </w:p>
        </w:tc>
        <w:tc>
          <w:tcPr>
            <w:tcW w:w="935" w:type="dxa"/>
            <w:tcBorders>
              <w:top w:val="single" w:sz="4" w:space="0" w:color="5B9BD4"/>
              <w:left w:val="nil" w:sz="6" w:space="0" w:color="auto"/>
              <w:bottom w:val="single" w:sz="4" w:space="0" w:color="5B9BD4"/>
              <w:right w:val="nil" w:sz="6" w:space="0" w:color="auto"/>
            </w:tcBorders>
            <w:shd w:val="clear" w:color="auto" w:fill="DEEAF6"/>
          </w:tcPr>
          <w:p>
            <w:pPr/>
          </w:p>
        </w:tc>
        <w:tc>
          <w:tcPr>
            <w:tcW w:w="936" w:type="dxa"/>
            <w:tcBorders>
              <w:top w:val="single" w:sz="4" w:space="0" w:color="5B9BD4"/>
              <w:left w:val="nil" w:sz="6" w:space="0" w:color="auto"/>
              <w:bottom w:val="single" w:sz="4" w:space="0" w:color="5B9BD4"/>
              <w:right w:val="nil" w:sz="6" w:space="0" w:color="auto"/>
            </w:tcBorders>
          </w:tcPr>
          <w:p>
            <w:pPr/>
          </w:p>
        </w:tc>
        <w:tc>
          <w:tcPr>
            <w:tcW w:w="775" w:type="dxa"/>
            <w:tcBorders>
              <w:top w:val="single" w:sz="4" w:space="0" w:color="5B9BD4"/>
              <w:left w:val="nil" w:sz="6" w:space="0" w:color="auto"/>
              <w:bottom w:val="single" w:sz="4" w:space="0" w:color="5B9BD4"/>
              <w:right w:val="nil" w:sz="6" w:space="0" w:color="auto"/>
            </w:tcBorders>
            <w:shd w:val="clear" w:color="auto" w:fill="DEEAF6"/>
          </w:tcPr>
          <w:p>
            <w:pPr/>
          </w:p>
        </w:tc>
        <w:tc>
          <w:tcPr>
            <w:tcW w:w="955" w:type="dxa"/>
            <w:tcBorders>
              <w:top w:val="single" w:sz="4" w:space="0" w:color="5B9BD4"/>
              <w:left w:val="nil" w:sz="6" w:space="0" w:color="auto"/>
              <w:bottom w:val="single" w:sz="4" w:space="0" w:color="5B9BD4"/>
              <w:right w:val="nil" w:sz="6" w:space="0" w:color="auto"/>
            </w:tcBorders>
          </w:tcPr>
          <w:p>
            <w:pPr/>
          </w:p>
        </w:tc>
      </w:tr>
      <w:tr>
        <w:trPr>
          <w:trHeight w:val="634" w:hRule="exact"/>
        </w:trPr>
        <w:tc>
          <w:tcPr>
            <w:tcW w:w="281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80"/>
              <w:jc w:val="left"/>
              <w:rPr>
                <w:rFonts w:ascii="宋体" w:hAnsi="宋体" w:cs="宋体" w:eastAsia="宋体" w:hint="default"/>
                <w:sz w:val="18"/>
                <w:szCs w:val="18"/>
              </w:rPr>
            </w:pPr>
            <w:r>
              <w:rPr>
                <w:rFonts w:ascii="宋体" w:hAnsi="宋体" w:cs="宋体" w:eastAsia="宋体" w:hint="default"/>
                <w:sz w:val="18"/>
                <w:szCs w:val="18"/>
              </w:rPr>
              <w:t>二、以后将重分类进损益的其他 综合收益</w:t>
            </w:r>
          </w:p>
        </w:tc>
        <w:tc>
          <w:tcPr>
            <w:tcW w:w="107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-69,577.5</w:t>
            </w:r>
            <w:r>
              <w:rPr>
                <w:rFonts w:ascii="Arial"/>
                <w:sz w:val="18"/>
              </w:rPr>
            </w:r>
          </w:p>
          <w:p>
            <w:pPr>
              <w:pStyle w:val="TableParagraph"/>
              <w:spacing w:line="240" w:lineRule="auto" w:before="105"/>
              <w:ind w:right="106"/>
              <w:jc w:val="right"/>
              <w:rPr>
                <w:rFonts w:ascii="Arial" w:hAnsi="Arial" w:cs="Arial" w:eastAsia="Arial" w:hint="default"/>
                <w:sz w:val="18"/>
                <w:szCs w:val="18"/>
              </w:rPr>
            </w:pPr>
            <w:r>
              <w:rPr>
                <w:rFonts w:ascii="Arial"/>
                <w:w w:val="99"/>
                <w:sz w:val="18"/>
              </w:rPr>
              <w:t>8</w:t>
            </w:r>
            <w:r>
              <w:rPr>
                <w:rFonts w:ascii="Arial"/>
                <w:sz w:val="18"/>
              </w:rPr>
            </w:r>
          </w:p>
        </w:tc>
        <w:tc>
          <w:tcPr>
            <w:tcW w:w="93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27" w:right="0"/>
              <w:jc w:val="left"/>
              <w:rPr>
                <w:rFonts w:ascii="Arial" w:hAnsi="Arial" w:cs="Arial" w:eastAsia="Arial" w:hint="default"/>
                <w:sz w:val="18"/>
                <w:szCs w:val="18"/>
              </w:rPr>
            </w:pPr>
            <w:r>
              <w:rPr>
                <w:rFonts w:ascii="Arial"/>
                <w:sz w:val="18"/>
              </w:rPr>
              <w:t>54,710,5</w:t>
            </w:r>
          </w:p>
          <w:p>
            <w:pPr>
              <w:pStyle w:val="TableParagraph"/>
              <w:spacing w:line="240" w:lineRule="auto" w:before="105"/>
              <w:ind w:left="376" w:right="0"/>
              <w:jc w:val="left"/>
              <w:rPr>
                <w:rFonts w:ascii="Arial" w:hAnsi="Arial" w:cs="Arial" w:eastAsia="Arial" w:hint="default"/>
                <w:sz w:val="18"/>
                <w:szCs w:val="18"/>
              </w:rPr>
            </w:pPr>
            <w:r>
              <w:rPr>
                <w:rFonts w:ascii="Arial"/>
                <w:sz w:val="18"/>
              </w:rPr>
              <w:t>81.88</w:t>
            </w:r>
          </w:p>
        </w:tc>
        <w:tc>
          <w:tcPr>
            <w:tcW w:w="1152" w:type="dxa"/>
            <w:tcBorders>
              <w:top w:val="single" w:sz="4" w:space="0" w:color="5B9BD4"/>
              <w:left w:val="nil" w:sz="6" w:space="0" w:color="auto"/>
              <w:bottom w:val="single" w:sz="4" w:space="0" w:color="5B9BD4"/>
              <w:right w:val="nil" w:sz="6" w:space="0" w:color="auto"/>
            </w:tcBorders>
          </w:tcPr>
          <w:p>
            <w:pPr/>
          </w:p>
        </w:tc>
        <w:tc>
          <w:tcPr>
            <w:tcW w:w="935" w:type="dxa"/>
            <w:tcBorders>
              <w:top w:val="single" w:sz="4" w:space="0" w:color="5B9BD4"/>
              <w:left w:val="nil" w:sz="6" w:space="0" w:color="auto"/>
              <w:bottom w:val="single" w:sz="4" w:space="0" w:color="5B9BD4"/>
              <w:right w:val="nil" w:sz="6" w:space="0" w:color="auto"/>
            </w:tcBorders>
            <w:shd w:val="clear" w:color="auto" w:fill="DEEAF6"/>
          </w:tcPr>
          <w:p>
            <w:pPr/>
          </w:p>
        </w:tc>
        <w:tc>
          <w:tcPr>
            <w:tcW w:w="93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29" w:right="0"/>
              <w:jc w:val="left"/>
              <w:rPr>
                <w:rFonts w:ascii="Arial" w:hAnsi="Arial" w:cs="Arial" w:eastAsia="Arial" w:hint="default"/>
                <w:sz w:val="18"/>
                <w:szCs w:val="18"/>
              </w:rPr>
            </w:pPr>
            <w:r>
              <w:rPr>
                <w:rFonts w:ascii="Arial"/>
                <w:sz w:val="18"/>
              </w:rPr>
              <w:t>54,713,0</w:t>
            </w:r>
          </w:p>
          <w:p>
            <w:pPr>
              <w:pStyle w:val="TableParagraph"/>
              <w:spacing w:line="240" w:lineRule="auto" w:before="105"/>
              <w:ind w:left="379" w:right="0"/>
              <w:jc w:val="left"/>
              <w:rPr>
                <w:rFonts w:ascii="Arial" w:hAnsi="Arial" w:cs="Arial" w:eastAsia="Arial" w:hint="default"/>
                <w:sz w:val="18"/>
                <w:szCs w:val="18"/>
              </w:rPr>
            </w:pPr>
            <w:r>
              <w:rPr>
                <w:rFonts w:ascii="Arial"/>
                <w:sz w:val="18"/>
              </w:rPr>
              <w:t>75.70</w:t>
            </w:r>
          </w:p>
        </w:tc>
        <w:tc>
          <w:tcPr>
            <w:tcW w:w="77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10" w:right="0"/>
              <w:jc w:val="left"/>
              <w:rPr>
                <w:rFonts w:ascii="Arial" w:hAnsi="Arial" w:cs="Arial" w:eastAsia="Arial" w:hint="default"/>
                <w:sz w:val="18"/>
                <w:szCs w:val="18"/>
              </w:rPr>
            </w:pPr>
            <w:r>
              <w:rPr>
                <w:rFonts w:ascii="Arial"/>
                <w:sz w:val="18"/>
              </w:rPr>
              <w:t>-2,493.</w:t>
            </w:r>
          </w:p>
          <w:p>
            <w:pPr>
              <w:pStyle w:val="TableParagraph"/>
              <w:spacing w:line="240" w:lineRule="auto" w:before="105"/>
              <w:ind w:left="469" w:right="0"/>
              <w:jc w:val="left"/>
              <w:rPr>
                <w:rFonts w:ascii="Arial" w:hAnsi="Arial" w:cs="Arial" w:eastAsia="Arial" w:hint="default"/>
                <w:sz w:val="18"/>
                <w:szCs w:val="18"/>
              </w:rPr>
            </w:pPr>
            <w:r>
              <w:rPr>
                <w:rFonts w:ascii="Arial"/>
                <w:sz w:val="18"/>
              </w:rPr>
              <w:t>82</w:t>
            </w:r>
          </w:p>
        </w:tc>
        <w:tc>
          <w:tcPr>
            <w:tcW w:w="955"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48" w:right="0"/>
              <w:jc w:val="left"/>
              <w:rPr>
                <w:rFonts w:ascii="Arial" w:hAnsi="Arial" w:cs="Arial" w:eastAsia="Arial" w:hint="default"/>
                <w:sz w:val="18"/>
                <w:szCs w:val="18"/>
              </w:rPr>
            </w:pPr>
            <w:r>
              <w:rPr>
                <w:rFonts w:ascii="Arial"/>
                <w:sz w:val="18"/>
              </w:rPr>
              <w:t>54,643,4</w:t>
            </w:r>
          </w:p>
          <w:p>
            <w:pPr>
              <w:pStyle w:val="TableParagraph"/>
              <w:spacing w:line="240" w:lineRule="auto" w:before="105"/>
              <w:ind w:left="398" w:right="0"/>
              <w:jc w:val="left"/>
              <w:rPr>
                <w:rFonts w:ascii="Arial" w:hAnsi="Arial" w:cs="Arial" w:eastAsia="Arial" w:hint="default"/>
                <w:sz w:val="18"/>
                <w:szCs w:val="18"/>
              </w:rPr>
            </w:pPr>
            <w:r>
              <w:rPr>
                <w:rFonts w:ascii="Arial"/>
                <w:sz w:val="18"/>
              </w:rPr>
              <w:t>98.12</w:t>
            </w:r>
          </w:p>
        </w:tc>
      </w:tr>
      <w:tr>
        <w:trPr>
          <w:trHeight w:val="634" w:hRule="exact"/>
        </w:trPr>
        <w:tc>
          <w:tcPr>
            <w:tcW w:w="281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80"/>
              <w:jc w:val="left"/>
              <w:rPr>
                <w:rFonts w:ascii="宋体" w:hAnsi="宋体" w:cs="宋体" w:eastAsia="宋体" w:hint="default"/>
                <w:sz w:val="18"/>
                <w:szCs w:val="18"/>
              </w:rPr>
            </w:pPr>
            <w:r>
              <w:rPr>
                <w:rFonts w:ascii="宋体" w:hAnsi="宋体" w:cs="宋体" w:eastAsia="宋体" w:hint="default"/>
                <w:sz w:val="18"/>
                <w:szCs w:val="18"/>
              </w:rPr>
              <w:t>其中：可供出售金融资产公允价 值变动损益</w:t>
            </w:r>
          </w:p>
        </w:tc>
        <w:tc>
          <w:tcPr>
            <w:tcW w:w="1070" w:type="dxa"/>
            <w:tcBorders>
              <w:top w:val="single" w:sz="4" w:space="0" w:color="5B9BD4"/>
              <w:left w:val="nil" w:sz="6" w:space="0" w:color="auto"/>
              <w:bottom w:val="single" w:sz="4" w:space="0" w:color="5B9BD4"/>
              <w:right w:val="nil" w:sz="6" w:space="0" w:color="auto"/>
            </w:tcBorders>
          </w:tcPr>
          <w:p>
            <w:pPr/>
          </w:p>
        </w:tc>
        <w:tc>
          <w:tcPr>
            <w:tcW w:w="93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27" w:right="0"/>
              <w:jc w:val="left"/>
              <w:rPr>
                <w:rFonts w:ascii="Arial" w:hAnsi="Arial" w:cs="Arial" w:eastAsia="Arial" w:hint="default"/>
                <w:sz w:val="18"/>
                <w:szCs w:val="18"/>
              </w:rPr>
            </w:pPr>
            <w:r>
              <w:rPr>
                <w:rFonts w:ascii="Arial"/>
                <w:sz w:val="18"/>
              </w:rPr>
              <w:t>53,647,1</w:t>
            </w:r>
          </w:p>
          <w:p>
            <w:pPr>
              <w:pStyle w:val="TableParagraph"/>
              <w:spacing w:line="240" w:lineRule="auto" w:before="105"/>
              <w:ind w:left="376" w:right="0"/>
              <w:jc w:val="left"/>
              <w:rPr>
                <w:rFonts w:ascii="Arial" w:hAnsi="Arial" w:cs="Arial" w:eastAsia="Arial" w:hint="default"/>
                <w:sz w:val="18"/>
                <w:szCs w:val="18"/>
              </w:rPr>
            </w:pPr>
            <w:r>
              <w:rPr>
                <w:rFonts w:ascii="Arial"/>
                <w:sz w:val="18"/>
              </w:rPr>
              <w:t>92.03</w:t>
            </w:r>
          </w:p>
        </w:tc>
        <w:tc>
          <w:tcPr>
            <w:tcW w:w="1152" w:type="dxa"/>
            <w:tcBorders>
              <w:top w:val="single" w:sz="4" w:space="0" w:color="5B9BD4"/>
              <w:left w:val="nil" w:sz="6" w:space="0" w:color="auto"/>
              <w:bottom w:val="single" w:sz="4" w:space="0" w:color="5B9BD4"/>
              <w:right w:val="nil" w:sz="6" w:space="0" w:color="auto"/>
            </w:tcBorders>
          </w:tcPr>
          <w:p>
            <w:pPr/>
          </w:p>
        </w:tc>
        <w:tc>
          <w:tcPr>
            <w:tcW w:w="935" w:type="dxa"/>
            <w:tcBorders>
              <w:top w:val="single" w:sz="4" w:space="0" w:color="5B9BD4"/>
              <w:left w:val="nil" w:sz="6" w:space="0" w:color="auto"/>
              <w:bottom w:val="single" w:sz="4" w:space="0" w:color="5B9BD4"/>
              <w:right w:val="nil" w:sz="6" w:space="0" w:color="auto"/>
            </w:tcBorders>
            <w:shd w:val="clear" w:color="auto" w:fill="DEEAF6"/>
          </w:tcPr>
          <w:p>
            <w:pPr/>
          </w:p>
        </w:tc>
        <w:tc>
          <w:tcPr>
            <w:tcW w:w="93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29" w:right="0"/>
              <w:jc w:val="left"/>
              <w:rPr>
                <w:rFonts w:ascii="Arial" w:hAnsi="Arial" w:cs="Arial" w:eastAsia="Arial" w:hint="default"/>
                <w:sz w:val="18"/>
                <w:szCs w:val="18"/>
              </w:rPr>
            </w:pPr>
            <w:r>
              <w:rPr>
                <w:rFonts w:ascii="Arial"/>
                <w:sz w:val="18"/>
              </w:rPr>
              <w:t>53,647,1</w:t>
            </w:r>
          </w:p>
          <w:p>
            <w:pPr>
              <w:pStyle w:val="TableParagraph"/>
              <w:spacing w:line="240" w:lineRule="auto" w:before="105"/>
              <w:ind w:left="379" w:right="0"/>
              <w:jc w:val="left"/>
              <w:rPr>
                <w:rFonts w:ascii="Arial" w:hAnsi="Arial" w:cs="Arial" w:eastAsia="Arial" w:hint="default"/>
                <w:sz w:val="18"/>
                <w:szCs w:val="18"/>
              </w:rPr>
            </w:pPr>
            <w:r>
              <w:rPr>
                <w:rFonts w:ascii="Arial"/>
                <w:sz w:val="18"/>
              </w:rPr>
              <w:t>92.03</w:t>
            </w:r>
          </w:p>
        </w:tc>
        <w:tc>
          <w:tcPr>
            <w:tcW w:w="775" w:type="dxa"/>
            <w:tcBorders>
              <w:top w:val="single" w:sz="4" w:space="0" w:color="5B9BD4"/>
              <w:left w:val="nil" w:sz="6" w:space="0" w:color="auto"/>
              <w:bottom w:val="single" w:sz="4" w:space="0" w:color="5B9BD4"/>
              <w:right w:val="nil" w:sz="6" w:space="0" w:color="auto"/>
            </w:tcBorders>
            <w:shd w:val="clear" w:color="auto" w:fill="DEEAF6"/>
          </w:tcPr>
          <w:p>
            <w:pPr/>
          </w:p>
        </w:tc>
        <w:tc>
          <w:tcPr>
            <w:tcW w:w="955"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48" w:right="0"/>
              <w:jc w:val="left"/>
              <w:rPr>
                <w:rFonts w:ascii="Arial" w:hAnsi="Arial" w:cs="Arial" w:eastAsia="Arial" w:hint="default"/>
                <w:sz w:val="18"/>
                <w:szCs w:val="18"/>
              </w:rPr>
            </w:pPr>
            <w:r>
              <w:rPr>
                <w:rFonts w:ascii="Arial"/>
                <w:sz w:val="18"/>
              </w:rPr>
              <w:t>53,647,1</w:t>
            </w:r>
          </w:p>
          <w:p>
            <w:pPr>
              <w:pStyle w:val="TableParagraph"/>
              <w:spacing w:line="240" w:lineRule="auto" w:before="105"/>
              <w:ind w:left="398" w:right="0"/>
              <w:jc w:val="left"/>
              <w:rPr>
                <w:rFonts w:ascii="Arial" w:hAnsi="Arial" w:cs="Arial" w:eastAsia="Arial" w:hint="default"/>
                <w:sz w:val="18"/>
                <w:szCs w:val="18"/>
              </w:rPr>
            </w:pPr>
            <w:r>
              <w:rPr>
                <w:rFonts w:ascii="Arial"/>
                <w:sz w:val="18"/>
              </w:rPr>
              <w:t>92.03</w:t>
            </w:r>
          </w:p>
        </w:tc>
      </w:tr>
      <w:tr>
        <w:trPr>
          <w:trHeight w:val="634" w:hRule="exact"/>
        </w:trPr>
        <w:tc>
          <w:tcPr>
            <w:tcW w:w="281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48"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-69,577.5</w:t>
            </w:r>
            <w:r>
              <w:rPr>
                <w:rFonts w:ascii="Arial"/>
                <w:sz w:val="18"/>
              </w:rPr>
            </w:r>
          </w:p>
          <w:p>
            <w:pPr>
              <w:pStyle w:val="TableParagraph"/>
              <w:spacing w:line="240" w:lineRule="auto" w:before="105"/>
              <w:ind w:right="106"/>
              <w:jc w:val="right"/>
              <w:rPr>
                <w:rFonts w:ascii="Arial" w:hAnsi="Arial" w:cs="Arial" w:eastAsia="Arial" w:hint="default"/>
                <w:sz w:val="18"/>
                <w:szCs w:val="18"/>
              </w:rPr>
            </w:pPr>
            <w:r>
              <w:rPr>
                <w:rFonts w:ascii="Arial"/>
                <w:w w:val="99"/>
                <w:sz w:val="18"/>
              </w:rPr>
              <w:t>8</w:t>
            </w:r>
            <w:r>
              <w:rPr>
                <w:rFonts w:ascii="Arial"/>
                <w:sz w:val="18"/>
              </w:rPr>
            </w:r>
          </w:p>
        </w:tc>
        <w:tc>
          <w:tcPr>
            <w:tcW w:w="93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27" w:right="0"/>
              <w:jc w:val="left"/>
              <w:rPr>
                <w:rFonts w:ascii="Arial" w:hAnsi="Arial" w:cs="Arial" w:eastAsia="Arial" w:hint="default"/>
                <w:sz w:val="18"/>
                <w:szCs w:val="18"/>
              </w:rPr>
            </w:pPr>
            <w:r>
              <w:rPr>
                <w:rFonts w:ascii="Arial"/>
                <w:sz w:val="18"/>
              </w:rPr>
              <w:t>1,063,38</w:t>
            </w:r>
          </w:p>
          <w:p>
            <w:pPr>
              <w:pStyle w:val="TableParagraph"/>
              <w:spacing w:line="240" w:lineRule="auto" w:before="105"/>
              <w:ind w:left="476" w:right="0"/>
              <w:jc w:val="left"/>
              <w:rPr>
                <w:rFonts w:ascii="Arial" w:hAnsi="Arial" w:cs="Arial" w:eastAsia="Arial" w:hint="default"/>
                <w:sz w:val="18"/>
                <w:szCs w:val="18"/>
              </w:rPr>
            </w:pPr>
            <w:r>
              <w:rPr>
                <w:rFonts w:ascii="Arial"/>
                <w:sz w:val="18"/>
              </w:rPr>
              <w:t>9.85</w:t>
            </w:r>
          </w:p>
        </w:tc>
        <w:tc>
          <w:tcPr>
            <w:tcW w:w="1152" w:type="dxa"/>
            <w:tcBorders>
              <w:top w:val="single" w:sz="4" w:space="0" w:color="5B9BD4"/>
              <w:left w:val="nil" w:sz="6" w:space="0" w:color="auto"/>
              <w:bottom w:val="single" w:sz="4" w:space="0" w:color="5B9BD4"/>
              <w:right w:val="nil" w:sz="6" w:space="0" w:color="auto"/>
            </w:tcBorders>
          </w:tcPr>
          <w:p>
            <w:pPr/>
          </w:p>
        </w:tc>
        <w:tc>
          <w:tcPr>
            <w:tcW w:w="935" w:type="dxa"/>
            <w:tcBorders>
              <w:top w:val="single" w:sz="4" w:space="0" w:color="5B9BD4"/>
              <w:left w:val="nil" w:sz="6" w:space="0" w:color="auto"/>
              <w:bottom w:val="single" w:sz="4" w:space="0" w:color="5B9BD4"/>
              <w:right w:val="nil" w:sz="6" w:space="0" w:color="auto"/>
            </w:tcBorders>
            <w:shd w:val="clear" w:color="auto" w:fill="DEEAF6"/>
          </w:tcPr>
          <w:p>
            <w:pPr/>
          </w:p>
        </w:tc>
        <w:tc>
          <w:tcPr>
            <w:tcW w:w="93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29" w:right="0"/>
              <w:jc w:val="left"/>
              <w:rPr>
                <w:rFonts w:ascii="Arial" w:hAnsi="Arial" w:cs="Arial" w:eastAsia="Arial" w:hint="default"/>
                <w:sz w:val="18"/>
                <w:szCs w:val="18"/>
              </w:rPr>
            </w:pPr>
            <w:r>
              <w:rPr>
                <w:rFonts w:ascii="Arial"/>
                <w:sz w:val="18"/>
              </w:rPr>
              <w:t>1,065,88</w:t>
            </w:r>
          </w:p>
          <w:p>
            <w:pPr>
              <w:pStyle w:val="TableParagraph"/>
              <w:spacing w:line="240" w:lineRule="auto" w:before="105"/>
              <w:ind w:left="479" w:right="0"/>
              <w:jc w:val="left"/>
              <w:rPr>
                <w:rFonts w:ascii="Arial" w:hAnsi="Arial" w:cs="Arial" w:eastAsia="Arial" w:hint="default"/>
                <w:sz w:val="18"/>
                <w:szCs w:val="18"/>
              </w:rPr>
            </w:pPr>
            <w:r>
              <w:rPr>
                <w:rFonts w:ascii="Arial"/>
                <w:sz w:val="18"/>
              </w:rPr>
              <w:t>3.67</w:t>
            </w:r>
          </w:p>
        </w:tc>
        <w:tc>
          <w:tcPr>
            <w:tcW w:w="77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10" w:right="0"/>
              <w:jc w:val="left"/>
              <w:rPr>
                <w:rFonts w:ascii="Arial" w:hAnsi="Arial" w:cs="Arial" w:eastAsia="Arial" w:hint="default"/>
                <w:sz w:val="18"/>
                <w:szCs w:val="18"/>
              </w:rPr>
            </w:pPr>
            <w:r>
              <w:rPr>
                <w:rFonts w:ascii="Arial"/>
                <w:sz w:val="18"/>
              </w:rPr>
              <w:t>-2,493.</w:t>
            </w:r>
          </w:p>
          <w:p>
            <w:pPr>
              <w:pStyle w:val="TableParagraph"/>
              <w:spacing w:line="240" w:lineRule="auto" w:before="105"/>
              <w:ind w:left="469" w:right="0"/>
              <w:jc w:val="left"/>
              <w:rPr>
                <w:rFonts w:ascii="Arial" w:hAnsi="Arial" w:cs="Arial" w:eastAsia="Arial" w:hint="default"/>
                <w:sz w:val="18"/>
                <w:szCs w:val="18"/>
              </w:rPr>
            </w:pPr>
            <w:r>
              <w:rPr>
                <w:rFonts w:ascii="Arial"/>
                <w:sz w:val="18"/>
              </w:rPr>
              <w:t>82</w:t>
            </w:r>
          </w:p>
        </w:tc>
        <w:tc>
          <w:tcPr>
            <w:tcW w:w="955"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996,306.</w:t>
            </w:r>
            <w:r>
              <w:rPr>
                <w:rFonts w:ascii="Arial"/>
                <w:sz w:val="18"/>
              </w:rPr>
            </w:r>
          </w:p>
          <w:p>
            <w:pPr>
              <w:pStyle w:val="TableParagraph"/>
              <w:spacing w:line="240" w:lineRule="auto" w:before="105"/>
              <w:ind w:right="107"/>
              <w:jc w:val="right"/>
              <w:rPr>
                <w:rFonts w:ascii="Arial" w:hAnsi="Arial" w:cs="Arial" w:eastAsia="Arial" w:hint="default"/>
                <w:sz w:val="18"/>
                <w:szCs w:val="18"/>
              </w:rPr>
            </w:pPr>
            <w:r>
              <w:rPr>
                <w:rFonts w:ascii="Arial"/>
                <w:spacing w:val="-1"/>
                <w:w w:val="95"/>
                <w:sz w:val="18"/>
              </w:rPr>
              <w:t>09</w:t>
            </w:r>
            <w:r>
              <w:rPr>
                <w:rFonts w:ascii="Arial"/>
                <w:sz w:val="18"/>
              </w:rPr>
            </w:r>
          </w:p>
        </w:tc>
      </w:tr>
      <w:tr>
        <w:trPr>
          <w:trHeight w:val="634" w:hRule="exact"/>
        </w:trPr>
        <w:tc>
          <w:tcPr>
            <w:tcW w:w="281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left="108"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-69,577.5</w:t>
            </w:r>
            <w:r>
              <w:rPr>
                <w:rFonts w:ascii="Arial"/>
                <w:sz w:val="18"/>
              </w:rPr>
            </w:r>
          </w:p>
          <w:p>
            <w:pPr>
              <w:pStyle w:val="TableParagraph"/>
              <w:spacing w:line="240" w:lineRule="auto" w:before="105"/>
              <w:ind w:right="106"/>
              <w:jc w:val="right"/>
              <w:rPr>
                <w:rFonts w:ascii="Arial" w:hAnsi="Arial" w:cs="Arial" w:eastAsia="Arial" w:hint="default"/>
                <w:sz w:val="18"/>
                <w:szCs w:val="18"/>
              </w:rPr>
            </w:pPr>
            <w:r>
              <w:rPr>
                <w:rFonts w:ascii="Arial"/>
                <w:w w:val="99"/>
                <w:sz w:val="18"/>
              </w:rPr>
              <w:t>8</w:t>
            </w:r>
            <w:r>
              <w:rPr>
                <w:rFonts w:ascii="Arial"/>
                <w:sz w:val="18"/>
              </w:rPr>
            </w:r>
          </w:p>
        </w:tc>
        <w:tc>
          <w:tcPr>
            <w:tcW w:w="93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27" w:right="0"/>
              <w:jc w:val="left"/>
              <w:rPr>
                <w:rFonts w:ascii="Arial" w:hAnsi="Arial" w:cs="Arial" w:eastAsia="Arial" w:hint="default"/>
                <w:sz w:val="18"/>
                <w:szCs w:val="18"/>
              </w:rPr>
            </w:pPr>
            <w:r>
              <w:rPr>
                <w:rFonts w:ascii="Arial"/>
                <w:sz w:val="18"/>
              </w:rPr>
              <w:t>54,710,5</w:t>
            </w:r>
          </w:p>
          <w:p>
            <w:pPr>
              <w:pStyle w:val="TableParagraph"/>
              <w:spacing w:line="240" w:lineRule="auto" w:before="105"/>
              <w:ind w:left="376" w:right="0"/>
              <w:jc w:val="left"/>
              <w:rPr>
                <w:rFonts w:ascii="Arial" w:hAnsi="Arial" w:cs="Arial" w:eastAsia="Arial" w:hint="default"/>
                <w:sz w:val="18"/>
                <w:szCs w:val="18"/>
              </w:rPr>
            </w:pPr>
            <w:r>
              <w:rPr>
                <w:rFonts w:ascii="Arial"/>
                <w:sz w:val="18"/>
              </w:rPr>
              <w:t>81.88</w:t>
            </w:r>
          </w:p>
        </w:tc>
        <w:tc>
          <w:tcPr>
            <w:tcW w:w="1152" w:type="dxa"/>
            <w:tcBorders>
              <w:top w:val="single" w:sz="4" w:space="0" w:color="5B9BD4"/>
              <w:left w:val="nil" w:sz="6" w:space="0" w:color="auto"/>
              <w:bottom w:val="single" w:sz="4" w:space="0" w:color="5B9BD4"/>
              <w:right w:val="nil" w:sz="6" w:space="0" w:color="auto"/>
            </w:tcBorders>
          </w:tcPr>
          <w:p>
            <w:pPr/>
          </w:p>
        </w:tc>
        <w:tc>
          <w:tcPr>
            <w:tcW w:w="935" w:type="dxa"/>
            <w:tcBorders>
              <w:top w:val="single" w:sz="4" w:space="0" w:color="5B9BD4"/>
              <w:left w:val="nil" w:sz="6" w:space="0" w:color="auto"/>
              <w:bottom w:val="single" w:sz="4" w:space="0" w:color="5B9BD4"/>
              <w:right w:val="nil" w:sz="6" w:space="0" w:color="auto"/>
            </w:tcBorders>
            <w:shd w:val="clear" w:color="auto" w:fill="DEEAF6"/>
          </w:tcPr>
          <w:p>
            <w:pPr/>
          </w:p>
        </w:tc>
        <w:tc>
          <w:tcPr>
            <w:tcW w:w="93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29" w:right="0"/>
              <w:jc w:val="left"/>
              <w:rPr>
                <w:rFonts w:ascii="Arial" w:hAnsi="Arial" w:cs="Arial" w:eastAsia="Arial" w:hint="default"/>
                <w:sz w:val="18"/>
                <w:szCs w:val="18"/>
              </w:rPr>
            </w:pPr>
            <w:r>
              <w:rPr>
                <w:rFonts w:ascii="Arial"/>
                <w:sz w:val="18"/>
              </w:rPr>
              <w:t>54,713,0</w:t>
            </w:r>
          </w:p>
          <w:p>
            <w:pPr>
              <w:pStyle w:val="TableParagraph"/>
              <w:spacing w:line="240" w:lineRule="auto" w:before="105"/>
              <w:ind w:left="379" w:right="0"/>
              <w:jc w:val="left"/>
              <w:rPr>
                <w:rFonts w:ascii="Arial" w:hAnsi="Arial" w:cs="Arial" w:eastAsia="Arial" w:hint="default"/>
                <w:sz w:val="18"/>
                <w:szCs w:val="18"/>
              </w:rPr>
            </w:pPr>
            <w:r>
              <w:rPr>
                <w:rFonts w:ascii="Arial"/>
                <w:sz w:val="18"/>
              </w:rPr>
              <w:t>75.70</w:t>
            </w:r>
          </w:p>
        </w:tc>
        <w:tc>
          <w:tcPr>
            <w:tcW w:w="77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10" w:right="0"/>
              <w:jc w:val="left"/>
              <w:rPr>
                <w:rFonts w:ascii="Arial" w:hAnsi="Arial" w:cs="Arial" w:eastAsia="Arial" w:hint="default"/>
                <w:sz w:val="18"/>
                <w:szCs w:val="18"/>
              </w:rPr>
            </w:pPr>
            <w:r>
              <w:rPr>
                <w:rFonts w:ascii="Arial"/>
                <w:sz w:val="18"/>
              </w:rPr>
              <w:t>-2,493.</w:t>
            </w:r>
          </w:p>
          <w:p>
            <w:pPr>
              <w:pStyle w:val="TableParagraph"/>
              <w:spacing w:line="240" w:lineRule="auto" w:before="105"/>
              <w:ind w:left="469" w:right="0"/>
              <w:jc w:val="left"/>
              <w:rPr>
                <w:rFonts w:ascii="Arial" w:hAnsi="Arial" w:cs="Arial" w:eastAsia="Arial" w:hint="default"/>
                <w:sz w:val="18"/>
                <w:szCs w:val="18"/>
              </w:rPr>
            </w:pPr>
            <w:r>
              <w:rPr>
                <w:rFonts w:ascii="Arial"/>
                <w:sz w:val="18"/>
              </w:rPr>
              <w:t>82</w:t>
            </w:r>
          </w:p>
        </w:tc>
        <w:tc>
          <w:tcPr>
            <w:tcW w:w="955"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48" w:right="0"/>
              <w:jc w:val="left"/>
              <w:rPr>
                <w:rFonts w:ascii="Arial" w:hAnsi="Arial" w:cs="Arial" w:eastAsia="Arial" w:hint="default"/>
                <w:sz w:val="18"/>
                <w:szCs w:val="18"/>
              </w:rPr>
            </w:pPr>
            <w:r>
              <w:rPr>
                <w:rFonts w:ascii="Arial"/>
                <w:sz w:val="18"/>
              </w:rPr>
              <w:t>54,643,4</w:t>
            </w:r>
          </w:p>
          <w:p>
            <w:pPr>
              <w:pStyle w:val="TableParagraph"/>
              <w:spacing w:line="240" w:lineRule="auto" w:before="105"/>
              <w:ind w:left="398" w:right="0"/>
              <w:jc w:val="left"/>
              <w:rPr>
                <w:rFonts w:ascii="Arial" w:hAnsi="Arial" w:cs="Arial" w:eastAsia="Arial" w:hint="default"/>
                <w:sz w:val="18"/>
                <w:szCs w:val="18"/>
              </w:rPr>
            </w:pPr>
            <w:r>
              <w:rPr>
                <w:rFonts w:ascii="Arial"/>
                <w:sz w:val="18"/>
              </w:rPr>
              <w:t>98.12</w:t>
            </w:r>
          </w:p>
        </w:tc>
      </w:tr>
    </w:tbl>
    <w:p>
      <w:pPr>
        <w:spacing w:line="240" w:lineRule="auto" w:before="1"/>
        <w:rPr>
          <w:rFonts w:ascii="宋体" w:hAnsi="宋体" w:cs="宋体" w:eastAsia="宋体" w:hint="default"/>
          <w:sz w:val="15"/>
          <w:szCs w:val="15"/>
        </w:rPr>
      </w:pPr>
    </w:p>
    <w:p>
      <w:pPr>
        <w:pStyle w:val="BodyText"/>
        <w:spacing w:line="388" w:lineRule="auto" w:before="18"/>
        <w:ind w:left="213" w:right="1132" w:firstLine="420"/>
        <w:jc w:val="left"/>
      </w:pPr>
      <w:r>
        <w:rPr/>
        <w:t>注：期初余额、期末余额对应资产负债表中的其他综合收益项目。期初余额</w:t>
      </w:r>
      <w:r>
        <w:rPr>
          <w:rFonts w:ascii="Arial" w:hAnsi="Arial" w:cs="Arial" w:eastAsia="Arial" w:hint="default"/>
        </w:rPr>
        <w:t>+</w:t>
      </w:r>
      <w:r>
        <w:rPr/>
        <w:t>税后归属于母公司的其 </w:t>
      </w:r>
      <w:r>
        <w:rPr>
          <w:spacing w:val="-1"/>
        </w:rPr>
        <w:t>他综合收益</w:t>
      </w:r>
      <w:r>
        <w:rPr>
          <w:rFonts w:ascii="Arial" w:hAnsi="Arial" w:cs="Arial" w:eastAsia="Arial" w:hint="default"/>
          <w:spacing w:val="-1"/>
        </w:rPr>
        <w:t>=</w:t>
      </w:r>
      <w:r>
        <w:rPr>
          <w:spacing w:val="-1"/>
        </w:rPr>
        <w:t>期末余额。本期发生额对应利润表中的其他综合收益项目，本期所得税前发生额</w:t>
      </w:r>
      <w:r>
        <w:rPr>
          <w:rFonts w:ascii="Arial" w:hAnsi="Arial" w:cs="Arial" w:eastAsia="Arial" w:hint="default"/>
          <w:spacing w:val="-1"/>
        </w:rPr>
        <w:t>-</w:t>
      </w:r>
      <w:r>
        <w:rPr>
          <w:spacing w:val="-1"/>
        </w:rPr>
        <w:t>前期计入其</w:t>
      </w:r>
    </w:p>
    <w:p>
      <w:pPr>
        <w:spacing w:after="0" w:line="388" w:lineRule="auto"/>
        <w:jc w:val="left"/>
        <w:sectPr>
          <w:pgSz w:w="11910" w:h="16840"/>
          <w:pgMar w:header="877" w:footer="979" w:top="1100" w:bottom="1160" w:left="920" w:right="0"/>
        </w:sectPr>
      </w:pPr>
    </w:p>
    <w:p>
      <w:pPr>
        <w:spacing w:line="240" w:lineRule="auto" w:before="7"/>
        <w:rPr>
          <w:rFonts w:ascii="宋体" w:hAnsi="宋体" w:cs="宋体" w:eastAsia="宋体" w:hint="default"/>
          <w:sz w:val="27"/>
          <w:szCs w:val="27"/>
        </w:rPr>
      </w:pPr>
    </w:p>
    <w:p>
      <w:pPr>
        <w:pStyle w:val="BodyText"/>
        <w:spacing w:line="388" w:lineRule="auto" w:before="18"/>
        <w:ind w:left="213" w:right="419"/>
        <w:jc w:val="left"/>
      </w:pPr>
      <w:r>
        <w:rPr/>
        <w:t>他综合收益当期转入损益</w:t>
      </w:r>
      <w:r>
        <w:rPr>
          <w:rFonts w:ascii="Arial" w:hAnsi="Arial" w:cs="Arial" w:eastAsia="Arial" w:hint="default"/>
        </w:rPr>
        <w:t>-</w:t>
      </w:r>
      <w:r>
        <w:rPr/>
        <w:t>所得税费用</w:t>
      </w:r>
      <w:r>
        <w:rPr>
          <w:rFonts w:ascii="Arial" w:hAnsi="Arial" w:cs="Arial" w:eastAsia="Arial" w:hint="default"/>
        </w:rPr>
        <w:t>=</w:t>
      </w:r>
      <w:r>
        <w:rPr/>
        <w:t>税后归属于母公司的其他综合收益</w:t>
      </w:r>
      <w:r>
        <w:rPr>
          <w:rFonts w:ascii="Arial" w:hAnsi="Arial" w:cs="Arial" w:eastAsia="Arial" w:hint="default"/>
        </w:rPr>
        <w:t>+</w:t>
      </w:r>
      <w:r>
        <w:rPr/>
        <w:t>税后归属于少数股东的其他综</w:t>
      </w:r>
      <w:r>
        <w:rPr>
          <w:spacing w:val="-29"/>
        </w:rPr>
        <w:t> </w:t>
      </w:r>
      <w:r>
        <w:rPr>
          <w:spacing w:val="-29"/>
        </w:rPr>
      </w:r>
      <w:r>
        <w:rPr/>
        <w:t>合收益。</w:t>
      </w:r>
    </w:p>
    <w:p>
      <w:pPr>
        <w:pStyle w:val="Heading5"/>
        <w:spacing w:line="240" w:lineRule="auto" w:before="142"/>
        <w:ind w:right="1513"/>
        <w:jc w:val="left"/>
        <w:rPr>
          <w:b w:val="0"/>
          <w:bCs w:val="0"/>
        </w:rPr>
      </w:pPr>
      <w:bookmarkStart w:name="33、盈余公积" w:id="352"/>
      <w:bookmarkEnd w:id="352"/>
      <w:r>
        <w:rPr>
          <w:b w:val="0"/>
          <w:bCs w:val="0"/>
        </w:rPr>
      </w:r>
      <w:r>
        <w:rPr>
          <w:rFonts w:ascii="Trebuchet MS" w:hAnsi="Trebuchet MS" w:cs="Trebuchet MS" w:eastAsia="Trebuchet MS" w:hint="default"/>
        </w:rPr>
        <w:t>33</w:t>
      </w:r>
      <w:r>
        <w:rPr/>
        <w:t>、盈余公积</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317" w:hRule="exact"/>
        </w:trPr>
        <w:tc>
          <w:tcPr>
            <w:tcW w:w="191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59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59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5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59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8" w:hRule="exact"/>
        </w:trPr>
        <w:tc>
          <w:tcPr>
            <w:tcW w:w="191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5B9BD4"/>
              <w:left w:val="nil" w:sz="6" w:space="0" w:color="auto"/>
              <w:bottom w:val="single" w:sz="4" w:space="0" w:color="5B9BD4"/>
              <w:right w:val="nil" w:sz="6" w:space="0" w:color="auto"/>
            </w:tcBorders>
          </w:tcPr>
          <w:p>
            <w:pPr>
              <w:pStyle w:val="TableParagraph"/>
              <w:spacing w:line="240" w:lineRule="auto" w:before="53"/>
              <w:ind w:left="561" w:right="0"/>
              <w:jc w:val="left"/>
              <w:rPr>
                <w:rFonts w:ascii="Arial" w:hAnsi="Arial" w:cs="Arial" w:eastAsia="Arial" w:hint="default"/>
                <w:sz w:val="18"/>
                <w:szCs w:val="18"/>
              </w:rPr>
            </w:pPr>
            <w:r>
              <w:rPr>
                <w:rFonts w:ascii="Arial"/>
                <w:sz w:val="18"/>
              </w:rPr>
              <w:t>221,607,097.36</w:t>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3"/>
              <w:ind w:right="104"/>
              <w:jc w:val="right"/>
              <w:rPr>
                <w:rFonts w:ascii="Arial" w:hAnsi="Arial" w:cs="Arial" w:eastAsia="Arial" w:hint="default"/>
                <w:sz w:val="18"/>
                <w:szCs w:val="18"/>
              </w:rPr>
            </w:pPr>
            <w:r>
              <w:rPr>
                <w:rFonts w:ascii="Arial"/>
                <w:w w:val="95"/>
                <w:sz w:val="18"/>
              </w:rPr>
              <w:t>4,238,250.04</w:t>
            </w:r>
            <w:r>
              <w:rPr>
                <w:rFonts w:ascii="Arial"/>
                <w:sz w:val="18"/>
              </w:rPr>
            </w:r>
          </w:p>
        </w:tc>
        <w:tc>
          <w:tcPr>
            <w:tcW w:w="1914" w:type="dxa"/>
            <w:tcBorders>
              <w:top w:val="single" w:sz="4" w:space="0" w:color="5B9BD4"/>
              <w:left w:val="nil" w:sz="6" w:space="0" w:color="auto"/>
              <w:bottom w:val="single" w:sz="4" w:space="0" w:color="5B9BD4"/>
              <w:right w:val="nil" w:sz="6" w:space="0" w:color="auto"/>
            </w:tcBorders>
          </w:tcPr>
          <w:p>
            <w:pP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3"/>
              <w:ind w:left="559" w:right="0"/>
              <w:jc w:val="left"/>
              <w:rPr>
                <w:rFonts w:ascii="Arial" w:hAnsi="Arial" w:cs="Arial" w:eastAsia="Arial" w:hint="default"/>
                <w:sz w:val="18"/>
                <w:szCs w:val="18"/>
              </w:rPr>
            </w:pPr>
            <w:r>
              <w:rPr>
                <w:rFonts w:ascii="Arial"/>
                <w:sz w:val="18"/>
              </w:rPr>
              <w:t>225,845,347.40</w:t>
            </w:r>
          </w:p>
        </w:tc>
      </w:tr>
      <w:tr>
        <w:trPr>
          <w:trHeight w:val="322" w:hRule="exact"/>
        </w:trPr>
        <w:tc>
          <w:tcPr>
            <w:tcW w:w="191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561" w:right="0"/>
              <w:jc w:val="left"/>
              <w:rPr>
                <w:rFonts w:ascii="Arial" w:hAnsi="Arial" w:cs="Arial" w:eastAsia="Arial" w:hint="default"/>
                <w:sz w:val="18"/>
                <w:szCs w:val="18"/>
              </w:rPr>
            </w:pPr>
            <w:r>
              <w:rPr>
                <w:rFonts w:ascii="Arial"/>
                <w:sz w:val="18"/>
              </w:rPr>
              <w:t>221,607,097.36</w:t>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4,238,250.04</w:t>
            </w:r>
            <w:r>
              <w:rPr>
                <w:rFonts w:ascii="Arial"/>
                <w:sz w:val="18"/>
              </w:rPr>
            </w:r>
          </w:p>
        </w:tc>
        <w:tc>
          <w:tcPr>
            <w:tcW w:w="1914" w:type="dxa"/>
            <w:tcBorders>
              <w:top w:val="single" w:sz="4" w:space="0" w:color="5B9BD4"/>
              <w:left w:val="nil" w:sz="6" w:space="0" w:color="auto"/>
              <w:bottom w:val="single" w:sz="4" w:space="0" w:color="5B9BD4"/>
              <w:right w:val="nil" w:sz="6" w:space="0" w:color="auto"/>
            </w:tcBorders>
          </w:tcPr>
          <w:p>
            <w:pP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559" w:right="0"/>
              <w:jc w:val="left"/>
              <w:rPr>
                <w:rFonts w:ascii="Arial" w:hAnsi="Arial" w:cs="Arial" w:eastAsia="Arial" w:hint="default"/>
                <w:sz w:val="18"/>
                <w:szCs w:val="18"/>
              </w:rPr>
            </w:pPr>
            <w:r>
              <w:rPr>
                <w:rFonts w:ascii="Arial"/>
                <w:sz w:val="18"/>
              </w:rPr>
              <w:t>225,845,347.40</w:t>
            </w:r>
          </w:p>
        </w:tc>
      </w:tr>
    </w:tbl>
    <w:p>
      <w:pPr>
        <w:spacing w:line="240" w:lineRule="auto" w:before="0"/>
        <w:rPr>
          <w:rFonts w:ascii="宋体" w:hAnsi="宋体" w:cs="宋体" w:eastAsia="宋体" w:hint="default"/>
          <w:sz w:val="15"/>
          <w:szCs w:val="15"/>
        </w:rPr>
      </w:pPr>
    </w:p>
    <w:p>
      <w:pPr>
        <w:pStyle w:val="BodyText"/>
        <w:spacing w:line="388" w:lineRule="auto" w:before="18"/>
        <w:ind w:left="214" w:right="1513" w:firstLine="420"/>
        <w:jc w:val="left"/>
      </w:pPr>
      <w:r>
        <w:rPr>
          <w:w w:val="95"/>
        </w:rPr>
        <w:t>注：根据公司法、章程的规定，本公司按净利润的</w:t>
      </w:r>
      <w:r>
        <w:rPr>
          <w:rFonts w:ascii="Arial" w:hAnsi="Arial" w:cs="Arial" w:eastAsia="Arial" w:hint="default"/>
          <w:w w:val="95"/>
        </w:rPr>
        <w:t>10%</w:t>
      </w:r>
      <w:r>
        <w:rPr>
          <w:w w:val="95"/>
        </w:rPr>
        <w:t>提取法定盈余公积金。法定盈余公积累计额为</w:t>
      </w:r>
      <w:r>
        <w:rPr>
          <w:spacing w:val="-82"/>
          <w:w w:val="95"/>
        </w:rPr>
        <w:t> </w:t>
      </w:r>
      <w:r>
        <w:rPr>
          <w:spacing w:val="-82"/>
          <w:w w:val="95"/>
        </w:rPr>
      </w:r>
      <w:r>
        <w:rPr/>
        <w:t>本公司注册资本</w:t>
      </w:r>
      <w:r>
        <w:rPr>
          <w:rFonts w:ascii="Arial" w:hAnsi="Arial" w:cs="Arial" w:eastAsia="Arial" w:hint="default"/>
        </w:rPr>
        <w:t>50%</w:t>
      </w:r>
      <w:r>
        <w:rPr/>
        <w:t>以上的，可不再提取。</w:t>
      </w:r>
    </w:p>
    <w:p>
      <w:pPr>
        <w:spacing w:line="240" w:lineRule="auto" w:before="6"/>
        <w:rPr>
          <w:rFonts w:ascii="宋体" w:hAnsi="宋体" w:cs="宋体" w:eastAsia="宋体" w:hint="default"/>
          <w:sz w:val="14"/>
          <w:szCs w:val="14"/>
        </w:rPr>
      </w:pPr>
    </w:p>
    <w:p>
      <w:pPr>
        <w:pStyle w:val="BodyText"/>
        <w:spacing w:line="408" w:lineRule="auto"/>
        <w:ind w:left="214" w:right="419" w:firstLine="420"/>
        <w:jc w:val="left"/>
      </w:pPr>
      <w:r>
        <w:rPr>
          <w:spacing w:val="-1"/>
        </w:rPr>
        <w:t>本公司在提取法定盈余公积金后，可提取任意盈余公积金。经批准，任意盈余公积金可用于弥补以前</w:t>
      </w:r>
      <w:r>
        <w:rPr/>
        <w:t> 年度亏损或增加股本。</w:t>
      </w:r>
    </w:p>
    <w:p>
      <w:pPr>
        <w:pStyle w:val="Heading5"/>
        <w:spacing w:line="240" w:lineRule="auto" w:before="125"/>
        <w:ind w:right="1513"/>
        <w:jc w:val="left"/>
        <w:rPr>
          <w:b w:val="0"/>
          <w:bCs w:val="0"/>
        </w:rPr>
      </w:pPr>
      <w:bookmarkStart w:name="34、未分配利润" w:id="353"/>
      <w:bookmarkEnd w:id="353"/>
      <w:r>
        <w:rPr>
          <w:b w:val="0"/>
          <w:bCs w:val="0"/>
        </w:rPr>
      </w:r>
      <w:r>
        <w:rPr>
          <w:rFonts w:ascii="Trebuchet MS" w:hAnsi="Trebuchet MS" w:cs="Trebuchet MS" w:eastAsia="Trebuchet MS" w:hint="default"/>
        </w:rPr>
        <w:t>34</w:t>
      </w:r>
      <w:r>
        <w:rPr/>
        <w:t>、未分配利润</w:t>
      </w:r>
      <w:r>
        <w:rPr>
          <w:b w:val="0"/>
          <w:bCs w:val="0"/>
        </w:rPr>
      </w:r>
    </w:p>
    <w:p>
      <w:pPr>
        <w:spacing w:line="240" w:lineRule="auto" w:before="5"/>
        <w:rPr>
          <w:rFonts w:ascii="宋体" w:hAnsi="宋体" w:cs="宋体" w:eastAsia="宋体" w:hint="default"/>
          <w:b/>
          <w:bCs/>
          <w:sz w:val="30"/>
          <w:szCs w:val="30"/>
        </w:rPr>
      </w:pPr>
    </w:p>
    <w:p>
      <w:pPr>
        <w:pStyle w:val="BodyText"/>
        <w:spacing w:line="240" w:lineRule="auto"/>
        <w:ind w:left="0" w:right="1129"/>
        <w:jc w:val="right"/>
      </w:pPr>
      <w:r>
        <w:rPr/>
        <w:t>单位： 元</w:t>
      </w:r>
    </w:p>
    <w:p>
      <w:pPr>
        <w:spacing w:line="240" w:lineRule="auto" w:before="5"/>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725"/>
        <w:gridCol w:w="2925"/>
        <w:gridCol w:w="2918"/>
      </w:tblGrid>
      <w:tr>
        <w:trPr>
          <w:trHeight w:val="317" w:hRule="exact"/>
        </w:trPr>
        <w:tc>
          <w:tcPr>
            <w:tcW w:w="372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7" w:hRule="exact"/>
        </w:trPr>
        <w:tc>
          <w:tcPr>
            <w:tcW w:w="372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5"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right="106"/>
              <w:jc w:val="right"/>
              <w:rPr>
                <w:rFonts w:ascii="Arial" w:hAnsi="Arial" w:cs="Arial" w:eastAsia="Arial" w:hint="default"/>
                <w:sz w:val="18"/>
                <w:szCs w:val="18"/>
              </w:rPr>
            </w:pPr>
            <w:r>
              <w:rPr>
                <w:rFonts w:ascii="Arial"/>
                <w:spacing w:val="-1"/>
                <w:sz w:val="18"/>
              </w:rPr>
              <w:t>1,583,472,544.55</w:t>
            </w:r>
          </w:p>
        </w:tc>
        <w:tc>
          <w:tcPr>
            <w:tcW w:w="291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2"/>
              <w:ind w:right="104"/>
              <w:jc w:val="right"/>
              <w:rPr>
                <w:rFonts w:ascii="Arial" w:hAnsi="Arial" w:cs="Arial" w:eastAsia="Arial" w:hint="default"/>
                <w:sz w:val="18"/>
                <w:szCs w:val="18"/>
              </w:rPr>
            </w:pPr>
            <w:r>
              <w:rPr>
                <w:rFonts w:ascii="Arial"/>
                <w:spacing w:val="-1"/>
                <w:sz w:val="18"/>
              </w:rPr>
              <w:t>1,738,097,058.52</w:t>
            </w:r>
          </w:p>
        </w:tc>
      </w:tr>
      <w:tr>
        <w:trPr>
          <w:trHeight w:val="322" w:hRule="exact"/>
        </w:trPr>
        <w:tc>
          <w:tcPr>
            <w:tcW w:w="372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Arial" w:hAnsi="Arial" w:cs="Arial" w:eastAsia="Arial" w:hint="default"/>
                <w:sz w:val="18"/>
                <w:szCs w:val="18"/>
              </w:rPr>
              <w:t>+</w:t>
            </w:r>
            <w:r>
              <w:rPr>
                <w:rFonts w:ascii="宋体" w:hAnsi="宋体" w:cs="宋体" w:eastAsia="宋体" w:hint="default"/>
                <w:sz w:val="18"/>
                <w:szCs w:val="18"/>
              </w:rPr>
              <w:t>，调减</w:t>
            </w:r>
            <w:r>
              <w:rPr>
                <w:rFonts w:ascii="Arial" w:hAnsi="Arial" w:cs="Arial" w:eastAsia="Arial" w:hint="default"/>
                <w:sz w:val="18"/>
                <w:szCs w:val="18"/>
              </w:rPr>
              <w:t>-</w:t>
            </w:r>
            <w:r>
              <w:rPr>
                <w:rFonts w:ascii="宋体" w:hAnsi="宋体" w:cs="宋体" w:eastAsia="宋体" w:hint="default"/>
                <w:sz w:val="18"/>
                <w:szCs w:val="18"/>
              </w:rPr>
              <w:t>）</w:t>
            </w:r>
          </w:p>
        </w:tc>
        <w:tc>
          <w:tcPr>
            <w:tcW w:w="2925" w:type="dxa"/>
            <w:tcBorders>
              <w:top w:val="single" w:sz="4" w:space="0" w:color="5B9BD4"/>
              <w:left w:val="nil" w:sz="6" w:space="0" w:color="auto"/>
              <w:bottom w:val="single" w:sz="4" w:space="0" w:color="5B9BD4"/>
              <w:right w:val="nil" w:sz="6" w:space="0" w:color="auto"/>
            </w:tcBorders>
          </w:tcPr>
          <w:p>
            <w:pPr/>
          </w:p>
        </w:tc>
        <w:tc>
          <w:tcPr>
            <w:tcW w:w="291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72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5"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1,583,472,544.55</w:t>
            </w:r>
          </w:p>
        </w:tc>
        <w:tc>
          <w:tcPr>
            <w:tcW w:w="291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spacing w:val="-1"/>
                <w:sz w:val="18"/>
              </w:rPr>
              <w:t>1,738,097,058.52</w:t>
            </w:r>
          </w:p>
        </w:tc>
      </w:tr>
      <w:tr>
        <w:trPr>
          <w:trHeight w:val="322" w:hRule="exact"/>
        </w:trPr>
        <w:tc>
          <w:tcPr>
            <w:tcW w:w="372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5"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140,631,298.55</w:t>
            </w:r>
            <w:r>
              <w:rPr>
                <w:rFonts w:ascii="Arial"/>
                <w:sz w:val="18"/>
              </w:rPr>
            </w:r>
          </w:p>
        </w:tc>
        <w:tc>
          <w:tcPr>
            <w:tcW w:w="291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29,143,960.41</w:t>
            </w:r>
            <w:r>
              <w:rPr>
                <w:rFonts w:ascii="Arial"/>
                <w:sz w:val="18"/>
              </w:rPr>
            </w:r>
          </w:p>
        </w:tc>
      </w:tr>
      <w:tr>
        <w:trPr>
          <w:trHeight w:val="322" w:hRule="exact"/>
        </w:trPr>
        <w:tc>
          <w:tcPr>
            <w:tcW w:w="372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5"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4,238,250.04</w:t>
            </w:r>
            <w:r>
              <w:rPr>
                <w:rFonts w:ascii="Arial"/>
                <w:sz w:val="18"/>
              </w:rPr>
            </w:r>
          </w:p>
        </w:tc>
        <w:tc>
          <w:tcPr>
            <w:tcW w:w="291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35,778,474.38</w:t>
            </w:r>
            <w:r>
              <w:rPr>
                <w:rFonts w:ascii="Arial"/>
                <w:sz w:val="18"/>
              </w:rPr>
            </w:r>
          </w:p>
        </w:tc>
      </w:tr>
      <w:tr>
        <w:trPr>
          <w:trHeight w:val="322" w:hRule="exact"/>
        </w:trPr>
        <w:tc>
          <w:tcPr>
            <w:tcW w:w="372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925" w:type="dxa"/>
            <w:tcBorders>
              <w:top w:val="single" w:sz="4" w:space="0" w:color="5B9BD4"/>
              <w:left w:val="nil" w:sz="6" w:space="0" w:color="auto"/>
              <w:bottom w:val="single" w:sz="4" w:space="0" w:color="5B9BD4"/>
              <w:right w:val="nil" w:sz="6" w:space="0" w:color="auto"/>
            </w:tcBorders>
          </w:tcPr>
          <w:p>
            <w:pPr/>
          </w:p>
        </w:tc>
        <w:tc>
          <w:tcPr>
            <w:tcW w:w="291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72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925" w:type="dxa"/>
            <w:tcBorders>
              <w:top w:val="single" w:sz="4" w:space="0" w:color="5B9BD4"/>
              <w:left w:val="nil" w:sz="6" w:space="0" w:color="auto"/>
              <w:bottom w:val="single" w:sz="4" w:space="0" w:color="5B9BD4"/>
              <w:right w:val="nil" w:sz="6" w:space="0" w:color="auto"/>
            </w:tcBorders>
          </w:tcPr>
          <w:p>
            <w:pPr/>
          </w:p>
        </w:tc>
        <w:tc>
          <w:tcPr>
            <w:tcW w:w="291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72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5" w:type="dxa"/>
            <w:tcBorders>
              <w:top w:val="single" w:sz="4" w:space="0" w:color="5B9BD4"/>
              <w:left w:val="nil" w:sz="6" w:space="0" w:color="auto"/>
              <w:bottom w:val="single" w:sz="4" w:space="0" w:color="5B9BD4"/>
              <w:right w:val="nil" w:sz="6" w:space="0" w:color="auto"/>
            </w:tcBorders>
          </w:tcPr>
          <w:p>
            <w:pPr/>
          </w:p>
        </w:tc>
        <w:tc>
          <w:tcPr>
            <w:tcW w:w="291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147,990,000.00</w:t>
            </w:r>
            <w:r>
              <w:rPr>
                <w:rFonts w:ascii="Arial"/>
                <w:sz w:val="18"/>
              </w:rPr>
            </w:r>
          </w:p>
        </w:tc>
      </w:tr>
      <w:tr>
        <w:trPr>
          <w:trHeight w:val="322" w:hRule="exact"/>
        </w:trPr>
        <w:tc>
          <w:tcPr>
            <w:tcW w:w="372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25" w:type="dxa"/>
            <w:tcBorders>
              <w:top w:val="single" w:sz="4" w:space="0" w:color="5B9BD4"/>
              <w:left w:val="nil" w:sz="6" w:space="0" w:color="auto"/>
              <w:bottom w:val="single" w:sz="4" w:space="0" w:color="5B9BD4"/>
              <w:right w:val="nil" w:sz="6" w:space="0" w:color="auto"/>
            </w:tcBorders>
          </w:tcPr>
          <w:p>
            <w:pPr/>
          </w:p>
        </w:tc>
        <w:tc>
          <w:tcPr>
            <w:tcW w:w="291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72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5"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1,719,865,593.06</w:t>
            </w:r>
          </w:p>
        </w:tc>
        <w:tc>
          <w:tcPr>
            <w:tcW w:w="291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spacing w:val="-1"/>
                <w:sz w:val="18"/>
              </w:rPr>
              <w:t>1,583,472,544.55</w:t>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35、营业收入和营业成本" w:id="354"/>
      <w:bookmarkEnd w:id="354"/>
      <w:r>
        <w:rPr>
          <w:b w:val="0"/>
          <w:bCs w:val="0"/>
        </w:rPr>
      </w:r>
      <w:r>
        <w:rPr>
          <w:rFonts w:ascii="Trebuchet MS" w:hAnsi="Trebuchet MS" w:cs="Trebuchet MS" w:eastAsia="Trebuchet MS" w:hint="default"/>
        </w:rPr>
        <w:t>35</w:t>
      </w:r>
      <w:r>
        <w:rPr/>
        <w:t>、营业收入和营业成本</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5"/>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322" w:hRule="exact"/>
        </w:trPr>
        <w:tc>
          <w:tcPr>
            <w:tcW w:w="1912"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17" w:hRule="exact"/>
        </w:trPr>
        <w:tc>
          <w:tcPr>
            <w:tcW w:w="1912" w:type="dxa"/>
            <w:vMerge/>
            <w:tcBorders>
              <w:left w:val="nil" w:sz="6" w:space="0" w:color="auto"/>
              <w:bottom w:val="single" w:sz="4" w:space="0" w:color="5B9BD4"/>
              <w:right w:val="nil" w:sz="6" w:space="0" w:color="auto"/>
            </w:tcBorders>
            <w:shd w:val="clear" w:color="auto" w:fill="DEEAF6"/>
          </w:tcPr>
          <w:p>
            <w:pPr/>
          </w:p>
        </w:tc>
        <w:tc>
          <w:tcPr>
            <w:tcW w:w="191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27" w:hRule="exact"/>
        </w:trPr>
        <w:tc>
          <w:tcPr>
            <w:tcW w:w="191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right="106"/>
              <w:jc w:val="right"/>
              <w:rPr>
                <w:rFonts w:ascii="Arial" w:hAnsi="Arial" w:cs="Arial" w:eastAsia="Arial" w:hint="default"/>
                <w:sz w:val="18"/>
                <w:szCs w:val="18"/>
              </w:rPr>
            </w:pPr>
            <w:r>
              <w:rPr>
                <w:rFonts w:ascii="Arial"/>
                <w:w w:val="95"/>
                <w:sz w:val="18"/>
              </w:rPr>
              <w:t>49,523,741,223.10</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2"/>
              <w:ind w:right="106"/>
              <w:jc w:val="right"/>
              <w:rPr>
                <w:rFonts w:ascii="Arial" w:hAnsi="Arial" w:cs="Arial" w:eastAsia="Arial" w:hint="default"/>
                <w:sz w:val="18"/>
                <w:szCs w:val="18"/>
              </w:rPr>
            </w:pPr>
            <w:r>
              <w:rPr>
                <w:rFonts w:ascii="Arial"/>
                <w:w w:val="95"/>
                <w:sz w:val="18"/>
              </w:rPr>
              <w:t>48,269,457,085.78</w:t>
            </w:r>
            <w:r>
              <w:rPr>
                <w:rFonts w:ascii="Arial"/>
                <w:sz w:val="18"/>
              </w:rPr>
            </w:r>
          </w:p>
        </w:tc>
        <w:tc>
          <w:tcPr>
            <w:tcW w:w="1914"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right="106"/>
              <w:jc w:val="right"/>
              <w:rPr>
                <w:rFonts w:ascii="Arial" w:hAnsi="Arial" w:cs="Arial" w:eastAsia="Arial" w:hint="default"/>
                <w:sz w:val="18"/>
                <w:szCs w:val="18"/>
              </w:rPr>
            </w:pPr>
            <w:r>
              <w:rPr>
                <w:rFonts w:ascii="Arial"/>
                <w:w w:val="95"/>
                <w:sz w:val="18"/>
              </w:rPr>
              <w:t>48,253,619,781.12</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2"/>
              <w:ind w:right="106"/>
              <w:jc w:val="right"/>
              <w:rPr>
                <w:rFonts w:ascii="Arial" w:hAnsi="Arial" w:cs="Arial" w:eastAsia="Arial" w:hint="default"/>
                <w:sz w:val="18"/>
                <w:szCs w:val="18"/>
              </w:rPr>
            </w:pPr>
            <w:r>
              <w:rPr>
                <w:rFonts w:ascii="Arial"/>
                <w:w w:val="95"/>
                <w:sz w:val="18"/>
              </w:rPr>
              <w:t>46,651,627,814.82</w:t>
            </w:r>
            <w:r>
              <w:rPr>
                <w:rFonts w:ascii="Arial"/>
                <w:sz w:val="18"/>
              </w:rPr>
            </w:r>
          </w:p>
        </w:tc>
      </w:tr>
      <w:tr>
        <w:trPr>
          <w:trHeight w:val="323" w:hRule="exact"/>
        </w:trPr>
        <w:tc>
          <w:tcPr>
            <w:tcW w:w="191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45,287,108.57</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11,755,785.58</w:t>
            </w:r>
            <w:r>
              <w:rPr>
                <w:rFonts w:ascii="Arial"/>
                <w:sz w:val="18"/>
              </w:rPr>
            </w:r>
          </w:p>
        </w:tc>
        <w:tc>
          <w:tcPr>
            <w:tcW w:w="191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66,947,715.41</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3,033,465.27</w:t>
            </w:r>
            <w:r>
              <w:rPr>
                <w:rFonts w:ascii="Arial"/>
                <w:sz w:val="18"/>
              </w:rPr>
            </w:r>
          </w:p>
        </w:tc>
      </w:tr>
      <w:tr>
        <w:trPr>
          <w:trHeight w:val="322" w:hRule="exact"/>
        </w:trPr>
        <w:tc>
          <w:tcPr>
            <w:tcW w:w="191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49,569,028,331.67</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48,281,212,871.36</w:t>
            </w:r>
            <w:r>
              <w:rPr>
                <w:rFonts w:ascii="Arial"/>
                <w:sz w:val="18"/>
              </w:rPr>
            </w:r>
          </w:p>
        </w:tc>
        <w:tc>
          <w:tcPr>
            <w:tcW w:w="191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48,320,567,496.53</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46,654,661,280.09</w:t>
            </w:r>
            <w:r>
              <w:rPr>
                <w:rFonts w:ascii="Arial"/>
                <w:sz w:val="18"/>
              </w:rPr>
            </w:r>
          </w:p>
        </w:tc>
      </w:tr>
    </w:tbl>
    <w:p>
      <w:pPr>
        <w:spacing w:after="0" w:line="240" w:lineRule="auto"/>
        <w:jc w:val="right"/>
        <w:rPr>
          <w:rFonts w:ascii="Arial" w:hAnsi="Arial" w:cs="Arial" w:eastAsia="Arial" w:hint="default"/>
          <w:sz w:val="18"/>
          <w:szCs w:val="18"/>
        </w:rPr>
        <w:sectPr>
          <w:pgSz w:w="11910" w:h="16840"/>
          <w:pgMar w:header="877" w:footer="979" w:top="1100" w:bottom="1160" w:left="920" w:right="0"/>
        </w:sectPr>
      </w:pPr>
    </w:p>
    <w:p>
      <w:pPr>
        <w:spacing w:line="240" w:lineRule="auto" w:before="5"/>
        <w:rPr>
          <w:rFonts w:ascii="宋体" w:hAnsi="宋体" w:cs="宋体" w:eastAsia="宋体" w:hint="default"/>
          <w:sz w:val="20"/>
          <w:szCs w:val="20"/>
        </w:rPr>
      </w:pPr>
    </w:p>
    <w:p>
      <w:pPr>
        <w:pStyle w:val="Heading5"/>
        <w:spacing w:line="240" w:lineRule="auto"/>
        <w:ind w:right="1513"/>
        <w:jc w:val="left"/>
        <w:rPr>
          <w:b w:val="0"/>
          <w:bCs w:val="0"/>
        </w:rPr>
      </w:pPr>
      <w:bookmarkStart w:name="36、营业税金及附加" w:id="355"/>
      <w:bookmarkEnd w:id="355"/>
      <w:r>
        <w:rPr>
          <w:b w:val="0"/>
          <w:bCs w:val="0"/>
        </w:rPr>
      </w:r>
      <w:r>
        <w:rPr>
          <w:rFonts w:ascii="Trebuchet MS" w:hAnsi="Trebuchet MS" w:cs="Trebuchet MS" w:eastAsia="Trebuchet MS" w:hint="default"/>
        </w:rPr>
        <w:t>36</w:t>
      </w:r>
      <w:r>
        <w:rPr/>
        <w:t>、营业税金及附加</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188"/>
        <w:gridCol w:w="3194"/>
        <w:gridCol w:w="3189"/>
      </w:tblGrid>
      <w:tr>
        <w:trPr>
          <w:trHeight w:val="323" w:hRule="exact"/>
        </w:trPr>
        <w:tc>
          <w:tcPr>
            <w:tcW w:w="9570" w:type="dxa"/>
            <w:gridSpan w:val="3"/>
            <w:tcBorders>
              <w:top w:val="single" w:sz="4" w:space="0" w:color="5B9BD4"/>
              <w:left w:val="nil" w:sz="6" w:space="0" w:color="auto"/>
              <w:bottom w:val="single" w:sz="4" w:space="0" w:color="5B9BD4"/>
              <w:right w:val="nil" w:sz="6" w:space="0" w:color="auto"/>
            </w:tcBorders>
            <w:shd w:val="clear" w:color="auto" w:fill="DEEAF6"/>
          </w:tcPr>
          <w:p>
            <w:pPr>
              <w:pStyle w:val="TableParagraph"/>
              <w:tabs>
                <w:tab w:pos="4333" w:val="left" w:leader="none"/>
                <w:tab w:pos="7525" w:val="left" w:leader="none"/>
              </w:tabs>
              <w:spacing w:line="240" w:lineRule="auto" w:before="5"/>
              <w:ind w:left="1414" w:right="0"/>
              <w:jc w:val="left"/>
              <w:rPr>
                <w:rFonts w:ascii="宋体" w:hAnsi="宋体" w:cs="宋体" w:eastAsia="宋体" w:hint="default"/>
                <w:sz w:val="18"/>
                <w:szCs w:val="18"/>
              </w:rPr>
            </w:pPr>
            <w:r>
              <w:rPr>
                <w:rFonts w:ascii="宋体" w:hAnsi="宋体" w:cs="宋体" w:eastAsia="宋体" w:hint="default"/>
                <w:sz w:val="18"/>
                <w:szCs w:val="18"/>
              </w:rPr>
              <w:t>项目</w:t>
              <w:tab/>
              <w:t>本期发生额</w:t>
              <w:tab/>
              <w:t>上期发生额</w:t>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1,275,227.06</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3,536,466.10</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6,932,474.31</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19,116,277.93</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5,325,517.20</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12,561,335.88</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194" w:type="dxa"/>
            <w:tcBorders>
              <w:top w:val="single" w:sz="4" w:space="0" w:color="5B9BD4"/>
              <w:left w:val="nil" w:sz="6" w:space="0" w:color="auto"/>
              <w:bottom w:val="single" w:sz="4" w:space="0" w:color="5B9BD4"/>
              <w:right w:val="nil" w:sz="6" w:space="0" w:color="auto"/>
            </w:tcBorders>
          </w:tcPr>
          <w:p>
            <w:pP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70,063.65</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1,303,741.69</w:t>
            </w:r>
            <w:r>
              <w:rPr>
                <w:rFonts w:ascii="Arial"/>
                <w:sz w:val="18"/>
              </w:rPr>
            </w:r>
          </w:p>
        </w:tc>
      </w:tr>
      <w:tr>
        <w:trPr>
          <w:trHeight w:val="323"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13,603,282.22</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36,517,821.60</w:t>
            </w:r>
            <w:r>
              <w:rPr>
                <w:rFonts w:ascii="Arial"/>
                <w:sz w:val="18"/>
              </w:rPr>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37、销售费用" w:id="356"/>
      <w:bookmarkEnd w:id="356"/>
      <w:r>
        <w:rPr>
          <w:b w:val="0"/>
          <w:bCs w:val="0"/>
        </w:rPr>
      </w:r>
      <w:r>
        <w:rPr>
          <w:rFonts w:ascii="Trebuchet MS" w:hAnsi="Trebuchet MS" w:cs="Trebuchet MS" w:eastAsia="Trebuchet MS" w:hint="default"/>
        </w:rPr>
        <w:t>37</w:t>
      </w:r>
      <w:r>
        <w:rPr/>
        <w:t>、销售费用</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190"/>
        <w:gridCol w:w="3190"/>
        <w:gridCol w:w="3190"/>
      </w:tblGrid>
      <w:tr>
        <w:trPr>
          <w:trHeight w:val="317"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7"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人力成本费</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right="107"/>
              <w:jc w:val="right"/>
              <w:rPr>
                <w:rFonts w:ascii="Arial" w:hAnsi="Arial" w:cs="Arial" w:eastAsia="Arial" w:hint="default"/>
                <w:sz w:val="18"/>
                <w:szCs w:val="18"/>
              </w:rPr>
            </w:pPr>
            <w:r>
              <w:rPr>
                <w:rFonts w:ascii="Arial"/>
                <w:w w:val="95"/>
                <w:sz w:val="18"/>
              </w:rPr>
              <w:t>291,040,719.72</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2"/>
              <w:ind w:right="105"/>
              <w:jc w:val="right"/>
              <w:rPr>
                <w:rFonts w:ascii="Arial" w:hAnsi="Arial" w:cs="Arial" w:eastAsia="Arial" w:hint="default"/>
                <w:sz w:val="18"/>
                <w:szCs w:val="18"/>
              </w:rPr>
            </w:pPr>
            <w:r>
              <w:rPr>
                <w:rFonts w:ascii="Arial"/>
                <w:w w:val="95"/>
                <w:sz w:val="18"/>
              </w:rPr>
              <w:t>351,560,620.78</w:t>
            </w:r>
            <w:r>
              <w:rPr>
                <w:rFonts w:ascii="Arial"/>
                <w:sz w:val="18"/>
              </w:rPr>
            </w: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商品物流费</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77,505,904.73</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106,133,387.22</w:t>
            </w:r>
            <w:r>
              <w:rPr>
                <w:rFonts w:ascii="Arial"/>
                <w:sz w:val="18"/>
              </w:rPr>
            </w: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物料消耗费</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61,734,109.48</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60,479,414.12</w:t>
            </w:r>
            <w:r>
              <w:rPr>
                <w:rFonts w:ascii="Arial"/>
                <w:sz w:val="18"/>
              </w:rPr>
            </w: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物业租赁费</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60,195,687.67</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73,867,621.57</w:t>
            </w:r>
            <w:r>
              <w:rPr>
                <w:rFonts w:ascii="Arial"/>
                <w:sz w:val="18"/>
              </w:rPr>
            </w: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劳务佣金</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23,017,426.00</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78,483,291.21</w:t>
            </w:r>
            <w:r>
              <w:rPr>
                <w:rFonts w:ascii="Arial"/>
                <w:sz w:val="18"/>
              </w:rPr>
            </w: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22,920,184.19</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26,784,614.73</w:t>
            </w:r>
            <w:r>
              <w:rPr>
                <w:rFonts w:ascii="Arial"/>
                <w:sz w:val="18"/>
              </w:rPr>
            </w:r>
          </w:p>
        </w:tc>
      </w:tr>
      <w:tr>
        <w:trPr>
          <w:trHeight w:val="323"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业务拓展费</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19,627,396.32</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25,150,565.41</w:t>
            </w:r>
            <w:r>
              <w:rPr>
                <w:rFonts w:ascii="Arial"/>
                <w:sz w:val="18"/>
              </w:rPr>
            </w: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网络信息费</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16,276,066.16</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9,868,471.15</w:t>
            </w:r>
            <w:r>
              <w:rPr>
                <w:rFonts w:ascii="Arial"/>
                <w:sz w:val="18"/>
              </w:rPr>
            </w: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业务差旅费</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14,365,435.70</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21,225,140.76</w:t>
            </w:r>
            <w:r>
              <w:rPr>
                <w:rFonts w:ascii="Arial"/>
                <w:sz w:val="18"/>
              </w:rPr>
            </w: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长期资产摊销</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12,518,590.06</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20,022,289.93</w:t>
            </w:r>
            <w:r>
              <w:rPr>
                <w:rFonts w:ascii="Arial"/>
                <w:sz w:val="18"/>
              </w:rPr>
            </w: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75,044,013.24</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143,006,364.47</w:t>
            </w:r>
            <w:r>
              <w:rPr>
                <w:rFonts w:ascii="Arial"/>
                <w:sz w:val="18"/>
              </w:rPr>
            </w: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674,245,533.27</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916,581,781.35</w:t>
            </w:r>
            <w:r>
              <w:rPr>
                <w:rFonts w:ascii="Arial"/>
                <w:sz w:val="18"/>
              </w:rPr>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38、管理费用" w:id="357"/>
      <w:bookmarkEnd w:id="357"/>
      <w:r>
        <w:rPr>
          <w:b w:val="0"/>
          <w:bCs w:val="0"/>
        </w:rPr>
      </w:r>
      <w:r>
        <w:rPr>
          <w:rFonts w:ascii="Trebuchet MS" w:hAnsi="Trebuchet MS" w:cs="Trebuchet MS" w:eastAsia="Trebuchet MS" w:hint="default"/>
        </w:rPr>
        <w:t>38</w:t>
      </w:r>
      <w:r>
        <w:rPr/>
        <w:t>、管理费用</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190"/>
        <w:gridCol w:w="3190"/>
        <w:gridCol w:w="3190"/>
      </w:tblGrid>
      <w:tr>
        <w:trPr>
          <w:trHeight w:val="317"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7"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人力成本费</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right="107"/>
              <w:jc w:val="right"/>
              <w:rPr>
                <w:rFonts w:ascii="Arial" w:hAnsi="Arial" w:cs="Arial" w:eastAsia="Arial" w:hint="default"/>
                <w:sz w:val="18"/>
                <w:szCs w:val="18"/>
              </w:rPr>
            </w:pPr>
            <w:r>
              <w:rPr>
                <w:rFonts w:ascii="Arial"/>
                <w:w w:val="95"/>
                <w:sz w:val="18"/>
              </w:rPr>
              <w:t>143,213,450.34</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2"/>
              <w:ind w:right="105"/>
              <w:jc w:val="right"/>
              <w:rPr>
                <w:rFonts w:ascii="Arial" w:hAnsi="Arial" w:cs="Arial" w:eastAsia="Arial" w:hint="default"/>
                <w:sz w:val="18"/>
                <w:szCs w:val="18"/>
              </w:rPr>
            </w:pPr>
            <w:r>
              <w:rPr>
                <w:rFonts w:ascii="Arial"/>
                <w:w w:val="95"/>
                <w:sz w:val="18"/>
              </w:rPr>
              <w:t>214,132,222.54</w:t>
            </w:r>
            <w:r>
              <w:rPr>
                <w:rFonts w:ascii="Arial"/>
                <w:sz w:val="18"/>
              </w:rPr>
            </w: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物业租赁费</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12,285,783.08</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17,531,181.76</w:t>
            </w:r>
            <w:r>
              <w:rPr>
                <w:rFonts w:ascii="Arial"/>
                <w:sz w:val="18"/>
              </w:rPr>
            </w: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10,349,872.98</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14,357,087.50</w:t>
            </w:r>
            <w:r>
              <w:rPr>
                <w:rFonts w:ascii="Arial"/>
                <w:sz w:val="18"/>
              </w:rPr>
            </w: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长期资产摊销</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11,376,478.40</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4,072,527.84</w:t>
            </w:r>
            <w:r>
              <w:rPr>
                <w:rFonts w:ascii="Arial"/>
                <w:sz w:val="18"/>
              </w:rPr>
            </w: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10,003,455.07</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8,790,368.10</w:t>
            </w:r>
            <w:r>
              <w:rPr>
                <w:rFonts w:ascii="Arial"/>
                <w:sz w:val="18"/>
              </w:rPr>
            </w: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9,140,215.50</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8,124,590.60</w:t>
            </w:r>
            <w:r>
              <w:rPr>
                <w:rFonts w:ascii="Arial"/>
                <w:sz w:val="18"/>
              </w:rPr>
            </w: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网络信息费</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6,664,623.51</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10,142,371.79</w:t>
            </w:r>
            <w:r>
              <w:rPr>
                <w:rFonts w:ascii="Arial"/>
                <w:sz w:val="18"/>
              </w:rPr>
            </w: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6,628,136.82</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8,228,264.78</w:t>
            </w:r>
            <w:r>
              <w:rPr>
                <w:rFonts w:ascii="Arial"/>
                <w:sz w:val="18"/>
              </w:rPr>
            </w: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业务差旅费</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6,114,531.45</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9,592,880.46</w:t>
            </w:r>
            <w:r>
              <w:rPr>
                <w:rFonts w:ascii="Arial"/>
                <w:sz w:val="18"/>
              </w:rPr>
            </w: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4,894,518.73</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11,147,957.75</w:t>
            </w:r>
            <w:r>
              <w:rPr>
                <w:rFonts w:ascii="Arial"/>
                <w:sz w:val="18"/>
              </w:rPr>
            </w:r>
          </w:p>
        </w:tc>
      </w:tr>
      <w:tr>
        <w:trPr>
          <w:trHeight w:val="323"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34,256,637.42</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17,072,622.50</w:t>
            </w:r>
            <w:r>
              <w:rPr>
                <w:rFonts w:ascii="Arial"/>
                <w:sz w:val="18"/>
              </w:rPr>
            </w:r>
          </w:p>
        </w:tc>
      </w:tr>
    </w:tbl>
    <w:p>
      <w:pPr>
        <w:spacing w:after="0" w:line="240" w:lineRule="auto"/>
        <w:jc w:val="right"/>
        <w:rPr>
          <w:rFonts w:ascii="Arial" w:hAnsi="Arial" w:cs="Arial" w:eastAsia="Arial" w:hint="default"/>
          <w:sz w:val="18"/>
          <w:szCs w:val="18"/>
        </w:rPr>
        <w:sectPr>
          <w:pgSz w:w="11910" w:h="16840"/>
          <w:pgMar w:header="877" w:footer="979" w:top="1100" w:bottom="1160" w:left="920" w:right="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3190"/>
        <w:gridCol w:w="3190"/>
        <w:gridCol w:w="3190"/>
      </w:tblGrid>
      <w:tr>
        <w:trPr>
          <w:trHeight w:val="323"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833" w:right="0"/>
              <w:jc w:val="left"/>
              <w:rPr>
                <w:rFonts w:ascii="Arial" w:hAnsi="Arial" w:cs="Arial" w:eastAsia="Arial" w:hint="default"/>
                <w:sz w:val="18"/>
                <w:szCs w:val="18"/>
              </w:rPr>
            </w:pPr>
            <w:r>
              <w:rPr>
                <w:rFonts w:ascii="Arial"/>
                <w:sz w:val="18"/>
              </w:rPr>
              <w:t>254,927,703.30</w:t>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835" w:right="0"/>
              <w:jc w:val="left"/>
              <w:rPr>
                <w:rFonts w:ascii="Arial" w:hAnsi="Arial" w:cs="Arial" w:eastAsia="Arial" w:hint="default"/>
                <w:sz w:val="18"/>
                <w:szCs w:val="18"/>
              </w:rPr>
            </w:pPr>
            <w:r>
              <w:rPr>
                <w:rFonts w:ascii="Arial"/>
                <w:sz w:val="18"/>
              </w:rPr>
              <w:t>323,192,075.62</w:t>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39、财务费用" w:id="358"/>
      <w:bookmarkEnd w:id="358"/>
      <w:r>
        <w:rPr>
          <w:b w:val="0"/>
          <w:bCs w:val="0"/>
        </w:rPr>
      </w:r>
      <w:r>
        <w:rPr>
          <w:rFonts w:ascii="Trebuchet MS" w:hAnsi="Trebuchet MS" w:cs="Trebuchet MS" w:eastAsia="Trebuchet MS" w:hint="default"/>
        </w:rPr>
        <w:t>39</w:t>
      </w:r>
      <w:r>
        <w:rPr/>
        <w:t>、财务费用</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190"/>
        <w:gridCol w:w="3190"/>
        <w:gridCol w:w="3190"/>
      </w:tblGrid>
      <w:tr>
        <w:trPr>
          <w:trHeight w:val="317"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7"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right="107"/>
              <w:jc w:val="right"/>
              <w:rPr>
                <w:rFonts w:ascii="Arial" w:hAnsi="Arial" w:cs="Arial" w:eastAsia="Arial" w:hint="default"/>
                <w:sz w:val="18"/>
                <w:szCs w:val="18"/>
              </w:rPr>
            </w:pPr>
            <w:r>
              <w:rPr>
                <w:rFonts w:ascii="Arial"/>
                <w:w w:val="95"/>
                <w:sz w:val="18"/>
              </w:rPr>
              <w:t>137,214,994.23</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2"/>
              <w:ind w:right="105"/>
              <w:jc w:val="right"/>
              <w:rPr>
                <w:rFonts w:ascii="Arial" w:hAnsi="Arial" w:cs="Arial" w:eastAsia="Arial" w:hint="default"/>
                <w:sz w:val="18"/>
                <w:szCs w:val="18"/>
              </w:rPr>
            </w:pPr>
            <w:r>
              <w:rPr>
                <w:rFonts w:ascii="Arial"/>
                <w:w w:val="95"/>
                <w:sz w:val="18"/>
              </w:rPr>
              <w:t>141,202,178.14</w:t>
            </w:r>
            <w:r>
              <w:rPr>
                <w:rFonts w:ascii="Arial"/>
                <w:sz w:val="18"/>
              </w:rPr>
            </w: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36,135,498.52</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46,051,017.28</w:t>
            </w:r>
            <w:r>
              <w:rPr>
                <w:rFonts w:ascii="Arial"/>
                <w:sz w:val="18"/>
              </w:rPr>
            </w: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贴现支出</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34,296,251.32</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209,808,555.14</w:t>
            </w:r>
            <w:r>
              <w:rPr>
                <w:rFonts w:ascii="Arial"/>
                <w:sz w:val="18"/>
              </w:rPr>
            </w: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-87,950.35</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w w:val="95"/>
                <w:sz w:val="18"/>
              </w:rPr>
              <w:t>3,494.50</w:t>
            </w:r>
            <w:r>
              <w:rPr>
                <w:rFonts w:ascii="Arial"/>
                <w:sz w:val="18"/>
              </w:rPr>
            </w: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16,379,361.83</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24,503,693.49</w:t>
            </w:r>
            <w:r>
              <w:rPr>
                <w:rFonts w:ascii="Arial"/>
                <w:sz w:val="18"/>
              </w:rPr>
            </w: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151,667,158.51</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329,466,903.99</w:t>
            </w:r>
            <w:r>
              <w:rPr>
                <w:rFonts w:ascii="Arial"/>
                <w:sz w:val="18"/>
              </w:rPr>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40、资产减值损失" w:id="359"/>
      <w:bookmarkEnd w:id="359"/>
      <w:r>
        <w:rPr>
          <w:b w:val="0"/>
          <w:bCs w:val="0"/>
        </w:rPr>
      </w:r>
      <w:r>
        <w:rPr>
          <w:rFonts w:ascii="Trebuchet MS" w:hAnsi="Trebuchet MS" w:cs="Trebuchet MS" w:eastAsia="Trebuchet MS" w:hint="default"/>
        </w:rPr>
        <w:t>40</w:t>
      </w:r>
      <w:r>
        <w:rPr/>
        <w:t>、资产减值损失</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5"/>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188"/>
        <w:gridCol w:w="3194"/>
        <w:gridCol w:w="3189"/>
      </w:tblGrid>
      <w:tr>
        <w:trPr>
          <w:trHeight w:val="317"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6"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w w:val="95"/>
                <w:sz w:val="18"/>
              </w:rPr>
              <w:t>35,357,838.74</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2"/>
              <w:ind w:right="105"/>
              <w:jc w:val="right"/>
              <w:rPr>
                <w:rFonts w:ascii="Arial" w:hAnsi="Arial" w:cs="Arial" w:eastAsia="Arial" w:hint="default"/>
                <w:sz w:val="18"/>
                <w:szCs w:val="18"/>
              </w:rPr>
            </w:pPr>
            <w:r>
              <w:rPr>
                <w:rFonts w:ascii="Arial"/>
                <w:w w:val="95"/>
                <w:sz w:val="18"/>
              </w:rPr>
              <w:t>15,573,901.23</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59,781,129.78</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105,414,667.54</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95,138,968.52</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120,988,568.77</w:t>
            </w:r>
            <w:r>
              <w:rPr>
                <w:rFonts w:ascii="Arial"/>
                <w:sz w:val="18"/>
              </w:rPr>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41、公允价值变动收益" w:id="360"/>
      <w:bookmarkEnd w:id="360"/>
      <w:r>
        <w:rPr>
          <w:b w:val="0"/>
          <w:bCs w:val="0"/>
        </w:rPr>
      </w:r>
      <w:r>
        <w:rPr>
          <w:rFonts w:ascii="Trebuchet MS" w:hAnsi="Trebuchet MS" w:cs="Trebuchet MS" w:eastAsia="Trebuchet MS" w:hint="default"/>
        </w:rPr>
        <w:t>41</w:t>
      </w:r>
      <w:r>
        <w:rPr/>
        <w:t>、公允价值变动收益</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5"/>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188"/>
        <w:gridCol w:w="3194"/>
        <w:gridCol w:w="3189"/>
      </w:tblGrid>
      <w:tr>
        <w:trPr>
          <w:trHeight w:val="317"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23"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38"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10"/>
              <w:ind w:left="108" w:right="197"/>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 损益的金融资产</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23,085,642.68</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2,876,136.44</w:t>
            </w:r>
            <w:r>
              <w:rPr>
                <w:rFonts w:ascii="Arial"/>
                <w:sz w:val="18"/>
              </w:rPr>
            </w:r>
          </w:p>
        </w:tc>
      </w:tr>
      <w:tr>
        <w:trPr>
          <w:trHeight w:val="323"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23,085,642.68</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2,876,136.44</w:t>
            </w:r>
            <w:r>
              <w:rPr>
                <w:rFonts w:ascii="Arial"/>
                <w:sz w:val="18"/>
              </w:rPr>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42、投资收益" w:id="361"/>
      <w:bookmarkEnd w:id="361"/>
      <w:r>
        <w:rPr>
          <w:b w:val="0"/>
          <w:bCs w:val="0"/>
        </w:rPr>
      </w:r>
      <w:r>
        <w:rPr>
          <w:rFonts w:ascii="Trebuchet MS" w:hAnsi="Trebuchet MS" w:cs="Trebuchet MS" w:eastAsia="Trebuchet MS" w:hint="default"/>
        </w:rPr>
        <w:t>42</w:t>
      </w:r>
      <w:r>
        <w:rPr/>
        <w:t>、投资收益</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460"/>
        <w:gridCol w:w="3191"/>
        <w:gridCol w:w="2918"/>
      </w:tblGrid>
      <w:tr>
        <w:trPr>
          <w:trHeight w:val="317" w:hRule="exact"/>
        </w:trPr>
        <w:tc>
          <w:tcPr>
            <w:tcW w:w="346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7" w:hRule="exact"/>
        </w:trPr>
        <w:tc>
          <w:tcPr>
            <w:tcW w:w="346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right="106"/>
              <w:jc w:val="right"/>
              <w:rPr>
                <w:rFonts w:ascii="Arial" w:hAnsi="Arial" w:cs="Arial" w:eastAsia="Arial" w:hint="default"/>
                <w:sz w:val="18"/>
                <w:szCs w:val="18"/>
              </w:rPr>
            </w:pPr>
            <w:r>
              <w:rPr>
                <w:rFonts w:ascii="Arial"/>
                <w:w w:val="95"/>
                <w:sz w:val="18"/>
              </w:rPr>
              <w:t>-8,137,255.05</w:t>
            </w:r>
            <w:r>
              <w:rPr>
                <w:rFonts w:ascii="Arial"/>
                <w:sz w:val="18"/>
              </w:rPr>
            </w:r>
          </w:p>
        </w:tc>
        <w:tc>
          <w:tcPr>
            <w:tcW w:w="291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46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7,000,000.00</w:t>
            </w:r>
            <w:r>
              <w:rPr>
                <w:rFonts w:ascii="Arial"/>
                <w:sz w:val="18"/>
              </w:rPr>
            </w:r>
          </w:p>
        </w:tc>
        <w:tc>
          <w:tcPr>
            <w:tcW w:w="291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46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7,982,258.50</w:t>
            </w:r>
            <w:r>
              <w:rPr>
                <w:rFonts w:ascii="Arial"/>
                <w:sz w:val="18"/>
              </w:rPr>
            </w:r>
          </w:p>
        </w:tc>
        <w:tc>
          <w:tcPr>
            <w:tcW w:w="291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46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银行理财产品收益</w:t>
            </w:r>
          </w:p>
        </w:tc>
        <w:tc>
          <w:tcPr>
            <w:tcW w:w="319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4,962,601.67</w:t>
            </w:r>
            <w:r>
              <w:rPr>
                <w:rFonts w:ascii="Arial"/>
                <w:sz w:val="18"/>
              </w:rPr>
            </w:r>
          </w:p>
        </w:tc>
        <w:tc>
          <w:tcPr>
            <w:tcW w:w="291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3"/>
              <w:jc w:val="right"/>
              <w:rPr>
                <w:rFonts w:ascii="Arial" w:hAnsi="Arial" w:cs="Arial" w:eastAsia="Arial" w:hint="default"/>
                <w:sz w:val="18"/>
                <w:szCs w:val="18"/>
              </w:rPr>
            </w:pPr>
            <w:r>
              <w:rPr>
                <w:rFonts w:ascii="Arial"/>
                <w:w w:val="95"/>
                <w:sz w:val="18"/>
              </w:rPr>
              <w:t>3,608,736.15</w:t>
            </w:r>
            <w:r>
              <w:rPr>
                <w:rFonts w:ascii="Arial"/>
                <w:sz w:val="18"/>
              </w:rPr>
            </w:r>
          </w:p>
        </w:tc>
      </w:tr>
      <w:tr>
        <w:trPr>
          <w:trHeight w:val="322" w:hRule="exact"/>
        </w:trPr>
        <w:tc>
          <w:tcPr>
            <w:tcW w:w="346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11,807,605.12</w:t>
            </w:r>
            <w:r>
              <w:rPr>
                <w:rFonts w:ascii="Arial"/>
                <w:sz w:val="18"/>
              </w:rPr>
            </w:r>
          </w:p>
        </w:tc>
        <w:tc>
          <w:tcPr>
            <w:tcW w:w="291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3"/>
              <w:jc w:val="right"/>
              <w:rPr>
                <w:rFonts w:ascii="Arial" w:hAnsi="Arial" w:cs="Arial" w:eastAsia="Arial" w:hint="default"/>
                <w:sz w:val="18"/>
                <w:szCs w:val="18"/>
              </w:rPr>
            </w:pPr>
            <w:r>
              <w:rPr>
                <w:rFonts w:ascii="Arial"/>
                <w:w w:val="95"/>
                <w:sz w:val="18"/>
              </w:rPr>
              <w:t>3,608,736.15</w:t>
            </w:r>
            <w:r>
              <w:rPr>
                <w:rFonts w:ascii="Arial"/>
                <w:sz w:val="18"/>
              </w:rPr>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43、营业外收入" w:id="362"/>
      <w:bookmarkEnd w:id="362"/>
      <w:r>
        <w:rPr>
          <w:b w:val="0"/>
          <w:bCs w:val="0"/>
        </w:rPr>
      </w:r>
      <w:r>
        <w:rPr>
          <w:rFonts w:ascii="Trebuchet MS" w:hAnsi="Trebuchet MS" w:cs="Trebuchet MS" w:eastAsia="Trebuchet MS" w:hint="default"/>
        </w:rPr>
        <w:t>43</w:t>
      </w:r>
      <w:r>
        <w:rPr/>
        <w:t>、营业外收入</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2256"/>
        <w:gridCol w:w="2528"/>
        <w:gridCol w:w="2078"/>
        <w:gridCol w:w="2707"/>
      </w:tblGrid>
      <w:tr>
        <w:trPr>
          <w:trHeight w:val="634" w:hRule="exact"/>
        </w:trPr>
        <w:tc>
          <w:tcPr>
            <w:tcW w:w="225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left="13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left="88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left="74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70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420" w:right="114"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bl>
    <w:p>
      <w:pPr>
        <w:spacing w:after="0" w:line="316" w:lineRule="auto"/>
        <w:jc w:val="left"/>
        <w:rPr>
          <w:rFonts w:ascii="宋体" w:hAnsi="宋体" w:cs="宋体" w:eastAsia="宋体" w:hint="default"/>
          <w:sz w:val="18"/>
          <w:szCs w:val="18"/>
        </w:rPr>
        <w:sectPr>
          <w:pgSz w:w="11910" w:h="16840"/>
          <w:pgMar w:header="877" w:footer="979" w:top="1100" w:bottom="1160" w:left="920" w:right="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2390"/>
        <w:gridCol w:w="2396"/>
        <w:gridCol w:w="2392"/>
        <w:gridCol w:w="2392"/>
      </w:tblGrid>
      <w:tr>
        <w:trPr>
          <w:trHeight w:val="322" w:hRule="exact"/>
        </w:trPr>
        <w:tc>
          <w:tcPr>
            <w:tcW w:w="23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925,417.44</w:t>
            </w:r>
            <w:r>
              <w:rPr>
                <w:rFonts w:ascii="Arial"/>
                <w:sz w:val="18"/>
              </w:rPr>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158,323.88</w:t>
            </w:r>
            <w:r>
              <w:rPr>
                <w:rFonts w:ascii="Arial"/>
                <w:sz w:val="18"/>
              </w:rPr>
            </w: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925,417.44</w:t>
            </w:r>
            <w:r>
              <w:rPr>
                <w:rFonts w:ascii="Arial"/>
                <w:sz w:val="18"/>
              </w:rPr>
            </w:r>
          </w:p>
        </w:tc>
      </w:tr>
      <w:tr>
        <w:trPr>
          <w:trHeight w:val="322" w:hRule="exact"/>
        </w:trPr>
        <w:tc>
          <w:tcPr>
            <w:tcW w:w="23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925,333.10</w:t>
            </w:r>
            <w:r>
              <w:rPr>
                <w:rFonts w:ascii="Arial"/>
                <w:sz w:val="18"/>
              </w:rPr>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158,323.88</w:t>
            </w:r>
            <w:r>
              <w:rPr>
                <w:rFonts w:ascii="Arial"/>
                <w:sz w:val="18"/>
              </w:rPr>
            </w: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925,333.10</w:t>
            </w:r>
            <w:r>
              <w:rPr>
                <w:rFonts w:ascii="Arial"/>
                <w:sz w:val="18"/>
              </w:rPr>
            </w:r>
          </w:p>
        </w:tc>
      </w:tr>
      <w:tr>
        <w:trPr>
          <w:trHeight w:val="322" w:hRule="exact"/>
        </w:trPr>
        <w:tc>
          <w:tcPr>
            <w:tcW w:w="23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648"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239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84.34</w:t>
            </w:r>
            <w:r>
              <w:rPr>
                <w:rFonts w:ascii="Arial"/>
                <w:sz w:val="18"/>
              </w:rPr>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84.34</w:t>
            </w:r>
            <w:r>
              <w:rPr>
                <w:rFonts w:ascii="Arial"/>
                <w:sz w:val="18"/>
              </w:rPr>
            </w:r>
          </w:p>
        </w:tc>
      </w:tr>
      <w:tr>
        <w:trPr>
          <w:trHeight w:val="322" w:hRule="exact"/>
        </w:trPr>
        <w:tc>
          <w:tcPr>
            <w:tcW w:w="23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396" w:type="dxa"/>
            <w:tcBorders>
              <w:top w:val="single" w:sz="4" w:space="0" w:color="5B9BD4"/>
              <w:left w:val="nil" w:sz="6" w:space="0" w:color="auto"/>
              <w:bottom w:val="single" w:sz="4" w:space="0" w:color="5B9BD4"/>
              <w:right w:val="nil" w:sz="6" w:space="0" w:color="auto"/>
            </w:tcBorders>
          </w:tcPr>
          <w:p>
            <w:pP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
        </w:tc>
        <w:tc>
          <w:tcPr>
            <w:tcW w:w="2392" w:type="dxa"/>
            <w:tcBorders>
              <w:top w:val="single" w:sz="4" w:space="0" w:color="5B9BD4"/>
              <w:left w:val="nil" w:sz="6" w:space="0" w:color="auto"/>
              <w:bottom w:val="single" w:sz="4" w:space="0" w:color="5B9BD4"/>
              <w:right w:val="nil" w:sz="6" w:space="0" w:color="auto"/>
            </w:tcBorders>
          </w:tcPr>
          <w:p>
            <w:pPr/>
          </w:p>
        </w:tc>
      </w:tr>
      <w:tr>
        <w:trPr>
          <w:trHeight w:val="323" w:hRule="exact"/>
        </w:trPr>
        <w:tc>
          <w:tcPr>
            <w:tcW w:w="23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2396" w:type="dxa"/>
            <w:tcBorders>
              <w:top w:val="single" w:sz="4" w:space="0" w:color="5B9BD4"/>
              <w:left w:val="nil" w:sz="6" w:space="0" w:color="auto"/>
              <w:bottom w:val="single" w:sz="4" w:space="0" w:color="5B9BD4"/>
              <w:right w:val="nil" w:sz="6" w:space="0" w:color="auto"/>
            </w:tcBorders>
          </w:tcPr>
          <w:p>
            <w:pP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8"/>
              <w:ind w:right="106"/>
              <w:jc w:val="right"/>
              <w:rPr>
                <w:rFonts w:ascii="Arial" w:hAnsi="Arial" w:cs="Arial" w:eastAsia="Arial" w:hint="default"/>
                <w:sz w:val="18"/>
                <w:szCs w:val="18"/>
              </w:rPr>
            </w:pPr>
            <w:r>
              <w:rPr>
                <w:rFonts w:ascii="Arial"/>
                <w:w w:val="95"/>
                <w:sz w:val="18"/>
              </w:rPr>
              <w:t>29,455,796.00</w:t>
            </w:r>
            <w:r>
              <w:rPr>
                <w:rFonts w:ascii="Arial"/>
                <w:sz w:val="18"/>
              </w:rPr>
            </w:r>
          </w:p>
        </w:tc>
        <w:tc>
          <w:tcPr>
            <w:tcW w:w="2392" w:type="dxa"/>
            <w:tcBorders>
              <w:top w:val="single" w:sz="4" w:space="0" w:color="5B9BD4"/>
              <w:left w:val="nil" w:sz="6" w:space="0" w:color="auto"/>
              <w:bottom w:val="single" w:sz="4" w:space="0" w:color="5B9BD4"/>
              <w:right w:val="nil" w:sz="6" w:space="0" w:color="auto"/>
            </w:tcBorders>
          </w:tcPr>
          <w:p>
            <w:pPr/>
          </w:p>
        </w:tc>
      </w:tr>
      <w:tr>
        <w:trPr>
          <w:trHeight w:val="322" w:hRule="exact"/>
        </w:trPr>
        <w:tc>
          <w:tcPr>
            <w:tcW w:w="23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2396" w:type="dxa"/>
            <w:tcBorders>
              <w:top w:val="single" w:sz="4" w:space="0" w:color="5B9BD4"/>
              <w:left w:val="nil" w:sz="6" w:space="0" w:color="auto"/>
              <w:bottom w:val="single" w:sz="4" w:space="0" w:color="5B9BD4"/>
              <w:right w:val="nil" w:sz="6" w:space="0" w:color="auto"/>
            </w:tcBorders>
          </w:tcPr>
          <w:p>
            <w:pP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
        </w:tc>
        <w:tc>
          <w:tcPr>
            <w:tcW w:w="2392" w:type="dxa"/>
            <w:tcBorders>
              <w:top w:val="single" w:sz="4" w:space="0" w:color="5B9BD4"/>
              <w:left w:val="nil" w:sz="6" w:space="0" w:color="auto"/>
              <w:bottom w:val="single" w:sz="4" w:space="0" w:color="5B9BD4"/>
              <w:right w:val="nil" w:sz="6" w:space="0" w:color="auto"/>
            </w:tcBorders>
          </w:tcPr>
          <w:p>
            <w:pPr/>
          </w:p>
        </w:tc>
      </w:tr>
      <w:tr>
        <w:trPr>
          <w:trHeight w:val="322" w:hRule="exact"/>
        </w:trPr>
        <w:tc>
          <w:tcPr>
            <w:tcW w:w="23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8,894,717.77</w:t>
            </w:r>
            <w:r>
              <w:rPr>
                <w:rFonts w:ascii="Arial"/>
                <w:sz w:val="18"/>
              </w:rPr>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59,426,936.72</w:t>
            </w:r>
            <w:r>
              <w:rPr>
                <w:rFonts w:ascii="Arial"/>
                <w:sz w:val="18"/>
              </w:rPr>
            </w: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8,894,717.77</w:t>
            </w:r>
            <w:r>
              <w:rPr>
                <w:rFonts w:ascii="Arial"/>
                <w:sz w:val="18"/>
              </w:rPr>
            </w:r>
          </w:p>
        </w:tc>
      </w:tr>
      <w:tr>
        <w:trPr>
          <w:trHeight w:val="322" w:hRule="exact"/>
        </w:trPr>
        <w:tc>
          <w:tcPr>
            <w:tcW w:w="23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25,750,678.29</w:t>
            </w:r>
            <w:r>
              <w:rPr>
                <w:rFonts w:ascii="Arial"/>
                <w:sz w:val="18"/>
              </w:rPr>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1,818,362.00</w:t>
            </w:r>
            <w:r>
              <w:rPr>
                <w:rFonts w:ascii="Arial"/>
                <w:sz w:val="18"/>
              </w:rPr>
            </w: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25,750,678.29</w:t>
            </w:r>
            <w:r>
              <w:rPr>
                <w:rFonts w:ascii="Arial"/>
                <w:sz w:val="18"/>
              </w:rPr>
            </w:r>
          </w:p>
        </w:tc>
      </w:tr>
      <w:tr>
        <w:trPr>
          <w:trHeight w:val="322" w:hRule="exact"/>
        </w:trPr>
        <w:tc>
          <w:tcPr>
            <w:tcW w:w="23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35,570,813.50</w:t>
            </w:r>
            <w:r>
              <w:rPr>
                <w:rFonts w:ascii="Arial"/>
                <w:sz w:val="18"/>
              </w:rPr>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90,859,418.60</w:t>
            </w:r>
            <w:r>
              <w:rPr>
                <w:rFonts w:ascii="Arial"/>
                <w:sz w:val="18"/>
              </w:rPr>
            </w: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35,570,813.50</w:t>
            </w:r>
            <w:r>
              <w:rPr>
                <w:rFonts w:ascii="Arial"/>
                <w:sz w:val="18"/>
              </w:rPr>
            </w:r>
          </w:p>
        </w:tc>
      </w:tr>
    </w:tbl>
    <w:p>
      <w:pPr>
        <w:spacing w:line="240" w:lineRule="auto" w:before="0"/>
        <w:rPr>
          <w:rFonts w:ascii="宋体" w:hAnsi="宋体" w:cs="宋体" w:eastAsia="宋体" w:hint="default"/>
          <w:sz w:val="15"/>
          <w:szCs w:val="15"/>
        </w:rPr>
      </w:pPr>
    </w:p>
    <w:p>
      <w:pPr>
        <w:pStyle w:val="BodyText"/>
        <w:spacing w:line="240" w:lineRule="auto" w:before="18"/>
        <w:ind w:left="634" w:right="1513"/>
        <w:jc w:val="left"/>
      </w:pPr>
      <w:r>
        <w:rPr/>
        <w:t>计入当期损益的政府补助：</w:t>
      </w:r>
    </w:p>
    <w:p>
      <w:pPr>
        <w:spacing w:line="240" w:lineRule="auto" w:before="4"/>
        <w:rPr>
          <w:rFonts w:ascii="宋体" w:hAnsi="宋体" w:cs="宋体" w:eastAsia="宋体" w:hint="default"/>
          <w:sz w:val="25"/>
          <w:szCs w:val="25"/>
        </w:rPr>
      </w:pPr>
    </w:p>
    <w:p>
      <w:pPr>
        <w:pStyle w:val="BodyText"/>
        <w:spacing w:line="240" w:lineRule="auto" w:before="18"/>
        <w:ind w:left="0" w:right="1129"/>
        <w:jc w:val="right"/>
      </w:pPr>
      <w:r>
        <w:rPr/>
        <w:t>单位： 元</w:t>
      </w:r>
    </w:p>
    <w:p>
      <w:pPr>
        <w:spacing w:line="240" w:lineRule="auto" w:before="5"/>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066"/>
        <w:gridCol w:w="1062"/>
        <w:gridCol w:w="1063"/>
        <w:gridCol w:w="1064"/>
        <w:gridCol w:w="1063"/>
        <w:gridCol w:w="1063"/>
        <w:gridCol w:w="1062"/>
        <w:gridCol w:w="1063"/>
        <w:gridCol w:w="1063"/>
      </w:tblGrid>
      <w:tr>
        <w:trPr>
          <w:trHeight w:val="941" w:hRule="exact"/>
        </w:trPr>
        <w:tc>
          <w:tcPr>
            <w:tcW w:w="10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69"/>
              <w:jc w:val="righ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71" w:right="169"/>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10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351" w:right="169" w:hanging="180"/>
              <w:jc w:val="left"/>
              <w:rPr>
                <w:rFonts w:ascii="宋体" w:hAnsi="宋体" w:cs="宋体" w:eastAsia="宋体" w:hint="default"/>
                <w:sz w:val="18"/>
                <w:szCs w:val="18"/>
              </w:rPr>
            </w:pPr>
            <w:r>
              <w:rPr>
                <w:rFonts w:ascii="宋体" w:hAnsi="宋体" w:cs="宋体" w:eastAsia="宋体" w:hint="default"/>
                <w:sz w:val="18"/>
                <w:szCs w:val="18"/>
              </w:rPr>
              <w:t>是否特殊 补贴</w:t>
            </w:r>
          </w:p>
        </w:tc>
        <w:tc>
          <w:tcPr>
            <w:tcW w:w="106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351" w:right="168" w:hanging="180"/>
              <w:jc w:val="left"/>
              <w:rPr>
                <w:rFonts w:ascii="宋体" w:hAnsi="宋体" w:cs="宋体" w:eastAsia="宋体" w:hint="default"/>
                <w:sz w:val="18"/>
                <w:szCs w:val="18"/>
              </w:rPr>
            </w:pPr>
            <w:r>
              <w:rPr>
                <w:rFonts w:ascii="宋体" w:hAnsi="宋体" w:cs="宋体" w:eastAsia="宋体" w:hint="default"/>
                <w:sz w:val="18"/>
                <w:szCs w:val="18"/>
              </w:rPr>
              <w:t>本期发生 金额</w:t>
            </w:r>
          </w:p>
        </w:tc>
        <w:tc>
          <w:tcPr>
            <w:tcW w:w="10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351" w:right="169" w:hanging="180"/>
              <w:jc w:val="left"/>
              <w:rPr>
                <w:rFonts w:ascii="宋体" w:hAnsi="宋体" w:cs="宋体" w:eastAsia="宋体" w:hint="default"/>
                <w:sz w:val="18"/>
                <w:szCs w:val="18"/>
              </w:rPr>
            </w:pPr>
            <w:r>
              <w:rPr>
                <w:rFonts w:ascii="宋体" w:hAnsi="宋体" w:cs="宋体" w:eastAsia="宋体" w:hint="default"/>
                <w:sz w:val="18"/>
                <w:szCs w:val="18"/>
              </w:rPr>
              <w:t>上期发生 金额</w:t>
            </w:r>
          </w:p>
        </w:tc>
        <w:tc>
          <w:tcPr>
            <w:tcW w:w="10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9" w:lineRule="auto" w:before="6"/>
              <w:ind w:left="132" w:right="131"/>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Arial" w:hAnsi="Arial" w:cs="Arial" w:eastAsia="Arial" w:hint="default"/>
                <w:sz w:val="18"/>
                <w:szCs w:val="18"/>
              </w:rPr>
              <w:t>/</w:t>
            </w:r>
            <w:r>
              <w:rPr>
                <w:rFonts w:ascii="宋体" w:hAnsi="宋体" w:cs="宋体" w:eastAsia="宋体" w:hint="default"/>
                <w:sz w:val="18"/>
                <w:szCs w:val="18"/>
              </w:rPr>
              <w:t>与收益</w:t>
            </w:r>
            <w:r>
              <w:rPr>
                <w:rFonts w:ascii="宋体" w:hAnsi="宋体" w:cs="宋体" w:eastAsia="宋体" w:hint="default"/>
                <w:spacing w:val="-63"/>
                <w:sz w:val="18"/>
                <w:szCs w:val="18"/>
              </w:rPr>
              <w:t> </w:t>
            </w:r>
            <w:r>
              <w:rPr>
                <w:rFonts w:ascii="宋体" w:hAnsi="宋体" w:cs="宋体" w:eastAsia="宋体" w:hint="default"/>
                <w:w w:val="105"/>
                <w:sz w:val="18"/>
                <w:szCs w:val="18"/>
              </w:rPr>
              <w:t>相关</w:t>
            </w:r>
          </w:p>
        </w:tc>
      </w:tr>
      <w:tr>
        <w:trPr>
          <w:trHeight w:val="2199" w:hRule="exact"/>
        </w:trPr>
        <w:tc>
          <w:tcPr>
            <w:tcW w:w="10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108" w:right="237"/>
              <w:jc w:val="left"/>
              <w:rPr>
                <w:rFonts w:ascii="宋体" w:hAnsi="宋体" w:cs="宋体" w:eastAsia="宋体" w:hint="default"/>
                <w:sz w:val="18"/>
                <w:szCs w:val="18"/>
              </w:rPr>
            </w:pPr>
            <w:r>
              <w:rPr>
                <w:rFonts w:ascii="宋体" w:hAnsi="宋体" w:cs="宋体" w:eastAsia="宋体" w:hint="default"/>
                <w:sz w:val="18"/>
                <w:szCs w:val="18"/>
              </w:rPr>
              <w:t>企业发展 专项基金</w:t>
            </w:r>
          </w:p>
        </w:tc>
        <w:tc>
          <w:tcPr>
            <w:tcW w:w="1062" w:type="dxa"/>
            <w:tcBorders>
              <w:top w:val="single" w:sz="4" w:space="0" w:color="5B9BD4"/>
              <w:left w:val="nil" w:sz="6" w:space="0" w:color="auto"/>
              <w:bottom w:val="single" w:sz="4" w:space="0" w:color="5B9BD4"/>
              <w:right w:val="nil" w:sz="6" w:space="0" w:color="auto"/>
            </w:tcBorders>
          </w:tcPr>
          <w:p>
            <w:pPr/>
          </w:p>
        </w:tc>
        <w:tc>
          <w:tcPr>
            <w:tcW w:w="10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5B9BD4"/>
              <w:left w:val="nil" w:sz="6" w:space="0" w:color="auto"/>
              <w:bottom w:val="single" w:sz="4" w:space="0" w:color="5B9BD4"/>
              <w:right w:val="nil" w:sz="6" w:space="0" w:color="auto"/>
            </w:tcBorders>
          </w:tcPr>
          <w:p>
            <w:pPr>
              <w:pStyle w:val="TableParagraph"/>
              <w:spacing w:line="316" w:lineRule="auto" w:before="10"/>
              <w:ind w:left="235" w:right="106"/>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w:t>
            </w:r>
          </w:p>
          <w:p>
            <w:pPr>
              <w:pStyle w:val="TableParagraph"/>
              <w:spacing w:line="240" w:lineRule="auto" w:before="19"/>
              <w:ind w:right="107"/>
              <w:jc w:val="right"/>
              <w:rPr>
                <w:rFonts w:ascii="宋体" w:hAnsi="宋体" w:cs="宋体" w:eastAsia="宋体" w:hint="default"/>
                <w:sz w:val="18"/>
                <w:szCs w:val="18"/>
              </w:rPr>
            </w:pPr>
            <w:r>
              <w:rPr>
                <w:rFonts w:ascii="宋体" w:hAnsi="宋体" w:cs="宋体" w:eastAsia="宋体" w:hint="default"/>
                <w:sz w:val="18"/>
                <w:szCs w:val="18"/>
              </w:rPr>
              <w:t>助</w:t>
            </w:r>
          </w:p>
        </w:tc>
        <w:tc>
          <w:tcPr>
            <w:tcW w:w="10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否</w:t>
            </w:r>
          </w:p>
        </w:tc>
        <w:tc>
          <w:tcPr>
            <w:tcW w:w="106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7" w:right="0"/>
              <w:jc w:val="left"/>
              <w:rPr>
                <w:rFonts w:ascii="Arial" w:hAnsi="Arial" w:cs="Arial" w:eastAsia="Arial" w:hint="default"/>
                <w:sz w:val="18"/>
                <w:szCs w:val="18"/>
              </w:rPr>
            </w:pPr>
            <w:r>
              <w:rPr>
                <w:rFonts w:ascii="Arial"/>
                <w:sz w:val="18"/>
              </w:rPr>
              <w:t>4,292,714</w:t>
            </w:r>
          </w:p>
          <w:p>
            <w:pPr>
              <w:pStyle w:val="TableParagraph"/>
              <w:spacing w:line="240" w:lineRule="auto" w:before="105"/>
              <w:ind w:left="705" w:right="0"/>
              <w:jc w:val="left"/>
              <w:rPr>
                <w:rFonts w:ascii="Arial" w:hAnsi="Arial" w:cs="Arial" w:eastAsia="Arial" w:hint="default"/>
                <w:sz w:val="18"/>
                <w:szCs w:val="18"/>
              </w:rPr>
            </w:pPr>
            <w:r>
              <w:rPr>
                <w:rFonts w:ascii="Arial"/>
                <w:sz w:val="18"/>
              </w:rPr>
              <w:t>.00</w:t>
            </w:r>
          </w:p>
        </w:tc>
        <w:tc>
          <w:tcPr>
            <w:tcW w:w="1063"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7" w:right="0"/>
              <w:jc w:val="left"/>
              <w:rPr>
                <w:rFonts w:ascii="Arial" w:hAnsi="Arial" w:cs="Arial" w:eastAsia="Arial" w:hint="default"/>
                <w:sz w:val="18"/>
                <w:szCs w:val="18"/>
              </w:rPr>
            </w:pPr>
            <w:r>
              <w:rPr>
                <w:rFonts w:ascii="Arial"/>
                <w:sz w:val="18"/>
              </w:rPr>
              <w:t>56,759,66</w:t>
            </w:r>
          </w:p>
          <w:p>
            <w:pPr>
              <w:pStyle w:val="TableParagraph"/>
              <w:spacing w:line="240" w:lineRule="auto" w:before="105"/>
              <w:ind w:left="605" w:right="0"/>
              <w:jc w:val="left"/>
              <w:rPr>
                <w:rFonts w:ascii="Arial" w:hAnsi="Arial" w:cs="Arial" w:eastAsia="Arial" w:hint="default"/>
                <w:sz w:val="18"/>
                <w:szCs w:val="18"/>
              </w:rPr>
            </w:pPr>
            <w:r>
              <w:rPr>
                <w:rFonts w:ascii="Arial"/>
                <w:sz w:val="18"/>
              </w:rPr>
              <w:t>9.00</w:t>
            </w:r>
          </w:p>
        </w:tc>
        <w:tc>
          <w:tcPr>
            <w:tcW w:w="10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与收益相</w:t>
            </w:r>
          </w:p>
          <w:p>
            <w:pPr>
              <w:pStyle w:val="TableParagraph"/>
              <w:spacing w:line="240" w:lineRule="auto" w:before="76"/>
              <w:ind w:right="107"/>
              <w:jc w:val="right"/>
              <w:rPr>
                <w:rFonts w:ascii="宋体" w:hAnsi="宋体" w:cs="宋体" w:eastAsia="宋体" w:hint="default"/>
                <w:sz w:val="18"/>
                <w:szCs w:val="18"/>
              </w:rPr>
            </w:pPr>
            <w:r>
              <w:rPr>
                <w:rFonts w:ascii="宋体" w:hAnsi="宋体" w:cs="宋体" w:eastAsia="宋体" w:hint="default"/>
                <w:sz w:val="18"/>
                <w:szCs w:val="18"/>
              </w:rPr>
              <w:t>关</w:t>
            </w:r>
          </w:p>
        </w:tc>
      </w:tr>
      <w:tr>
        <w:trPr>
          <w:trHeight w:val="2194" w:hRule="exact"/>
        </w:trPr>
        <w:tc>
          <w:tcPr>
            <w:tcW w:w="10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108" w:right="237"/>
              <w:jc w:val="both"/>
              <w:rPr>
                <w:rFonts w:ascii="宋体" w:hAnsi="宋体" w:cs="宋体" w:eastAsia="宋体" w:hint="default"/>
                <w:sz w:val="18"/>
                <w:szCs w:val="18"/>
              </w:rPr>
            </w:pPr>
            <w:r>
              <w:rPr>
                <w:rFonts w:ascii="宋体" w:hAnsi="宋体" w:cs="宋体" w:eastAsia="宋体" w:hint="default"/>
                <w:sz w:val="18"/>
                <w:szCs w:val="18"/>
              </w:rPr>
              <w:t>品牌培育 政府资助 款</w:t>
            </w:r>
          </w:p>
        </w:tc>
        <w:tc>
          <w:tcPr>
            <w:tcW w:w="1062" w:type="dxa"/>
            <w:tcBorders>
              <w:top w:val="single" w:sz="4" w:space="0" w:color="5B9BD4"/>
              <w:left w:val="nil" w:sz="6" w:space="0" w:color="auto"/>
              <w:bottom w:val="single" w:sz="4" w:space="0" w:color="5B9BD4"/>
              <w:right w:val="nil" w:sz="6" w:space="0" w:color="auto"/>
            </w:tcBorders>
          </w:tcPr>
          <w:p>
            <w:pPr/>
          </w:p>
        </w:tc>
        <w:tc>
          <w:tcPr>
            <w:tcW w:w="10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5B9BD4"/>
              <w:left w:val="nil" w:sz="6" w:space="0" w:color="auto"/>
              <w:bottom w:val="single" w:sz="4" w:space="0" w:color="5B9BD4"/>
              <w:right w:val="nil" w:sz="6" w:space="0" w:color="auto"/>
            </w:tcBorders>
          </w:tcPr>
          <w:p>
            <w:pPr>
              <w:pStyle w:val="TableParagraph"/>
              <w:spacing w:line="316" w:lineRule="auto" w:before="5"/>
              <w:ind w:left="235" w:right="106"/>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w:t>
            </w:r>
          </w:p>
          <w:p>
            <w:pPr>
              <w:pStyle w:val="TableParagraph"/>
              <w:spacing w:line="240" w:lineRule="auto" w:before="19"/>
              <w:ind w:right="107"/>
              <w:jc w:val="right"/>
              <w:rPr>
                <w:rFonts w:ascii="宋体" w:hAnsi="宋体" w:cs="宋体" w:eastAsia="宋体" w:hint="default"/>
                <w:sz w:val="18"/>
                <w:szCs w:val="18"/>
              </w:rPr>
            </w:pPr>
            <w:r>
              <w:rPr>
                <w:rFonts w:ascii="宋体" w:hAnsi="宋体" w:cs="宋体" w:eastAsia="宋体" w:hint="default"/>
                <w:sz w:val="18"/>
                <w:szCs w:val="18"/>
              </w:rPr>
              <w:t>助</w:t>
            </w:r>
          </w:p>
        </w:tc>
        <w:tc>
          <w:tcPr>
            <w:tcW w:w="10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否</w:t>
            </w:r>
          </w:p>
        </w:tc>
        <w:tc>
          <w:tcPr>
            <w:tcW w:w="106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57" w:right="0"/>
              <w:jc w:val="left"/>
              <w:rPr>
                <w:rFonts w:ascii="Arial" w:hAnsi="Arial" w:cs="Arial" w:eastAsia="Arial" w:hint="default"/>
                <w:sz w:val="18"/>
                <w:szCs w:val="18"/>
              </w:rPr>
            </w:pPr>
            <w:r>
              <w:rPr>
                <w:rFonts w:ascii="Arial"/>
                <w:sz w:val="18"/>
              </w:rPr>
              <w:t>2,955,000</w:t>
            </w:r>
          </w:p>
          <w:p>
            <w:pPr>
              <w:pStyle w:val="TableParagraph"/>
              <w:spacing w:line="240" w:lineRule="auto" w:before="105"/>
              <w:ind w:left="705" w:right="0"/>
              <w:jc w:val="left"/>
              <w:rPr>
                <w:rFonts w:ascii="Arial" w:hAnsi="Arial" w:cs="Arial" w:eastAsia="Arial" w:hint="default"/>
                <w:sz w:val="18"/>
                <w:szCs w:val="18"/>
              </w:rPr>
            </w:pPr>
            <w:r>
              <w:rPr>
                <w:rFonts w:ascii="Arial"/>
                <w:sz w:val="18"/>
              </w:rPr>
              <w:t>.00</w:t>
            </w:r>
          </w:p>
        </w:tc>
        <w:tc>
          <w:tcPr>
            <w:tcW w:w="1063" w:type="dxa"/>
            <w:tcBorders>
              <w:top w:val="single" w:sz="4" w:space="0" w:color="5B9BD4"/>
              <w:left w:val="nil" w:sz="6" w:space="0" w:color="auto"/>
              <w:bottom w:val="single" w:sz="4" w:space="0" w:color="5B9BD4"/>
              <w:right w:val="nil" w:sz="6" w:space="0" w:color="auto"/>
            </w:tcBorders>
          </w:tcPr>
          <w:p>
            <w:pPr/>
          </w:p>
        </w:tc>
        <w:tc>
          <w:tcPr>
            <w:tcW w:w="10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与收益相</w:t>
            </w:r>
          </w:p>
          <w:p>
            <w:pPr>
              <w:pStyle w:val="TableParagraph"/>
              <w:spacing w:line="240" w:lineRule="auto" w:before="76"/>
              <w:ind w:right="107"/>
              <w:jc w:val="right"/>
              <w:rPr>
                <w:rFonts w:ascii="宋体" w:hAnsi="宋体" w:cs="宋体" w:eastAsia="宋体" w:hint="default"/>
                <w:sz w:val="18"/>
                <w:szCs w:val="18"/>
              </w:rPr>
            </w:pPr>
            <w:r>
              <w:rPr>
                <w:rFonts w:ascii="宋体" w:hAnsi="宋体" w:cs="宋体" w:eastAsia="宋体" w:hint="default"/>
                <w:sz w:val="18"/>
                <w:szCs w:val="18"/>
              </w:rPr>
              <w:t>关</w:t>
            </w:r>
          </w:p>
        </w:tc>
      </w:tr>
      <w:tr>
        <w:trPr>
          <w:trHeight w:val="2194" w:hRule="exact"/>
        </w:trPr>
        <w:tc>
          <w:tcPr>
            <w:tcW w:w="10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316" w:lineRule="auto"/>
              <w:ind w:left="108" w:right="237"/>
              <w:jc w:val="left"/>
              <w:rPr>
                <w:rFonts w:ascii="宋体" w:hAnsi="宋体" w:cs="宋体" w:eastAsia="宋体" w:hint="default"/>
                <w:sz w:val="18"/>
                <w:szCs w:val="18"/>
              </w:rPr>
            </w:pPr>
            <w:r>
              <w:rPr>
                <w:rFonts w:ascii="宋体" w:hAnsi="宋体" w:cs="宋体" w:eastAsia="宋体" w:hint="default"/>
                <w:sz w:val="18"/>
                <w:szCs w:val="18"/>
              </w:rPr>
              <w:t>文化发展 专项资金</w:t>
            </w:r>
          </w:p>
        </w:tc>
        <w:tc>
          <w:tcPr>
            <w:tcW w:w="1062" w:type="dxa"/>
            <w:tcBorders>
              <w:top w:val="single" w:sz="4" w:space="0" w:color="5B9BD4"/>
              <w:left w:val="nil" w:sz="6" w:space="0" w:color="auto"/>
              <w:bottom w:val="single" w:sz="4" w:space="0" w:color="5B9BD4"/>
              <w:right w:val="nil" w:sz="6" w:space="0" w:color="auto"/>
            </w:tcBorders>
          </w:tcPr>
          <w:p>
            <w:pPr/>
          </w:p>
        </w:tc>
        <w:tc>
          <w:tcPr>
            <w:tcW w:w="10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5B9BD4"/>
              <w:left w:val="nil" w:sz="6" w:space="0" w:color="auto"/>
              <w:bottom w:val="single" w:sz="4" w:space="0" w:color="5B9BD4"/>
              <w:right w:val="nil" w:sz="6" w:space="0" w:color="auto"/>
            </w:tcBorders>
          </w:tcPr>
          <w:p>
            <w:pPr>
              <w:pStyle w:val="TableParagraph"/>
              <w:spacing w:line="316" w:lineRule="auto" w:before="6"/>
              <w:ind w:left="235" w:right="106"/>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w:t>
            </w:r>
          </w:p>
          <w:p>
            <w:pPr>
              <w:pStyle w:val="TableParagraph"/>
              <w:spacing w:line="240" w:lineRule="auto" w:before="19"/>
              <w:ind w:right="107"/>
              <w:jc w:val="right"/>
              <w:rPr>
                <w:rFonts w:ascii="宋体" w:hAnsi="宋体" w:cs="宋体" w:eastAsia="宋体" w:hint="default"/>
                <w:sz w:val="18"/>
                <w:szCs w:val="18"/>
              </w:rPr>
            </w:pPr>
            <w:r>
              <w:rPr>
                <w:rFonts w:ascii="宋体" w:hAnsi="宋体" w:cs="宋体" w:eastAsia="宋体" w:hint="default"/>
                <w:sz w:val="18"/>
                <w:szCs w:val="18"/>
              </w:rPr>
              <w:t>助</w:t>
            </w:r>
          </w:p>
        </w:tc>
        <w:tc>
          <w:tcPr>
            <w:tcW w:w="10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否</w:t>
            </w:r>
          </w:p>
        </w:tc>
        <w:tc>
          <w:tcPr>
            <w:tcW w:w="106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5"/>
              <w:jc w:val="right"/>
              <w:rPr>
                <w:rFonts w:ascii="Arial" w:hAnsi="Arial" w:cs="Arial" w:eastAsia="Arial" w:hint="default"/>
                <w:sz w:val="18"/>
                <w:szCs w:val="18"/>
              </w:rPr>
            </w:pPr>
            <w:r>
              <w:rPr>
                <w:rFonts w:ascii="Arial"/>
                <w:w w:val="95"/>
                <w:sz w:val="18"/>
              </w:rPr>
              <w:t>878,000.0</w:t>
            </w:r>
            <w:r>
              <w:rPr>
                <w:rFonts w:ascii="Arial"/>
                <w:sz w:val="18"/>
              </w:rPr>
            </w:r>
          </w:p>
          <w:p>
            <w:pPr>
              <w:pStyle w:val="TableParagraph"/>
              <w:spacing w:line="240" w:lineRule="auto" w:before="105"/>
              <w:ind w:right="104"/>
              <w:jc w:val="right"/>
              <w:rPr>
                <w:rFonts w:ascii="Arial" w:hAnsi="Arial" w:cs="Arial" w:eastAsia="Arial" w:hint="default"/>
                <w:sz w:val="18"/>
                <w:szCs w:val="18"/>
              </w:rPr>
            </w:pPr>
            <w:r>
              <w:rPr>
                <w:rFonts w:ascii="Arial"/>
                <w:w w:val="99"/>
                <w:sz w:val="18"/>
              </w:rPr>
              <w:t>0</w:t>
            </w:r>
            <w:r>
              <w:rPr>
                <w:rFonts w:ascii="Arial"/>
                <w:sz w:val="18"/>
              </w:rPr>
            </w:r>
          </w:p>
        </w:tc>
        <w:tc>
          <w:tcPr>
            <w:tcW w:w="1063" w:type="dxa"/>
            <w:tcBorders>
              <w:top w:val="single" w:sz="4" w:space="0" w:color="5B9BD4"/>
              <w:left w:val="nil" w:sz="6" w:space="0" w:color="auto"/>
              <w:bottom w:val="single" w:sz="4" w:space="0" w:color="5B9BD4"/>
              <w:right w:val="nil" w:sz="6" w:space="0" w:color="auto"/>
            </w:tcBorders>
          </w:tcPr>
          <w:p>
            <w:pPr/>
          </w:p>
        </w:tc>
        <w:tc>
          <w:tcPr>
            <w:tcW w:w="10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与收益相</w:t>
            </w:r>
          </w:p>
          <w:p>
            <w:pPr>
              <w:pStyle w:val="TableParagraph"/>
              <w:spacing w:line="240" w:lineRule="auto" w:before="76"/>
              <w:ind w:right="107"/>
              <w:jc w:val="right"/>
              <w:rPr>
                <w:rFonts w:ascii="宋体" w:hAnsi="宋体" w:cs="宋体" w:eastAsia="宋体" w:hint="default"/>
                <w:sz w:val="18"/>
                <w:szCs w:val="18"/>
              </w:rPr>
            </w:pPr>
            <w:r>
              <w:rPr>
                <w:rFonts w:ascii="宋体" w:hAnsi="宋体" w:cs="宋体" w:eastAsia="宋体" w:hint="default"/>
                <w:sz w:val="18"/>
                <w:szCs w:val="18"/>
              </w:rPr>
              <w:t>关</w:t>
            </w:r>
          </w:p>
        </w:tc>
      </w:tr>
      <w:tr>
        <w:trPr>
          <w:trHeight w:val="2194" w:hRule="exact"/>
        </w:trPr>
        <w:tc>
          <w:tcPr>
            <w:tcW w:w="10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58"/>
              <w:ind w:left="108" w:right="237"/>
              <w:jc w:val="both"/>
              <w:rPr>
                <w:rFonts w:ascii="宋体" w:hAnsi="宋体" w:cs="宋体" w:eastAsia="宋体" w:hint="default"/>
                <w:sz w:val="18"/>
                <w:szCs w:val="18"/>
              </w:rPr>
            </w:pPr>
            <w:r>
              <w:rPr>
                <w:rFonts w:ascii="宋体" w:hAnsi="宋体" w:cs="宋体" w:eastAsia="宋体" w:hint="default"/>
                <w:sz w:val="18"/>
                <w:szCs w:val="18"/>
              </w:rPr>
              <w:t>大学生实 习基地补 贴</w:t>
            </w:r>
          </w:p>
        </w:tc>
        <w:tc>
          <w:tcPr>
            <w:tcW w:w="1062" w:type="dxa"/>
            <w:tcBorders>
              <w:top w:val="single" w:sz="4" w:space="0" w:color="5B9BD4"/>
              <w:left w:val="nil" w:sz="6" w:space="0" w:color="auto"/>
              <w:bottom w:val="single" w:sz="4" w:space="0" w:color="5B9BD4"/>
              <w:right w:val="nil" w:sz="6" w:space="0" w:color="auto"/>
            </w:tcBorders>
          </w:tcPr>
          <w:p>
            <w:pPr/>
          </w:p>
        </w:tc>
        <w:tc>
          <w:tcPr>
            <w:tcW w:w="10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5B9BD4"/>
              <w:left w:val="nil" w:sz="6" w:space="0" w:color="auto"/>
              <w:bottom w:val="single" w:sz="4" w:space="0" w:color="5B9BD4"/>
              <w:right w:val="nil" w:sz="6" w:space="0" w:color="auto"/>
            </w:tcBorders>
          </w:tcPr>
          <w:p>
            <w:pPr>
              <w:pStyle w:val="TableParagraph"/>
              <w:spacing w:line="316" w:lineRule="auto" w:before="5"/>
              <w:ind w:left="235" w:right="106"/>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w:t>
            </w:r>
          </w:p>
          <w:p>
            <w:pPr>
              <w:pStyle w:val="TableParagraph"/>
              <w:spacing w:line="240" w:lineRule="auto" w:before="19"/>
              <w:ind w:right="107"/>
              <w:jc w:val="right"/>
              <w:rPr>
                <w:rFonts w:ascii="宋体" w:hAnsi="宋体" w:cs="宋体" w:eastAsia="宋体" w:hint="default"/>
                <w:sz w:val="18"/>
                <w:szCs w:val="18"/>
              </w:rPr>
            </w:pPr>
            <w:r>
              <w:rPr>
                <w:rFonts w:ascii="宋体" w:hAnsi="宋体" w:cs="宋体" w:eastAsia="宋体" w:hint="default"/>
                <w:sz w:val="18"/>
                <w:szCs w:val="18"/>
              </w:rPr>
              <w:t>助</w:t>
            </w:r>
          </w:p>
        </w:tc>
        <w:tc>
          <w:tcPr>
            <w:tcW w:w="10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否</w:t>
            </w:r>
          </w:p>
        </w:tc>
        <w:tc>
          <w:tcPr>
            <w:tcW w:w="106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5"/>
              <w:jc w:val="right"/>
              <w:rPr>
                <w:rFonts w:ascii="Arial" w:hAnsi="Arial" w:cs="Arial" w:eastAsia="Arial" w:hint="default"/>
                <w:sz w:val="18"/>
                <w:szCs w:val="18"/>
              </w:rPr>
            </w:pPr>
            <w:r>
              <w:rPr>
                <w:rFonts w:ascii="Arial"/>
                <w:w w:val="95"/>
                <w:sz w:val="18"/>
              </w:rPr>
              <w:t>609,003.7</w:t>
            </w:r>
            <w:r>
              <w:rPr>
                <w:rFonts w:ascii="Arial"/>
                <w:sz w:val="18"/>
              </w:rPr>
            </w:r>
          </w:p>
          <w:p>
            <w:pPr>
              <w:pStyle w:val="TableParagraph"/>
              <w:spacing w:line="240" w:lineRule="auto" w:before="105"/>
              <w:ind w:right="104"/>
              <w:jc w:val="right"/>
              <w:rPr>
                <w:rFonts w:ascii="Arial" w:hAnsi="Arial" w:cs="Arial" w:eastAsia="Arial" w:hint="default"/>
                <w:sz w:val="18"/>
                <w:szCs w:val="18"/>
              </w:rPr>
            </w:pPr>
            <w:r>
              <w:rPr>
                <w:rFonts w:ascii="Arial"/>
                <w:w w:val="99"/>
                <w:sz w:val="18"/>
              </w:rPr>
              <w:t>7</w:t>
            </w:r>
            <w:r>
              <w:rPr>
                <w:rFonts w:ascii="Arial"/>
                <w:sz w:val="18"/>
              </w:rPr>
            </w:r>
          </w:p>
        </w:tc>
        <w:tc>
          <w:tcPr>
            <w:tcW w:w="1063"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6"/>
              <w:jc w:val="right"/>
              <w:rPr>
                <w:rFonts w:ascii="Arial" w:hAnsi="Arial" w:cs="Arial" w:eastAsia="Arial" w:hint="default"/>
                <w:sz w:val="18"/>
                <w:szCs w:val="18"/>
              </w:rPr>
            </w:pPr>
            <w:r>
              <w:rPr>
                <w:rFonts w:ascii="Arial"/>
                <w:w w:val="95"/>
                <w:sz w:val="18"/>
              </w:rPr>
              <w:t>170,300.0</w:t>
            </w:r>
            <w:r>
              <w:rPr>
                <w:rFonts w:ascii="Arial"/>
                <w:sz w:val="18"/>
              </w:rPr>
            </w:r>
          </w:p>
          <w:p>
            <w:pPr>
              <w:pStyle w:val="TableParagraph"/>
              <w:spacing w:line="240" w:lineRule="auto" w:before="105"/>
              <w:ind w:right="105"/>
              <w:jc w:val="right"/>
              <w:rPr>
                <w:rFonts w:ascii="Arial" w:hAnsi="Arial" w:cs="Arial" w:eastAsia="Arial" w:hint="default"/>
                <w:sz w:val="18"/>
                <w:szCs w:val="18"/>
              </w:rPr>
            </w:pPr>
            <w:r>
              <w:rPr>
                <w:rFonts w:ascii="Arial"/>
                <w:w w:val="99"/>
                <w:sz w:val="18"/>
              </w:rPr>
              <w:t>0</w:t>
            </w:r>
            <w:r>
              <w:rPr>
                <w:rFonts w:ascii="Arial"/>
                <w:sz w:val="18"/>
              </w:rPr>
            </w:r>
          </w:p>
        </w:tc>
        <w:tc>
          <w:tcPr>
            <w:tcW w:w="10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与收益相</w:t>
            </w:r>
          </w:p>
          <w:p>
            <w:pPr>
              <w:pStyle w:val="TableParagraph"/>
              <w:spacing w:line="240" w:lineRule="auto" w:before="76"/>
              <w:ind w:right="107"/>
              <w:jc w:val="right"/>
              <w:rPr>
                <w:rFonts w:ascii="宋体" w:hAnsi="宋体" w:cs="宋体" w:eastAsia="宋体" w:hint="default"/>
                <w:sz w:val="18"/>
                <w:szCs w:val="18"/>
              </w:rPr>
            </w:pPr>
            <w:r>
              <w:rPr>
                <w:rFonts w:ascii="宋体" w:hAnsi="宋体" w:cs="宋体" w:eastAsia="宋体" w:hint="default"/>
                <w:sz w:val="18"/>
                <w:szCs w:val="18"/>
              </w:rPr>
              <w:t>关</w:t>
            </w:r>
          </w:p>
        </w:tc>
      </w:tr>
    </w:tbl>
    <w:p>
      <w:pPr>
        <w:spacing w:after="0" w:line="240" w:lineRule="auto"/>
        <w:jc w:val="right"/>
        <w:rPr>
          <w:rFonts w:ascii="宋体" w:hAnsi="宋体" w:cs="宋体" w:eastAsia="宋体" w:hint="default"/>
          <w:sz w:val="18"/>
          <w:szCs w:val="18"/>
        </w:rPr>
        <w:sectPr>
          <w:pgSz w:w="11910" w:h="16840"/>
          <w:pgMar w:header="877" w:footer="979" w:top="1100" w:bottom="1160" w:left="920" w:right="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1066"/>
        <w:gridCol w:w="1062"/>
        <w:gridCol w:w="1063"/>
        <w:gridCol w:w="1064"/>
        <w:gridCol w:w="1063"/>
        <w:gridCol w:w="1063"/>
        <w:gridCol w:w="1062"/>
        <w:gridCol w:w="1063"/>
        <w:gridCol w:w="1063"/>
      </w:tblGrid>
      <w:tr>
        <w:trPr>
          <w:trHeight w:val="2195" w:hRule="exact"/>
        </w:trPr>
        <w:tc>
          <w:tcPr>
            <w:tcW w:w="10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58"/>
              <w:ind w:left="108" w:right="237"/>
              <w:jc w:val="both"/>
              <w:rPr>
                <w:rFonts w:ascii="宋体" w:hAnsi="宋体" w:cs="宋体" w:eastAsia="宋体" w:hint="default"/>
                <w:sz w:val="18"/>
                <w:szCs w:val="18"/>
              </w:rPr>
            </w:pPr>
            <w:r>
              <w:rPr>
                <w:rFonts w:ascii="宋体" w:hAnsi="宋体" w:cs="宋体" w:eastAsia="宋体" w:hint="default"/>
                <w:sz w:val="18"/>
                <w:szCs w:val="18"/>
              </w:rPr>
              <w:t>企事业单 位人才住 房补租</w:t>
            </w:r>
          </w:p>
        </w:tc>
        <w:tc>
          <w:tcPr>
            <w:tcW w:w="1062" w:type="dxa"/>
            <w:tcBorders>
              <w:top w:val="single" w:sz="4" w:space="0" w:color="5B9BD4"/>
              <w:left w:val="nil" w:sz="6" w:space="0" w:color="auto"/>
              <w:bottom w:val="single" w:sz="4" w:space="0" w:color="5B9BD4"/>
              <w:right w:val="nil" w:sz="6" w:space="0" w:color="auto"/>
            </w:tcBorders>
          </w:tcPr>
          <w:p>
            <w:pPr/>
          </w:p>
        </w:tc>
        <w:tc>
          <w:tcPr>
            <w:tcW w:w="10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5B9BD4"/>
              <w:left w:val="nil" w:sz="6" w:space="0" w:color="auto"/>
              <w:bottom w:val="single" w:sz="4" w:space="0" w:color="5B9BD4"/>
              <w:right w:val="nil" w:sz="6" w:space="0" w:color="auto"/>
            </w:tcBorders>
          </w:tcPr>
          <w:p>
            <w:pPr>
              <w:pStyle w:val="TableParagraph"/>
              <w:spacing w:line="316" w:lineRule="auto" w:before="5"/>
              <w:ind w:left="235" w:right="106"/>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w:t>
            </w:r>
          </w:p>
          <w:p>
            <w:pPr>
              <w:pStyle w:val="TableParagraph"/>
              <w:spacing w:line="240" w:lineRule="auto" w:before="19"/>
              <w:ind w:right="107"/>
              <w:jc w:val="right"/>
              <w:rPr>
                <w:rFonts w:ascii="宋体" w:hAnsi="宋体" w:cs="宋体" w:eastAsia="宋体" w:hint="default"/>
                <w:sz w:val="18"/>
                <w:szCs w:val="18"/>
              </w:rPr>
            </w:pPr>
            <w:r>
              <w:rPr>
                <w:rFonts w:ascii="宋体" w:hAnsi="宋体" w:cs="宋体" w:eastAsia="宋体" w:hint="default"/>
                <w:sz w:val="18"/>
                <w:szCs w:val="18"/>
              </w:rPr>
              <w:t>助</w:t>
            </w:r>
          </w:p>
        </w:tc>
        <w:tc>
          <w:tcPr>
            <w:tcW w:w="10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否</w:t>
            </w:r>
          </w:p>
        </w:tc>
        <w:tc>
          <w:tcPr>
            <w:tcW w:w="106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105"/>
              <w:jc w:val="right"/>
              <w:rPr>
                <w:rFonts w:ascii="Arial" w:hAnsi="Arial" w:cs="Arial" w:eastAsia="Arial" w:hint="default"/>
                <w:sz w:val="18"/>
                <w:szCs w:val="18"/>
              </w:rPr>
            </w:pPr>
            <w:r>
              <w:rPr>
                <w:rFonts w:ascii="Arial"/>
                <w:w w:val="95"/>
                <w:sz w:val="18"/>
              </w:rPr>
              <w:t>160,000.0</w:t>
            </w:r>
            <w:r>
              <w:rPr>
                <w:rFonts w:ascii="Arial"/>
                <w:sz w:val="18"/>
              </w:rPr>
            </w:r>
          </w:p>
          <w:p>
            <w:pPr>
              <w:pStyle w:val="TableParagraph"/>
              <w:spacing w:line="240" w:lineRule="auto" w:before="105"/>
              <w:ind w:right="104"/>
              <w:jc w:val="right"/>
              <w:rPr>
                <w:rFonts w:ascii="Arial" w:hAnsi="Arial" w:cs="Arial" w:eastAsia="Arial" w:hint="default"/>
                <w:sz w:val="18"/>
                <w:szCs w:val="18"/>
              </w:rPr>
            </w:pPr>
            <w:r>
              <w:rPr>
                <w:rFonts w:ascii="Arial"/>
                <w:w w:val="99"/>
                <w:sz w:val="18"/>
              </w:rPr>
              <w:t>0</w:t>
            </w:r>
            <w:r>
              <w:rPr>
                <w:rFonts w:ascii="Arial"/>
                <w:sz w:val="18"/>
              </w:rPr>
            </w:r>
          </w:p>
        </w:tc>
        <w:tc>
          <w:tcPr>
            <w:tcW w:w="1063"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106"/>
              <w:jc w:val="right"/>
              <w:rPr>
                <w:rFonts w:ascii="Arial" w:hAnsi="Arial" w:cs="Arial" w:eastAsia="Arial" w:hint="default"/>
                <w:sz w:val="18"/>
                <w:szCs w:val="18"/>
              </w:rPr>
            </w:pPr>
            <w:r>
              <w:rPr>
                <w:rFonts w:ascii="Arial"/>
                <w:w w:val="95"/>
                <w:sz w:val="18"/>
              </w:rPr>
              <w:t>200,000.0</w:t>
            </w:r>
            <w:r>
              <w:rPr>
                <w:rFonts w:ascii="Arial"/>
                <w:sz w:val="18"/>
              </w:rPr>
            </w:r>
          </w:p>
          <w:p>
            <w:pPr>
              <w:pStyle w:val="TableParagraph"/>
              <w:spacing w:line="240" w:lineRule="auto" w:before="105"/>
              <w:ind w:right="105"/>
              <w:jc w:val="right"/>
              <w:rPr>
                <w:rFonts w:ascii="Arial" w:hAnsi="Arial" w:cs="Arial" w:eastAsia="Arial" w:hint="default"/>
                <w:sz w:val="18"/>
                <w:szCs w:val="18"/>
              </w:rPr>
            </w:pPr>
            <w:r>
              <w:rPr>
                <w:rFonts w:ascii="Arial"/>
                <w:w w:val="99"/>
                <w:sz w:val="18"/>
              </w:rPr>
              <w:t>0</w:t>
            </w:r>
            <w:r>
              <w:rPr>
                <w:rFonts w:ascii="Arial"/>
                <w:sz w:val="18"/>
              </w:rPr>
            </w:r>
          </w:p>
        </w:tc>
        <w:tc>
          <w:tcPr>
            <w:tcW w:w="10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与收益相</w:t>
            </w:r>
          </w:p>
          <w:p>
            <w:pPr>
              <w:pStyle w:val="TableParagraph"/>
              <w:spacing w:line="240" w:lineRule="auto" w:before="76"/>
              <w:ind w:right="107"/>
              <w:jc w:val="right"/>
              <w:rPr>
                <w:rFonts w:ascii="宋体" w:hAnsi="宋体" w:cs="宋体" w:eastAsia="宋体" w:hint="default"/>
                <w:sz w:val="18"/>
                <w:szCs w:val="18"/>
              </w:rPr>
            </w:pPr>
            <w:r>
              <w:rPr>
                <w:rFonts w:ascii="宋体" w:hAnsi="宋体" w:cs="宋体" w:eastAsia="宋体" w:hint="default"/>
                <w:sz w:val="18"/>
                <w:szCs w:val="18"/>
              </w:rPr>
              <w:t>关</w:t>
            </w:r>
          </w:p>
        </w:tc>
      </w:tr>
      <w:tr>
        <w:trPr>
          <w:trHeight w:val="2818" w:hRule="exact"/>
        </w:trPr>
        <w:tc>
          <w:tcPr>
            <w:tcW w:w="10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6"/>
              <w:ind w:left="108" w:right="237"/>
              <w:jc w:val="left"/>
              <w:rPr>
                <w:rFonts w:ascii="宋体" w:hAnsi="宋体" w:cs="宋体" w:eastAsia="宋体" w:hint="default"/>
                <w:sz w:val="18"/>
                <w:szCs w:val="18"/>
              </w:rPr>
            </w:pPr>
            <w:r>
              <w:rPr>
                <w:rFonts w:ascii="宋体" w:hAnsi="宋体" w:cs="宋体" w:eastAsia="宋体" w:hint="default"/>
                <w:sz w:val="18"/>
                <w:szCs w:val="18"/>
              </w:rPr>
              <w:t>专利资助 金</w:t>
            </w:r>
          </w:p>
        </w:tc>
        <w:tc>
          <w:tcPr>
            <w:tcW w:w="1062" w:type="dxa"/>
            <w:tcBorders>
              <w:top w:val="single" w:sz="4" w:space="0" w:color="5B9BD4"/>
              <w:left w:val="nil" w:sz="6" w:space="0" w:color="auto"/>
              <w:bottom w:val="single" w:sz="4" w:space="0" w:color="5B9BD4"/>
              <w:right w:val="nil" w:sz="6" w:space="0" w:color="auto"/>
            </w:tcBorders>
          </w:tcPr>
          <w:p>
            <w:pPr/>
          </w:p>
        </w:tc>
        <w:tc>
          <w:tcPr>
            <w:tcW w:w="10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5B9BD4"/>
              <w:left w:val="nil" w:sz="6" w:space="0" w:color="auto"/>
              <w:bottom w:val="single" w:sz="4" w:space="0" w:color="5B9BD4"/>
              <w:right w:val="nil" w:sz="6" w:space="0" w:color="auto"/>
            </w:tcBorders>
          </w:tcPr>
          <w:p>
            <w:pPr>
              <w:pStyle w:val="TableParagraph"/>
              <w:spacing w:line="316" w:lineRule="auto" w:before="6"/>
              <w:ind w:left="107" w:right="106" w:firstLine="127"/>
              <w:jc w:val="right"/>
              <w:rPr>
                <w:rFonts w:ascii="宋体" w:hAnsi="宋体" w:cs="宋体" w:eastAsia="宋体" w:hint="default"/>
                <w:sz w:val="18"/>
                <w:szCs w:val="18"/>
              </w:rPr>
            </w:pPr>
            <w:r>
              <w:rPr>
                <w:rFonts w:ascii="宋体" w:hAnsi="宋体" w:cs="宋体" w:eastAsia="宋体" w:hint="default"/>
                <w:sz w:val="18"/>
                <w:szCs w:val="18"/>
              </w:rPr>
              <w:t>因从事国 家鼓励和 扶持特定 </w:t>
            </w:r>
            <w:r>
              <w:rPr>
                <w:rFonts w:ascii="宋体" w:hAnsi="宋体" w:cs="宋体" w:eastAsia="宋体" w:hint="default"/>
                <w:spacing w:val="-11"/>
                <w:sz w:val="18"/>
                <w:szCs w:val="18"/>
              </w:rPr>
              <w:t>行业、产业</w:t>
            </w:r>
            <w:r>
              <w:rPr>
                <w:rFonts w:ascii="宋体" w:hAnsi="宋体" w:cs="宋体" w:eastAsia="宋体" w:hint="default"/>
                <w:sz w:val="18"/>
                <w:szCs w:val="18"/>
              </w:rPr>
              <w:t> 而获得的 </w:t>
            </w:r>
            <w:r>
              <w:rPr>
                <w:rFonts w:ascii="宋体" w:hAnsi="宋体" w:cs="宋体" w:eastAsia="宋体" w:hint="default"/>
                <w:spacing w:val="-11"/>
                <w:sz w:val="18"/>
                <w:szCs w:val="18"/>
              </w:rPr>
              <w:t>补助（按国</w:t>
            </w:r>
            <w:r>
              <w:rPr>
                <w:rFonts w:ascii="宋体" w:hAnsi="宋体" w:cs="宋体" w:eastAsia="宋体" w:hint="default"/>
                <w:sz w:val="18"/>
                <w:szCs w:val="18"/>
              </w:rPr>
              <w:t> 家级政策 规定依法 取得）</w:t>
            </w:r>
          </w:p>
        </w:tc>
        <w:tc>
          <w:tcPr>
            <w:tcW w:w="10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否</w:t>
            </w:r>
          </w:p>
        </w:tc>
        <w:tc>
          <w:tcPr>
            <w:tcW w:w="1062" w:type="dxa"/>
            <w:tcBorders>
              <w:top w:val="single" w:sz="4" w:space="0" w:color="5B9BD4"/>
              <w:left w:val="nil" w:sz="6" w:space="0" w:color="auto"/>
              <w:bottom w:val="single" w:sz="4" w:space="0" w:color="5B9BD4"/>
              <w:right w:val="nil" w:sz="6" w:space="0" w:color="auto"/>
            </w:tcBorders>
            <w:shd w:val="clear" w:color="auto" w:fill="DEEAF6"/>
          </w:tcPr>
          <w:p>
            <w:pPr/>
          </w:p>
        </w:tc>
        <w:tc>
          <w:tcPr>
            <w:tcW w:w="1063"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57" w:right="0"/>
              <w:jc w:val="left"/>
              <w:rPr>
                <w:rFonts w:ascii="Arial" w:hAnsi="Arial" w:cs="Arial" w:eastAsia="Arial" w:hint="default"/>
                <w:sz w:val="18"/>
                <w:szCs w:val="18"/>
              </w:rPr>
            </w:pPr>
            <w:r>
              <w:rPr>
                <w:rFonts w:ascii="Arial"/>
                <w:sz w:val="18"/>
              </w:rPr>
              <w:t>1,382,010</w:t>
            </w:r>
          </w:p>
          <w:p>
            <w:pPr>
              <w:pStyle w:val="TableParagraph"/>
              <w:spacing w:line="240" w:lineRule="auto" w:before="105"/>
              <w:ind w:left="705" w:right="0"/>
              <w:jc w:val="left"/>
              <w:rPr>
                <w:rFonts w:ascii="Arial" w:hAnsi="Arial" w:cs="Arial" w:eastAsia="Arial" w:hint="default"/>
                <w:sz w:val="18"/>
                <w:szCs w:val="18"/>
              </w:rPr>
            </w:pPr>
            <w:r>
              <w:rPr>
                <w:rFonts w:ascii="Arial"/>
                <w:sz w:val="18"/>
              </w:rPr>
              <w:t>.00</w:t>
            </w:r>
          </w:p>
        </w:tc>
        <w:tc>
          <w:tcPr>
            <w:tcW w:w="10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07"/>
              <w:jc w:val="right"/>
              <w:rPr>
                <w:rFonts w:ascii="宋体" w:hAnsi="宋体" w:cs="宋体" w:eastAsia="宋体" w:hint="default"/>
                <w:sz w:val="18"/>
                <w:szCs w:val="18"/>
              </w:rPr>
            </w:pPr>
            <w:r>
              <w:rPr>
                <w:rFonts w:ascii="宋体" w:hAnsi="宋体" w:cs="宋体" w:eastAsia="宋体" w:hint="default"/>
                <w:sz w:val="18"/>
                <w:szCs w:val="18"/>
              </w:rPr>
              <w:t>与收益相</w:t>
            </w:r>
          </w:p>
          <w:p>
            <w:pPr>
              <w:pStyle w:val="TableParagraph"/>
              <w:spacing w:line="240" w:lineRule="auto" w:before="76"/>
              <w:ind w:right="107"/>
              <w:jc w:val="right"/>
              <w:rPr>
                <w:rFonts w:ascii="宋体" w:hAnsi="宋体" w:cs="宋体" w:eastAsia="宋体" w:hint="default"/>
                <w:sz w:val="18"/>
                <w:szCs w:val="18"/>
              </w:rPr>
            </w:pPr>
            <w:r>
              <w:rPr>
                <w:rFonts w:ascii="宋体" w:hAnsi="宋体" w:cs="宋体" w:eastAsia="宋体" w:hint="default"/>
                <w:sz w:val="18"/>
                <w:szCs w:val="18"/>
              </w:rPr>
              <w:t>关</w:t>
            </w:r>
          </w:p>
        </w:tc>
      </w:tr>
      <w:tr>
        <w:trPr>
          <w:trHeight w:val="2194" w:hRule="exact"/>
        </w:trPr>
        <w:tc>
          <w:tcPr>
            <w:tcW w:w="10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316" w:lineRule="auto"/>
              <w:ind w:left="108" w:right="237"/>
              <w:jc w:val="left"/>
              <w:rPr>
                <w:rFonts w:ascii="宋体" w:hAnsi="宋体" w:cs="宋体" w:eastAsia="宋体" w:hint="default"/>
                <w:sz w:val="18"/>
                <w:szCs w:val="18"/>
              </w:rPr>
            </w:pPr>
            <w:r>
              <w:rPr>
                <w:rFonts w:ascii="宋体" w:hAnsi="宋体" w:cs="宋体" w:eastAsia="宋体" w:hint="default"/>
                <w:sz w:val="18"/>
                <w:szCs w:val="18"/>
              </w:rPr>
              <w:t>其他政府 补助</w:t>
            </w:r>
          </w:p>
        </w:tc>
        <w:tc>
          <w:tcPr>
            <w:tcW w:w="1062" w:type="dxa"/>
            <w:tcBorders>
              <w:top w:val="single" w:sz="4" w:space="0" w:color="5B9BD4"/>
              <w:left w:val="nil" w:sz="6" w:space="0" w:color="auto"/>
              <w:bottom w:val="single" w:sz="4" w:space="0" w:color="5B9BD4"/>
              <w:right w:val="nil" w:sz="6" w:space="0" w:color="auto"/>
            </w:tcBorders>
          </w:tcPr>
          <w:p>
            <w:pPr/>
          </w:p>
        </w:tc>
        <w:tc>
          <w:tcPr>
            <w:tcW w:w="10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5B9BD4"/>
              <w:left w:val="nil" w:sz="6" w:space="0" w:color="auto"/>
              <w:bottom w:val="single" w:sz="4" w:space="0" w:color="5B9BD4"/>
              <w:right w:val="nil" w:sz="6" w:space="0" w:color="auto"/>
            </w:tcBorders>
          </w:tcPr>
          <w:p>
            <w:pPr>
              <w:pStyle w:val="TableParagraph"/>
              <w:spacing w:line="316" w:lineRule="auto" w:before="5"/>
              <w:ind w:left="235" w:right="106"/>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w:t>
            </w:r>
          </w:p>
          <w:p>
            <w:pPr>
              <w:pStyle w:val="TableParagraph"/>
              <w:spacing w:line="240" w:lineRule="auto" w:before="19"/>
              <w:ind w:right="107"/>
              <w:jc w:val="right"/>
              <w:rPr>
                <w:rFonts w:ascii="宋体" w:hAnsi="宋体" w:cs="宋体" w:eastAsia="宋体" w:hint="default"/>
                <w:sz w:val="18"/>
                <w:szCs w:val="18"/>
              </w:rPr>
            </w:pPr>
            <w:r>
              <w:rPr>
                <w:rFonts w:ascii="宋体" w:hAnsi="宋体" w:cs="宋体" w:eastAsia="宋体" w:hint="default"/>
                <w:sz w:val="18"/>
                <w:szCs w:val="18"/>
              </w:rPr>
              <w:t>助</w:t>
            </w:r>
          </w:p>
        </w:tc>
        <w:tc>
          <w:tcPr>
            <w:tcW w:w="10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否</w:t>
            </w:r>
          </w:p>
        </w:tc>
        <w:tc>
          <w:tcPr>
            <w:tcW w:w="1062" w:type="dxa"/>
            <w:tcBorders>
              <w:top w:val="single" w:sz="4" w:space="0" w:color="5B9BD4"/>
              <w:left w:val="nil" w:sz="6" w:space="0" w:color="auto"/>
              <w:bottom w:val="single" w:sz="4" w:space="0" w:color="5B9BD4"/>
              <w:right w:val="nil" w:sz="6" w:space="0" w:color="auto"/>
            </w:tcBorders>
            <w:shd w:val="clear" w:color="auto" w:fill="DEEAF6"/>
          </w:tcPr>
          <w:p>
            <w:pPr/>
          </w:p>
        </w:tc>
        <w:tc>
          <w:tcPr>
            <w:tcW w:w="1063"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106"/>
              <w:jc w:val="right"/>
              <w:rPr>
                <w:rFonts w:ascii="Arial" w:hAnsi="Arial" w:cs="Arial" w:eastAsia="Arial" w:hint="default"/>
                <w:sz w:val="18"/>
                <w:szCs w:val="18"/>
              </w:rPr>
            </w:pPr>
            <w:r>
              <w:rPr>
                <w:rFonts w:ascii="Arial"/>
                <w:w w:val="95"/>
                <w:sz w:val="18"/>
              </w:rPr>
              <w:t>914,957.7</w:t>
            </w:r>
            <w:r>
              <w:rPr>
                <w:rFonts w:ascii="Arial"/>
                <w:sz w:val="18"/>
              </w:rPr>
            </w:r>
          </w:p>
          <w:p>
            <w:pPr>
              <w:pStyle w:val="TableParagraph"/>
              <w:spacing w:line="240" w:lineRule="auto" w:before="105"/>
              <w:ind w:right="105"/>
              <w:jc w:val="right"/>
              <w:rPr>
                <w:rFonts w:ascii="Arial" w:hAnsi="Arial" w:cs="Arial" w:eastAsia="Arial" w:hint="default"/>
                <w:sz w:val="18"/>
                <w:szCs w:val="18"/>
              </w:rPr>
            </w:pPr>
            <w:r>
              <w:rPr>
                <w:rFonts w:ascii="Arial"/>
                <w:w w:val="99"/>
                <w:sz w:val="18"/>
              </w:rPr>
              <w:t>2</w:t>
            </w:r>
            <w:r>
              <w:rPr>
                <w:rFonts w:ascii="Arial"/>
                <w:sz w:val="18"/>
              </w:rPr>
            </w:r>
          </w:p>
        </w:tc>
        <w:tc>
          <w:tcPr>
            <w:tcW w:w="10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与收益相</w:t>
            </w:r>
          </w:p>
          <w:p>
            <w:pPr>
              <w:pStyle w:val="TableParagraph"/>
              <w:spacing w:line="240" w:lineRule="auto" w:before="76"/>
              <w:ind w:right="107"/>
              <w:jc w:val="right"/>
              <w:rPr>
                <w:rFonts w:ascii="宋体" w:hAnsi="宋体" w:cs="宋体" w:eastAsia="宋体" w:hint="default"/>
                <w:sz w:val="18"/>
                <w:szCs w:val="18"/>
              </w:rPr>
            </w:pPr>
            <w:r>
              <w:rPr>
                <w:rFonts w:ascii="宋体" w:hAnsi="宋体" w:cs="宋体" w:eastAsia="宋体" w:hint="default"/>
                <w:sz w:val="18"/>
                <w:szCs w:val="18"/>
              </w:rPr>
              <w:t>关</w:t>
            </w:r>
          </w:p>
        </w:tc>
      </w:tr>
      <w:tr>
        <w:trPr>
          <w:trHeight w:val="635" w:hRule="exact"/>
        </w:trPr>
        <w:tc>
          <w:tcPr>
            <w:tcW w:w="10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18"/>
                <w:szCs w:val="18"/>
              </w:rPr>
            </w:pPr>
            <w:r>
              <w:rPr>
                <w:rFonts w:ascii="Arial"/>
                <w:w w:val="95"/>
                <w:sz w:val="18"/>
              </w:rPr>
              <w:t>--</w:t>
            </w:r>
            <w:r>
              <w:rPr>
                <w:rFonts w:ascii="Arial"/>
                <w:sz w:val="18"/>
              </w:rPr>
            </w:r>
          </w:p>
        </w:tc>
        <w:tc>
          <w:tcPr>
            <w:tcW w:w="10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18"/>
                <w:szCs w:val="18"/>
              </w:rPr>
            </w:pPr>
            <w:r>
              <w:rPr>
                <w:rFonts w:ascii="Arial"/>
                <w:w w:val="95"/>
                <w:sz w:val="18"/>
              </w:rPr>
              <w:t>--</w:t>
            </w:r>
            <w:r>
              <w:rPr>
                <w:rFonts w:ascii="Arial"/>
                <w:sz w:val="18"/>
              </w:rPr>
            </w:r>
          </w:p>
        </w:tc>
        <w:tc>
          <w:tcPr>
            <w:tcW w:w="1064"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18"/>
                <w:szCs w:val="18"/>
              </w:rPr>
            </w:pPr>
            <w:r>
              <w:rPr>
                <w:rFonts w:ascii="Arial"/>
                <w:w w:val="95"/>
                <w:sz w:val="18"/>
              </w:rPr>
              <w:t>--</w:t>
            </w:r>
            <w:r>
              <w:rPr>
                <w:rFonts w:ascii="Arial"/>
                <w:sz w:val="18"/>
              </w:rPr>
            </w:r>
          </w:p>
        </w:tc>
        <w:tc>
          <w:tcPr>
            <w:tcW w:w="10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18"/>
                <w:szCs w:val="18"/>
              </w:rPr>
            </w:pPr>
            <w:r>
              <w:rPr>
                <w:rFonts w:ascii="Arial"/>
                <w:w w:val="95"/>
                <w:sz w:val="18"/>
              </w:rPr>
              <w:t>--</w:t>
            </w:r>
            <w:r>
              <w:rPr>
                <w:rFonts w:ascii="Arial"/>
                <w:sz w:val="18"/>
              </w:rPr>
            </w:r>
          </w:p>
        </w:tc>
        <w:tc>
          <w:tcPr>
            <w:tcW w:w="1063"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18"/>
                <w:szCs w:val="18"/>
              </w:rPr>
            </w:pPr>
            <w:r>
              <w:rPr>
                <w:rFonts w:ascii="Arial"/>
                <w:w w:val="95"/>
                <w:sz w:val="18"/>
              </w:rPr>
              <w:t>--</w:t>
            </w:r>
            <w:r>
              <w:rPr>
                <w:rFonts w:ascii="Arial"/>
                <w:sz w:val="18"/>
              </w:rPr>
            </w:r>
          </w:p>
        </w:tc>
        <w:tc>
          <w:tcPr>
            <w:tcW w:w="106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57" w:right="0"/>
              <w:jc w:val="left"/>
              <w:rPr>
                <w:rFonts w:ascii="Arial" w:hAnsi="Arial" w:cs="Arial" w:eastAsia="Arial" w:hint="default"/>
                <w:sz w:val="18"/>
                <w:szCs w:val="18"/>
              </w:rPr>
            </w:pPr>
            <w:r>
              <w:rPr>
                <w:rFonts w:ascii="Arial"/>
                <w:sz w:val="18"/>
              </w:rPr>
              <w:t>8,894,717</w:t>
            </w:r>
          </w:p>
          <w:p>
            <w:pPr>
              <w:pStyle w:val="TableParagraph"/>
              <w:spacing w:line="240" w:lineRule="auto" w:before="105"/>
              <w:ind w:left="705" w:right="0"/>
              <w:jc w:val="left"/>
              <w:rPr>
                <w:rFonts w:ascii="Arial" w:hAnsi="Arial" w:cs="Arial" w:eastAsia="Arial" w:hint="default"/>
                <w:sz w:val="18"/>
                <w:szCs w:val="18"/>
              </w:rPr>
            </w:pPr>
            <w:r>
              <w:rPr>
                <w:rFonts w:ascii="Arial"/>
                <w:sz w:val="18"/>
              </w:rPr>
              <w:t>.77</w:t>
            </w:r>
          </w:p>
        </w:tc>
        <w:tc>
          <w:tcPr>
            <w:tcW w:w="1063"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57" w:right="0"/>
              <w:jc w:val="left"/>
              <w:rPr>
                <w:rFonts w:ascii="Arial" w:hAnsi="Arial" w:cs="Arial" w:eastAsia="Arial" w:hint="default"/>
                <w:sz w:val="18"/>
                <w:szCs w:val="18"/>
              </w:rPr>
            </w:pPr>
            <w:r>
              <w:rPr>
                <w:rFonts w:ascii="Arial"/>
                <w:sz w:val="18"/>
              </w:rPr>
              <w:t>59,426,93</w:t>
            </w:r>
          </w:p>
          <w:p>
            <w:pPr>
              <w:pStyle w:val="TableParagraph"/>
              <w:spacing w:line="240" w:lineRule="auto" w:before="105"/>
              <w:ind w:left="605" w:right="0"/>
              <w:jc w:val="left"/>
              <w:rPr>
                <w:rFonts w:ascii="Arial" w:hAnsi="Arial" w:cs="Arial" w:eastAsia="Arial" w:hint="default"/>
                <w:sz w:val="18"/>
                <w:szCs w:val="18"/>
              </w:rPr>
            </w:pPr>
            <w:r>
              <w:rPr>
                <w:rFonts w:ascii="Arial"/>
                <w:sz w:val="18"/>
              </w:rPr>
              <w:t>6.72</w:t>
            </w:r>
          </w:p>
        </w:tc>
        <w:tc>
          <w:tcPr>
            <w:tcW w:w="10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18"/>
                <w:szCs w:val="18"/>
              </w:rPr>
            </w:pPr>
            <w:r>
              <w:rPr>
                <w:rFonts w:ascii="Arial"/>
                <w:w w:val="95"/>
                <w:sz w:val="18"/>
              </w:rPr>
              <w:t>--</w:t>
            </w:r>
            <w:r>
              <w:rPr>
                <w:rFonts w:ascii="Arial"/>
                <w:sz w:val="18"/>
              </w:rPr>
            </w:r>
          </w:p>
        </w:tc>
      </w:tr>
    </w:tbl>
    <w:p>
      <w:pPr>
        <w:spacing w:line="240" w:lineRule="auto" w:before="0"/>
        <w:rPr>
          <w:rFonts w:ascii="宋体" w:hAnsi="宋体" w:cs="宋体" w:eastAsia="宋体" w:hint="default"/>
          <w:sz w:val="15"/>
          <w:szCs w:val="15"/>
        </w:rPr>
      </w:pPr>
    </w:p>
    <w:p>
      <w:pPr>
        <w:pStyle w:val="BodyText"/>
        <w:spacing w:line="453" w:lineRule="auto" w:before="18"/>
        <w:ind w:left="636" w:right="1115" w:hanging="3"/>
        <w:jc w:val="left"/>
        <w:rPr>
          <w:rFonts w:ascii="宋体" w:hAnsi="宋体" w:cs="宋体" w:eastAsia="宋体" w:hint="default"/>
        </w:rPr>
      </w:pPr>
      <w:r>
        <w:rPr/>
        <w:t>注：本年的其他主要为迈奔灵动公司原小股东谈毅未达成业绩承诺给予公司的补偿款</w:t>
      </w:r>
      <w:r>
        <w:rPr>
          <w:rFonts w:ascii="Arial" w:hAnsi="Arial" w:cs="Arial" w:eastAsia="Arial" w:hint="default"/>
        </w:rPr>
        <w:t>2,126.87</w:t>
      </w:r>
      <w:r>
        <w:rPr/>
        <w:t>万元。 </w:t>
      </w:r>
      <w:bookmarkStart w:name="44、营业外支出" w:id="363"/>
      <w:bookmarkEnd w:id="363"/>
      <w:r>
        <w:rPr/>
      </w:r>
      <w:r>
        <w:rPr>
          <w:rFonts w:ascii="Trebuchet MS" w:hAnsi="Trebuchet MS" w:cs="Trebuchet MS" w:eastAsia="Trebuchet MS" w:hint="default"/>
          <w:b/>
          <w:bCs/>
        </w:rPr>
        <w:t>44</w:t>
      </w:r>
      <w:r>
        <w:rPr>
          <w:rFonts w:ascii="宋体" w:hAnsi="宋体" w:cs="宋体" w:eastAsia="宋体" w:hint="default"/>
          <w:b/>
          <w:bCs/>
        </w:rPr>
        <w:t>、营业外支出</w:t>
      </w:r>
      <w:r>
        <w:rPr>
          <w:rFonts w:ascii="宋体" w:hAnsi="宋体" w:cs="宋体" w:eastAsia="宋体" w:hint="default"/>
        </w:rPr>
      </w:r>
    </w:p>
    <w:p>
      <w:pPr>
        <w:pStyle w:val="BodyText"/>
        <w:spacing w:line="240" w:lineRule="auto" w:before="181"/>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2390"/>
        <w:gridCol w:w="2396"/>
        <w:gridCol w:w="2392"/>
        <w:gridCol w:w="2392"/>
      </w:tblGrid>
      <w:tr>
        <w:trPr>
          <w:trHeight w:val="629" w:hRule="exact"/>
        </w:trPr>
        <w:tc>
          <w:tcPr>
            <w:tcW w:w="23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left="74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left="74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105" w:right="114"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27" w:hRule="exact"/>
        </w:trPr>
        <w:tc>
          <w:tcPr>
            <w:tcW w:w="23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w w:val="95"/>
                <w:sz w:val="18"/>
              </w:rPr>
              <w:t>1,029,242.82</w:t>
            </w:r>
            <w:r>
              <w:rPr>
                <w:rFonts w:ascii="Arial"/>
                <w:sz w:val="18"/>
              </w:rPr>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2"/>
              <w:ind w:right="105"/>
              <w:jc w:val="right"/>
              <w:rPr>
                <w:rFonts w:ascii="Arial" w:hAnsi="Arial" w:cs="Arial" w:eastAsia="Arial" w:hint="default"/>
                <w:sz w:val="18"/>
                <w:szCs w:val="18"/>
              </w:rPr>
            </w:pPr>
            <w:r>
              <w:rPr>
                <w:rFonts w:ascii="Arial"/>
                <w:w w:val="95"/>
                <w:sz w:val="18"/>
              </w:rPr>
              <w:t>1,043,559.52</w:t>
            </w:r>
            <w:r>
              <w:rPr>
                <w:rFonts w:ascii="Arial"/>
                <w:sz w:val="18"/>
              </w:rPr>
            </w: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right="104"/>
              <w:jc w:val="right"/>
              <w:rPr>
                <w:rFonts w:ascii="Arial" w:hAnsi="Arial" w:cs="Arial" w:eastAsia="Arial" w:hint="default"/>
                <w:sz w:val="18"/>
                <w:szCs w:val="18"/>
              </w:rPr>
            </w:pPr>
            <w:r>
              <w:rPr>
                <w:rFonts w:ascii="Arial"/>
                <w:w w:val="95"/>
                <w:sz w:val="18"/>
              </w:rPr>
              <w:t>1,029,242.82</w:t>
            </w:r>
            <w:r>
              <w:rPr>
                <w:rFonts w:ascii="Arial"/>
                <w:sz w:val="18"/>
              </w:rPr>
            </w:r>
          </w:p>
        </w:tc>
      </w:tr>
      <w:tr>
        <w:trPr>
          <w:trHeight w:val="322" w:hRule="exact"/>
        </w:trPr>
        <w:tc>
          <w:tcPr>
            <w:tcW w:w="23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986,477.44</w:t>
            </w:r>
            <w:r>
              <w:rPr>
                <w:rFonts w:ascii="Arial"/>
                <w:sz w:val="18"/>
              </w:rPr>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1,043,559.52</w:t>
            </w:r>
            <w:r>
              <w:rPr>
                <w:rFonts w:ascii="Arial"/>
                <w:sz w:val="18"/>
              </w:rPr>
            </w: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986,477.44</w:t>
            </w:r>
            <w:r>
              <w:rPr>
                <w:rFonts w:ascii="Arial"/>
                <w:sz w:val="18"/>
              </w:rPr>
            </w:r>
          </w:p>
        </w:tc>
      </w:tr>
      <w:tr>
        <w:trPr>
          <w:trHeight w:val="322" w:hRule="exact"/>
        </w:trPr>
        <w:tc>
          <w:tcPr>
            <w:tcW w:w="23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648"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39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42,765.38</w:t>
            </w:r>
            <w:r>
              <w:rPr>
                <w:rFonts w:ascii="Arial"/>
                <w:sz w:val="18"/>
              </w:rPr>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42,765.38</w:t>
            </w:r>
            <w:r>
              <w:rPr>
                <w:rFonts w:ascii="Arial"/>
                <w:sz w:val="18"/>
              </w:rPr>
            </w:r>
          </w:p>
        </w:tc>
      </w:tr>
      <w:tr>
        <w:trPr>
          <w:trHeight w:val="322" w:hRule="exact"/>
        </w:trPr>
        <w:tc>
          <w:tcPr>
            <w:tcW w:w="23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14,541.14</w:t>
            </w:r>
            <w:r>
              <w:rPr>
                <w:rFonts w:ascii="Arial"/>
                <w:sz w:val="18"/>
              </w:rPr>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20,007.01</w:t>
            </w:r>
            <w:r>
              <w:rPr>
                <w:rFonts w:ascii="Arial"/>
                <w:sz w:val="18"/>
              </w:rPr>
            </w: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14,541.14</w:t>
            </w:r>
            <w:r>
              <w:rPr>
                <w:rFonts w:ascii="Arial"/>
                <w:sz w:val="18"/>
              </w:rPr>
            </w:r>
          </w:p>
        </w:tc>
      </w:tr>
      <w:tr>
        <w:trPr>
          <w:trHeight w:val="322" w:hRule="exact"/>
        </w:trPr>
        <w:tc>
          <w:tcPr>
            <w:tcW w:w="23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违约金支出</w:t>
            </w:r>
          </w:p>
        </w:tc>
        <w:tc>
          <w:tcPr>
            <w:tcW w:w="239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56,118.00</w:t>
            </w:r>
            <w:r>
              <w:rPr>
                <w:rFonts w:ascii="Arial"/>
                <w:sz w:val="18"/>
              </w:rPr>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160,000.00</w:t>
            </w:r>
            <w:r>
              <w:rPr>
                <w:rFonts w:ascii="Arial"/>
                <w:sz w:val="18"/>
              </w:rPr>
            </w: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56,118.00</w:t>
            </w:r>
            <w:r>
              <w:rPr>
                <w:rFonts w:ascii="Arial"/>
                <w:sz w:val="18"/>
              </w:rPr>
            </w:r>
          </w:p>
        </w:tc>
      </w:tr>
      <w:tr>
        <w:trPr>
          <w:trHeight w:val="322" w:hRule="exact"/>
        </w:trPr>
        <w:tc>
          <w:tcPr>
            <w:tcW w:w="23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239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2,074,140.01</w:t>
            </w:r>
            <w:r>
              <w:rPr>
                <w:rFonts w:ascii="Arial"/>
                <w:sz w:val="18"/>
              </w:rPr>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4,067,581.13</w:t>
            </w:r>
            <w:r>
              <w:rPr>
                <w:rFonts w:ascii="Arial"/>
                <w:sz w:val="18"/>
              </w:rPr>
            </w: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2,074,140.01</w:t>
            </w:r>
            <w:r>
              <w:rPr>
                <w:rFonts w:ascii="Arial"/>
                <w:sz w:val="18"/>
              </w:rPr>
            </w:r>
          </w:p>
        </w:tc>
      </w:tr>
      <w:tr>
        <w:trPr>
          <w:trHeight w:val="323" w:hRule="exact"/>
        </w:trPr>
        <w:tc>
          <w:tcPr>
            <w:tcW w:w="23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3,174,041.97</w:t>
            </w:r>
            <w:r>
              <w:rPr>
                <w:rFonts w:ascii="Arial"/>
                <w:sz w:val="18"/>
              </w:rPr>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5,291,147.66</w:t>
            </w:r>
            <w:r>
              <w:rPr>
                <w:rFonts w:ascii="Arial"/>
                <w:sz w:val="18"/>
              </w:rPr>
            </w:r>
          </w:p>
        </w:tc>
        <w:tc>
          <w:tcPr>
            <w:tcW w:w="2392"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3,174,041.97</w:t>
            </w:r>
            <w:r>
              <w:rPr>
                <w:rFonts w:ascii="Arial"/>
                <w:sz w:val="18"/>
              </w:rPr>
            </w:r>
          </w:p>
        </w:tc>
      </w:tr>
    </w:tbl>
    <w:p>
      <w:pPr>
        <w:spacing w:after="0" w:line="240" w:lineRule="auto"/>
        <w:jc w:val="right"/>
        <w:rPr>
          <w:rFonts w:ascii="Arial" w:hAnsi="Arial" w:cs="Arial" w:eastAsia="Arial" w:hint="default"/>
          <w:sz w:val="18"/>
          <w:szCs w:val="18"/>
        </w:rPr>
        <w:sectPr>
          <w:pgSz w:w="11910" w:h="16840"/>
          <w:pgMar w:header="877" w:footer="979" w:top="1100" w:bottom="1160" w:left="920" w:right="0"/>
        </w:sectPr>
      </w:pPr>
    </w:p>
    <w:p>
      <w:pPr>
        <w:spacing w:line="240" w:lineRule="auto" w:before="5"/>
        <w:rPr>
          <w:rFonts w:ascii="宋体" w:hAnsi="宋体" w:cs="宋体" w:eastAsia="宋体" w:hint="default"/>
          <w:sz w:val="20"/>
          <w:szCs w:val="20"/>
        </w:rPr>
      </w:pPr>
    </w:p>
    <w:p>
      <w:pPr>
        <w:pStyle w:val="Heading5"/>
        <w:spacing w:line="240" w:lineRule="auto"/>
        <w:ind w:right="1513"/>
        <w:jc w:val="left"/>
        <w:rPr>
          <w:b w:val="0"/>
          <w:bCs w:val="0"/>
        </w:rPr>
      </w:pPr>
      <w:bookmarkStart w:name="45、所得税费用" w:id="364"/>
      <w:bookmarkEnd w:id="364"/>
      <w:r>
        <w:rPr>
          <w:b w:val="0"/>
          <w:bCs w:val="0"/>
        </w:rPr>
      </w:r>
      <w:r>
        <w:rPr>
          <w:rFonts w:ascii="Trebuchet MS" w:hAnsi="Trebuchet MS" w:cs="Trebuchet MS" w:eastAsia="Trebuchet MS" w:hint="default"/>
        </w:rPr>
        <w:t>45</w:t>
      </w:r>
      <w:r>
        <w:rPr/>
        <w:t>、所得税费用</w:t>
      </w:r>
      <w:r>
        <w:rPr>
          <w:b w:val="0"/>
          <w:bCs w:val="0"/>
        </w:rPr>
      </w:r>
    </w:p>
    <w:p>
      <w:pPr>
        <w:spacing w:line="240" w:lineRule="auto" w:before="7"/>
        <w:rPr>
          <w:rFonts w:ascii="宋体" w:hAnsi="宋体" w:cs="宋体" w:eastAsia="宋体" w:hint="default"/>
          <w:b/>
          <w:bCs/>
          <w:sz w:val="24"/>
          <w:szCs w:val="24"/>
        </w:rPr>
      </w:pPr>
    </w:p>
    <w:p>
      <w:pPr>
        <w:spacing w:before="0"/>
        <w:ind w:left="636" w:right="1513" w:firstLine="0"/>
        <w:jc w:val="left"/>
        <w:rPr>
          <w:rFonts w:ascii="宋体" w:hAnsi="宋体" w:cs="宋体" w:eastAsia="宋体" w:hint="default"/>
          <w:sz w:val="21"/>
          <w:szCs w:val="21"/>
        </w:rPr>
      </w:pPr>
      <w:bookmarkStart w:name="（1）所得税费用表" w:id="365"/>
      <w:bookmarkEnd w:id="365"/>
      <w:r>
        <w:rPr/>
      </w:r>
      <w:r>
        <w:rPr>
          <w:rFonts w:ascii="宋体" w:hAnsi="宋体" w:cs="宋体" w:eastAsia="宋体" w:hint="default"/>
          <w:b/>
          <w:bCs/>
          <w:sz w:val="21"/>
          <w:szCs w:val="21"/>
        </w:rPr>
        <w:t>（</w:t>
      </w:r>
      <w:r>
        <w:rPr>
          <w:rFonts w:ascii="Trebuchet MS" w:hAnsi="Trebuchet MS" w:cs="Trebuchet MS" w:eastAsia="Trebuchet MS"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188"/>
        <w:gridCol w:w="3194"/>
        <w:gridCol w:w="3189"/>
      </w:tblGrid>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37,438,629.73</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42,054,751.82</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-10,277,061.48</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-58,044,981.35</w:t>
            </w:r>
            <w:r>
              <w:rPr>
                <w:rFonts w:ascii="Arial"/>
                <w:sz w:val="18"/>
              </w:rPr>
            </w:r>
          </w:p>
        </w:tc>
      </w:tr>
      <w:tr>
        <w:trPr>
          <w:trHeight w:val="323"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27,161,568.25</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-15,990,229.53</w:t>
            </w:r>
            <w:r>
              <w:rPr>
                <w:rFonts w:ascii="Arial"/>
                <w:sz w:val="18"/>
              </w:rPr>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2）会计利润与所得税费用调整过程" w:id="366"/>
      <w:bookmarkEnd w:id="366"/>
      <w:r>
        <w:rPr>
          <w:b w:val="0"/>
          <w:bCs w:val="0"/>
        </w:rPr>
      </w:r>
      <w:r>
        <w:rPr/>
        <w:t>（</w:t>
      </w:r>
      <w:r>
        <w:rPr>
          <w:rFonts w:ascii="Trebuchet MS" w:hAnsi="Trebuchet MS" w:cs="Trebuchet MS" w:eastAsia="Trebuchet MS" w:hint="default"/>
        </w:rPr>
        <w:t>2</w:t>
      </w:r>
      <w:r>
        <w:rPr/>
        <w:t>）会计利润与所得税费用调整过程</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4780"/>
        <w:gridCol w:w="4788"/>
      </w:tblGrid>
      <w:tr>
        <w:trPr>
          <w:trHeight w:val="322" w:hRule="exact"/>
        </w:trPr>
        <w:tc>
          <w:tcPr>
            <w:tcW w:w="9569"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tabs>
                <w:tab w:pos="6723" w:val="left" w:leader="none"/>
              </w:tabs>
              <w:spacing w:line="240" w:lineRule="auto" w:before="5"/>
              <w:ind w:left="2209" w:right="0"/>
              <w:jc w:val="left"/>
              <w:rPr>
                <w:rFonts w:ascii="宋体" w:hAnsi="宋体" w:cs="宋体" w:eastAsia="宋体" w:hint="default"/>
                <w:sz w:val="18"/>
                <w:szCs w:val="18"/>
              </w:rPr>
            </w:pPr>
            <w:r>
              <w:rPr>
                <w:rFonts w:ascii="宋体" w:hAnsi="宋体" w:cs="宋体" w:eastAsia="宋体" w:hint="default"/>
                <w:sz w:val="18"/>
                <w:szCs w:val="18"/>
              </w:rPr>
              <w:t>项目</w:t>
              <w:tab/>
              <w:t>本期发生额</w:t>
            </w:r>
          </w:p>
        </w:tc>
      </w:tr>
      <w:tr>
        <w:trPr>
          <w:trHeight w:val="322" w:hRule="exact"/>
        </w:trPr>
        <w:tc>
          <w:tcPr>
            <w:tcW w:w="478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165,522,833.82</w:t>
            </w:r>
            <w:r>
              <w:rPr>
                <w:rFonts w:ascii="Arial"/>
                <w:sz w:val="18"/>
              </w:rPr>
            </w:r>
          </w:p>
        </w:tc>
      </w:tr>
      <w:tr>
        <w:trPr>
          <w:trHeight w:val="322" w:hRule="exact"/>
        </w:trPr>
        <w:tc>
          <w:tcPr>
            <w:tcW w:w="478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w w:val="105"/>
                <w:sz w:val="18"/>
                <w:szCs w:val="18"/>
              </w:rPr>
              <w:t>按法定</w:t>
            </w:r>
            <w:r>
              <w:rPr>
                <w:rFonts w:ascii="Arial" w:hAnsi="Arial" w:cs="Arial" w:eastAsia="Arial" w:hint="default"/>
                <w:w w:val="105"/>
                <w:sz w:val="18"/>
                <w:szCs w:val="18"/>
              </w:rPr>
              <w:t>/</w:t>
            </w:r>
            <w:r>
              <w:rPr>
                <w:rFonts w:ascii="宋体" w:hAnsi="宋体" w:cs="宋体" w:eastAsia="宋体" w:hint="default"/>
                <w:w w:val="105"/>
                <w:sz w:val="18"/>
                <w:szCs w:val="18"/>
              </w:rPr>
              <w:t>适用税率计算的所得税费用</w:t>
            </w:r>
          </w:p>
        </w:tc>
        <w:tc>
          <w:tcPr>
            <w:tcW w:w="4788"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41,380,708.45</w:t>
            </w:r>
            <w:r>
              <w:rPr>
                <w:rFonts w:ascii="Arial"/>
                <w:sz w:val="18"/>
              </w:rPr>
            </w:r>
          </w:p>
        </w:tc>
      </w:tr>
      <w:tr>
        <w:trPr>
          <w:trHeight w:val="322" w:hRule="exact"/>
        </w:trPr>
        <w:tc>
          <w:tcPr>
            <w:tcW w:w="478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-34,091,868.32</w:t>
            </w:r>
            <w:r>
              <w:rPr>
                <w:rFonts w:ascii="Arial"/>
                <w:sz w:val="18"/>
              </w:rPr>
            </w:r>
          </w:p>
        </w:tc>
      </w:tr>
      <w:tr>
        <w:trPr>
          <w:trHeight w:val="322" w:hRule="exact"/>
        </w:trPr>
        <w:tc>
          <w:tcPr>
            <w:tcW w:w="478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8"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-270,562.56</w:t>
            </w:r>
            <w:r>
              <w:rPr>
                <w:rFonts w:ascii="Arial"/>
                <w:sz w:val="18"/>
              </w:rPr>
            </w:r>
          </w:p>
        </w:tc>
      </w:tr>
      <w:tr>
        <w:trPr>
          <w:trHeight w:val="322" w:hRule="exact"/>
        </w:trPr>
        <w:tc>
          <w:tcPr>
            <w:tcW w:w="478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8" w:type="dxa"/>
            <w:tcBorders>
              <w:top w:val="single" w:sz="4" w:space="0" w:color="5B9BD4"/>
              <w:left w:val="nil" w:sz="6" w:space="0" w:color="auto"/>
              <w:bottom w:val="single" w:sz="4" w:space="0" w:color="5B9BD4"/>
              <w:right w:val="nil" w:sz="6" w:space="0" w:color="auto"/>
            </w:tcBorders>
          </w:tcPr>
          <w:p>
            <w:pPr/>
          </w:p>
        </w:tc>
      </w:tr>
      <w:tr>
        <w:trPr>
          <w:trHeight w:val="322" w:hRule="exact"/>
        </w:trPr>
        <w:tc>
          <w:tcPr>
            <w:tcW w:w="478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1,540,411.69</w:t>
            </w:r>
            <w:r>
              <w:rPr>
                <w:rFonts w:ascii="Arial"/>
                <w:sz w:val="18"/>
              </w:rPr>
            </w:r>
          </w:p>
        </w:tc>
      </w:tr>
      <w:tr>
        <w:trPr>
          <w:trHeight w:val="322" w:hRule="exact"/>
        </w:trPr>
        <w:tc>
          <w:tcPr>
            <w:tcW w:w="478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8"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-315,149.02</w:t>
            </w:r>
            <w:r>
              <w:rPr>
                <w:rFonts w:ascii="Arial"/>
                <w:sz w:val="18"/>
              </w:rPr>
            </w:r>
          </w:p>
        </w:tc>
      </w:tr>
      <w:tr>
        <w:trPr>
          <w:trHeight w:val="634" w:hRule="exact"/>
        </w:trPr>
        <w:tc>
          <w:tcPr>
            <w:tcW w:w="478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17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 亏损的影响</w:t>
            </w:r>
          </w:p>
        </w:tc>
        <w:tc>
          <w:tcPr>
            <w:tcW w:w="4788"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19,600,819.36</w:t>
            </w:r>
            <w:r>
              <w:rPr>
                <w:rFonts w:ascii="Arial"/>
                <w:sz w:val="18"/>
              </w:rPr>
            </w:r>
          </w:p>
        </w:tc>
      </w:tr>
      <w:tr>
        <w:trPr>
          <w:trHeight w:val="322" w:hRule="exact"/>
        </w:trPr>
        <w:tc>
          <w:tcPr>
            <w:tcW w:w="478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Arial" w:hAnsi="Arial" w:cs="Arial" w:eastAsia="Arial" w:hint="default"/>
                <w:sz w:val="18"/>
                <w:szCs w:val="18"/>
              </w:rPr>
              <w:t>/</w:t>
            </w:r>
            <w:r>
              <w:rPr>
                <w:rFonts w:ascii="宋体" w:hAnsi="宋体" w:cs="宋体" w:eastAsia="宋体" w:hint="default"/>
                <w:sz w:val="18"/>
                <w:szCs w:val="18"/>
              </w:rPr>
              <w:t>负债余额的变化</w:t>
            </w:r>
          </w:p>
        </w:tc>
        <w:tc>
          <w:tcPr>
            <w:tcW w:w="4788"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339,310.72</w:t>
            </w:r>
            <w:r>
              <w:rPr>
                <w:rFonts w:ascii="Arial"/>
                <w:sz w:val="18"/>
              </w:rPr>
            </w:r>
          </w:p>
        </w:tc>
      </w:tr>
      <w:tr>
        <w:trPr>
          <w:trHeight w:val="322" w:hRule="exact"/>
        </w:trPr>
        <w:tc>
          <w:tcPr>
            <w:tcW w:w="478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8"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-1,022,102.06</w:t>
            </w:r>
            <w:r>
              <w:rPr>
                <w:rFonts w:ascii="Arial"/>
                <w:sz w:val="18"/>
              </w:rPr>
            </w:r>
          </w:p>
        </w:tc>
      </w:tr>
      <w:tr>
        <w:trPr>
          <w:trHeight w:val="322" w:hRule="exact"/>
        </w:trPr>
        <w:tc>
          <w:tcPr>
            <w:tcW w:w="478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27,161,568.25</w:t>
            </w:r>
            <w:r>
              <w:rPr>
                <w:rFonts w:ascii="Arial"/>
                <w:sz w:val="18"/>
              </w:rPr>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46、现金流量表项目" w:id="367"/>
      <w:bookmarkEnd w:id="367"/>
      <w:r>
        <w:rPr>
          <w:b w:val="0"/>
          <w:bCs w:val="0"/>
        </w:rPr>
      </w:r>
      <w:r>
        <w:rPr>
          <w:rFonts w:ascii="Trebuchet MS" w:hAnsi="Trebuchet MS" w:cs="Trebuchet MS" w:eastAsia="Trebuchet MS" w:hint="default"/>
        </w:rPr>
        <w:t>46</w:t>
      </w:r>
      <w:r>
        <w:rPr/>
        <w:t>、现金流量表项目</w:t>
      </w:r>
      <w:r>
        <w:rPr>
          <w:b w:val="0"/>
          <w:bCs w:val="0"/>
        </w:rPr>
      </w:r>
    </w:p>
    <w:p>
      <w:pPr>
        <w:spacing w:line="240" w:lineRule="auto" w:before="7"/>
        <w:rPr>
          <w:rFonts w:ascii="宋体" w:hAnsi="宋体" w:cs="宋体" w:eastAsia="宋体" w:hint="default"/>
          <w:b/>
          <w:bCs/>
          <w:sz w:val="24"/>
          <w:szCs w:val="24"/>
        </w:rPr>
      </w:pPr>
    </w:p>
    <w:p>
      <w:pPr>
        <w:spacing w:before="0"/>
        <w:ind w:left="636" w:right="1513" w:firstLine="0"/>
        <w:jc w:val="left"/>
        <w:rPr>
          <w:rFonts w:ascii="宋体" w:hAnsi="宋体" w:cs="宋体" w:eastAsia="宋体" w:hint="default"/>
          <w:sz w:val="21"/>
          <w:szCs w:val="21"/>
        </w:rPr>
      </w:pPr>
      <w:bookmarkStart w:name="（1）收到的其他与经营活动有关的现金" w:id="368"/>
      <w:bookmarkEnd w:id="368"/>
      <w:r>
        <w:rPr/>
      </w:r>
      <w:r>
        <w:rPr>
          <w:rFonts w:ascii="宋体" w:hAnsi="宋体" w:cs="宋体" w:eastAsia="宋体" w:hint="default"/>
          <w:b/>
          <w:bCs/>
          <w:sz w:val="21"/>
          <w:szCs w:val="21"/>
        </w:rPr>
        <w:t>（</w:t>
      </w:r>
      <w:r>
        <w:rPr>
          <w:rFonts w:ascii="Trebuchet MS" w:hAnsi="Trebuchet MS" w:cs="Trebuchet MS" w:eastAsia="Trebuchet MS"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5"/>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188"/>
        <w:gridCol w:w="3194"/>
        <w:gridCol w:w="3189"/>
      </w:tblGrid>
      <w:tr>
        <w:trPr>
          <w:trHeight w:val="317"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6"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收到代垫款</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w w:val="95"/>
                <w:sz w:val="18"/>
              </w:rPr>
              <w:t>955,909,337.78</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2"/>
              <w:ind w:right="105"/>
              <w:jc w:val="right"/>
              <w:rPr>
                <w:rFonts w:ascii="Arial" w:hAnsi="Arial" w:cs="Arial" w:eastAsia="Arial" w:hint="default"/>
                <w:sz w:val="18"/>
                <w:szCs w:val="18"/>
              </w:rPr>
            </w:pPr>
            <w:r>
              <w:rPr>
                <w:rFonts w:ascii="Arial"/>
                <w:w w:val="95"/>
                <w:sz w:val="18"/>
              </w:rPr>
              <w:t>569,382,448.93</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退还的保证金、押金</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10,586,268.36</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31,857,892.15</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政府补助收入</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8,836,981.13</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59,426,936.72</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36,135,498.52</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46,051,017.28</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收到员工还款</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1,650,000.00</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15,316,439.56</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收到的其他款项</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32,831,663.54</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2,087,262.24</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1,045,949,749.33</w:t>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724,121,996.88</w:t>
            </w:r>
            <w:r>
              <w:rPr>
                <w:rFonts w:ascii="Arial"/>
                <w:sz w:val="18"/>
              </w:rPr>
            </w:r>
          </w:p>
        </w:tc>
      </w:tr>
    </w:tbl>
    <w:p>
      <w:pPr>
        <w:spacing w:after="0" w:line="240" w:lineRule="auto"/>
        <w:jc w:val="right"/>
        <w:rPr>
          <w:rFonts w:ascii="Arial" w:hAnsi="Arial" w:cs="Arial" w:eastAsia="Arial" w:hint="default"/>
          <w:sz w:val="18"/>
          <w:szCs w:val="18"/>
        </w:rPr>
        <w:sectPr>
          <w:pgSz w:w="11910" w:h="16840"/>
          <w:pgMar w:header="877" w:footer="979" w:top="1100" w:bottom="1160" w:left="920" w:right="0"/>
        </w:sectPr>
      </w:pPr>
    </w:p>
    <w:p>
      <w:pPr>
        <w:spacing w:line="240" w:lineRule="auto" w:before="5"/>
        <w:rPr>
          <w:rFonts w:ascii="宋体" w:hAnsi="宋体" w:cs="宋体" w:eastAsia="宋体" w:hint="default"/>
          <w:sz w:val="20"/>
          <w:szCs w:val="20"/>
        </w:rPr>
      </w:pPr>
    </w:p>
    <w:p>
      <w:pPr>
        <w:pStyle w:val="Heading5"/>
        <w:spacing w:line="240" w:lineRule="auto"/>
        <w:ind w:right="1513"/>
        <w:jc w:val="left"/>
        <w:rPr>
          <w:b w:val="0"/>
          <w:bCs w:val="0"/>
        </w:rPr>
      </w:pPr>
      <w:bookmarkStart w:name="（2）支付的其他与经营活动有关的现金" w:id="369"/>
      <w:bookmarkEnd w:id="369"/>
      <w:r>
        <w:rPr>
          <w:b w:val="0"/>
          <w:bCs w:val="0"/>
        </w:rPr>
      </w:r>
      <w:r>
        <w:rPr/>
        <w:t>（</w:t>
      </w:r>
      <w:r>
        <w:rPr>
          <w:rFonts w:ascii="Trebuchet MS" w:hAnsi="Trebuchet MS" w:cs="Trebuchet MS" w:eastAsia="Trebuchet MS" w:hint="default"/>
        </w:rPr>
        <w:t>2</w:t>
      </w:r>
      <w:r>
        <w:rPr/>
        <w:t>）支付的其他与经营活动有关的现金</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188"/>
        <w:gridCol w:w="3194"/>
        <w:gridCol w:w="3189"/>
      </w:tblGrid>
      <w:tr>
        <w:trPr>
          <w:trHeight w:val="323"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代垫款项</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837,647,097.13</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736,949,891.12</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商品物流费</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54,937,481.13</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103,274,461.38</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物业租赁费</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73,059,591.96</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91,398,803.33</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劳务佣金</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23,017,426.00</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78,483,291.21</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14,940,583.41</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41,401,872.78</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业务差旅费</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21,196,898.87</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30,818,021.22</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17,935,256.35</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28,854,426.95</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22,920,184.19</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26,784,614.73</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14,316,550.82</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26,250,049.11</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业务拓展费</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17,641,493.39</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25,150,565.41</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17,081,633.91</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21,987,572.91</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196,830,311.14</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218,702,359.89</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1,311,524,508.30</w:t>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1,430,055,930.04</w:t>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3）支付的其他与投资活动有关的现金" w:id="370"/>
      <w:bookmarkEnd w:id="370"/>
      <w:r>
        <w:rPr>
          <w:b w:val="0"/>
          <w:bCs w:val="0"/>
        </w:rPr>
      </w:r>
      <w:r>
        <w:rPr/>
        <w:t>（</w:t>
      </w:r>
      <w:r>
        <w:rPr>
          <w:rFonts w:ascii="Trebuchet MS" w:hAnsi="Trebuchet MS" w:cs="Trebuchet MS" w:eastAsia="Trebuchet MS" w:hint="default"/>
        </w:rPr>
        <w:t>3</w:t>
      </w:r>
      <w:r>
        <w:rPr/>
        <w:t>）支付的其他与投资活动有关的现金</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188"/>
        <w:gridCol w:w="3194"/>
        <w:gridCol w:w="3189"/>
      </w:tblGrid>
      <w:tr>
        <w:trPr>
          <w:trHeight w:val="323" w:hRule="exact"/>
        </w:trPr>
        <w:tc>
          <w:tcPr>
            <w:tcW w:w="9570" w:type="dxa"/>
            <w:gridSpan w:val="3"/>
            <w:tcBorders>
              <w:top w:val="single" w:sz="4" w:space="0" w:color="5B9BD4"/>
              <w:left w:val="nil" w:sz="6" w:space="0" w:color="auto"/>
              <w:bottom w:val="single" w:sz="4" w:space="0" w:color="5B9BD4"/>
              <w:right w:val="nil" w:sz="6" w:space="0" w:color="auto"/>
            </w:tcBorders>
            <w:shd w:val="clear" w:color="auto" w:fill="DEEAF6"/>
          </w:tcPr>
          <w:p>
            <w:pPr>
              <w:pStyle w:val="TableParagraph"/>
              <w:tabs>
                <w:tab w:pos="4333" w:val="left" w:leader="none"/>
                <w:tab w:pos="7525" w:val="left" w:leader="none"/>
              </w:tabs>
              <w:spacing w:line="240" w:lineRule="auto" w:before="6"/>
              <w:ind w:left="1414" w:right="0"/>
              <w:jc w:val="left"/>
              <w:rPr>
                <w:rFonts w:ascii="宋体" w:hAnsi="宋体" w:cs="宋体" w:eastAsia="宋体" w:hint="default"/>
                <w:sz w:val="18"/>
                <w:szCs w:val="18"/>
              </w:rPr>
            </w:pPr>
            <w:r>
              <w:rPr>
                <w:rFonts w:ascii="宋体" w:hAnsi="宋体" w:cs="宋体" w:eastAsia="宋体" w:hint="default"/>
                <w:sz w:val="18"/>
                <w:szCs w:val="18"/>
              </w:rPr>
              <w:t>项目</w:t>
              <w:tab/>
              <w:t>本期发生额</w:t>
              <w:tab/>
              <w:t>上期发生额</w:t>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代偿还债务</w:t>
            </w:r>
          </w:p>
        </w:tc>
        <w:tc>
          <w:tcPr>
            <w:tcW w:w="3194" w:type="dxa"/>
            <w:tcBorders>
              <w:top w:val="single" w:sz="4" w:space="0" w:color="5B9BD4"/>
              <w:left w:val="nil" w:sz="6" w:space="0" w:color="auto"/>
              <w:bottom w:val="single" w:sz="4" w:space="0" w:color="5B9BD4"/>
              <w:right w:val="nil" w:sz="6" w:space="0" w:color="auto"/>
            </w:tcBorders>
          </w:tcPr>
          <w:p>
            <w:pP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24,707,357.71</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5B9BD4"/>
              <w:left w:val="nil" w:sz="6" w:space="0" w:color="auto"/>
              <w:bottom w:val="single" w:sz="4" w:space="0" w:color="5B9BD4"/>
              <w:right w:val="nil" w:sz="6" w:space="0" w:color="auto"/>
            </w:tcBorders>
          </w:tcPr>
          <w:p>
            <w:pP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24,707,357.71</w:t>
            </w:r>
            <w:r>
              <w:rPr>
                <w:rFonts w:ascii="Arial"/>
                <w:sz w:val="18"/>
              </w:rPr>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4）收到的其他与筹资活动有关的现金" w:id="371"/>
      <w:bookmarkEnd w:id="371"/>
      <w:r>
        <w:rPr>
          <w:b w:val="0"/>
          <w:bCs w:val="0"/>
        </w:rPr>
      </w:r>
      <w:r>
        <w:rPr/>
        <w:t>（</w:t>
      </w:r>
      <w:r>
        <w:rPr>
          <w:rFonts w:ascii="Trebuchet MS" w:hAnsi="Trebuchet MS" w:cs="Trebuchet MS" w:eastAsia="Trebuchet MS" w:hint="default"/>
        </w:rPr>
        <w:t>4</w:t>
      </w:r>
      <w:r>
        <w:rPr/>
        <w:t>）收到的其他与筹资活动有关的现金</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188"/>
        <w:gridCol w:w="3194"/>
        <w:gridCol w:w="3189"/>
      </w:tblGrid>
      <w:tr>
        <w:trPr>
          <w:trHeight w:val="317"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7"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w w:val="95"/>
                <w:sz w:val="18"/>
              </w:rPr>
              <w:t>241,066,309.64</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2"/>
              <w:ind w:right="105"/>
              <w:jc w:val="right"/>
              <w:rPr>
                <w:rFonts w:ascii="Arial" w:hAnsi="Arial" w:cs="Arial" w:eastAsia="Arial" w:hint="default"/>
                <w:sz w:val="18"/>
                <w:szCs w:val="18"/>
              </w:rPr>
            </w:pPr>
            <w:r>
              <w:rPr>
                <w:rFonts w:ascii="Arial"/>
                <w:w w:val="95"/>
                <w:sz w:val="18"/>
              </w:rPr>
              <w:t>240,000,000.00</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688,806,203.58</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向非金融机构拆借资金</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31,550,000.00</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115,000,000.00</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国内信用证保证金</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7,078,134.40</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75,000,000.00</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其他保证金</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2,200,000.19</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与资产相关的政府补助资金</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360,000.00</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银行借款质押金</w:t>
            </w:r>
          </w:p>
        </w:tc>
        <w:tc>
          <w:tcPr>
            <w:tcW w:w="3194" w:type="dxa"/>
            <w:tcBorders>
              <w:top w:val="single" w:sz="4" w:space="0" w:color="5B9BD4"/>
              <w:left w:val="nil" w:sz="6" w:space="0" w:color="auto"/>
              <w:bottom w:val="single" w:sz="4" w:space="0" w:color="5B9BD4"/>
              <w:right w:val="nil" w:sz="6" w:space="0" w:color="auto"/>
            </w:tcBorders>
          </w:tcPr>
          <w:p>
            <w:pP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545,896,455.88</w:t>
            </w:r>
            <w:r>
              <w:rPr>
                <w:rFonts w:ascii="Arial"/>
                <w:sz w:val="18"/>
              </w:rPr>
            </w:r>
          </w:p>
        </w:tc>
      </w:tr>
      <w:tr>
        <w:trPr>
          <w:trHeight w:val="323"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971,060,647.81</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975,896,455.88</w:t>
            </w:r>
            <w:r>
              <w:rPr>
                <w:rFonts w:ascii="Arial"/>
                <w:sz w:val="18"/>
              </w:rPr>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5）支付的其他与筹资活动有关的现金" w:id="372"/>
      <w:bookmarkEnd w:id="372"/>
      <w:r>
        <w:rPr>
          <w:b w:val="0"/>
          <w:bCs w:val="0"/>
        </w:rPr>
      </w:r>
      <w:r>
        <w:rPr/>
        <w:t>（</w:t>
      </w:r>
      <w:r>
        <w:rPr>
          <w:rFonts w:ascii="Trebuchet MS" w:hAnsi="Trebuchet MS" w:cs="Trebuchet MS" w:eastAsia="Trebuchet MS" w:hint="default"/>
        </w:rPr>
        <w:t>5</w:t>
      </w:r>
      <w:r>
        <w:rPr/>
        <w:t>）支付的其他与筹资活动有关的现金</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188"/>
        <w:gridCol w:w="3194"/>
        <w:gridCol w:w="3189"/>
      </w:tblGrid>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690" w:right="0"/>
              <w:jc w:val="left"/>
              <w:rPr>
                <w:rFonts w:ascii="Arial" w:hAnsi="Arial" w:cs="Arial" w:eastAsia="Arial" w:hint="default"/>
                <w:sz w:val="18"/>
                <w:szCs w:val="18"/>
              </w:rPr>
            </w:pPr>
            <w:r>
              <w:rPr>
                <w:rFonts w:ascii="Arial"/>
                <w:sz w:val="18"/>
              </w:rPr>
              <w:t>1,512,476,510.75</w:t>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833" w:right="0"/>
              <w:jc w:val="left"/>
              <w:rPr>
                <w:rFonts w:ascii="Arial" w:hAnsi="Arial" w:cs="Arial" w:eastAsia="Arial" w:hint="default"/>
                <w:sz w:val="18"/>
                <w:szCs w:val="18"/>
              </w:rPr>
            </w:pPr>
            <w:r>
              <w:rPr>
                <w:rFonts w:ascii="Arial"/>
                <w:sz w:val="18"/>
              </w:rPr>
              <w:t>678,806,203.58</w:t>
            </w:r>
          </w:p>
        </w:tc>
      </w:tr>
    </w:tbl>
    <w:p>
      <w:pPr>
        <w:spacing w:after="0" w:line="240" w:lineRule="auto"/>
        <w:jc w:val="left"/>
        <w:rPr>
          <w:rFonts w:ascii="Arial" w:hAnsi="Arial" w:cs="Arial" w:eastAsia="Arial" w:hint="default"/>
          <w:sz w:val="18"/>
          <w:szCs w:val="18"/>
        </w:rPr>
        <w:sectPr>
          <w:pgSz w:w="11910" w:h="16840"/>
          <w:pgMar w:header="877" w:footer="979" w:top="1100" w:bottom="1160" w:left="920" w:right="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3188"/>
        <w:gridCol w:w="3194"/>
        <w:gridCol w:w="3189"/>
      </w:tblGrid>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支付银行承兑汇票保证金</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212,326.40</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241,066,309.64</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其他保证金</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200,000.00</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2,200,000.19</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支付非金融机构借款</w:t>
            </w:r>
          </w:p>
        </w:tc>
        <w:tc>
          <w:tcPr>
            <w:tcW w:w="3194" w:type="dxa"/>
            <w:tcBorders>
              <w:top w:val="single" w:sz="4" w:space="0" w:color="5B9BD4"/>
              <w:left w:val="nil" w:sz="6" w:space="0" w:color="auto"/>
              <w:bottom w:val="single" w:sz="4" w:space="0" w:color="5B9BD4"/>
              <w:right w:val="nil" w:sz="6" w:space="0" w:color="auto"/>
            </w:tcBorders>
          </w:tcPr>
          <w:p>
            <w:pP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115,000,000.00</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同一控制合并收购股权</w:t>
            </w:r>
          </w:p>
        </w:tc>
        <w:tc>
          <w:tcPr>
            <w:tcW w:w="3194" w:type="dxa"/>
            <w:tcBorders>
              <w:top w:val="single" w:sz="4" w:space="0" w:color="5B9BD4"/>
              <w:left w:val="nil" w:sz="6" w:space="0" w:color="auto"/>
              <w:bottom w:val="single" w:sz="4" w:space="0" w:color="5B9BD4"/>
              <w:right w:val="nil" w:sz="6" w:space="0" w:color="auto"/>
            </w:tcBorders>
          </w:tcPr>
          <w:p>
            <w:pP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112,000,000.00</w:t>
            </w:r>
            <w:r>
              <w:rPr>
                <w:rFonts w:ascii="Arial"/>
                <w:sz w:val="18"/>
              </w:rPr>
            </w:r>
          </w:p>
        </w:tc>
      </w:tr>
      <w:tr>
        <w:trPr>
          <w:trHeight w:val="323"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回购限制性股票支付的现金</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8"/>
              <w:ind w:right="105"/>
              <w:jc w:val="right"/>
              <w:rPr>
                <w:rFonts w:ascii="Arial" w:hAnsi="Arial" w:cs="Arial" w:eastAsia="Arial" w:hint="default"/>
                <w:sz w:val="18"/>
                <w:szCs w:val="18"/>
              </w:rPr>
            </w:pPr>
            <w:r>
              <w:rPr>
                <w:rFonts w:ascii="Arial"/>
                <w:w w:val="95"/>
                <w:sz w:val="18"/>
              </w:rPr>
              <w:t>57,015,000.00</w:t>
            </w:r>
            <w:r>
              <w:rPr>
                <w:rFonts w:ascii="Arial"/>
                <w:sz w:val="18"/>
              </w:rPr>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8"/>
              <w:ind w:right="105"/>
              <w:jc w:val="right"/>
              <w:rPr>
                <w:rFonts w:ascii="Arial" w:hAnsi="Arial" w:cs="Arial" w:eastAsia="Arial" w:hint="default"/>
                <w:sz w:val="18"/>
                <w:szCs w:val="18"/>
              </w:rPr>
            </w:pPr>
            <w:r>
              <w:rPr>
                <w:rFonts w:ascii="Arial"/>
                <w:w w:val="95"/>
                <w:sz w:val="18"/>
              </w:rPr>
              <w:t>52,360,000.00</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收购少数股权</w:t>
            </w:r>
          </w:p>
        </w:tc>
        <w:tc>
          <w:tcPr>
            <w:tcW w:w="3194" w:type="dxa"/>
            <w:tcBorders>
              <w:top w:val="single" w:sz="4" w:space="0" w:color="5B9BD4"/>
              <w:left w:val="nil" w:sz="6" w:space="0" w:color="auto"/>
              <w:bottom w:val="single" w:sz="4" w:space="0" w:color="5B9BD4"/>
              <w:right w:val="nil" w:sz="6" w:space="0" w:color="auto"/>
            </w:tcBorders>
          </w:tcPr>
          <w:p>
            <w:pP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30,000,000.00</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国内信用证保证金</w:t>
            </w:r>
          </w:p>
        </w:tc>
        <w:tc>
          <w:tcPr>
            <w:tcW w:w="3194" w:type="dxa"/>
            <w:tcBorders>
              <w:top w:val="single" w:sz="4" w:space="0" w:color="5B9BD4"/>
              <w:left w:val="nil" w:sz="6" w:space="0" w:color="auto"/>
              <w:bottom w:val="single" w:sz="4" w:space="0" w:color="5B9BD4"/>
              <w:right w:val="nil" w:sz="6" w:space="0" w:color="auto"/>
            </w:tcBorders>
          </w:tcPr>
          <w:p>
            <w:pP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7,078,134.40</w:t>
            </w:r>
            <w:r>
              <w:rPr>
                <w:rFonts w:ascii="Arial"/>
                <w:sz w:val="18"/>
              </w:rPr>
            </w:r>
          </w:p>
        </w:tc>
      </w:tr>
      <w:tr>
        <w:trPr>
          <w:trHeight w:val="322" w:hRule="exact"/>
        </w:trPr>
        <w:tc>
          <w:tcPr>
            <w:tcW w:w="318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1,569,903,837.15</w:t>
            </w:r>
          </w:p>
        </w:tc>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1,238,510,647.81</w:t>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47、现金流量表补充资料" w:id="373"/>
      <w:bookmarkEnd w:id="373"/>
      <w:r>
        <w:rPr>
          <w:b w:val="0"/>
          <w:bCs w:val="0"/>
        </w:rPr>
      </w:r>
      <w:r>
        <w:rPr>
          <w:rFonts w:ascii="Trebuchet MS" w:hAnsi="Trebuchet MS" w:cs="Trebuchet MS" w:eastAsia="Trebuchet MS" w:hint="default"/>
        </w:rPr>
        <w:t>47</w:t>
      </w:r>
      <w:r>
        <w:rPr/>
        <w:t>、现金流量表补充资料</w:t>
      </w:r>
      <w:r>
        <w:rPr>
          <w:b w:val="0"/>
          <w:bCs w:val="0"/>
        </w:rPr>
      </w:r>
    </w:p>
    <w:p>
      <w:pPr>
        <w:spacing w:line="240" w:lineRule="auto" w:before="7"/>
        <w:rPr>
          <w:rFonts w:ascii="宋体" w:hAnsi="宋体" w:cs="宋体" w:eastAsia="宋体" w:hint="default"/>
          <w:b/>
          <w:bCs/>
          <w:sz w:val="24"/>
          <w:szCs w:val="24"/>
        </w:rPr>
      </w:pPr>
    </w:p>
    <w:p>
      <w:pPr>
        <w:spacing w:before="0"/>
        <w:ind w:left="636" w:right="1513" w:firstLine="0"/>
        <w:jc w:val="left"/>
        <w:rPr>
          <w:rFonts w:ascii="宋体" w:hAnsi="宋体" w:cs="宋体" w:eastAsia="宋体" w:hint="default"/>
          <w:sz w:val="21"/>
          <w:szCs w:val="21"/>
        </w:rPr>
      </w:pPr>
      <w:bookmarkStart w:name="（1）现金流量表补充资料" w:id="374"/>
      <w:bookmarkEnd w:id="374"/>
      <w:r>
        <w:rPr/>
      </w:r>
      <w:r>
        <w:rPr>
          <w:rFonts w:ascii="宋体" w:hAnsi="宋体" w:cs="宋体" w:eastAsia="宋体" w:hint="default"/>
          <w:b/>
          <w:bCs/>
          <w:sz w:val="21"/>
          <w:szCs w:val="21"/>
        </w:rPr>
        <w:t>（</w:t>
      </w:r>
      <w:r>
        <w:rPr>
          <w:rFonts w:ascii="Trebuchet MS" w:hAnsi="Trebuchet MS" w:cs="Trebuchet MS" w:eastAsia="Trebuchet MS"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328"/>
        <w:gridCol w:w="3057"/>
        <w:gridCol w:w="3184"/>
      </w:tblGrid>
      <w:tr>
        <w:trPr>
          <w:trHeight w:val="322" w:hRule="exact"/>
        </w:trPr>
        <w:tc>
          <w:tcPr>
            <w:tcW w:w="9569" w:type="dxa"/>
            <w:gridSpan w:val="3"/>
            <w:tcBorders>
              <w:top w:val="single" w:sz="4" w:space="0" w:color="5B9BD4"/>
              <w:left w:val="nil" w:sz="6" w:space="0" w:color="auto"/>
              <w:bottom w:val="single" w:sz="4" w:space="0" w:color="5B9BD4"/>
              <w:right w:val="nil" w:sz="6" w:space="0" w:color="auto"/>
            </w:tcBorders>
            <w:shd w:val="clear" w:color="auto" w:fill="DEEAF6"/>
          </w:tcPr>
          <w:p>
            <w:pPr>
              <w:pStyle w:val="TableParagraph"/>
              <w:tabs>
                <w:tab w:pos="4495" w:val="left" w:leader="none"/>
                <w:tab w:pos="7616" w:val="left" w:leader="none"/>
              </w:tabs>
              <w:spacing w:line="240" w:lineRule="auto" w:before="5"/>
              <w:ind w:left="1303" w:right="0"/>
              <w:jc w:val="left"/>
              <w:rPr>
                <w:rFonts w:ascii="宋体" w:hAnsi="宋体" w:cs="宋体" w:eastAsia="宋体" w:hint="default"/>
                <w:sz w:val="18"/>
                <w:szCs w:val="18"/>
              </w:rPr>
            </w:pPr>
            <w:r>
              <w:rPr>
                <w:rFonts w:ascii="宋体" w:hAnsi="宋体" w:cs="宋体" w:eastAsia="宋体" w:hint="default"/>
                <w:sz w:val="18"/>
                <w:szCs w:val="18"/>
              </w:rPr>
              <w:t>补充资料</w:t>
              <w:tab/>
              <w:t>本期金额</w:t>
              <w:tab/>
              <w:t>上期金额</w:t>
            </w:r>
          </w:p>
        </w:tc>
      </w:tr>
      <w:tr>
        <w:trPr>
          <w:trHeight w:val="322" w:hRule="exact"/>
        </w:trPr>
        <w:tc>
          <w:tcPr>
            <w:tcW w:w="33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w:t>
            </w:r>
            <w:r>
              <w:rPr>
                <w:rFonts w:ascii="Arial"/>
                <w:sz w:val="18"/>
              </w:rPr>
            </w:r>
          </w:p>
        </w:tc>
        <w:tc>
          <w:tcPr>
            <w:tcW w:w="31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w w:val="95"/>
                <w:sz w:val="18"/>
              </w:rPr>
              <w:t>--</w:t>
            </w:r>
            <w:r>
              <w:rPr>
                <w:rFonts w:ascii="Arial"/>
                <w:sz w:val="18"/>
              </w:rPr>
            </w:r>
          </w:p>
        </w:tc>
      </w:tr>
      <w:tr>
        <w:trPr>
          <w:trHeight w:val="322" w:hRule="exact"/>
        </w:trPr>
        <w:tc>
          <w:tcPr>
            <w:tcW w:w="33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138,361,265.57</w:t>
            </w:r>
            <w:r>
              <w:rPr>
                <w:rFonts w:ascii="Arial"/>
                <w:sz w:val="18"/>
              </w:rPr>
            </w:r>
          </w:p>
        </w:tc>
        <w:tc>
          <w:tcPr>
            <w:tcW w:w="31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47,202,438.17</w:t>
            </w:r>
            <w:r>
              <w:rPr>
                <w:rFonts w:ascii="Arial"/>
                <w:sz w:val="18"/>
              </w:rPr>
            </w:r>
          </w:p>
        </w:tc>
      </w:tr>
      <w:tr>
        <w:trPr>
          <w:trHeight w:val="322" w:hRule="exact"/>
        </w:trPr>
        <w:tc>
          <w:tcPr>
            <w:tcW w:w="33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95,138,968.52</w:t>
            </w:r>
            <w:r>
              <w:rPr>
                <w:rFonts w:ascii="Arial"/>
                <w:sz w:val="18"/>
              </w:rPr>
            </w:r>
          </w:p>
        </w:tc>
        <w:tc>
          <w:tcPr>
            <w:tcW w:w="31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120,988,568.77</w:t>
            </w:r>
            <w:r>
              <w:rPr>
                <w:rFonts w:ascii="Arial"/>
                <w:sz w:val="18"/>
              </w:rPr>
            </w:r>
          </w:p>
        </w:tc>
      </w:tr>
      <w:tr>
        <w:trPr>
          <w:trHeight w:val="634" w:hRule="exact"/>
        </w:trPr>
        <w:tc>
          <w:tcPr>
            <w:tcW w:w="33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159"/>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 生物资产折旧</w:t>
            </w:r>
          </w:p>
        </w:tc>
        <w:tc>
          <w:tcPr>
            <w:tcW w:w="3057"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15,802,335.98</w:t>
            </w:r>
            <w:r>
              <w:rPr>
                <w:rFonts w:ascii="Arial"/>
                <w:sz w:val="18"/>
              </w:rPr>
            </w:r>
          </w:p>
        </w:tc>
        <w:tc>
          <w:tcPr>
            <w:tcW w:w="31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18,544,840.39</w:t>
            </w:r>
            <w:r>
              <w:rPr>
                <w:rFonts w:ascii="Arial"/>
                <w:sz w:val="18"/>
              </w:rPr>
            </w:r>
          </w:p>
        </w:tc>
      </w:tr>
      <w:tr>
        <w:trPr>
          <w:trHeight w:val="322" w:hRule="exact"/>
        </w:trPr>
        <w:tc>
          <w:tcPr>
            <w:tcW w:w="33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13,712,946.99</w:t>
            </w:r>
            <w:r>
              <w:rPr>
                <w:rFonts w:ascii="Arial"/>
                <w:sz w:val="18"/>
              </w:rPr>
            </w:r>
          </w:p>
        </w:tc>
        <w:tc>
          <w:tcPr>
            <w:tcW w:w="31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23,693,851.45</w:t>
            </w:r>
            <w:r>
              <w:rPr>
                <w:rFonts w:ascii="Arial"/>
                <w:sz w:val="18"/>
              </w:rPr>
            </w:r>
          </w:p>
        </w:tc>
      </w:tr>
      <w:tr>
        <w:trPr>
          <w:trHeight w:val="323" w:hRule="exact"/>
        </w:trPr>
        <w:tc>
          <w:tcPr>
            <w:tcW w:w="33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19,644,950.36</w:t>
            </w:r>
            <w:r>
              <w:rPr>
                <w:rFonts w:ascii="Arial"/>
                <w:sz w:val="18"/>
              </w:rPr>
            </w:r>
          </w:p>
        </w:tc>
        <w:tc>
          <w:tcPr>
            <w:tcW w:w="31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29,414,517.65</w:t>
            </w:r>
            <w:r>
              <w:rPr>
                <w:rFonts w:ascii="Arial"/>
                <w:sz w:val="18"/>
              </w:rPr>
            </w:r>
          </w:p>
        </w:tc>
      </w:tr>
      <w:tr>
        <w:trPr>
          <w:trHeight w:val="634" w:hRule="exact"/>
        </w:trPr>
        <w:tc>
          <w:tcPr>
            <w:tcW w:w="33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159"/>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 产的损失（收益以“－”号填列）</w:t>
            </w:r>
          </w:p>
        </w:tc>
        <w:tc>
          <w:tcPr>
            <w:tcW w:w="3057"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103,825.38</w:t>
            </w:r>
            <w:r>
              <w:rPr>
                <w:rFonts w:ascii="Arial"/>
                <w:sz w:val="18"/>
              </w:rPr>
            </w:r>
          </w:p>
        </w:tc>
        <w:tc>
          <w:tcPr>
            <w:tcW w:w="31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885,235.64</w:t>
            </w:r>
            <w:r>
              <w:rPr>
                <w:rFonts w:ascii="Arial"/>
                <w:sz w:val="18"/>
              </w:rPr>
            </w:r>
          </w:p>
        </w:tc>
      </w:tr>
      <w:tr>
        <w:trPr>
          <w:trHeight w:val="634" w:hRule="exact"/>
        </w:trPr>
        <w:tc>
          <w:tcPr>
            <w:tcW w:w="33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57"/>
              <w:jc w:val="left"/>
              <w:rPr>
                <w:rFonts w:ascii="宋体" w:hAnsi="宋体" w:cs="宋体" w:eastAsia="宋体" w:hint="default"/>
                <w:sz w:val="18"/>
                <w:szCs w:val="18"/>
              </w:rPr>
            </w:pPr>
            <w:r>
              <w:rPr>
                <w:rFonts w:ascii="宋体" w:hAnsi="宋体" w:cs="宋体" w:eastAsia="宋体" w:hint="default"/>
                <w:sz w:val="18"/>
                <w:szCs w:val="18"/>
              </w:rPr>
              <w:t>固定资产报废损失（收益以“－”号填 列）</w:t>
            </w:r>
          </w:p>
        </w:tc>
        <w:tc>
          <w:tcPr>
            <w:tcW w:w="3057" w:type="dxa"/>
            <w:tcBorders>
              <w:top w:val="single" w:sz="4" w:space="0" w:color="5B9BD4"/>
              <w:left w:val="nil" w:sz="6" w:space="0" w:color="auto"/>
              <w:bottom w:val="single" w:sz="4" w:space="0" w:color="5B9BD4"/>
              <w:right w:val="nil" w:sz="6" w:space="0" w:color="auto"/>
            </w:tcBorders>
          </w:tcPr>
          <w:p>
            <w:pPr/>
          </w:p>
        </w:tc>
        <w:tc>
          <w:tcPr>
            <w:tcW w:w="3184"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4" w:hRule="exact"/>
        </w:trPr>
        <w:tc>
          <w:tcPr>
            <w:tcW w:w="33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57"/>
              <w:jc w:val="left"/>
              <w:rPr>
                <w:rFonts w:ascii="宋体" w:hAnsi="宋体" w:cs="宋体" w:eastAsia="宋体" w:hint="default"/>
                <w:sz w:val="18"/>
                <w:szCs w:val="18"/>
              </w:rPr>
            </w:pPr>
            <w:r>
              <w:rPr>
                <w:rFonts w:ascii="宋体" w:hAnsi="宋体" w:cs="宋体" w:eastAsia="宋体" w:hint="default"/>
                <w:sz w:val="18"/>
                <w:szCs w:val="18"/>
              </w:rPr>
              <w:t>公允价值变动损失（收益以“－”号填 列）</w:t>
            </w:r>
          </w:p>
        </w:tc>
        <w:tc>
          <w:tcPr>
            <w:tcW w:w="3057"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-23,085,642.68</w:t>
            </w:r>
            <w:r>
              <w:rPr>
                <w:rFonts w:ascii="Arial"/>
                <w:sz w:val="18"/>
              </w:rPr>
            </w:r>
          </w:p>
        </w:tc>
        <w:tc>
          <w:tcPr>
            <w:tcW w:w="31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-2,876,136.44</w:t>
            </w:r>
            <w:r>
              <w:rPr>
                <w:rFonts w:ascii="Arial"/>
                <w:sz w:val="18"/>
              </w:rPr>
            </w:r>
          </w:p>
        </w:tc>
      </w:tr>
      <w:tr>
        <w:trPr>
          <w:trHeight w:val="322" w:hRule="exact"/>
        </w:trPr>
        <w:tc>
          <w:tcPr>
            <w:tcW w:w="33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57"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164,064,901.90</w:t>
            </w:r>
            <w:r>
              <w:rPr>
                <w:rFonts w:ascii="Arial"/>
                <w:sz w:val="18"/>
              </w:rPr>
            </w:r>
          </w:p>
        </w:tc>
        <w:tc>
          <w:tcPr>
            <w:tcW w:w="31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237,000,628.13</w:t>
            </w:r>
            <w:r>
              <w:rPr>
                <w:rFonts w:ascii="Arial"/>
                <w:sz w:val="18"/>
              </w:rPr>
            </w:r>
          </w:p>
        </w:tc>
      </w:tr>
      <w:tr>
        <w:trPr>
          <w:trHeight w:val="322" w:hRule="exact"/>
        </w:trPr>
        <w:tc>
          <w:tcPr>
            <w:tcW w:w="33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57"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-11,807,605.12</w:t>
            </w:r>
            <w:r>
              <w:rPr>
                <w:rFonts w:ascii="Arial"/>
                <w:sz w:val="18"/>
              </w:rPr>
            </w:r>
          </w:p>
        </w:tc>
        <w:tc>
          <w:tcPr>
            <w:tcW w:w="31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-3,608,736.15</w:t>
            </w:r>
            <w:r>
              <w:rPr>
                <w:rFonts w:ascii="Arial"/>
                <w:sz w:val="18"/>
              </w:rPr>
            </w:r>
          </w:p>
        </w:tc>
      </w:tr>
      <w:tr>
        <w:trPr>
          <w:trHeight w:val="634" w:hRule="exact"/>
        </w:trPr>
        <w:tc>
          <w:tcPr>
            <w:tcW w:w="33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57"/>
              <w:jc w:val="left"/>
              <w:rPr>
                <w:rFonts w:ascii="宋体" w:hAnsi="宋体" w:cs="宋体" w:eastAsia="宋体" w:hint="default"/>
                <w:sz w:val="18"/>
                <w:szCs w:val="18"/>
              </w:rPr>
            </w:pPr>
            <w:r>
              <w:rPr>
                <w:rFonts w:ascii="宋体" w:hAnsi="宋体" w:cs="宋体" w:eastAsia="宋体" w:hint="default"/>
                <w:sz w:val="18"/>
                <w:szCs w:val="18"/>
              </w:rPr>
              <w:t>递延所得税资产减少（增加以“－”号 填列）</w:t>
            </w:r>
          </w:p>
        </w:tc>
        <w:tc>
          <w:tcPr>
            <w:tcW w:w="3057"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-15,511,313.80</w:t>
            </w:r>
            <w:r>
              <w:rPr>
                <w:rFonts w:ascii="Arial"/>
                <w:sz w:val="18"/>
              </w:rPr>
            </w:r>
          </w:p>
        </w:tc>
        <w:tc>
          <w:tcPr>
            <w:tcW w:w="31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-55,765,063.25</w:t>
            </w:r>
            <w:r>
              <w:rPr>
                <w:rFonts w:ascii="Arial"/>
                <w:sz w:val="18"/>
              </w:rPr>
            </w:r>
          </w:p>
        </w:tc>
      </w:tr>
      <w:tr>
        <w:trPr>
          <w:trHeight w:val="634" w:hRule="exact"/>
        </w:trPr>
        <w:tc>
          <w:tcPr>
            <w:tcW w:w="33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157"/>
              <w:jc w:val="left"/>
              <w:rPr>
                <w:rFonts w:ascii="宋体" w:hAnsi="宋体" w:cs="宋体" w:eastAsia="宋体" w:hint="default"/>
                <w:sz w:val="18"/>
                <w:szCs w:val="18"/>
              </w:rPr>
            </w:pPr>
            <w:r>
              <w:rPr>
                <w:rFonts w:ascii="宋体" w:hAnsi="宋体" w:cs="宋体" w:eastAsia="宋体" w:hint="default"/>
                <w:sz w:val="18"/>
                <w:szCs w:val="18"/>
              </w:rPr>
              <w:t>递延所得税负债增加（减少以“－”号 填列）</w:t>
            </w:r>
          </w:p>
        </w:tc>
        <w:tc>
          <w:tcPr>
            <w:tcW w:w="3057"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5,234,252.32</w:t>
            </w:r>
            <w:r>
              <w:rPr>
                <w:rFonts w:ascii="Arial"/>
                <w:sz w:val="18"/>
              </w:rPr>
            </w:r>
          </w:p>
        </w:tc>
        <w:tc>
          <w:tcPr>
            <w:tcW w:w="31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-2,279,918.10</w:t>
            </w:r>
            <w:r>
              <w:rPr>
                <w:rFonts w:ascii="Arial"/>
                <w:sz w:val="18"/>
              </w:rPr>
            </w:r>
          </w:p>
        </w:tc>
      </w:tr>
      <w:tr>
        <w:trPr>
          <w:trHeight w:val="322" w:hRule="exact"/>
        </w:trPr>
        <w:tc>
          <w:tcPr>
            <w:tcW w:w="33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57"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spacing w:val="-1"/>
                <w:sz w:val="18"/>
              </w:rPr>
              <w:t>-669,136,647.34</w:t>
            </w:r>
          </w:p>
        </w:tc>
        <w:tc>
          <w:tcPr>
            <w:tcW w:w="31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2,106,019,254.20</w:t>
            </w:r>
          </w:p>
        </w:tc>
      </w:tr>
      <w:tr>
        <w:trPr>
          <w:trHeight w:val="634" w:hRule="exact"/>
        </w:trPr>
        <w:tc>
          <w:tcPr>
            <w:tcW w:w="33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57"/>
              <w:jc w:val="left"/>
              <w:rPr>
                <w:rFonts w:ascii="宋体" w:hAnsi="宋体" w:cs="宋体" w:eastAsia="宋体" w:hint="default"/>
                <w:sz w:val="18"/>
                <w:szCs w:val="18"/>
              </w:rPr>
            </w:pPr>
            <w:r>
              <w:rPr>
                <w:rFonts w:ascii="宋体" w:hAnsi="宋体" w:cs="宋体" w:eastAsia="宋体" w:hint="default"/>
                <w:sz w:val="18"/>
                <w:szCs w:val="18"/>
              </w:rPr>
              <w:t>经营性应收项目的减少（增加以“－” 号填列）</w:t>
            </w:r>
          </w:p>
        </w:tc>
        <w:tc>
          <w:tcPr>
            <w:tcW w:w="3057"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575,059,607.21</w:t>
            </w:r>
            <w:r>
              <w:rPr>
                <w:rFonts w:ascii="Arial"/>
                <w:sz w:val="18"/>
              </w:rPr>
            </w:r>
          </w:p>
        </w:tc>
        <w:tc>
          <w:tcPr>
            <w:tcW w:w="31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18"/>
                <w:szCs w:val="18"/>
              </w:rPr>
            </w:pPr>
            <w:r>
              <w:rPr>
                <w:rFonts w:ascii="Arial"/>
                <w:spacing w:val="-1"/>
                <w:sz w:val="18"/>
              </w:rPr>
              <w:t>-201,198,143.60</w:t>
            </w:r>
          </w:p>
        </w:tc>
      </w:tr>
      <w:tr>
        <w:trPr>
          <w:trHeight w:val="634" w:hRule="exact"/>
        </w:trPr>
        <w:tc>
          <w:tcPr>
            <w:tcW w:w="33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157"/>
              <w:jc w:val="left"/>
              <w:rPr>
                <w:rFonts w:ascii="宋体" w:hAnsi="宋体" w:cs="宋体" w:eastAsia="宋体" w:hint="default"/>
                <w:sz w:val="18"/>
                <w:szCs w:val="18"/>
              </w:rPr>
            </w:pPr>
            <w:r>
              <w:rPr>
                <w:rFonts w:ascii="宋体" w:hAnsi="宋体" w:cs="宋体" w:eastAsia="宋体" w:hint="default"/>
                <w:sz w:val="18"/>
                <w:szCs w:val="18"/>
              </w:rPr>
              <w:t>经营性应付项目的增加（减少以“－” 号填列）</w:t>
            </w:r>
          </w:p>
        </w:tc>
        <w:tc>
          <w:tcPr>
            <w:tcW w:w="3057"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6,540,800.47</w:t>
            </w:r>
            <w:r>
              <w:rPr>
                <w:rFonts w:ascii="Arial"/>
                <w:sz w:val="18"/>
              </w:rPr>
            </w:r>
          </w:p>
        </w:tc>
        <w:tc>
          <w:tcPr>
            <w:tcW w:w="31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spacing w:val="-1"/>
                <w:sz w:val="18"/>
              </w:rPr>
              <w:t>-2,285,050,214.15</w:t>
            </w:r>
          </w:p>
        </w:tc>
      </w:tr>
      <w:tr>
        <w:trPr>
          <w:trHeight w:val="322" w:hRule="exact"/>
        </w:trPr>
        <w:tc>
          <w:tcPr>
            <w:tcW w:w="33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7"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-21,577,951.15</w:t>
            </w:r>
            <w:r>
              <w:rPr>
                <w:rFonts w:ascii="Arial"/>
                <w:sz w:val="18"/>
              </w:rPr>
            </w:r>
          </w:p>
        </w:tc>
        <w:tc>
          <w:tcPr>
            <w:tcW w:w="31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-23,874,353.37</w:t>
            </w:r>
            <w:r>
              <w:rPr>
                <w:rFonts w:ascii="Arial"/>
                <w:sz w:val="18"/>
              </w:rPr>
            </w:r>
          </w:p>
        </w:tc>
      </w:tr>
      <w:tr>
        <w:trPr>
          <w:trHeight w:val="322" w:hRule="exact"/>
        </w:trPr>
        <w:tc>
          <w:tcPr>
            <w:tcW w:w="33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292,544,694.61</w:t>
            </w:r>
            <w:r>
              <w:rPr>
                <w:rFonts w:ascii="Arial"/>
                <w:sz w:val="18"/>
              </w:rPr>
            </w:r>
          </w:p>
        </w:tc>
        <w:tc>
          <w:tcPr>
            <w:tcW w:w="31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9,096,769.34</w:t>
            </w:r>
            <w:r>
              <w:rPr>
                <w:rFonts w:ascii="Arial"/>
                <w:sz w:val="18"/>
              </w:rPr>
            </w:r>
          </w:p>
        </w:tc>
      </w:tr>
      <w:tr>
        <w:trPr>
          <w:trHeight w:val="634" w:hRule="exact"/>
        </w:trPr>
        <w:tc>
          <w:tcPr>
            <w:tcW w:w="33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2" w:lineRule="auto" w:before="6"/>
              <w:ind w:left="108" w:right="107"/>
              <w:jc w:val="left"/>
              <w:rPr>
                <w:rFonts w:ascii="宋体" w:hAnsi="宋体" w:cs="宋体" w:eastAsia="宋体" w:hint="default"/>
                <w:sz w:val="18"/>
                <w:szCs w:val="18"/>
              </w:rPr>
            </w:pPr>
            <w:r>
              <w:rPr>
                <w:rFonts w:ascii="Arial" w:hAnsi="Arial" w:cs="Arial" w:eastAsia="Arial"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动：</w:t>
            </w:r>
          </w:p>
        </w:tc>
        <w:tc>
          <w:tcPr>
            <w:tcW w:w="3057"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18"/>
                <w:szCs w:val="18"/>
              </w:rPr>
            </w:pPr>
            <w:r>
              <w:rPr>
                <w:rFonts w:ascii="Arial"/>
                <w:w w:val="95"/>
                <w:sz w:val="18"/>
              </w:rPr>
              <w:t>--</w:t>
            </w:r>
            <w:r>
              <w:rPr>
                <w:rFonts w:ascii="Arial"/>
                <w:sz w:val="18"/>
              </w:rPr>
            </w:r>
          </w:p>
        </w:tc>
        <w:tc>
          <w:tcPr>
            <w:tcW w:w="31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18"/>
                <w:szCs w:val="18"/>
              </w:rPr>
            </w:pPr>
            <w:r>
              <w:rPr>
                <w:rFonts w:ascii="Arial"/>
                <w:w w:val="95"/>
                <w:sz w:val="18"/>
              </w:rPr>
              <w:t>--</w:t>
            </w:r>
            <w:r>
              <w:rPr>
                <w:rFonts w:ascii="Arial"/>
                <w:sz w:val="18"/>
              </w:rPr>
            </w:r>
          </w:p>
        </w:tc>
      </w:tr>
    </w:tbl>
    <w:p>
      <w:pPr>
        <w:spacing w:after="0" w:line="240" w:lineRule="auto"/>
        <w:jc w:val="right"/>
        <w:rPr>
          <w:rFonts w:ascii="Arial" w:hAnsi="Arial" w:cs="Arial" w:eastAsia="Arial" w:hint="default"/>
          <w:sz w:val="18"/>
          <w:szCs w:val="18"/>
        </w:rPr>
        <w:sectPr>
          <w:pgSz w:w="11910" w:h="16840"/>
          <w:pgMar w:header="877" w:footer="979" w:top="1100" w:bottom="1160" w:left="920" w:right="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3328"/>
        <w:gridCol w:w="3057"/>
        <w:gridCol w:w="3184"/>
      </w:tblGrid>
      <w:tr>
        <w:trPr>
          <w:trHeight w:val="322" w:hRule="exact"/>
        </w:trPr>
        <w:tc>
          <w:tcPr>
            <w:tcW w:w="33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3057" w:type="dxa"/>
            <w:tcBorders>
              <w:top w:val="single" w:sz="4" w:space="0" w:color="5B9BD4"/>
              <w:left w:val="nil" w:sz="6" w:space="0" w:color="auto"/>
              <w:bottom w:val="single" w:sz="4" w:space="0" w:color="5B9BD4"/>
              <w:right w:val="nil" w:sz="6" w:space="0" w:color="auto"/>
            </w:tcBorders>
          </w:tcPr>
          <w:p>
            <w:pPr/>
          </w:p>
        </w:tc>
        <w:tc>
          <w:tcPr>
            <w:tcW w:w="3184"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3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3057" w:type="dxa"/>
            <w:tcBorders>
              <w:top w:val="single" w:sz="4" w:space="0" w:color="5B9BD4"/>
              <w:left w:val="nil" w:sz="6" w:space="0" w:color="auto"/>
              <w:bottom w:val="single" w:sz="4" w:space="0" w:color="5B9BD4"/>
              <w:right w:val="nil" w:sz="6" w:space="0" w:color="auto"/>
            </w:tcBorders>
          </w:tcPr>
          <w:p>
            <w:pPr/>
          </w:p>
        </w:tc>
        <w:tc>
          <w:tcPr>
            <w:tcW w:w="3184"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3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3057" w:type="dxa"/>
            <w:tcBorders>
              <w:top w:val="single" w:sz="4" w:space="0" w:color="5B9BD4"/>
              <w:left w:val="nil" w:sz="6" w:space="0" w:color="auto"/>
              <w:bottom w:val="single" w:sz="4" w:space="0" w:color="5B9BD4"/>
              <w:right w:val="nil" w:sz="6" w:space="0" w:color="auto"/>
            </w:tcBorders>
          </w:tcPr>
          <w:p>
            <w:pPr/>
          </w:p>
        </w:tc>
        <w:tc>
          <w:tcPr>
            <w:tcW w:w="3184"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3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．现金及现金等价物净变动情况：</w:t>
            </w:r>
          </w:p>
        </w:tc>
        <w:tc>
          <w:tcPr>
            <w:tcW w:w="3057"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w:t>
            </w:r>
            <w:r>
              <w:rPr>
                <w:rFonts w:ascii="Arial"/>
                <w:sz w:val="18"/>
              </w:rPr>
            </w:r>
          </w:p>
        </w:tc>
        <w:tc>
          <w:tcPr>
            <w:tcW w:w="31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w w:val="95"/>
                <w:sz w:val="18"/>
              </w:rPr>
              <w:t>--</w:t>
            </w:r>
            <w:r>
              <w:rPr>
                <w:rFonts w:ascii="Arial"/>
                <w:sz w:val="18"/>
              </w:rPr>
            </w:r>
          </w:p>
        </w:tc>
      </w:tr>
      <w:tr>
        <w:trPr>
          <w:trHeight w:val="323" w:hRule="exact"/>
        </w:trPr>
        <w:tc>
          <w:tcPr>
            <w:tcW w:w="33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5B9BD4"/>
              <w:left w:val="nil" w:sz="6" w:space="0" w:color="auto"/>
              <w:bottom w:val="single" w:sz="4" w:space="0" w:color="5B9BD4"/>
              <w:right w:val="nil" w:sz="6" w:space="0" w:color="auto"/>
            </w:tcBorders>
          </w:tcPr>
          <w:p>
            <w:pPr>
              <w:pStyle w:val="TableParagraph"/>
              <w:spacing w:line="240" w:lineRule="auto" w:before="48"/>
              <w:ind w:right="106"/>
              <w:jc w:val="right"/>
              <w:rPr>
                <w:rFonts w:ascii="Arial" w:hAnsi="Arial" w:cs="Arial" w:eastAsia="Arial" w:hint="default"/>
                <w:sz w:val="18"/>
                <w:szCs w:val="18"/>
              </w:rPr>
            </w:pPr>
            <w:r>
              <w:rPr>
                <w:rFonts w:ascii="Arial"/>
                <w:spacing w:val="-1"/>
                <w:sz w:val="18"/>
              </w:rPr>
              <w:t>1,516,933,770.36</w:t>
            </w:r>
          </w:p>
        </w:tc>
        <w:tc>
          <w:tcPr>
            <w:tcW w:w="31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8"/>
              <w:ind w:right="106"/>
              <w:jc w:val="right"/>
              <w:rPr>
                <w:rFonts w:ascii="Arial" w:hAnsi="Arial" w:cs="Arial" w:eastAsia="Arial" w:hint="default"/>
                <w:sz w:val="18"/>
                <w:szCs w:val="18"/>
              </w:rPr>
            </w:pPr>
            <w:r>
              <w:rPr>
                <w:rFonts w:ascii="Arial"/>
                <w:spacing w:val="-1"/>
                <w:sz w:val="18"/>
              </w:rPr>
              <w:t>1,247,498,555.13</w:t>
            </w:r>
          </w:p>
        </w:tc>
      </w:tr>
      <w:tr>
        <w:trPr>
          <w:trHeight w:val="322" w:hRule="exact"/>
        </w:trPr>
        <w:tc>
          <w:tcPr>
            <w:tcW w:w="33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1,247,498,555.13</w:t>
            </w:r>
          </w:p>
        </w:tc>
        <w:tc>
          <w:tcPr>
            <w:tcW w:w="31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1,357,576,945.77</w:t>
            </w:r>
          </w:p>
        </w:tc>
      </w:tr>
      <w:tr>
        <w:trPr>
          <w:trHeight w:val="322" w:hRule="exact"/>
        </w:trPr>
        <w:tc>
          <w:tcPr>
            <w:tcW w:w="33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57" w:type="dxa"/>
            <w:tcBorders>
              <w:top w:val="single" w:sz="4" w:space="0" w:color="5B9BD4"/>
              <w:left w:val="nil" w:sz="6" w:space="0" w:color="auto"/>
              <w:bottom w:val="single" w:sz="4" w:space="0" w:color="5B9BD4"/>
              <w:right w:val="nil" w:sz="6" w:space="0" w:color="auto"/>
            </w:tcBorders>
          </w:tcPr>
          <w:p>
            <w:pPr/>
          </w:p>
        </w:tc>
        <w:tc>
          <w:tcPr>
            <w:tcW w:w="3184"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3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57" w:type="dxa"/>
            <w:tcBorders>
              <w:top w:val="single" w:sz="4" w:space="0" w:color="5B9BD4"/>
              <w:left w:val="nil" w:sz="6" w:space="0" w:color="auto"/>
              <w:bottom w:val="single" w:sz="4" w:space="0" w:color="5B9BD4"/>
              <w:right w:val="nil" w:sz="6" w:space="0" w:color="auto"/>
            </w:tcBorders>
          </w:tcPr>
          <w:p>
            <w:pPr/>
          </w:p>
        </w:tc>
        <w:tc>
          <w:tcPr>
            <w:tcW w:w="31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1,293,601,304.49</w:t>
            </w:r>
          </w:p>
        </w:tc>
      </w:tr>
      <w:tr>
        <w:trPr>
          <w:trHeight w:val="322" w:hRule="exact"/>
        </w:trPr>
        <w:tc>
          <w:tcPr>
            <w:tcW w:w="33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269,435,215.23</w:t>
            </w:r>
            <w:r>
              <w:rPr>
                <w:rFonts w:ascii="Arial"/>
                <w:sz w:val="18"/>
              </w:rPr>
            </w:r>
          </w:p>
        </w:tc>
        <w:tc>
          <w:tcPr>
            <w:tcW w:w="31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-1,403,679,695.13</w:t>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2）现金和现金等价物的构成" w:id="375"/>
      <w:bookmarkEnd w:id="375"/>
      <w:r>
        <w:rPr>
          <w:b w:val="0"/>
          <w:bCs w:val="0"/>
        </w:rPr>
      </w:r>
      <w:r>
        <w:rPr/>
        <w:t>（</w:t>
      </w:r>
      <w:r>
        <w:rPr>
          <w:rFonts w:ascii="Trebuchet MS" w:hAnsi="Trebuchet MS" w:cs="Trebuchet MS" w:eastAsia="Trebuchet MS" w:hint="default"/>
        </w:rPr>
        <w:t>2</w:t>
      </w:r>
      <w:r>
        <w:rPr/>
        <w:t>）现金和现金等价物的构成</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328"/>
        <w:gridCol w:w="3057"/>
        <w:gridCol w:w="3184"/>
      </w:tblGrid>
      <w:tr>
        <w:trPr>
          <w:trHeight w:val="323" w:hRule="exact"/>
        </w:trPr>
        <w:tc>
          <w:tcPr>
            <w:tcW w:w="33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left="10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107"/>
              <w:jc w:val="right"/>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107"/>
              <w:jc w:val="righ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3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1,516,933,770.36</w:t>
            </w:r>
          </w:p>
        </w:tc>
        <w:tc>
          <w:tcPr>
            <w:tcW w:w="31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1,247,498,555.13</w:t>
            </w:r>
          </w:p>
        </w:tc>
      </w:tr>
      <w:tr>
        <w:trPr>
          <w:trHeight w:val="322" w:hRule="exact"/>
        </w:trPr>
        <w:tc>
          <w:tcPr>
            <w:tcW w:w="33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355,890.17</w:t>
            </w:r>
            <w:r>
              <w:rPr>
                <w:rFonts w:ascii="Arial"/>
                <w:sz w:val="18"/>
              </w:rPr>
            </w:r>
          </w:p>
        </w:tc>
        <w:tc>
          <w:tcPr>
            <w:tcW w:w="31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3,565,598.63</w:t>
            </w:r>
            <w:r>
              <w:rPr>
                <w:rFonts w:ascii="Arial"/>
                <w:sz w:val="18"/>
              </w:rPr>
            </w:r>
          </w:p>
        </w:tc>
      </w:tr>
      <w:tr>
        <w:trPr>
          <w:trHeight w:val="322" w:hRule="exact"/>
        </w:trPr>
        <w:tc>
          <w:tcPr>
            <w:tcW w:w="33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648"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1,509,729,407.63</w:t>
            </w:r>
          </w:p>
        </w:tc>
        <w:tc>
          <w:tcPr>
            <w:tcW w:w="31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1,210,548,991.59</w:t>
            </w:r>
          </w:p>
        </w:tc>
      </w:tr>
      <w:tr>
        <w:trPr>
          <w:trHeight w:val="322" w:hRule="exact"/>
        </w:trPr>
        <w:tc>
          <w:tcPr>
            <w:tcW w:w="33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57"/>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6,848,472.56</w:t>
            </w:r>
            <w:r>
              <w:rPr>
                <w:rFonts w:ascii="Arial"/>
                <w:sz w:val="18"/>
              </w:rPr>
            </w:r>
          </w:p>
        </w:tc>
        <w:tc>
          <w:tcPr>
            <w:tcW w:w="31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33,383,964.91</w:t>
            </w:r>
            <w:r>
              <w:rPr>
                <w:rFonts w:ascii="Arial"/>
                <w:sz w:val="18"/>
              </w:rPr>
            </w:r>
          </w:p>
        </w:tc>
      </w:tr>
      <w:tr>
        <w:trPr>
          <w:trHeight w:val="322" w:hRule="exact"/>
        </w:trPr>
        <w:tc>
          <w:tcPr>
            <w:tcW w:w="33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57"/>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3057" w:type="dxa"/>
            <w:tcBorders>
              <w:top w:val="single" w:sz="4" w:space="0" w:color="5B9BD4"/>
              <w:left w:val="nil" w:sz="6" w:space="0" w:color="auto"/>
              <w:bottom w:val="single" w:sz="4" w:space="0" w:color="5B9BD4"/>
              <w:right w:val="nil" w:sz="6" w:space="0" w:color="auto"/>
            </w:tcBorders>
          </w:tcPr>
          <w:p>
            <w:pPr/>
          </w:p>
        </w:tc>
        <w:tc>
          <w:tcPr>
            <w:tcW w:w="3184"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3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648"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3057" w:type="dxa"/>
            <w:tcBorders>
              <w:top w:val="single" w:sz="4" w:space="0" w:color="5B9BD4"/>
              <w:left w:val="nil" w:sz="6" w:space="0" w:color="auto"/>
              <w:bottom w:val="single" w:sz="4" w:space="0" w:color="5B9BD4"/>
              <w:right w:val="nil" w:sz="6" w:space="0" w:color="auto"/>
            </w:tcBorders>
          </w:tcPr>
          <w:p>
            <w:pPr/>
          </w:p>
        </w:tc>
        <w:tc>
          <w:tcPr>
            <w:tcW w:w="3184"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3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648"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3057" w:type="dxa"/>
            <w:tcBorders>
              <w:top w:val="single" w:sz="4" w:space="0" w:color="5B9BD4"/>
              <w:left w:val="nil" w:sz="6" w:space="0" w:color="auto"/>
              <w:bottom w:val="single" w:sz="4" w:space="0" w:color="5B9BD4"/>
              <w:right w:val="nil" w:sz="6" w:space="0" w:color="auto"/>
            </w:tcBorders>
          </w:tcPr>
          <w:p>
            <w:pPr/>
          </w:p>
        </w:tc>
        <w:tc>
          <w:tcPr>
            <w:tcW w:w="3184"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3" w:hRule="exact"/>
        </w:trPr>
        <w:tc>
          <w:tcPr>
            <w:tcW w:w="33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57" w:type="dxa"/>
            <w:tcBorders>
              <w:top w:val="single" w:sz="4" w:space="0" w:color="5B9BD4"/>
              <w:left w:val="nil" w:sz="6" w:space="0" w:color="auto"/>
              <w:bottom w:val="single" w:sz="4" w:space="0" w:color="5B9BD4"/>
              <w:right w:val="nil" w:sz="6" w:space="0" w:color="auto"/>
            </w:tcBorders>
          </w:tcPr>
          <w:p>
            <w:pPr/>
          </w:p>
        </w:tc>
        <w:tc>
          <w:tcPr>
            <w:tcW w:w="3184"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3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3057" w:type="dxa"/>
            <w:tcBorders>
              <w:top w:val="single" w:sz="4" w:space="0" w:color="5B9BD4"/>
              <w:left w:val="nil" w:sz="6" w:space="0" w:color="auto"/>
              <w:bottom w:val="single" w:sz="4" w:space="0" w:color="5B9BD4"/>
              <w:right w:val="nil" w:sz="6" w:space="0" w:color="auto"/>
            </w:tcBorders>
          </w:tcPr>
          <w:p>
            <w:pPr/>
          </w:p>
        </w:tc>
        <w:tc>
          <w:tcPr>
            <w:tcW w:w="3184"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328" w:type="dxa"/>
            <w:tcBorders>
              <w:top w:val="single" w:sz="4" w:space="0" w:color="5B9BD4"/>
              <w:left w:val="nil" w:sz="6" w:space="0" w:color="auto"/>
              <w:bottom w:val="single" w:sz="4" w:space="0" w:color="5B9BD4"/>
              <w:right w:val="nil" w:sz="6" w:space="0" w:color="auto"/>
            </w:tcBorders>
            <w:shd w:val="clear" w:color="auto" w:fill="DEEAF6"/>
          </w:tcPr>
          <w:p>
            <w:pPr/>
          </w:p>
        </w:tc>
        <w:tc>
          <w:tcPr>
            <w:tcW w:w="3057" w:type="dxa"/>
            <w:tcBorders>
              <w:top w:val="single" w:sz="4" w:space="0" w:color="5B9BD4"/>
              <w:left w:val="nil" w:sz="6" w:space="0" w:color="auto"/>
              <w:bottom w:val="single" w:sz="4" w:space="0" w:color="5B9BD4"/>
              <w:right w:val="nil" w:sz="6" w:space="0" w:color="auto"/>
            </w:tcBorders>
          </w:tcPr>
          <w:p>
            <w:pPr/>
          </w:p>
        </w:tc>
        <w:tc>
          <w:tcPr>
            <w:tcW w:w="3184"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3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1,516,933,770.36</w:t>
            </w:r>
          </w:p>
        </w:tc>
        <w:tc>
          <w:tcPr>
            <w:tcW w:w="31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1,247,498,555.13</w:t>
            </w:r>
          </w:p>
        </w:tc>
      </w:tr>
      <w:tr>
        <w:trPr>
          <w:trHeight w:val="634" w:hRule="exact"/>
        </w:trPr>
        <w:tc>
          <w:tcPr>
            <w:tcW w:w="33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159"/>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 制的现金和现金等价物</w:t>
            </w:r>
          </w:p>
        </w:tc>
        <w:tc>
          <w:tcPr>
            <w:tcW w:w="3057" w:type="dxa"/>
            <w:tcBorders>
              <w:top w:val="single" w:sz="4" w:space="0" w:color="5B9BD4"/>
              <w:left w:val="nil" w:sz="6" w:space="0" w:color="auto"/>
              <w:bottom w:val="single" w:sz="4" w:space="0" w:color="5B9BD4"/>
              <w:right w:val="nil" w:sz="6" w:space="0" w:color="auto"/>
            </w:tcBorders>
          </w:tcPr>
          <w:p>
            <w:pPr/>
          </w:p>
        </w:tc>
        <w:tc>
          <w:tcPr>
            <w:tcW w:w="3184" w:type="dxa"/>
            <w:tcBorders>
              <w:top w:val="single" w:sz="4" w:space="0" w:color="5B9BD4"/>
              <w:left w:val="nil" w:sz="6" w:space="0" w:color="auto"/>
              <w:bottom w:val="single" w:sz="4" w:space="0" w:color="5B9BD4"/>
              <w:right w:val="nil" w:sz="6" w:space="0" w:color="auto"/>
            </w:tcBorders>
            <w:shd w:val="clear" w:color="auto" w:fill="DEEAF6"/>
          </w:tcPr>
          <w:p>
            <w:pP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48、所有权或使用权受到限制的资产" w:id="376"/>
      <w:bookmarkEnd w:id="376"/>
      <w:r>
        <w:rPr>
          <w:b w:val="0"/>
          <w:bCs w:val="0"/>
        </w:rPr>
      </w:r>
      <w:r>
        <w:rPr>
          <w:rFonts w:ascii="Trebuchet MS" w:hAnsi="Trebuchet MS" w:cs="Trebuchet MS" w:eastAsia="Trebuchet MS" w:hint="default"/>
        </w:rPr>
        <w:t>48</w:t>
      </w:r>
      <w:r>
        <w:rPr/>
        <w:t>、所有权或使用权受到限制的资产</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328"/>
        <w:gridCol w:w="3057"/>
        <w:gridCol w:w="3184"/>
      </w:tblGrid>
      <w:tr>
        <w:trPr>
          <w:trHeight w:val="322" w:hRule="exact"/>
        </w:trPr>
        <w:tc>
          <w:tcPr>
            <w:tcW w:w="33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987"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634" w:hRule="exact"/>
        </w:trPr>
        <w:tc>
          <w:tcPr>
            <w:tcW w:w="33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spacing w:val="-1"/>
                <w:sz w:val="18"/>
              </w:rPr>
              <w:t>1,512,888,837.15</w:t>
            </w:r>
          </w:p>
        </w:tc>
        <w:tc>
          <w:tcPr>
            <w:tcW w:w="31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375" w:right="106" w:hanging="180"/>
              <w:jc w:val="left"/>
              <w:rPr>
                <w:rFonts w:ascii="宋体" w:hAnsi="宋体" w:cs="宋体" w:eastAsia="宋体" w:hint="default"/>
                <w:sz w:val="18"/>
                <w:szCs w:val="18"/>
              </w:rPr>
            </w:pPr>
            <w:r>
              <w:rPr>
                <w:rFonts w:ascii="宋体" w:hAnsi="宋体" w:cs="宋体" w:eastAsia="宋体" w:hint="default"/>
                <w:sz w:val="18"/>
                <w:szCs w:val="18"/>
              </w:rPr>
              <w:t>受限资金为银行开具保函和银承用途 等的保证金需等合同期满才可使用</w:t>
            </w:r>
          </w:p>
        </w:tc>
      </w:tr>
      <w:tr>
        <w:trPr>
          <w:trHeight w:val="634" w:hRule="exact"/>
        </w:trPr>
        <w:tc>
          <w:tcPr>
            <w:tcW w:w="33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left="108"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57"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144,676,258.00</w:t>
            </w:r>
            <w:r>
              <w:rPr>
                <w:rFonts w:ascii="Arial"/>
                <w:sz w:val="18"/>
              </w:rPr>
            </w:r>
          </w:p>
        </w:tc>
        <w:tc>
          <w:tcPr>
            <w:tcW w:w="31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915" w:right="107" w:hanging="721"/>
              <w:jc w:val="left"/>
              <w:rPr>
                <w:rFonts w:ascii="宋体" w:hAnsi="宋体" w:cs="宋体" w:eastAsia="宋体" w:hint="default"/>
                <w:sz w:val="18"/>
                <w:szCs w:val="18"/>
              </w:rPr>
            </w:pPr>
            <w:r>
              <w:rPr>
                <w:rFonts w:ascii="宋体" w:hAnsi="宋体" w:cs="宋体" w:eastAsia="宋体" w:hint="default"/>
                <w:sz w:val="18"/>
                <w:szCs w:val="18"/>
              </w:rPr>
              <w:t>银行承兑汇票质押给浙商银行股份有 限公司深圳分行进行超短贷</w:t>
            </w:r>
          </w:p>
        </w:tc>
      </w:tr>
      <w:tr>
        <w:trPr>
          <w:trHeight w:val="323" w:hRule="exact"/>
        </w:trPr>
        <w:tc>
          <w:tcPr>
            <w:tcW w:w="332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1,657,565,095.15</w:t>
            </w:r>
          </w:p>
        </w:tc>
        <w:tc>
          <w:tcPr>
            <w:tcW w:w="31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w w:val="95"/>
                <w:sz w:val="18"/>
              </w:rPr>
              <w:t>--</w:t>
            </w:r>
            <w:r>
              <w:rPr>
                <w:rFonts w:ascii="Arial"/>
                <w:sz w:val="18"/>
              </w:rPr>
            </w:r>
          </w:p>
        </w:tc>
      </w:tr>
    </w:tbl>
    <w:p>
      <w:pPr>
        <w:spacing w:line="240" w:lineRule="auto" w:before="0"/>
        <w:rPr>
          <w:rFonts w:ascii="宋体" w:hAnsi="宋体" w:cs="宋体" w:eastAsia="宋体" w:hint="default"/>
          <w:sz w:val="15"/>
          <w:szCs w:val="15"/>
        </w:rPr>
      </w:pPr>
    </w:p>
    <w:p>
      <w:pPr>
        <w:pStyle w:val="BodyText"/>
        <w:spacing w:line="240" w:lineRule="auto" w:before="18"/>
        <w:ind w:left="634" w:right="419"/>
        <w:jc w:val="left"/>
        <w:rPr>
          <w:rFonts w:ascii="Arial" w:hAnsi="Arial" w:cs="Arial" w:eastAsia="Arial" w:hint="default"/>
        </w:rPr>
      </w:pPr>
      <w:r>
        <w:rPr/>
        <w:t>注：使用受限的货币资金主要有银行承兑汇票保证金 </w:t>
      </w:r>
      <w:r>
        <w:rPr>
          <w:rFonts w:ascii="Arial" w:hAnsi="Arial" w:cs="Arial" w:eastAsia="Arial" w:hint="default"/>
        </w:rPr>
        <w:t>212,326.40 </w:t>
      </w:r>
      <w:r>
        <w:rPr/>
        <w:t>元，保函保证金</w:t>
      </w:r>
      <w:r>
        <w:rPr>
          <w:spacing w:val="-39"/>
        </w:rPr>
        <w:t> </w:t>
      </w:r>
      <w:r>
        <w:rPr>
          <w:rFonts w:ascii="Arial" w:hAnsi="Arial" w:cs="Arial" w:eastAsia="Arial" w:hint="default"/>
        </w:rPr>
        <w:t>1,512,476,510.75</w:t>
      </w:r>
    </w:p>
    <w:p>
      <w:pPr>
        <w:pStyle w:val="BodyText"/>
        <w:spacing w:line="240" w:lineRule="auto" w:before="178"/>
        <w:ind w:left="213" w:right="1513"/>
        <w:jc w:val="left"/>
      </w:pPr>
      <w:r>
        <w:rPr/>
        <w:t>元，其他保证金</w:t>
      </w:r>
      <w:r>
        <w:rPr>
          <w:spacing w:val="-55"/>
        </w:rPr>
        <w:t> </w:t>
      </w:r>
      <w:r>
        <w:rPr>
          <w:rFonts w:ascii="Arial" w:hAnsi="Arial" w:cs="Arial" w:eastAsia="Arial" w:hint="default"/>
        </w:rPr>
        <w:t>200,000.00</w:t>
      </w:r>
      <w:r>
        <w:rPr>
          <w:rFonts w:ascii="Arial" w:hAnsi="Arial" w:cs="Arial" w:eastAsia="Arial" w:hint="default"/>
          <w:spacing w:val="-9"/>
        </w:rPr>
        <w:t> </w:t>
      </w:r>
      <w:r>
        <w:rPr/>
        <w:t>元。</w:t>
      </w:r>
    </w:p>
    <w:p>
      <w:pPr>
        <w:spacing w:after="0" w:line="240" w:lineRule="auto"/>
        <w:jc w:val="left"/>
        <w:sectPr>
          <w:pgSz w:w="11910" w:h="16840"/>
          <w:pgMar w:header="877" w:footer="979" w:top="1100" w:bottom="1160" w:left="920" w:right="0"/>
        </w:sectPr>
      </w:pPr>
    </w:p>
    <w:p>
      <w:pPr>
        <w:spacing w:line="240" w:lineRule="auto" w:before="5"/>
        <w:rPr>
          <w:rFonts w:ascii="宋体" w:hAnsi="宋体" w:cs="宋体" w:eastAsia="宋体" w:hint="default"/>
          <w:sz w:val="20"/>
          <w:szCs w:val="20"/>
        </w:rPr>
      </w:pPr>
    </w:p>
    <w:p>
      <w:pPr>
        <w:pStyle w:val="Heading5"/>
        <w:spacing w:line="240" w:lineRule="auto"/>
        <w:ind w:right="1513"/>
        <w:jc w:val="left"/>
        <w:rPr>
          <w:b w:val="0"/>
          <w:bCs w:val="0"/>
        </w:rPr>
      </w:pPr>
      <w:bookmarkStart w:name="49、外币货币性项目" w:id="377"/>
      <w:bookmarkEnd w:id="377"/>
      <w:r>
        <w:rPr>
          <w:b w:val="0"/>
          <w:bCs w:val="0"/>
        </w:rPr>
      </w:r>
      <w:r>
        <w:rPr>
          <w:rFonts w:ascii="Trebuchet MS" w:hAnsi="Trebuchet MS" w:cs="Trebuchet MS" w:eastAsia="Trebuchet MS" w:hint="default"/>
        </w:rPr>
        <w:t>49</w:t>
      </w:r>
      <w:r>
        <w:rPr/>
        <w:t>、外币货币性项目</w:t>
      </w:r>
      <w:r>
        <w:rPr>
          <w:b w:val="0"/>
          <w:bCs w:val="0"/>
        </w:rPr>
      </w:r>
    </w:p>
    <w:p>
      <w:pPr>
        <w:spacing w:line="240" w:lineRule="auto" w:before="7"/>
        <w:rPr>
          <w:rFonts w:ascii="宋体" w:hAnsi="宋体" w:cs="宋体" w:eastAsia="宋体" w:hint="default"/>
          <w:b/>
          <w:bCs/>
          <w:sz w:val="24"/>
          <w:szCs w:val="24"/>
        </w:rPr>
      </w:pPr>
    </w:p>
    <w:p>
      <w:pPr>
        <w:spacing w:before="0"/>
        <w:ind w:left="636" w:right="1513" w:firstLine="0"/>
        <w:jc w:val="left"/>
        <w:rPr>
          <w:rFonts w:ascii="宋体" w:hAnsi="宋体" w:cs="宋体" w:eastAsia="宋体" w:hint="default"/>
          <w:sz w:val="21"/>
          <w:szCs w:val="21"/>
        </w:rPr>
      </w:pPr>
      <w:bookmarkStart w:name="（1）外币货币性项目" w:id="378"/>
      <w:bookmarkEnd w:id="378"/>
      <w:r>
        <w:rPr/>
      </w:r>
      <w:r>
        <w:rPr>
          <w:rFonts w:ascii="宋体" w:hAnsi="宋体" w:cs="宋体" w:eastAsia="宋体" w:hint="default"/>
          <w:b/>
          <w:bCs/>
          <w:sz w:val="21"/>
          <w:szCs w:val="21"/>
        </w:rPr>
        <w:t>（</w:t>
      </w:r>
      <w:r>
        <w:rPr>
          <w:rFonts w:ascii="Trebuchet MS" w:hAnsi="Trebuchet MS" w:cs="Trebuchet MS" w:eastAsia="Trebuchet MS" w:hint="default"/>
          <w:b/>
          <w:bCs/>
          <w:sz w:val="21"/>
          <w:szCs w:val="21"/>
        </w:rPr>
        <w:t>1</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2495"/>
        <w:gridCol w:w="2294"/>
        <w:gridCol w:w="2391"/>
        <w:gridCol w:w="2389"/>
      </w:tblGrid>
      <w:tr>
        <w:trPr>
          <w:trHeight w:val="317" w:hRule="exact"/>
        </w:trPr>
        <w:tc>
          <w:tcPr>
            <w:tcW w:w="24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606"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385"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328" w:hRule="exact"/>
        </w:trPr>
        <w:tc>
          <w:tcPr>
            <w:tcW w:w="24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5B9BD4"/>
              <w:left w:val="nil" w:sz="6" w:space="0" w:color="auto"/>
              <w:bottom w:val="single" w:sz="4" w:space="0" w:color="5B9BD4"/>
              <w:right w:val="nil" w:sz="6" w:space="0" w:color="auto"/>
            </w:tcBorders>
          </w:tcPr>
          <w:p>
            <w:pPr>
              <w:pStyle w:val="TableParagraph"/>
              <w:spacing w:line="240" w:lineRule="auto" w:before="53"/>
              <w:ind w:right="107"/>
              <w:jc w:val="right"/>
              <w:rPr>
                <w:rFonts w:ascii="Arial" w:hAnsi="Arial" w:cs="Arial" w:eastAsia="Arial" w:hint="default"/>
                <w:sz w:val="18"/>
                <w:szCs w:val="18"/>
              </w:rPr>
            </w:pPr>
            <w:r>
              <w:rPr>
                <w:rFonts w:ascii="Arial"/>
                <w:w w:val="95"/>
                <w:sz w:val="18"/>
              </w:rPr>
              <w:t>--</w:t>
            </w:r>
            <w:r>
              <w:rPr>
                <w:rFonts w:ascii="Arial"/>
                <w:sz w:val="18"/>
              </w:rPr>
            </w:r>
          </w:p>
        </w:tc>
        <w:tc>
          <w:tcPr>
            <w:tcW w:w="23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3"/>
              <w:ind w:right="106"/>
              <w:jc w:val="right"/>
              <w:rPr>
                <w:rFonts w:ascii="Arial" w:hAnsi="Arial" w:cs="Arial" w:eastAsia="Arial" w:hint="default"/>
                <w:sz w:val="18"/>
                <w:szCs w:val="18"/>
              </w:rPr>
            </w:pPr>
            <w:r>
              <w:rPr>
                <w:rFonts w:ascii="Arial"/>
                <w:w w:val="95"/>
                <w:sz w:val="18"/>
              </w:rPr>
              <w:t>--</w:t>
            </w:r>
            <w:r>
              <w:rPr>
                <w:rFonts w:ascii="Arial"/>
                <w:sz w:val="18"/>
              </w:rPr>
            </w:r>
          </w:p>
        </w:tc>
        <w:tc>
          <w:tcPr>
            <w:tcW w:w="2389" w:type="dxa"/>
            <w:tcBorders>
              <w:top w:val="single" w:sz="4" w:space="0" w:color="5B9BD4"/>
              <w:left w:val="nil" w:sz="6" w:space="0" w:color="auto"/>
              <w:bottom w:val="single" w:sz="4" w:space="0" w:color="5B9BD4"/>
              <w:right w:val="nil" w:sz="6" w:space="0" w:color="auto"/>
            </w:tcBorders>
          </w:tcPr>
          <w:p>
            <w:pPr/>
          </w:p>
        </w:tc>
      </w:tr>
      <w:tr>
        <w:trPr>
          <w:trHeight w:val="322" w:hRule="exact"/>
        </w:trPr>
        <w:tc>
          <w:tcPr>
            <w:tcW w:w="24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89,586.95</w:t>
            </w:r>
            <w:r>
              <w:rPr>
                <w:rFonts w:ascii="Arial"/>
                <w:sz w:val="18"/>
              </w:rPr>
            </w:r>
          </w:p>
        </w:tc>
        <w:tc>
          <w:tcPr>
            <w:tcW w:w="23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6.4936</w:t>
            </w:r>
            <w:r>
              <w:rPr>
                <w:rFonts w:ascii="Arial"/>
                <w:sz w:val="18"/>
              </w:rPr>
            </w:r>
          </w:p>
        </w:tc>
        <w:tc>
          <w:tcPr>
            <w:tcW w:w="238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581,741.82</w:t>
            </w:r>
            <w:r>
              <w:rPr>
                <w:rFonts w:ascii="Arial"/>
                <w:sz w:val="18"/>
              </w:rPr>
            </w:r>
          </w:p>
        </w:tc>
      </w:tr>
      <w:tr>
        <w:trPr>
          <w:trHeight w:val="322" w:hRule="exact"/>
        </w:trPr>
        <w:tc>
          <w:tcPr>
            <w:tcW w:w="24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648"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31,363,660.36</w:t>
            </w:r>
            <w:r>
              <w:rPr>
                <w:rFonts w:ascii="Arial"/>
                <w:sz w:val="18"/>
              </w:rPr>
            </w:r>
          </w:p>
        </w:tc>
        <w:tc>
          <w:tcPr>
            <w:tcW w:w="23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0.83778</w:t>
            </w:r>
            <w:r>
              <w:rPr>
                <w:rFonts w:ascii="Arial"/>
                <w:sz w:val="18"/>
              </w:rPr>
            </w:r>
          </w:p>
        </w:tc>
        <w:tc>
          <w:tcPr>
            <w:tcW w:w="238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26,275,847.38</w:t>
            </w:r>
            <w:r>
              <w:rPr>
                <w:rFonts w:ascii="Arial"/>
                <w:sz w:val="18"/>
              </w:rPr>
            </w:r>
          </w:p>
        </w:tc>
      </w:tr>
      <w:tr>
        <w:trPr>
          <w:trHeight w:val="322" w:hRule="exact"/>
        </w:trPr>
        <w:tc>
          <w:tcPr>
            <w:tcW w:w="24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w:t>
            </w:r>
            <w:r>
              <w:rPr>
                <w:rFonts w:ascii="Arial"/>
                <w:sz w:val="18"/>
              </w:rPr>
            </w:r>
          </w:p>
        </w:tc>
        <w:tc>
          <w:tcPr>
            <w:tcW w:w="23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w:t>
            </w:r>
            <w:r>
              <w:rPr>
                <w:rFonts w:ascii="Arial"/>
                <w:sz w:val="18"/>
              </w:rPr>
            </w:r>
          </w:p>
        </w:tc>
        <w:tc>
          <w:tcPr>
            <w:tcW w:w="2389" w:type="dxa"/>
            <w:tcBorders>
              <w:top w:val="single" w:sz="4" w:space="0" w:color="5B9BD4"/>
              <w:left w:val="nil" w:sz="6" w:space="0" w:color="auto"/>
              <w:bottom w:val="single" w:sz="4" w:space="0" w:color="5B9BD4"/>
              <w:right w:val="nil" w:sz="6" w:space="0" w:color="auto"/>
            </w:tcBorders>
          </w:tcPr>
          <w:p>
            <w:pPr/>
          </w:p>
        </w:tc>
      </w:tr>
      <w:tr>
        <w:trPr>
          <w:trHeight w:val="322" w:hRule="exact"/>
        </w:trPr>
        <w:tc>
          <w:tcPr>
            <w:tcW w:w="24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203,831.46</w:t>
            </w:r>
            <w:r>
              <w:rPr>
                <w:rFonts w:ascii="Arial"/>
                <w:sz w:val="18"/>
              </w:rPr>
            </w:r>
          </w:p>
        </w:tc>
        <w:tc>
          <w:tcPr>
            <w:tcW w:w="23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6.4936</w:t>
            </w:r>
            <w:r>
              <w:rPr>
                <w:rFonts w:ascii="Arial"/>
                <w:sz w:val="18"/>
              </w:rPr>
            </w:r>
          </w:p>
        </w:tc>
        <w:tc>
          <w:tcPr>
            <w:tcW w:w="238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3"/>
              <w:jc w:val="right"/>
              <w:rPr>
                <w:rFonts w:ascii="Arial" w:hAnsi="Arial" w:cs="Arial" w:eastAsia="Arial" w:hint="default"/>
                <w:sz w:val="18"/>
                <w:szCs w:val="18"/>
              </w:rPr>
            </w:pPr>
            <w:r>
              <w:rPr>
                <w:rFonts w:ascii="Arial"/>
                <w:w w:val="95"/>
                <w:sz w:val="18"/>
              </w:rPr>
              <w:t>1,323,599.97</w:t>
            </w:r>
            <w:r>
              <w:rPr>
                <w:rFonts w:ascii="Arial"/>
                <w:sz w:val="18"/>
              </w:rPr>
            </w:r>
          </w:p>
        </w:tc>
      </w:tr>
      <w:tr>
        <w:trPr>
          <w:trHeight w:val="322" w:hRule="exact"/>
        </w:trPr>
        <w:tc>
          <w:tcPr>
            <w:tcW w:w="24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648"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4,508,775.81</w:t>
            </w:r>
            <w:r>
              <w:rPr>
                <w:rFonts w:ascii="Arial"/>
                <w:sz w:val="18"/>
              </w:rPr>
            </w:r>
          </w:p>
        </w:tc>
        <w:tc>
          <w:tcPr>
            <w:tcW w:w="23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0.83778</w:t>
            </w:r>
            <w:r>
              <w:rPr>
                <w:rFonts w:ascii="Arial"/>
                <w:sz w:val="18"/>
              </w:rPr>
            </w:r>
          </w:p>
        </w:tc>
        <w:tc>
          <w:tcPr>
            <w:tcW w:w="238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3"/>
              <w:jc w:val="right"/>
              <w:rPr>
                <w:rFonts w:ascii="Arial" w:hAnsi="Arial" w:cs="Arial" w:eastAsia="Arial" w:hint="default"/>
                <w:sz w:val="18"/>
                <w:szCs w:val="18"/>
              </w:rPr>
            </w:pPr>
            <w:r>
              <w:rPr>
                <w:rFonts w:ascii="Arial"/>
                <w:w w:val="95"/>
                <w:sz w:val="18"/>
              </w:rPr>
              <w:t>3,777,362.20</w:t>
            </w:r>
            <w:r>
              <w:rPr>
                <w:rFonts w:ascii="Arial"/>
                <w:sz w:val="18"/>
              </w:rPr>
            </w:r>
          </w:p>
        </w:tc>
      </w:tr>
      <w:tr>
        <w:trPr>
          <w:trHeight w:val="322" w:hRule="exact"/>
        </w:trPr>
        <w:tc>
          <w:tcPr>
            <w:tcW w:w="24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5B9BD4"/>
              <w:left w:val="nil" w:sz="6" w:space="0" w:color="auto"/>
              <w:bottom w:val="single" w:sz="4" w:space="0" w:color="5B9BD4"/>
              <w:right w:val="nil" w:sz="6" w:space="0" w:color="auto"/>
            </w:tcBorders>
          </w:tcPr>
          <w:p>
            <w:pPr/>
          </w:p>
        </w:tc>
        <w:tc>
          <w:tcPr>
            <w:tcW w:w="2391" w:type="dxa"/>
            <w:tcBorders>
              <w:top w:val="single" w:sz="4" w:space="0" w:color="5B9BD4"/>
              <w:left w:val="nil" w:sz="6" w:space="0" w:color="auto"/>
              <w:bottom w:val="single" w:sz="4" w:space="0" w:color="5B9BD4"/>
              <w:right w:val="nil" w:sz="6" w:space="0" w:color="auto"/>
            </w:tcBorders>
            <w:shd w:val="clear" w:color="auto" w:fill="DEEAF6"/>
          </w:tcPr>
          <w:p>
            <w:pPr/>
          </w:p>
        </w:tc>
        <w:tc>
          <w:tcPr>
            <w:tcW w:w="2389" w:type="dxa"/>
            <w:tcBorders>
              <w:top w:val="single" w:sz="4" w:space="0" w:color="5B9BD4"/>
              <w:left w:val="nil" w:sz="6" w:space="0" w:color="auto"/>
              <w:bottom w:val="single" w:sz="4" w:space="0" w:color="5B9BD4"/>
              <w:right w:val="nil" w:sz="6" w:space="0" w:color="auto"/>
            </w:tcBorders>
          </w:tcPr>
          <w:p>
            <w:pPr/>
          </w:p>
        </w:tc>
      </w:tr>
      <w:tr>
        <w:trPr>
          <w:trHeight w:val="322" w:hRule="exact"/>
        </w:trPr>
        <w:tc>
          <w:tcPr>
            <w:tcW w:w="24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434,261.52</w:t>
            </w:r>
            <w:r>
              <w:rPr>
                <w:rFonts w:ascii="Arial"/>
                <w:sz w:val="18"/>
              </w:rPr>
            </w:r>
          </w:p>
        </w:tc>
        <w:tc>
          <w:tcPr>
            <w:tcW w:w="23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6.4936</w:t>
            </w:r>
            <w:r>
              <w:rPr>
                <w:rFonts w:ascii="Arial"/>
                <w:sz w:val="18"/>
              </w:rPr>
            </w:r>
          </w:p>
        </w:tc>
        <w:tc>
          <w:tcPr>
            <w:tcW w:w="238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3"/>
              <w:jc w:val="right"/>
              <w:rPr>
                <w:rFonts w:ascii="Arial" w:hAnsi="Arial" w:cs="Arial" w:eastAsia="Arial" w:hint="default"/>
                <w:sz w:val="18"/>
                <w:szCs w:val="18"/>
              </w:rPr>
            </w:pPr>
            <w:r>
              <w:rPr>
                <w:rFonts w:ascii="Arial"/>
                <w:w w:val="95"/>
                <w:sz w:val="18"/>
              </w:rPr>
              <w:t>2,819,920.61</w:t>
            </w:r>
            <w:r>
              <w:rPr>
                <w:rFonts w:ascii="Arial"/>
                <w:sz w:val="18"/>
              </w:rPr>
            </w:r>
          </w:p>
        </w:tc>
      </w:tr>
      <w:tr>
        <w:trPr>
          <w:trHeight w:val="322" w:hRule="exact"/>
        </w:trPr>
        <w:tc>
          <w:tcPr>
            <w:tcW w:w="24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647"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108,385.57</w:t>
            </w:r>
            <w:r>
              <w:rPr>
                <w:rFonts w:ascii="Arial"/>
                <w:sz w:val="18"/>
              </w:rPr>
            </w:r>
          </w:p>
        </w:tc>
        <w:tc>
          <w:tcPr>
            <w:tcW w:w="23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0.83778</w:t>
            </w:r>
            <w:r>
              <w:rPr>
                <w:rFonts w:ascii="Arial"/>
                <w:sz w:val="18"/>
              </w:rPr>
            </w:r>
          </w:p>
        </w:tc>
        <w:tc>
          <w:tcPr>
            <w:tcW w:w="238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90,803.26</w:t>
            </w:r>
            <w:r>
              <w:rPr>
                <w:rFonts w:ascii="Arial"/>
                <w:sz w:val="18"/>
              </w:rPr>
            </w:r>
          </w:p>
        </w:tc>
      </w:tr>
      <w:tr>
        <w:trPr>
          <w:trHeight w:val="322" w:hRule="exact"/>
        </w:trPr>
        <w:tc>
          <w:tcPr>
            <w:tcW w:w="24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4" w:type="dxa"/>
            <w:tcBorders>
              <w:top w:val="single" w:sz="4" w:space="0" w:color="5B9BD4"/>
              <w:left w:val="nil" w:sz="6" w:space="0" w:color="auto"/>
              <w:bottom w:val="single" w:sz="4" w:space="0" w:color="5B9BD4"/>
              <w:right w:val="nil" w:sz="6" w:space="0" w:color="auto"/>
            </w:tcBorders>
          </w:tcPr>
          <w:p>
            <w:pPr/>
          </w:p>
        </w:tc>
        <w:tc>
          <w:tcPr>
            <w:tcW w:w="2391" w:type="dxa"/>
            <w:tcBorders>
              <w:top w:val="single" w:sz="4" w:space="0" w:color="5B9BD4"/>
              <w:left w:val="nil" w:sz="6" w:space="0" w:color="auto"/>
              <w:bottom w:val="single" w:sz="4" w:space="0" w:color="5B9BD4"/>
              <w:right w:val="nil" w:sz="6" w:space="0" w:color="auto"/>
            </w:tcBorders>
            <w:shd w:val="clear" w:color="auto" w:fill="DEEAF6"/>
          </w:tcPr>
          <w:p>
            <w:pPr/>
          </w:p>
        </w:tc>
        <w:tc>
          <w:tcPr>
            <w:tcW w:w="2389" w:type="dxa"/>
            <w:tcBorders>
              <w:top w:val="single" w:sz="4" w:space="0" w:color="5B9BD4"/>
              <w:left w:val="nil" w:sz="6" w:space="0" w:color="auto"/>
              <w:bottom w:val="single" w:sz="4" w:space="0" w:color="5B9BD4"/>
              <w:right w:val="nil" w:sz="6" w:space="0" w:color="auto"/>
            </w:tcBorders>
          </w:tcPr>
          <w:p>
            <w:pPr/>
          </w:p>
        </w:tc>
      </w:tr>
      <w:tr>
        <w:trPr>
          <w:trHeight w:val="322" w:hRule="exact"/>
        </w:trPr>
        <w:tc>
          <w:tcPr>
            <w:tcW w:w="24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705,501,792.26</w:t>
            </w:r>
            <w:r>
              <w:rPr>
                <w:rFonts w:ascii="Arial"/>
                <w:sz w:val="18"/>
              </w:rPr>
            </w:r>
          </w:p>
        </w:tc>
        <w:tc>
          <w:tcPr>
            <w:tcW w:w="23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0.83778</w:t>
            </w:r>
            <w:r>
              <w:rPr>
                <w:rFonts w:ascii="Arial"/>
                <w:sz w:val="18"/>
              </w:rPr>
            </w:r>
          </w:p>
        </w:tc>
        <w:tc>
          <w:tcPr>
            <w:tcW w:w="238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591,055,291.52</w:t>
            </w:r>
            <w:r>
              <w:rPr>
                <w:rFonts w:ascii="Arial"/>
                <w:sz w:val="18"/>
              </w:rPr>
            </w:r>
          </w:p>
        </w:tc>
      </w:tr>
      <w:tr>
        <w:trPr>
          <w:trHeight w:val="322" w:hRule="exact"/>
        </w:trPr>
        <w:tc>
          <w:tcPr>
            <w:tcW w:w="24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5B9BD4"/>
              <w:left w:val="nil" w:sz="6" w:space="0" w:color="auto"/>
              <w:bottom w:val="single" w:sz="4" w:space="0" w:color="5B9BD4"/>
              <w:right w:val="nil" w:sz="6" w:space="0" w:color="auto"/>
            </w:tcBorders>
          </w:tcPr>
          <w:p>
            <w:pPr/>
          </w:p>
        </w:tc>
        <w:tc>
          <w:tcPr>
            <w:tcW w:w="2391" w:type="dxa"/>
            <w:tcBorders>
              <w:top w:val="single" w:sz="4" w:space="0" w:color="5B9BD4"/>
              <w:left w:val="nil" w:sz="6" w:space="0" w:color="auto"/>
              <w:bottom w:val="single" w:sz="4" w:space="0" w:color="5B9BD4"/>
              <w:right w:val="nil" w:sz="6" w:space="0" w:color="auto"/>
            </w:tcBorders>
            <w:shd w:val="clear" w:color="auto" w:fill="DEEAF6"/>
          </w:tcPr>
          <w:p>
            <w:pPr/>
          </w:p>
        </w:tc>
        <w:tc>
          <w:tcPr>
            <w:tcW w:w="2389" w:type="dxa"/>
            <w:tcBorders>
              <w:top w:val="single" w:sz="4" w:space="0" w:color="5B9BD4"/>
              <w:left w:val="nil" w:sz="6" w:space="0" w:color="auto"/>
              <w:bottom w:val="single" w:sz="4" w:space="0" w:color="5B9BD4"/>
              <w:right w:val="nil" w:sz="6" w:space="0" w:color="auto"/>
            </w:tcBorders>
          </w:tcPr>
          <w:p>
            <w:pPr/>
          </w:p>
        </w:tc>
      </w:tr>
      <w:tr>
        <w:trPr>
          <w:trHeight w:val="322" w:hRule="exact"/>
        </w:trPr>
        <w:tc>
          <w:tcPr>
            <w:tcW w:w="24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22,038.10</w:t>
            </w:r>
            <w:r>
              <w:rPr>
                <w:rFonts w:ascii="Arial"/>
                <w:sz w:val="18"/>
              </w:rPr>
            </w:r>
          </w:p>
        </w:tc>
        <w:tc>
          <w:tcPr>
            <w:tcW w:w="23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6.4936</w:t>
            </w:r>
            <w:r>
              <w:rPr>
                <w:rFonts w:ascii="Arial"/>
                <w:sz w:val="18"/>
              </w:rPr>
            </w:r>
          </w:p>
        </w:tc>
        <w:tc>
          <w:tcPr>
            <w:tcW w:w="238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143,106.61</w:t>
            </w:r>
            <w:r>
              <w:rPr>
                <w:rFonts w:ascii="Arial"/>
                <w:sz w:val="18"/>
              </w:rPr>
            </w:r>
          </w:p>
        </w:tc>
      </w:tr>
      <w:tr>
        <w:trPr>
          <w:trHeight w:val="322" w:hRule="exact"/>
        </w:trPr>
        <w:tc>
          <w:tcPr>
            <w:tcW w:w="24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5B9BD4"/>
              <w:left w:val="nil" w:sz="6" w:space="0" w:color="auto"/>
              <w:bottom w:val="single" w:sz="4" w:space="0" w:color="5B9BD4"/>
              <w:right w:val="nil" w:sz="6" w:space="0" w:color="auto"/>
            </w:tcBorders>
          </w:tcPr>
          <w:p>
            <w:pPr/>
          </w:p>
        </w:tc>
        <w:tc>
          <w:tcPr>
            <w:tcW w:w="2391" w:type="dxa"/>
            <w:tcBorders>
              <w:top w:val="single" w:sz="4" w:space="0" w:color="5B9BD4"/>
              <w:left w:val="nil" w:sz="6" w:space="0" w:color="auto"/>
              <w:bottom w:val="single" w:sz="4" w:space="0" w:color="5B9BD4"/>
              <w:right w:val="nil" w:sz="6" w:space="0" w:color="auto"/>
            </w:tcBorders>
            <w:shd w:val="clear" w:color="auto" w:fill="DEEAF6"/>
          </w:tcPr>
          <w:p>
            <w:pPr/>
          </w:p>
        </w:tc>
        <w:tc>
          <w:tcPr>
            <w:tcW w:w="2389" w:type="dxa"/>
            <w:tcBorders>
              <w:top w:val="single" w:sz="4" w:space="0" w:color="5B9BD4"/>
              <w:left w:val="nil" w:sz="6" w:space="0" w:color="auto"/>
              <w:bottom w:val="single" w:sz="4" w:space="0" w:color="5B9BD4"/>
              <w:right w:val="nil" w:sz="6" w:space="0" w:color="auto"/>
            </w:tcBorders>
          </w:tcPr>
          <w:p>
            <w:pPr/>
          </w:p>
        </w:tc>
      </w:tr>
      <w:tr>
        <w:trPr>
          <w:trHeight w:val="322" w:hRule="exact"/>
        </w:trPr>
        <w:tc>
          <w:tcPr>
            <w:tcW w:w="24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209,843.27</w:t>
            </w:r>
            <w:r>
              <w:rPr>
                <w:rFonts w:ascii="Arial"/>
                <w:sz w:val="18"/>
              </w:rPr>
            </w:r>
          </w:p>
        </w:tc>
        <w:tc>
          <w:tcPr>
            <w:tcW w:w="23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6.4936</w:t>
            </w:r>
            <w:r>
              <w:rPr>
                <w:rFonts w:ascii="Arial"/>
                <w:sz w:val="18"/>
              </w:rPr>
            </w:r>
          </w:p>
        </w:tc>
        <w:tc>
          <w:tcPr>
            <w:tcW w:w="238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3"/>
              <w:jc w:val="right"/>
              <w:rPr>
                <w:rFonts w:ascii="Arial" w:hAnsi="Arial" w:cs="Arial" w:eastAsia="Arial" w:hint="default"/>
                <w:sz w:val="18"/>
                <w:szCs w:val="18"/>
              </w:rPr>
            </w:pPr>
            <w:r>
              <w:rPr>
                <w:rFonts w:ascii="Arial"/>
                <w:w w:val="95"/>
                <w:sz w:val="18"/>
              </w:rPr>
              <w:t>1,362,638.26</w:t>
            </w:r>
            <w:r>
              <w:rPr>
                <w:rFonts w:ascii="Arial"/>
                <w:sz w:val="18"/>
              </w:rPr>
            </w:r>
          </w:p>
        </w:tc>
      </w:tr>
      <w:tr>
        <w:trPr>
          <w:trHeight w:val="323" w:hRule="exact"/>
        </w:trPr>
        <w:tc>
          <w:tcPr>
            <w:tcW w:w="24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647"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5B9BD4"/>
              <w:left w:val="nil" w:sz="6" w:space="0" w:color="auto"/>
              <w:bottom w:val="single" w:sz="4" w:space="0" w:color="5B9BD4"/>
              <w:right w:val="nil" w:sz="6" w:space="0" w:color="auto"/>
            </w:tcBorders>
          </w:tcPr>
          <w:p>
            <w:pPr>
              <w:pStyle w:val="TableParagraph"/>
              <w:spacing w:line="240" w:lineRule="auto" w:before="48"/>
              <w:ind w:right="106"/>
              <w:jc w:val="right"/>
              <w:rPr>
                <w:rFonts w:ascii="Arial" w:hAnsi="Arial" w:cs="Arial" w:eastAsia="Arial" w:hint="default"/>
                <w:sz w:val="18"/>
                <w:szCs w:val="18"/>
              </w:rPr>
            </w:pPr>
            <w:r>
              <w:rPr>
                <w:rFonts w:ascii="Arial"/>
                <w:w w:val="95"/>
                <w:sz w:val="18"/>
              </w:rPr>
              <w:t>41,952,101.65</w:t>
            </w:r>
            <w:r>
              <w:rPr>
                <w:rFonts w:ascii="Arial"/>
                <w:sz w:val="18"/>
              </w:rPr>
            </w:r>
          </w:p>
        </w:tc>
        <w:tc>
          <w:tcPr>
            <w:tcW w:w="23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8"/>
              <w:ind w:right="106"/>
              <w:jc w:val="right"/>
              <w:rPr>
                <w:rFonts w:ascii="Arial" w:hAnsi="Arial" w:cs="Arial" w:eastAsia="Arial" w:hint="default"/>
                <w:sz w:val="18"/>
                <w:szCs w:val="18"/>
              </w:rPr>
            </w:pPr>
            <w:r>
              <w:rPr>
                <w:rFonts w:ascii="Arial"/>
                <w:w w:val="95"/>
                <w:sz w:val="18"/>
              </w:rPr>
              <w:t>0.83778</w:t>
            </w:r>
            <w:r>
              <w:rPr>
                <w:rFonts w:ascii="Arial"/>
                <w:sz w:val="18"/>
              </w:rPr>
            </w:r>
          </w:p>
        </w:tc>
        <w:tc>
          <w:tcPr>
            <w:tcW w:w="2389" w:type="dxa"/>
            <w:tcBorders>
              <w:top w:val="single" w:sz="4" w:space="0" w:color="5B9BD4"/>
              <w:left w:val="nil" w:sz="6" w:space="0" w:color="auto"/>
              <w:bottom w:val="single" w:sz="4" w:space="0" w:color="5B9BD4"/>
              <w:right w:val="nil" w:sz="6" w:space="0" w:color="auto"/>
            </w:tcBorders>
          </w:tcPr>
          <w:p>
            <w:pPr>
              <w:pStyle w:val="TableParagraph"/>
              <w:spacing w:line="240" w:lineRule="auto" w:before="48"/>
              <w:ind w:right="104"/>
              <w:jc w:val="right"/>
              <w:rPr>
                <w:rFonts w:ascii="Arial" w:hAnsi="Arial" w:cs="Arial" w:eastAsia="Arial" w:hint="default"/>
                <w:sz w:val="18"/>
                <w:szCs w:val="18"/>
              </w:rPr>
            </w:pPr>
            <w:r>
              <w:rPr>
                <w:rFonts w:ascii="Arial"/>
                <w:w w:val="95"/>
                <w:sz w:val="18"/>
              </w:rPr>
              <w:t>35,146,631.72</w:t>
            </w:r>
            <w:r>
              <w:rPr>
                <w:rFonts w:ascii="Arial"/>
                <w:sz w:val="18"/>
              </w:rPr>
            </w:r>
          </w:p>
        </w:tc>
      </w:tr>
    </w:tbl>
    <w:p>
      <w:pPr>
        <w:spacing w:line="240" w:lineRule="auto" w:before="11"/>
        <w:rPr>
          <w:rFonts w:ascii="宋体" w:hAnsi="宋体" w:cs="宋体" w:eastAsia="宋体" w:hint="default"/>
          <w:sz w:val="7"/>
          <w:szCs w:val="7"/>
        </w:rPr>
      </w:pPr>
    </w:p>
    <w:p>
      <w:pPr>
        <w:pStyle w:val="Heading5"/>
        <w:spacing w:line="261" w:lineRule="auto"/>
        <w:ind w:left="213" w:right="419" w:firstLine="422"/>
        <w:jc w:val="left"/>
        <w:rPr>
          <w:b w:val="0"/>
          <w:bCs w:val="0"/>
        </w:rPr>
      </w:pPr>
      <w:bookmarkStart w:name="（2）境外经营实体说明，包括对于重要的境外经营实体，应披露其境外主要经营地、记账" w:id="379"/>
      <w:bookmarkEnd w:id="379"/>
      <w:r>
        <w:rPr>
          <w:b w:val="0"/>
          <w:bCs w:val="0"/>
        </w:rPr>
      </w:r>
      <w:r>
        <w:rPr/>
        <w:t>（</w:t>
      </w:r>
      <w:r>
        <w:rPr>
          <w:rFonts w:ascii="Trebuchet MS" w:hAnsi="Trebuchet MS" w:cs="Trebuchet MS" w:eastAsia="Trebuchet MS" w:hint="default"/>
        </w:rPr>
        <w:t>2</w:t>
      </w:r>
      <w:r>
        <w:rPr/>
        <w:t>）境外经营实体说明，包括对于重要的境外经营实体，应披露其境外主要经营地、记账本位币及</w:t>
      </w:r>
      <w:r>
        <w:rPr>
          <w:w w:val="99"/>
        </w:rPr>
        <w:t> </w:t>
      </w:r>
      <w:r>
        <w:rPr/>
        <w:t>选择依据，记账本位币发生变化的还应披露原因。</w:t>
      </w:r>
      <w:r>
        <w:rPr>
          <w:b w:val="0"/>
          <w:bCs w:val="0"/>
        </w:rPr>
      </w:r>
    </w:p>
    <w:p>
      <w:pPr>
        <w:spacing w:line="240" w:lineRule="auto" w:before="12"/>
        <w:rPr>
          <w:rFonts w:ascii="宋体" w:hAnsi="宋体" w:cs="宋体" w:eastAsia="宋体" w:hint="default"/>
          <w:b/>
          <w:bCs/>
          <w:sz w:val="29"/>
          <w:szCs w:val="29"/>
        </w:rPr>
      </w:pPr>
    </w:p>
    <w:p>
      <w:pPr>
        <w:pStyle w:val="BodyText"/>
        <w:spacing w:line="388" w:lineRule="auto"/>
        <w:ind w:left="213" w:right="1115" w:firstLine="420"/>
        <w:jc w:val="left"/>
      </w:pPr>
      <w:r>
        <w:rPr/>
        <w:t>①爱施德（香港）有限公司于</w:t>
      </w:r>
      <w:r>
        <w:rPr>
          <w:rFonts w:ascii="Arial" w:hAnsi="Arial" w:cs="Arial" w:eastAsia="Arial" w:hint="default"/>
        </w:rPr>
        <w:t>2013</w:t>
      </w:r>
      <w:r>
        <w:rPr/>
        <w:t>年</w:t>
      </w:r>
      <w:r>
        <w:rPr>
          <w:rFonts w:ascii="Arial" w:hAnsi="Arial" w:cs="Arial" w:eastAsia="Arial" w:hint="default"/>
        </w:rPr>
        <w:t>11</w:t>
      </w:r>
      <w:r>
        <w:rPr/>
        <w:t>月</w:t>
      </w:r>
      <w:r>
        <w:rPr>
          <w:rFonts w:ascii="Arial" w:hAnsi="Arial" w:cs="Arial" w:eastAsia="Arial" w:hint="default"/>
        </w:rPr>
        <w:t>6</w:t>
      </w:r>
      <w:r>
        <w:rPr/>
        <w:t>日在香港注册成立，为本公司的全资子公司，注册地址为 香港湾仔轩尼诗道</w:t>
      </w:r>
      <w:r>
        <w:rPr>
          <w:rFonts w:ascii="Arial" w:hAnsi="Arial" w:cs="Arial" w:eastAsia="Arial" w:hint="default"/>
        </w:rPr>
        <w:t>250</w:t>
      </w:r>
      <w:r>
        <w:rPr/>
        <w:t>号卓能广场</w:t>
      </w:r>
      <w:r>
        <w:rPr>
          <w:rFonts w:ascii="Arial" w:hAnsi="Arial" w:cs="Arial" w:eastAsia="Arial" w:hint="default"/>
        </w:rPr>
        <w:t>16</w:t>
      </w:r>
      <w:r>
        <w:rPr/>
        <w:t>楼</w:t>
      </w:r>
      <w:r>
        <w:rPr>
          <w:rFonts w:ascii="Arial" w:hAnsi="Arial" w:cs="Arial" w:eastAsia="Arial" w:hint="default"/>
        </w:rPr>
        <w:t>D</w:t>
      </w:r>
      <w:r>
        <w:rPr/>
        <w:t>，记账本位币为港币。</w:t>
      </w:r>
    </w:p>
    <w:p>
      <w:pPr>
        <w:spacing w:line="240" w:lineRule="auto" w:before="6"/>
        <w:rPr>
          <w:rFonts w:ascii="宋体" w:hAnsi="宋体" w:cs="宋体" w:eastAsia="宋体" w:hint="default"/>
          <w:sz w:val="14"/>
          <w:szCs w:val="14"/>
        </w:rPr>
      </w:pPr>
    </w:p>
    <w:p>
      <w:pPr>
        <w:pStyle w:val="BodyText"/>
        <w:spacing w:line="388" w:lineRule="auto"/>
        <w:ind w:left="213" w:right="1132" w:firstLine="420"/>
        <w:jc w:val="both"/>
      </w:pPr>
      <w:r>
        <w:rPr/>
        <w:t>②香港安派易迅移动科技有限公司为安派易讯公司于</w:t>
      </w:r>
      <w:r>
        <w:rPr>
          <w:rFonts w:ascii="Arial" w:hAnsi="Arial" w:cs="Arial" w:eastAsia="Arial" w:hint="default"/>
        </w:rPr>
        <w:t>2012</w:t>
      </w:r>
      <w:r>
        <w:rPr/>
        <w:t>年</w:t>
      </w:r>
      <w:r>
        <w:rPr>
          <w:rFonts w:ascii="Arial" w:hAnsi="Arial" w:cs="Arial" w:eastAsia="Arial" w:hint="default"/>
        </w:rPr>
        <w:t>2</w:t>
      </w:r>
      <w:r>
        <w:rPr/>
        <w:t>月</w:t>
      </w:r>
      <w:r>
        <w:rPr>
          <w:rFonts w:ascii="Arial" w:hAnsi="Arial" w:cs="Arial" w:eastAsia="Arial" w:hint="default"/>
        </w:rPr>
        <w:t>24</w:t>
      </w:r>
      <w:r>
        <w:rPr/>
        <w:t>日在香港设立的有限公司。该公司 已于</w:t>
      </w:r>
      <w:r>
        <w:rPr>
          <w:rFonts w:ascii="Arial" w:hAnsi="Arial" w:cs="Arial" w:eastAsia="Arial" w:hint="default"/>
        </w:rPr>
        <w:t>2012</w:t>
      </w:r>
      <w:r>
        <w:rPr/>
        <w:t>年</w:t>
      </w:r>
      <w:r>
        <w:rPr>
          <w:rFonts w:ascii="Arial" w:hAnsi="Arial" w:cs="Arial" w:eastAsia="Arial" w:hint="default"/>
        </w:rPr>
        <w:t>2</w:t>
      </w:r>
      <w:r>
        <w:rPr/>
        <w:t>月在香港特别行政区公司注册处领取</w:t>
      </w:r>
      <w:r>
        <w:rPr>
          <w:rFonts w:ascii="Arial" w:hAnsi="Arial" w:cs="Arial" w:eastAsia="Arial" w:hint="default"/>
        </w:rPr>
        <w:t>1709676</w:t>
      </w:r>
      <w:r>
        <w:rPr/>
        <w:t>号公司注册证书和</w:t>
      </w:r>
      <w:r>
        <w:rPr>
          <w:rFonts w:ascii="Arial" w:hAnsi="Arial" w:cs="Arial" w:eastAsia="Arial" w:hint="default"/>
        </w:rPr>
        <w:t>59450913-000-02-12-4</w:t>
      </w:r>
      <w:r>
        <w:rPr/>
        <w:t>号商</w:t>
      </w:r>
      <w:r>
        <w:rPr>
          <w:spacing w:val="1"/>
        </w:rPr>
        <w:t> </w:t>
      </w:r>
      <w:r>
        <w:rPr/>
        <w:t>业登记证，记账本位币为港币。</w:t>
      </w:r>
    </w:p>
    <w:p>
      <w:pPr>
        <w:spacing w:line="240" w:lineRule="auto" w:before="10"/>
        <w:rPr>
          <w:rFonts w:ascii="宋体" w:hAnsi="宋体" w:cs="宋体" w:eastAsia="宋体" w:hint="default"/>
          <w:sz w:val="16"/>
          <w:szCs w:val="16"/>
        </w:rPr>
      </w:pPr>
    </w:p>
    <w:p>
      <w:pPr>
        <w:pStyle w:val="BodyText"/>
        <w:spacing w:line="240" w:lineRule="auto"/>
        <w:ind w:left="634" w:right="419"/>
        <w:jc w:val="left"/>
      </w:pPr>
      <w:r>
        <w:rPr>
          <w:spacing w:val="-3"/>
        </w:rPr>
        <w:t>③彩梦国际有限公司的注册地为英属维尔京群岛，为彩梦科技公司的全资子公司，记账本位币为美元。</w:t>
      </w:r>
    </w:p>
    <w:p>
      <w:pPr>
        <w:spacing w:line="240" w:lineRule="auto" w:before="9"/>
        <w:rPr>
          <w:rFonts w:ascii="宋体" w:hAnsi="宋体" w:cs="宋体" w:eastAsia="宋体" w:hint="default"/>
          <w:sz w:val="26"/>
          <w:szCs w:val="26"/>
        </w:rPr>
      </w:pPr>
    </w:p>
    <w:p>
      <w:pPr>
        <w:pStyle w:val="BodyText"/>
        <w:spacing w:line="240" w:lineRule="auto"/>
        <w:ind w:left="634" w:right="1513"/>
        <w:jc w:val="left"/>
      </w:pPr>
      <w:r>
        <w:rPr/>
        <w:t>④彩梦香港有限公司的注册地在香港，为彩梦科技公司的全资子公司。</w:t>
      </w:r>
    </w:p>
    <w:p>
      <w:pPr>
        <w:spacing w:line="240" w:lineRule="auto" w:before="9"/>
        <w:rPr>
          <w:rFonts w:ascii="宋体" w:hAnsi="宋体" w:cs="宋体" w:eastAsia="宋体" w:hint="default"/>
          <w:sz w:val="26"/>
          <w:szCs w:val="26"/>
        </w:rPr>
      </w:pPr>
    </w:p>
    <w:p>
      <w:pPr>
        <w:pStyle w:val="BodyText"/>
        <w:spacing w:line="388" w:lineRule="auto"/>
        <w:ind w:left="214" w:right="419" w:firstLine="420"/>
        <w:jc w:val="left"/>
      </w:pPr>
      <w:r>
        <w:rPr/>
        <w:t>⑤</w:t>
      </w:r>
      <w:r>
        <w:rPr>
          <w:rFonts w:ascii="Arial" w:hAnsi="Arial" w:cs="Arial" w:eastAsia="Arial" w:hint="default"/>
        </w:rPr>
        <w:t>Gfan holding</w:t>
      </w:r>
      <w:r>
        <w:rPr>
          <w:rFonts w:ascii="Arial" w:hAnsi="Arial" w:cs="Arial" w:eastAsia="Arial" w:hint="default"/>
          <w:spacing w:val="56"/>
        </w:rPr>
        <w:t> </w:t>
      </w:r>
      <w:r>
        <w:rPr>
          <w:rFonts w:ascii="Arial" w:hAnsi="Arial" w:cs="Arial" w:eastAsia="Arial" w:hint="default"/>
          <w:spacing w:val="-4"/>
        </w:rPr>
        <w:t>Inc</w:t>
      </w:r>
      <w:r>
        <w:rPr>
          <w:spacing w:val="-4"/>
        </w:rPr>
        <w:t>注册地在开曼群岛，为迈奔灵动公司的全资子公司，注册资本为</w:t>
      </w:r>
      <w:r>
        <w:rPr>
          <w:rFonts w:ascii="Arial" w:hAnsi="Arial" w:cs="Arial" w:eastAsia="Arial" w:hint="default"/>
          <w:spacing w:val="-4"/>
        </w:rPr>
        <w:t>100,000.00</w:t>
      </w:r>
      <w:r>
        <w:rPr>
          <w:spacing w:val="-4"/>
        </w:rPr>
        <w:t>美元，</w:t>
      </w:r>
      <w:r>
        <w:rPr/>
        <w:t> </w:t>
      </w:r>
      <w:r>
        <w:rPr>
          <w:w w:val="105"/>
        </w:rPr>
        <w:t>记账本位币为美元。</w:t>
      </w:r>
    </w:p>
    <w:p>
      <w:pPr>
        <w:spacing w:line="240" w:lineRule="auto" w:before="10"/>
        <w:rPr>
          <w:rFonts w:ascii="宋体" w:hAnsi="宋体" w:cs="宋体" w:eastAsia="宋体" w:hint="default"/>
          <w:sz w:val="16"/>
          <w:szCs w:val="16"/>
        </w:rPr>
      </w:pPr>
    </w:p>
    <w:p>
      <w:pPr>
        <w:pStyle w:val="BodyText"/>
        <w:spacing w:line="240" w:lineRule="auto"/>
        <w:ind w:left="634" w:right="419"/>
        <w:jc w:val="left"/>
      </w:pPr>
      <w:r>
        <w:rPr/>
        <w:t>⑥</w:t>
      </w:r>
      <w:r>
        <w:rPr>
          <w:rFonts w:ascii="Arial" w:hAnsi="Arial" w:cs="Arial" w:eastAsia="Arial" w:hint="default"/>
        </w:rPr>
        <w:t>Gfan </w:t>
      </w:r>
      <w:r>
        <w:rPr>
          <w:rFonts w:ascii="Arial" w:hAnsi="Arial" w:cs="Arial" w:eastAsia="Arial" w:hint="default"/>
          <w:spacing w:val="55"/>
        </w:rPr>
        <w:t> </w:t>
      </w:r>
      <w:r>
        <w:rPr>
          <w:rFonts w:ascii="Arial" w:hAnsi="Arial" w:cs="Arial" w:eastAsia="Arial" w:hint="default"/>
          <w:spacing w:val="-2"/>
        </w:rPr>
        <w:t>Inc</w:t>
      </w:r>
      <w:r>
        <w:rPr>
          <w:spacing w:val="-2"/>
        </w:rPr>
        <w:t>注册地在加利福尼亚州，为迈奔灵动公司的全资子公司，注册资本为</w:t>
      </w:r>
      <w:r>
        <w:rPr>
          <w:rFonts w:ascii="Arial" w:hAnsi="Arial" w:cs="Arial" w:eastAsia="Arial" w:hint="default"/>
          <w:spacing w:val="-2"/>
        </w:rPr>
        <w:t>100,000.00</w:t>
      </w:r>
      <w:r>
        <w:rPr>
          <w:spacing w:val="-2"/>
        </w:rPr>
        <w:t>美元，记</w:t>
      </w:r>
    </w:p>
    <w:p>
      <w:pPr>
        <w:spacing w:after="0" w:line="240" w:lineRule="auto"/>
        <w:jc w:val="left"/>
        <w:sectPr>
          <w:pgSz w:w="11910" w:h="16840"/>
          <w:pgMar w:header="877" w:footer="979" w:top="1100" w:bottom="1160" w:left="920" w:right="0"/>
        </w:sectPr>
      </w:pPr>
    </w:p>
    <w:p>
      <w:pPr>
        <w:spacing w:line="240" w:lineRule="auto" w:before="7"/>
        <w:rPr>
          <w:rFonts w:ascii="宋体" w:hAnsi="宋体" w:cs="宋体" w:eastAsia="宋体" w:hint="default"/>
          <w:sz w:val="27"/>
          <w:szCs w:val="27"/>
        </w:rPr>
      </w:pPr>
    </w:p>
    <w:p>
      <w:pPr>
        <w:pStyle w:val="BodyText"/>
        <w:spacing w:line="240" w:lineRule="auto" w:before="18"/>
        <w:ind w:left="213" w:right="1513"/>
        <w:jc w:val="left"/>
      </w:pPr>
      <w:r>
        <w:rPr/>
        <w:t>账本位币为美元。</w:t>
      </w:r>
    </w:p>
    <w:p>
      <w:pPr>
        <w:spacing w:line="240" w:lineRule="auto" w:before="6"/>
        <w:rPr>
          <w:rFonts w:ascii="宋体" w:hAnsi="宋体" w:cs="宋体" w:eastAsia="宋体" w:hint="default"/>
          <w:sz w:val="19"/>
          <w:szCs w:val="19"/>
        </w:rPr>
      </w:pPr>
    </w:p>
    <w:p>
      <w:pPr>
        <w:pStyle w:val="Heading2"/>
        <w:spacing w:line="240" w:lineRule="auto"/>
        <w:ind w:left="213" w:right="1513"/>
        <w:jc w:val="left"/>
        <w:rPr>
          <w:rFonts w:ascii="宋体" w:hAnsi="宋体" w:cs="宋体" w:eastAsia="宋体" w:hint="default"/>
          <w:b w:val="0"/>
          <w:bCs w:val="0"/>
        </w:rPr>
      </w:pPr>
      <w:bookmarkStart w:name="八、合并范围的变更" w:id="380"/>
      <w:bookmarkEnd w:id="380"/>
      <w:r>
        <w:rPr>
          <w:b w:val="0"/>
          <w:bCs w:val="0"/>
        </w:rPr>
      </w:r>
      <w:bookmarkStart w:name="_bookmark81" w:id="381"/>
      <w:bookmarkEnd w:id="381"/>
      <w:r>
        <w:rPr>
          <w:b w:val="0"/>
          <w:bCs w:val="0"/>
        </w:rPr>
      </w:r>
      <w:r>
        <w:rPr>
          <w:rFonts w:ascii="宋体" w:hAnsi="宋体" w:cs="宋体" w:eastAsia="宋体" w:hint="default"/>
        </w:rPr>
        <w:t>八、合并范围的变更</w:t>
      </w:r>
      <w:r>
        <w:rPr>
          <w:rFonts w:ascii="宋体" w:hAnsi="宋体" w:cs="宋体" w:eastAsia="宋体" w:hint="default"/>
          <w:b w:val="0"/>
          <w:bCs w:val="0"/>
        </w:rPr>
      </w:r>
    </w:p>
    <w:p>
      <w:pPr>
        <w:spacing w:line="240" w:lineRule="auto" w:before="4"/>
        <w:rPr>
          <w:rFonts w:ascii="宋体" w:hAnsi="宋体" w:cs="宋体" w:eastAsia="宋体" w:hint="default"/>
          <w:b/>
          <w:bCs/>
          <w:sz w:val="24"/>
          <w:szCs w:val="24"/>
        </w:rPr>
      </w:pPr>
    </w:p>
    <w:p>
      <w:pPr>
        <w:pStyle w:val="Heading5"/>
        <w:spacing w:line="240" w:lineRule="auto" w:before="0"/>
        <w:ind w:right="1513"/>
        <w:jc w:val="left"/>
        <w:rPr>
          <w:b w:val="0"/>
          <w:bCs w:val="0"/>
        </w:rPr>
      </w:pPr>
      <w:bookmarkStart w:name="1、其他原因的合并范围变动" w:id="382"/>
      <w:bookmarkEnd w:id="382"/>
      <w:r>
        <w:rPr>
          <w:b w:val="0"/>
          <w:bCs w:val="0"/>
        </w:rPr>
      </w:r>
      <w:r>
        <w:rPr>
          <w:rFonts w:ascii="Trebuchet MS" w:hAnsi="Trebuchet MS" w:cs="Trebuchet MS" w:eastAsia="Trebuchet MS" w:hint="default"/>
        </w:rPr>
        <w:t>1</w:t>
      </w:r>
      <w:r>
        <w:rPr/>
        <w:t>、其他原因的合并范围变动</w:t>
      </w:r>
      <w:r>
        <w:rPr>
          <w:b w:val="0"/>
          <w:bCs w:val="0"/>
        </w:rPr>
      </w:r>
    </w:p>
    <w:p>
      <w:pPr>
        <w:spacing w:line="240" w:lineRule="auto" w:before="5"/>
        <w:rPr>
          <w:rFonts w:ascii="宋体" w:hAnsi="宋体" w:cs="宋体" w:eastAsia="宋体" w:hint="default"/>
          <w:b/>
          <w:bCs/>
          <w:sz w:val="30"/>
          <w:szCs w:val="30"/>
        </w:rPr>
      </w:pPr>
    </w:p>
    <w:p>
      <w:pPr>
        <w:pStyle w:val="BodyText"/>
        <w:spacing w:line="240" w:lineRule="auto"/>
        <w:ind w:left="633" w:right="1513"/>
        <w:jc w:val="left"/>
      </w:pPr>
      <w:r>
        <w:rPr/>
        <w:t>（</w:t>
      </w:r>
      <w:r>
        <w:rPr>
          <w:rFonts w:ascii="Arial" w:hAnsi="Arial" w:cs="Arial" w:eastAsia="Arial" w:hint="default"/>
        </w:rPr>
        <w:t>1</w:t>
      </w:r>
      <w:r>
        <w:rPr/>
        <w:t>）本年新纳入合并范围的子公司</w:t>
      </w:r>
    </w:p>
    <w:p>
      <w:pPr>
        <w:spacing w:line="240" w:lineRule="auto" w:before="2"/>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3484"/>
        <w:gridCol w:w="2746"/>
        <w:gridCol w:w="2858"/>
      </w:tblGrid>
      <w:tr>
        <w:trPr>
          <w:trHeight w:val="322" w:hRule="exact"/>
        </w:trPr>
        <w:tc>
          <w:tcPr>
            <w:tcW w:w="34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74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年末净资产</w:t>
            </w:r>
          </w:p>
        </w:tc>
        <w:tc>
          <w:tcPr>
            <w:tcW w:w="285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本年净利润</w:t>
            </w:r>
          </w:p>
        </w:tc>
      </w:tr>
      <w:tr>
        <w:trPr>
          <w:trHeight w:val="322" w:hRule="exact"/>
        </w:trPr>
        <w:tc>
          <w:tcPr>
            <w:tcW w:w="34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深圳市网爱金融服务有限公司</w:t>
            </w:r>
          </w:p>
        </w:tc>
        <w:tc>
          <w:tcPr>
            <w:tcW w:w="274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1,772,498.89</w:t>
            </w:r>
            <w:r>
              <w:rPr>
                <w:rFonts w:ascii="Arial"/>
                <w:sz w:val="18"/>
              </w:rPr>
            </w:r>
          </w:p>
        </w:tc>
        <w:tc>
          <w:tcPr>
            <w:tcW w:w="285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-227,501.11</w:t>
            </w:r>
            <w:r>
              <w:rPr>
                <w:rFonts w:ascii="Arial"/>
                <w:sz w:val="18"/>
              </w:rPr>
            </w:r>
          </w:p>
        </w:tc>
      </w:tr>
      <w:tr>
        <w:trPr>
          <w:trHeight w:val="322" w:hRule="exact"/>
        </w:trPr>
        <w:tc>
          <w:tcPr>
            <w:tcW w:w="34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深圳由你购电子商务有限公司</w:t>
            </w:r>
          </w:p>
        </w:tc>
        <w:tc>
          <w:tcPr>
            <w:tcW w:w="274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w:t>
            </w:r>
            <w:r>
              <w:rPr>
                <w:rFonts w:ascii="Arial"/>
                <w:sz w:val="18"/>
              </w:rPr>
            </w:r>
          </w:p>
        </w:tc>
        <w:tc>
          <w:tcPr>
            <w:tcW w:w="285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3"/>
              <w:jc w:val="right"/>
              <w:rPr>
                <w:rFonts w:ascii="Arial" w:hAnsi="Arial" w:cs="Arial" w:eastAsia="Arial" w:hint="default"/>
                <w:sz w:val="18"/>
                <w:szCs w:val="18"/>
              </w:rPr>
            </w:pPr>
            <w:r>
              <w:rPr>
                <w:rFonts w:ascii="Arial"/>
                <w:w w:val="95"/>
                <w:sz w:val="18"/>
              </w:rPr>
              <w:t>---</w:t>
            </w:r>
            <w:r>
              <w:rPr>
                <w:rFonts w:ascii="Arial"/>
                <w:sz w:val="18"/>
              </w:rPr>
            </w:r>
          </w:p>
        </w:tc>
      </w:tr>
      <w:tr>
        <w:trPr>
          <w:trHeight w:val="322" w:hRule="exact"/>
        </w:trPr>
        <w:tc>
          <w:tcPr>
            <w:tcW w:w="34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壹号电子商务有限公司</w:t>
            </w:r>
          </w:p>
        </w:tc>
        <w:tc>
          <w:tcPr>
            <w:tcW w:w="274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-13,143,962.35</w:t>
            </w:r>
            <w:r>
              <w:rPr>
                <w:rFonts w:ascii="Arial"/>
                <w:sz w:val="18"/>
              </w:rPr>
            </w:r>
          </w:p>
        </w:tc>
        <w:tc>
          <w:tcPr>
            <w:tcW w:w="285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3"/>
              <w:jc w:val="right"/>
              <w:rPr>
                <w:rFonts w:ascii="Arial" w:hAnsi="Arial" w:cs="Arial" w:eastAsia="Arial" w:hint="default"/>
                <w:sz w:val="18"/>
                <w:szCs w:val="18"/>
              </w:rPr>
            </w:pPr>
            <w:r>
              <w:rPr>
                <w:rFonts w:ascii="Arial"/>
                <w:w w:val="95"/>
                <w:sz w:val="18"/>
              </w:rPr>
              <w:t>-17,143,962.35</w:t>
            </w:r>
            <w:r>
              <w:rPr>
                <w:rFonts w:ascii="Arial"/>
                <w:sz w:val="18"/>
              </w:rPr>
            </w:r>
          </w:p>
        </w:tc>
      </w:tr>
      <w:tr>
        <w:trPr>
          <w:trHeight w:val="322" w:hRule="exact"/>
        </w:trPr>
        <w:tc>
          <w:tcPr>
            <w:tcW w:w="34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深圳市酷爱星通讯科技有限责任公司</w:t>
            </w:r>
          </w:p>
        </w:tc>
        <w:tc>
          <w:tcPr>
            <w:tcW w:w="274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-7,254,483.65</w:t>
            </w:r>
            <w:r>
              <w:rPr>
                <w:rFonts w:ascii="Arial"/>
                <w:sz w:val="18"/>
              </w:rPr>
            </w:r>
          </w:p>
        </w:tc>
        <w:tc>
          <w:tcPr>
            <w:tcW w:w="285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3"/>
              <w:jc w:val="right"/>
              <w:rPr>
                <w:rFonts w:ascii="Arial" w:hAnsi="Arial" w:cs="Arial" w:eastAsia="Arial" w:hint="default"/>
                <w:sz w:val="18"/>
                <w:szCs w:val="18"/>
              </w:rPr>
            </w:pPr>
            <w:r>
              <w:rPr>
                <w:rFonts w:ascii="Arial"/>
                <w:w w:val="95"/>
                <w:sz w:val="18"/>
              </w:rPr>
              <w:t>-7,254,483.65</w:t>
            </w:r>
            <w:r>
              <w:rPr>
                <w:rFonts w:ascii="Arial"/>
                <w:sz w:val="18"/>
              </w:rPr>
            </w:r>
          </w:p>
        </w:tc>
      </w:tr>
      <w:tr>
        <w:trPr>
          <w:trHeight w:val="322" w:hRule="exact"/>
        </w:trPr>
        <w:tc>
          <w:tcPr>
            <w:tcW w:w="34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西安市爱星通通信器材有限公司</w:t>
            </w:r>
          </w:p>
        </w:tc>
        <w:tc>
          <w:tcPr>
            <w:tcW w:w="274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2,254,702.54</w:t>
            </w:r>
            <w:r>
              <w:rPr>
                <w:rFonts w:ascii="Arial"/>
                <w:sz w:val="18"/>
              </w:rPr>
            </w:r>
          </w:p>
        </w:tc>
        <w:tc>
          <w:tcPr>
            <w:tcW w:w="285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3"/>
              <w:jc w:val="right"/>
              <w:rPr>
                <w:rFonts w:ascii="Arial" w:hAnsi="Arial" w:cs="Arial" w:eastAsia="Arial" w:hint="default"/>
                <w:sz w:val="18"/>
                <w:szCs w:val="18"/>
              </w:rPr>
            </w:pPr>
            <w:r>
              <w:rPr>
                <w:rFonts w:ascii="Arial"/>
                <w:w w:val="95"/>
                <w:sz w:val="18"/>
              </w:rPr>
              <w:t>2,254,702.54</w:t>
            </w:r>
            <w:r>
              <w:rPr>
                <w:rFonts w:ascii="Arial"/>
                <w:sz w:val="18"/>
              </w:rPr>
            </w:r>
          </w:p>
        </w:tc>
      </w:tr>
      <w:tr>
        <w:trPr>
          <w:trHeight w:val="322" w:hRule="exact"/>
        </w:trPr>
        <w:tc>
          <w:tcPr>
            <w:tcW w:w="34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北京灵动互娱科技有限公司</w:t>
            </w:r>
          </w:p>
        </w:tc>
        <w:tc>
          <w:tcPr>
            <w:tcW w:w="274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9,973,905.07</w:t>
            </w:r>
            <w:r>
              <w:rPr>
                <w:rFonts w:ascii="Arial"/>
                <w:sz w:val="18"/>
              </w:rPr>
            </w:r>
          </w:p>
        </w:tc>
        <w:tc>
          <w:tcPr>
            <w:tcW w:w="285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-26,094.93</w:t>
            </w:r>
            <w:r>
              <w:rPr>
                <w:rFonts w:ascii="Arial"/>
                <w:sz w:val="18"/>
              </w:rPr>
            </w:r>
          </w:p>
        </w:tc>
      </w:tr>
      <w:tr>
        <w:trPr>
          <w:trHeight w:val="322" w:hRule="exact"/>
        </w:trPr>
        <w:tc>
          <w:tcPr>
            <w:tcW w:w="34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深圳市优友金融服务有限公司</w:t>
            </w:r>
          </w:p>
        </w:tc>
        <w:tc>
          <w:tcPr>
            <w:tcW w:w="274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795,142.31</w:t>
            </w:r>
            <w:r>
              <w:rPr>
                <w:rFonts w:ascii="Arial"/>
                <w:sz w:val="18"/>
              </w:rPr>
            </w:r>
          </w:p>
        </w:tc>
        <w:tc>
          <w:tcPr>
            <w:tcW w:w="285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-204,857.69</w:t>
            </w:r>
            <w:r>
              <w:rPr>
                <w:rFonts w:ascii="Arial"/>
                <w:sz w:val="18"/>
              </w:rPr>
            </w:r>
          </w:p>
        </w:tc>
      </w:tr>
    </w:tbl>
    <w:p>
      <w:pPr>
        <w:spacing w:line="240" w:lineRule="auto" w:before="0"/>
        <w:rPr>
          <w:rFonts w:ascii="宋体" w:hAnsi="宋体" w:cs="宋体" w:eastAsia="宋体" w:hint="default"/>
          <w:sz w:val="15"/>
          <w:szCs w:val="15"/>
        </w:rPr>
      </w:pPr>
    </w:p>
    <w:p>
      <w:pPr>
        <w:pStyle w:val="BodyText"/>
        <w:spacing w:line="240" w:lineRule="auto" w:before="18"/>
        <w:ind w:left="634" w:right="1513"/>
        <w:jc w:val="left"/>
      </w:pPr>
      <w:r>
        <w:rPr/>
        <w:t>注：以上公司均为本期新取得的子公司。</w:t>
      </w:r>
    </w:p>
    <w:p>
      <w:pPr>
        <w:spacing w:line="240" w:lineRule="auto" w:before="9"/>
        <w:rPr>
          <w:rFonts w:ascii="宋体" w:hAnsi="宋体" w:cs="宋体" w:eastAsia="宋体" w:hint="default"/>
          <w:sz w:val="26"/>
          <w:szCs w:val="26"/>
        </w:rPr>
      </w:pPr>
    </w:p>
    <w:p>
      <w:pPr>
        <w:pStyle w:val="BodyText"/>
        <w:spacing w:line="240" w:lineRule="auto"/>
        <w:ind w:left="634" w:right="1513"/>
        <w:jc w:val="left"/>
      </w:pPr>
      <w:r>
        <w:rPr/>
        <w:t>（</w:t>
      </w:r>
      <w:r>
        <w:rPr>
          <w:rFonts w:ascii="Arial" w:hAnsi="Arial" w:cs="Arial" w:eastAsia="Arial" w:hint="default"/>
        </w:rPr>
        <w:t>2</w:t>
      </w:r>
      <w:r>
        <w:rPr/>
        <w:t>）本年不再纳入合并范围的公司</w:t>
      </w:r>
    </w:p>
    <w:p>
      <w:pPr>
        <w:spacing w:line="240" w:lineRule="auto" w:before="2"/>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3544"/>
        <w:gridCol w:w="2694"/>
        <w:gridCol w:w="2836"/>
      </w:tblGrid>
      <w:tr>
        <w:trPr>
          <w:trHeight w:val="322" w:hRule="exact"/>
        </w:trPr>
        <w:tc>
          <w:tcPr>
            <w:tcW w:w="354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6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806"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8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607"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r>
        <w:trPr>
          <w:trHeight w:val="322" w:hRule="exact"/>
        </w:trPr>
        <w:tc>
          <w:tcPr>
            <w:tcW w:w="354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长沙市酷动数码产品有限公司</w:t>
            </w:r>
          </w:p>
        </w:tc>
        <w:tc>
          <w:tcPr>
            <w:tcW w:w="26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690,297.04</w:t>
            </w:r>
            <w:r>
              <w:rPr>
                <w:rFonts w:ascii="Arial"/>
                <w:sz w:val="18"/>
              </w:rPr>
            </w:r>
          </w:p>
        </w:tc>
        <w:tc>
          <w:tcPr>
            <w:tcW w:w="28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w w:val="95"/>
                <w:sz w:val="18"/>
              </w:rPr>
              <w:t>-120.65</w:t>
            </w:r>
            <w:r>
              <w:rPr>
                <w:rFonts w:ascii="Arial"/>
                <w:sz w:val="18"/>
              </w:rPr>
            </w:r>
          </w:p>
        </w:tc>
      </w:tr>
      <w:tr>
        <w:trPr>
          <w:trHeight w:val="322" w:hRule="exact"/>
        </w:trPr>
        <w:tc>
          <w:tcPr>
            <w:tcW w:w="354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武汉酷索商贸有限公司</w:t>
            </w:r>
          </w:p>
        </w:tc>
        <w:tc>
          <w:tcPr>
            <w:tcW w:w="26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452,007.71</w:t>
            </w:r>
            <w:r>
              <w:rPr>
                <w:rFonts w:ascii="Arial"/>
                <w:sz w:val="18"/>
              </w:rPr>
            </w:r>
          </w:p>
        </w:tc>
        <w:tc>
          <w:tcPr>
            <w:tcW w:w="28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w w:val="95"/>
                <w:sz w:val="18"/>
              </w:rPr>
              <w:t>-11,925.82</w:t>
            </w:r>
            <w:r>
              <w:rPr>
                <w:rFonts w:ascii="Arial"/>
                <w:sz w:val="18"/>
              </w:rPr>
            </w:r>
          </w:p>
        </w:tc>
      </w:tr>
      <w:tr>
        <w:trPr>
          <w:trHeight w:val="322" w:hRule="exact"/>
        </w:trPr>
        <w:tc>
          <w:tcPr>
            <w:tcW w:w="354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大连市酷索数码产品有限公司</w:t>
            </w:r>
          </w:p>
        </w:tc>
        <w:tc>
          <w:tcPr>
            <w:tcW w:w="26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17,569.74</w:t>
            </w:r>
            <w:r>
              <w:rPr>
                <w:rFonts w:ascii="Arial"/>
                <w:sz w:val="18"/>
              </w:rPr>
            </w:r>
          </w:p>
        </w:tc>
        <w:tc>
          <w:tcPr>
            <w:tcW w:w="28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w w:val="95"/>
                <w:sz w:val="18"/>
              </w:rPr>
              <w:t>18.31</w:t>
            </w:r>
            <w:r>
              <w:rPr>
                <w:rFonts w:ascii="Arial"/>
                <w:sz w:val="18"/>
              </w:rPr>
            </w:r>
          </w:p>
        </w:tc>
      </w:tr>
      <w:tr>
        <w:trPr>
          <w:trHeight w:val="322" w:hRule="exact"/>
        </w:trPr>
        <w:tc>
          <w:tcPr>
            <w:tcW w:w="354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天津市美索商贸有限公司</w:t>
            </w:r>
          </w:p>
        </w:tc>
        <w:tc>
          <w:tcPr>
            <w:tcW w:w="269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180,754.80</w:t>
            </w:r>
            <w:r>
              <w:rPr>
                <w:rFonts w:ascii="Arial"/>
                <w:sz w:val="18"/>
              </w:rPr>
            </w:r>
          </w:p>
        </w:tc>
        <w:tc>
          <w:tcPr>
            <w:tcW w:w="28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-2,749.2</w:t>
            </w:r>
            <w:r>
              <w:rPr>
                <w:rFonts w:ascii="Arial"/>
                <w:sz w:val="18"/>
              </w:rPr>
            </w:r>
          </w:p>
        </w:tc>
      </w:tr>
    </w:tbl>
    <w:p>
      <w:pPr>
        <w:spacing w:line="240" w:lineRule="auto" w:before="0"/>
        <w:rPr>
          <w:rFonts w:ascii="宋体" w:hAnsi="宋体" w:cs="宋体" w:eastAsia="宋体" w:hint="default"/>
          <w:sz w:val="15"/>
          <w:szCs w:val="15"/>
        </w:rPr>
      </w:pPr>
    </w:p>
    <w:p>
      <w:pPr>
        <w:pStyle w:val="BodyText"/>
        <w:spacing w:line="240" w:lineRule="auto" w:before="18"/>
        <w:ind w:left="634" w:right="1513"/>
        <w:jc w:val="left"/>
      </w:pPr>
      <w:r>
        <w:rPr/>
        <w:t>注：以上公司因在本期注销，不再纳入合并范围。</w:t>
      </w:r>
    </w:p>
    <w:p>
      <w:pPr>
        <w:spacing w:line="240" w:lineRule="auto" w:before="6"/>
        <w:rPr>
          <w:rFonts w:ascii="宋体" w:hAnsi="宋体" w:cs="宋体" w:eastAsia="宋体" w:hint="default"/>
          <w:sz w:val="19"/>
          <w:szCs w:val="19"/>
        </w:rPr>
      </w:pPr>
    </w:p>
    <w:p>
      <w:pPr>
        <w:pStyle w:val="Heading2"/>
        <w:spacing w:line="240" w:lineRule="auto"/>
        <w:ind w:left="214" w:right="1513"/>
        <w:jc w:val="left"/>
        <w:rPr>
          <w:rFonts w:ascii="宋体" w:hAnsi="宋体" w:cs="宋体" w:eastAsia="宋体" w:hint="default"/>
          <w:b w:val="0"/>
          <w:bCs w:val="0"/>
        </w:rPr>
      </w:pPr>
      <w:bookmarkStart w:name="九、在其他主体中的权益" w:id="383"/>
      <w:bookmarkEnd w:id="383"/>
      <w:r>
        <w:rPr>
          <w:b w:val="0"/>
          <w:bCs w:val="0"/>
        </w:rPr>
      </w:r>
      <w:bookmarkStart w:name="_bookmark82" w:id="384"/>
      <w:bookmarkEnd w:id="384"/>
      <w:r>
        <w:rPr>
          <w:b w:val="0"/>
          <w:bCs w:val="0"/>
        </w:rPr>
      </w:r>
      <w:r>
        <w:rPr>
          <w:rFonts w:ascii="宋体" w:hAnsi="宋体" w:cs="宋体" w:eastAsia="宋体" w:hint="default"/>
        </w:rPr>
        <w:t>九、在其他主体中的权益</w:t>
      </w:r>
      <w:r>
        <w:rPr>
          <w:rFonts w:ascii="宋体" w:hAnsi="宋体" w:cs="宋体" w:eastAsia="宋体" w:hint="default"/>
          <w:b w:val="0"/>
          <w:bCs w:val="0"/>
        </w:rPr>
      </w:r>
    </w:p>
    <w:p>
      <w:pPr>
        <w:spacing w:line="240" w:lineRule="auto" w:before="3"/>
        <w:rPr>
          <w:rFonts w:ascii="宋体" w:hAnsi="宋体" w:cs="宋体" w:eastAsia="宋体" w:hint="default"/>
          <w:b/>
          <w:bCs/>
          <w:sz w:val="24"/>
          <w:szCs w:val="24"/>
        </w:rPr>
      </w:pPr>
    </w:p>
    <w:p>
      <w:pPr>
        <w:pStyle w:val="Heading5"/>
        <w:spacing w:line="240" w:lineRule="auto" w:before="0"/>
        <w:ind w:right="1513"/>
        <w:jc w:val="left"/>
        <w:rPr>
          <w:b w:val="0"/>
          <w:bCs w:val="0"/>
        </w:rPr>
      </w:pPr>
      <w:bookmarkStart w:name="1、在子公司中的权益" w:id="385"/>
      <w:bookmarkEnd w:id="385"/>
      <w:r>
        <w:rPr>
          <w:b w:val="0"/>
          <w:bCs w:val="0"/>
        </w:rPr>
      </w:r>
      <w:r>
        <w:rPr>
          <w:rFonts w:ascii="Trebuchet MS" w:hAnsi="Trebuchet MS" w:cs="Trebuchet MS" w:eastAsia="Trebuchet MS"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spacing w:before="0"/>
        <w:ind w:left="636" w:right="1513" w:firstLine="0"/>
        <w:jc w:val="left"/>
        <w:rPr>
          <w:rFonts w:ascii="宋体" w:hAnsi="宋体" w:cs="宋体" w:eastAsia="宋体" w:hint="default"/>
          <w:sz w:val="21"/>
          <w:szCs w:val="21"/>
        </w:rPr>
      </w:pPr>
      <w:bookmarkStart w:name="（1）企业集团的构成" w:id="386"/>
      <w:bookmarkEnd w:id="386"/>
      <w:r>
        <w:rPr/>
      </w:r>
      <w:r>
        <w:rPr>
          <w:rFonts w:ascii="宋体" w:hAnsi="宋体" w:cs="宋体" w:eastAsia="宋体" w:hint="default"/>
          <w:b/>
          <w:bCs/>
          <w:sz w:val="21"/>
          <w:szCs w:val="21"/>
        </w:rPr>
        <w:t>（</w:t>
      </w:r>
      <w:r>
        <w:rPr>
          <w:rFonts w:ascii="Trebuchet MS" w:hAnsi="Trebuchet MS" w:cs="Trebuchet MS" w:eastAsia="Trebuchet MS"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13"/>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23" w:hRule="exact"/>
        </w:trPr>
        <w:tc>
          <w:tcPr>
            <w:tcW w:w="1372"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17" w:hRule="exact"/>
        </w:trPr>
        <w:tc>
          <w:tcPr>
            <w:tcW w:w="1372" w:type="dxa"/>
            <w:vMerge/>
            <w:tcBorders>
              <w:left w:val="nil" w:sz="6" w:space="0" w:color="auto"/>
              <w:bottom w:val="single" w:sz="4" w:space="0" w:color="5B9BD4"/>
              <w:right w:val="nil" w:sz="6" w:space="0" w:color="auto"/>
            </w:tcBorders>
            <w:shd w:val="clear" w:color="auto" w:fill="DEEAF6"/>
          </w:tcPr>
          <w:p>
            <w:pPr/>
          </w:p>
        </w:tc>
        <w:tc>
          <w:tcPr>
            <w:tcW w:w="1367" w:type="dxa"/>
            <w:vMerge/>
            <w:tcBorders>
              <w:left w:val="nil" w:sz="6" w:space="0" w:color="auto"/>
              <w:bottom w:val="single" w:sz="4" w:space="0" w:color="5B9BD4"/>
              <w:right w:val="nil" w:sz="6" w:space="0" w:color="auto"/>
            </w:tcBorders>
            <w:shd w:val="clear" w:color="auto" w:fill="DEEAF6"/>
          </w:tcPr>
          <w:p>
            <w:pPr/>
          </w:p>
        </w:tc>
        <w:tc>
          <w:tcPr>
            <w:tcW w:w="1367" w:type="dxa"/>
            <w:vMerge/>
            <w:tcBorders>
              <w:left w:val="nil" w:sz="6" w:space="0" w:color="auto"/>
              <w:bottom w:val="single" w:sz="4" w:space="0" w:color="5B9BD4"/>
              <w:right w:val="nil" w:sz="6" w:space="0" w:color="auto"/>
            </w:tcBorders>
            <w:shd w:val="clear" w:color="auto" w:fill="DEEAF6"/>
          </w:tcPr>
          <w:p>
            <w:pPr/>
          </w:p>
        </w:tc>
        <w:tc>
          <w:tcPr>
            <w:tcW w:w="1367" w:type="dxa"/>
            <w:vMerge/>
            <w:tcBorders>
              <w:left w:val="nil" w:sz="6" w:space="0" w:color="auto"/>
              <w:bottom w:val="single" w:sz="4" w:space="0" w:color="5B9BD4"/>
              <w:right w:val="nil" w:sz="6" w:space="0" w:color="auto"/>
            </w:tcBorders>
            <w:shd w:val="clear" w:color="auto" w:fill="DEEAF6"/>
          </w:tcPr>
          <w:p>
            <w:pP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502"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nil" w:sz="6" w:space="0" w:color="auto"/>
              <w:bottom w:val="single" w:sz="4" w:space="0" w:color="5B9BD4"/>
              <w:right w:val="nil" w:sz="6" w:space="0" w:color="auto"/>
            </w:tcBorders>
            <w:shd w:val="clear" w:color="auto" w:fill="DEEAF6"/>
          </w:tcPr>
          <w:p>
            <w:pPr/>
          </w:p>
        </w:tc>
      </w:tr>
      <w:tr>
        <w:trPr>
          <w:trHeight w:val="639" w:hRule="exact"/>
        </w:trPr>
        <w:tc>
          <w:tcPr>
            <w:tcW w:w="13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10"/>
              <w:ind w:left="108" w:right="183"/>
              <w:jc w:val="left"/>
              <w:rPr>
                <w:rFonts w:ascii="宋体" w:hAnsi="宋体" w:cs="宋体" w:eastAsia="宋体" w:hint="default"/>
                <w:sz w:val="18"/>
                <w:szCs w:val="18"/>
              </w:rPr>
            </w:pPr>
            <w:r>
              <w:rPr>
                <w:rFonts w:ascii="宋体" w:hAnsi="宋体" w:cs="宋体" w:eastAsia="宋体" w:hint="default"/>
                <w:sz w:val="18"/>
                <w:szCs w:val="18"/>
              </w:rPr>
              <w:t>深圳市酷动数 码有限公司</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71" w:right="0"/>
              <w:jc w:val="left"/>
              <w:rPr>
                <w:rFonts w:ascii="Arial" w:hAnsi="Arial" w:cs="Arial" w:eastAsia="Arial" w:hint="default"/>
                <w:sz w:val="18"/>
                <w:szCs w:val="18"/>
              </w:rPr>
            </w:pPr>
            <w:r>
              <w:rPr>
                <w:rFonts w:ascii="Arial"/>
                <w:sz w:val="18"/>
              </w:rPr>
              <w:t>100.00%</w:t>
            </w:r>
          </w:p>
        </w:tc>
        <w:tc>
          <w:tcPr>
            <w:tcW w:w="1367" w:type="dxa"/>
            <w:tcBorders>
              <w:top w:val="single" w:sz="4" w:space="0" w:color="5B9BD4"/>
              <w:left w:val="nil" w:sz="6" w:space="0" w:color="auto"/>
              <w:bottom w:val="single" w:sz="4" w:space="0" w:color="5B9BD4"/>
              <w:right w:val="nil" w:sz="6" w:space="0" w:color="auto"/>
            </w:tcBorders>
          </w:tcPr>
          <w:p>
            <w:pPr/>
          </w:p>
        </w:tc>
        <w:tc>
          <w:tcPr>
            <w:tcW w:w="13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设立取得</w:t>
            </w:r>
          </w:p>
        </w:tc>
      </w:tr>
      <w:tr>
        <w:trPr>
          <w:trHeight w:val="947" w:hRule="exact"/>
        </w:trPr>
        <w:tc>
          <w:tcPr>
            <w:tcW w:w="13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183"/>
              <w:jc w:val="both"/>
              <w:rPr>
                <w:rFonts w:ascii="宋体" w:hAnsi="宋体" w:cs="宋体" w:eastAsia="宋体" w:hint="default"/>
                <w:sz w:val="18"/>
                <w:szCs w:val="18"/>
              </w:rPr>
            </w:pPr>
            <w:r>
              <w:rPr>
                <w:rFonts w:ascii="宋体" w:hAnsi="宋体" w:cs="宋体" w:eastAsia="宋体" w:hint="default"/>
                <w:sz w:val="18"/>
                <w:szCs w:val="18"/>
              </w:rPr>
              <w:t>深圳市爱施德 通讯科技有限 公司</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物流</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571" w:right="0"/>
              <w:jc w:val="left"/>
              <w:rPr>
                <w:rFonts w:ascii="Arial" w:hAnsi="Arial" w:cs="Arial" w:eastAsia="Arial" w:hint="default"/>
                <w:sz w:val="18"/>
                <w:szCs w:val="18"/>
              </w:rPr>
            </w:pPr>
            <w:r>
              <w:rPr>
                <w:rFonts w:ascii="Arial"/>
                <w:sz w:val="18"/>
              </w:rPr>
              <w:t>100.00%</w:t>
            </w:r>
          </w:p>
        </w:tc>
        <w:tc>
          <w:tcPr>
            <w:tcW w:w="1367" w:type="dxa"/>
            <w:tcBorders>
              <w:top w:val="single" w:sz="4" w:space="0" w:color="5B9BD4"/>
              <w:left w:val="nil" w:sz="6" w:space="0" w:color="auto"/>
              <w:bottom w:val="single" w:sz="4" w:space="0" w:color="5B9BD4"/>
              <w:right w:val="nil" w:sz="6" w:space="0" w:color="auto"/>
            </w:tcBorders>
          </w:tcPr>
          <w:p>
            <w:pPr/>
          </w:p>
        </w:tc>
        <w:tc>
          <w:tcPr>
            <w:tcW w:w="13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设立取得</w:t>
            </w:r>
          </w:p>
        </w:tc>
      </w:tr>
      <w:tr>
        <w:trPr>
          <w:trHeight w:val="634" w:hRule="exact"/>
        </w:trPr>
        <w:tc>
          <w:tcPr>
            <w:tcW w:w="13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83"/>
              <w:jc w:val="left"/>
              <w:rPr>
                <w:rFonts w:ascii="宋体" w:hAnsi="宋体" w:cs="宋体" w:eastAsia="宋体" w:hint="default"/>
                <w:sz w:val="18"/>
                <w:szCs w:val="18"/>
              </w:rPr>
            </w:pPr>
            <w:r>
              <w:rPr>
                <w:rFonts w:ascii="宋体" w:hAnsi="宋体" w:cs="宋体" w:eastAsia="宋体" w:hint="default"/>
                <w:sz w:val="18"/>
                <w:szCs w:val="18"/>
              </w:rPr>
              <w:t>北京酷人通讯 科技有限公司</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161"/>
              <w:ind w:right="107"/>
              <w:jc w:val="righ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right="106"/>
              <w:jc w:val="righ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161"/>
              <w:ind w:right="107"/>
              <w:jc w:val="righ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571" w:right="0"/>
              <w:jc w:val="left"/>
              <w:rPr>
                <w:rFonts w:ascii="Arial" w:hAnsi="Arial" w:cs="Arial" w:eastAsia="Arial" w:hint="default"/>
                <w:sz w:val="18"/>
                <w:szCs w:val="18"/>
              </w:rPr>
            </w:pPr>
            <w:r>
              <w:rPr>
                <w:rFonts w:ascii="Arial"/>
                <w:sz w:val="18"/>
              </w:rPr>
              <w:t>100.00%</w:t>
            </w:r>
          </w:p>
        </w:tc>
        <w:tc>
          <w:tcPr>
            <w:tcW w:w="1367" w:type="dxa"/>
            <w:tcBorders>
              <w:top w:val="single" w:sz="4" w:space="0" w:color="5B9BD4"/>
              <w:left w:val="nil" w:sz="6" w:space="0" w:color="auto"/>
              <w:bottom w:val="single" w:sz="4" w:space="0" w:color="5B9BD4"/>
              <w:right w:val="nil" w:sz="6" w:space="0" w:color="auto"/>
            </w:tcBorders>
          </w:tcPr>
          <w:p>
            <w:pPr/>
          </w:p>
        </w:tc>
        <w:tc>
          <w:tcPr>
            <w:tcW w:w="13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right="107"/>
              <w:jc w:val="right"/>
              <w:rPr>
                <w:rFonts w:ascii="宋体" w:hAnsi="宋体" w:cs="宋体" w:eastAsia="宋体" w:hint="default"/>
                <w:sz w:val="18"/>
                <w:szCs w:val="18"/>
              </w:rPr>
            </w:pPr>
            <w:r>
              <w:rPr>
                <w:rFonts w:ascii="宋体" w:hAnsi="宋体" w:cs="宋体" w:eastAsia="宋体" w:hint="default"/>
                <w:sz w:val="18"/>
                <w:szCs w:val="18"/>
              </w:rPr>
              <w:t>设立取得</w:t>
            </w:r>
          </w:p>
        </w:tc>
      </w:tr>
      <w:tr>
        <w:trPr>
          <w:trHeight w:val="635" w:hRule="exact"/>
        </w:trPr>
        <w:tc>
          <w:tcPr>
            <w:tcW w:w="13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83"/>
              <w:jc w:val="left"/>
              <w:rPr>
                <w:rFonts w:ascii="宋体" w:hAnsi="宋体" w:cs="宋体" w:eastAsia="宋体" w:hint="default"/>
                <w:sz w:val="18"/>
                <w:szCs w:val="18"/>
              </w:rPr>
            </w:pPr>
            <w:r>
              <w:rPr>
                <w:rFonts w:ascii="宋体" w:hAnsi="宋体" w:cs="宋体" w:eastAsia="宋体" w:hint="default"/>
                <w:sz w:val="18"/>
                <w:szCs w:val="18"/>
              </w:rPr>
              <w:t>深圳市乐享无 限通讯有限公</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161"/>
              <w:ind w:right="107"/>
              <w:jc w:val="righ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right="106"/>
              <w:jc w:val="righ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161"/>
              <w:ind w:right="107"/>
              <w:jc w:val="righ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571" w:right="0"/>
              <w:jc w:val="left"/>
              <w:rPr>
                <w:rFonts w:ascii="Arial" w:hAnsi="Arial" w:cs="Arial" w:eastAsia="Arial" w:hint="default"/>
                <w:sz w:val="18"/>
                <w:szCs w:val="18"/>
              </w:rPr>
            </w:pPr>
            <w:r>
              <w:rPr>
                <w:rFonts w:ascii="Arial"/>
                <w:sz w:val="18"/>
              </w:rPr>
              <w:t>100.00%</w:t>
            </w:r>
          </w:p>
        </w:tc>
        <w:tc>
          <w:tcPr>
            <w:tcW w:w="1367" w:type="dxa"/>
            <w:tcBorders>
              <w:top w:val="single" w:sz="4" w:space="0" w:color="5B9BD4"/>
              <w:left w:val="nil" w:sz="6" w:space="0" w:color="auto"/>
              <w:bottom w:val="single" w:sz="4" w:space="0" w:color="5B9BD4"/>
              <w:right w:val="nil" w:sz="6" w:space="0" w:color="auto"/>
            </w:tcBorders>
          </w:tcPr>
          <w:p>
            <w:pPr/>
          </w:p>
        </w:tc>
        <w:tc>
          <w:tcPr>
            <w:tcW w:w="13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right="107"/>
              <w:jc w:val="right"/>
              <w:rPr>
                <w:rFonts w:ascii="宋体" w:hAnsi="宋体" w:cs="宋体" w:eastAsia="宋体" w:hint="default"/>
                <w:sz w:val="18"/>
                <w:szCs w:val="18"/>
              </w:rPr>
            </w:pPr>
            <w:r>
              <w:rPr>
                <w:rFonts w:ascii="宋体" w:hAnsi="宋体" w:cs="宋体" w:eastAsia="宋体" w:hint="default"/>
                <w:sz w:val="18"/>
                <w:szCs w:val="18"/>
              </w:rPr>
              <w:t>设立取得</w:t>
            </w:r>
          </w:p>
        </w:tc>
      </w:tr>
    </w:tbl>
    <w:p>
      <w:pPr>
        <w:spacing w:after="0" w:line="240" w:lineRule="auto"/>
        <w:jc w:val="right"/>
        <w:rPr>
          <w:rFonts w:ascii="宋体" w:hAnsi="宋体" w:cs="宋体" w:eastAsia="宋体" w:hint="default"/>
          <w:sz w:val="18"/>
          <w:szCs w:val="18"/>
        </w:rPr>
        <w:sectPr>
          <w:pgSz w:w="11910" w:h="16840"/>
          <w:pgMar w:header="877" w:footer="979" w:top="1100" w:bottom="116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22" w:hRule="exact"/>
        </w:trPr>
        <w:tc>
          <w:tcPr>
            <w:tcW w:w="13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7" w:type="dxa"/>
            <w:tcBorders>
              <w:top w:val="single" w:sz="4" w:space="0" w:color="5B9BD4"/>
              <w:left w:val="nil" w:sz="6" w:space="0" w:color="auto"/>
              <w:bottom w:val="single" w:sz="4" w:space="0" w:color="5B9BD4"/>
              <w:right w:val="nil" w:sz="6" w:space="0" w:color="auto"/>
            </w:tcBorders>
          </w:tcPr>
          <w:p>
            <w:pP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
        </w:tc>
        <w:tc>
          <w:tcPr>
            <w:tcW w:w="1367" w:type="dxa"/>
            <w:tcBorders>
              <w:top w:val="single" w:sz="4" w:space="0" w:color="5B9BD4"/>
              <w:left w:val="nil" w:sz="6" w:space="0" w:color="auto"/>
              <w:bottom w:val="single" w:sz="4" w:space="0" w:color="5B9BD4"/>
              <w:right w:val="nil" w:sz="6" w:space="0" w:color="auto"/>
            </w:tcBorders>
          </w:tcPr>
          <w:p>
            <w:pP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
        </w:tc>
        <w:tc>
          <w:tcPr>
            <w:tcW w:w="1367" w:type="dxa"/>
            <w:tcBorders>
              <w:top w:val="single" w:sz="4" w:space="0" w:color="5B9BD4"/>
              <w:left w:val="nil" w:sz="6" w:space="0" w:color="auto"/>
              <w:bottom w:val="single" w:sz="4" w:space="0" w:color="5B9BD4"/>
              <w:right w:val="nil" w:sz="6" w:space="0" w:color="auto"/>
            </w:tcBorders>
          </w:tcPr>
          <w:p>
            <w:pPr/>
          </w:p>
        </w:tc>
        <w:tc>
          <w:tcPr>
            <w:tcW w:w="1366"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4" w:hRule="exact"/>
        </w:trPr>
        <w:tc>
          <w:tcPr>
            <w:tcW w:w="13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183"/>
              <w:jc w:val="left"/>
              <w:rPr>
                <w:rFonts w:ascii="宋体" w:hAnsi="宋体" w:cs="宋体" w:eastAsia="宋体" w:hint="default"/>
                <w:sz w:val="18"/>
                <w:szCs w:val="18"/>
              </w:rPr>
            </w:pPr>
            <w:r>
              <w:rPr>
                <w:rFonts w:ascii="宋体" w:hAnsi="宋体" w:cs="宋体" w:eastAsia="宋体" w:hint="default"/>
                <w:sz w:val="18"/>
                <w:szCs w:val="18"/>
              </w:rPr>
              <w:t>西藏酷爱通信 有限公司</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拉萨</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拉萨</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w w:val="95"/>
                <w:sz w:val="18"/>
              </w:rPr>
              <w:t>100.00%</w:t>
            </w:r>
            <w:r>
              <w:rPr>
                <w:rFonts w:ascii="Arial"/>
                <w:sz w:val="18"/>
              </w:rPr>
            </w:r>
          </w:p>
        </w:tc>
        <w:tc>
          <w:tcPr>
            <w:tcW w:w="1367" w:type="dxa"/>
            <w:tcBorders>
              <w:top w:val="single" w:sz="4" w:space="0" w:color="5B9BD4"/>
              <w:left w:val="nil" w:sz="6" w:space="0" w:color="auto"/>
              <w:bottom w:val="single" w:sz="4" w:space="0" w:color="5B9BD4"/>
              <w:right w:val="nil" w:sz="6" w:space="0" w:color="auto"/>
            </w:tcBorders>
          </w:tcPr>
          <w:p>
            <w:pPr/>
          </w:p>
        </w:tc>
        <w:tc>
          <w:tcPr>
            <w:tcW w:w="13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设立取得</w:t>
            </w:r>
          </w:p>
        </w:tc>
      </w:tr>
      <w:tr>
        <w:trPr>
          <w:trHeight w:val="634" w:hRule="exact"/>
        </w:trPr>
        <w:tc>
          <w:tcPr>
            <w:tcW w:w="13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5"/>
              <w:ind w:left="108" w:right="183"/>
              <w:jc w:val="left"/>
              <w:rPr>
                <w:rFonts w:ascii="宋体" w:hAnsi="宋体" w:cs="宋体" w:eastAsia="宋体" w:hint="default"/>
                <w:sz w:val="18"/>
                <w:szCs w:val="18"/>
              </w:rPr>
            </w:pPr>
            <w:r>
              <w:rPr>
                <w:rFonts w:ascii="宋体" w:hAnsi="宋体" w:cs="宋体" w:eastAsia="宋体" w:hint="default"/>
                <w:sz w:val="18"/>
                <w:szCs w:val="18"/>
              </w:rPr>
              <w:t>北京酷沃通讯 器材有限公司</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161"/>
              <w:ind w:right="107"/>
              <w:jc w:val="righ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right="106"/>
              <w:jc w:val="righ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161"/>
              <w:ind w:right="107"/>
              <w:jc w:val="righ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w w:val="95"/>
                <w:sz w:val="18"/>
              </w:rPr>
              <w:t>100.00%</w:t>
            </w:r>
            <w:r>
              <w:rPr>
                <w:rFonts w:ascii="Arial"/>
                <w:sz w:val="18"/>
              </w:rPr>
            </w:r>
          </w:p>
        </w:tc>
        <w:tc>
          <w:tcPr>
            <w:tcW w:w="1367" w:type="dxa"/>
            <w:tcBorders>
              <w:top w:val="single" w:sz="4" w:space="0" w:color="5B9BD4"/>
              <w:left w:val="nil" w:sz="6" w:space="0" w:color="auto"/>
              <w:bottom w:val="single" w:sz="4" w:space="0" w:color="5B9BD4"/>
              <w:right w:val="nil" w:sz="6" w:space="0" w:color="auto"/>
            </w:tcBorders>
          </w:tcPr>
          <w:p>
            <w:pPr/>
          </w:p>
        </w:tc>
        <w:tc>
          <w:tcPr>
            <w:tcW w:w="13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right="107"/>
              <w:jc w:val="right"/>
              <w:rPr>
                <w:rFonts w:ascii="宋体" w:hAnsi="宋体" w:cs="宋体" w:eastAsia="宋体" w:hint="default"/>
                <w:sz w:val="18"/>
                <w:szCs w:val="18"/>
              </w:rPr>
            </w:pPr>
            <w:r>
              <w:rPr>
                <w:rFonts w:ascii="宋体" w:hAnsi="宋体" w:cs="宋体" w:eastAsia="宋体" w:hint="default"/>
                <w:sz w:val="18"/>
                <w:szCs w:val="18"/>
              </w:rPr>
              <w:t>设立取得</w:t>
            </w:r>
          </w:p>
        </w:tc>
      </w:tr>
      <w:tr>
        <w:trPr>
          <w:trHeight w:val="322" w:hRule="exact"/>
        </w:trPr>
        <w:tc>
          <w:tcPr>
            <w:tcW w:w="13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瑞成汇达公司</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107"/>
              <w:jc w:val="righ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06"/>
              <w:jc w:val="righ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107"/>
              <w:jc w:val="righ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100.00%</w:t>
            </w:r>
            <w:r>
              <w:rPr>
                <w:rFonts w:ascii="Arial"/>
                <w:sz w:val="18"/>
              </w:rPr>
            </w:r>
          </w:p>
        </w:tc>
        <w:tc>
          <w:tcPr>
            <w:tcW w:w="1367" w:type="dxa"/>
            <w:tcBorders>
              <w:top w:val="single" w:sz="4" w:space="0" w:color="5B9BD4"/>
              <w:left w:val="nil" w:sz="6" w:space="0" w:color="auto"/>
              <w:bottom w:val="single" w:sz="4" w:space="0" w:color="5B9BD4"/>
              <w:right w:val="nil" w:sz="6" w:space="0" w:color="auto"/>
            </w:tcBorders>
          </w:tcPr>
          <w:p>
            <w:pPr/>
          </w:p>
        </w:tc>
        <w:tc>
          <w:tcPr>
            <w:tcW w:w="13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07"/>
              <w:jc w:val="right"/>
              <w:rPr>
                <w:rFonts w:ascii="宋体" w:hAnsi="宋体" w:cs="宋体" w:eastAsia="宋体" w:hint="default"/>
                <w:sz w:val="18"/>
                <w:szCs w:val="18"/>
              </w:rPr>
            </w:pPr>
            <w:r>
              <w:rPr>
                <w:rFonts w:ascii="宋体" w:hAnsi="宋体" w:cs="宋体" w:eastAsia="宋体" w:hint="default"/>
                <w:sz w:val="18"/>
                <w:szCs w:val="18"/>
              </w:rPr>
              <w:t>设立取得</w:t>
            </w:r>
          </w:p>
        </w:tc>
      </w:tr>
      <w:tr>
        <w:trPr>
          <w:trHeight w:val="946" w:hRule="exact"/>
        </w:trPr>
        <w:tc>
          <w:tcPr>
            <w:tcW w:w="13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183"/>
              <w:jc w:val="both"/>
              <w:rPr>
                <w:rFonts w:ascii="宋体" w:hAnsi="宋体" w:cs="宋体" w:eastAsia="宋体" w:hint="default"/>
                <w:sz w:val="18"/>
                <w:szCs w:val="18"/>
              </w:rPr>
            </w:pPr>
            <w:r>
              <w:rPr>
                <w:rFonts w:ascii="宋体" w:hAnsi="宋体" w:cs="宋体" w:eastAsia="宋体" w:hint="default"/>
                <w:sz w:val="18"/>
                <w:szCs w:val="18"/>
              </w:rPr>
              <w:t>天津爱施迪通 讯器材有限公 司</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107"/>
              <w:jc w:val="righ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106"/>
              <w:jc w:val="righ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107"/>
              <w:jc w:val="righ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05"/>
              <w:jc w:val="right"/>
              <w:rPr>
                <w:rFonts w:ascii="Arial" w:hAnsi="Arial" w:cs="Arial" w:eastAsia="Arial" w:hint="default"/>
                <w:sz w:val="18"/>
                <w:szCs w:val="18"/>
              </w:rPr>
            </w:pPr>
            <w:r>
              <w:rPr>
                <w:rFonts w:ascii="Arial"/>
                <w:w w:val="95"/>
                <w:sz w:val="18"/>
              </w:rPr>
              <w:t>100.00%</w:t>
            </w:r>
            <w:r>
              <w:rPr>
                <w:rFonts w:ascii="Arial"/>
                <w:sz w:val="18"/>
              </w:rPr>
            </w:r>
          </w:p>
        </w:tc>
        <w:tc>
          <w:tcPr>
            <w:tcW w:w="1367" w:type="dxa"/>
            <w:tcBorders>
              <w:top w:val="single" w:sz="4" w:space="0" w:color="5B9BD4"/>
              <w:left w:val="nil" w:sz="6" w:space="0" w:color="auto"/>
              <w:bottom w:val="single" w:sz="4" w:space="0" w:color="5B9BD4"/>
              <w:right w:val="nil" w:sz="6" w:space="0" w:color="auto"/>
            </w:tcBorders>
          </w:tcPr>
          <w:p>
            <w:pPr/>
          </w:p>
        </w:tc>
        <w:tc>
          <w:tcPr>
            <w:tcW w:w="13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107"/>
              <w:jc w:val="right"/>
              <w:rPr>
                <w:rFonts w:ascii="宋体" w:hAnsi="宋体" w:cs="宋体" w:eastAsia="宋体" w:hint="default"/>
                <w:sz w:val="18"/>
                <w:szCs w:val="18"/>
              </w:rPr>
            </w:pPr>
            <w:r>
              <w:rPr>
                <w:rFonts w:ascii="宋体" w:hAnsi="宋体" w:cs="宋体" w:eastAsia="宋体" w:hint="default"/>
                <w:sz w:val="18"/>
                <w:szCs w:val="18"/>
              </w:rPr>
              <w:t>设立取得</w:t>
            </w:r>
          </w:p>
        </w:tc>
      </w:tr>
      <w:tr>
        <w:trPr>
          <w:trHeight w:val="946" w:hRule="exact"/>
        </w:trPr>
        <w:tc>
          <w:tcPr>
            <w:tcW w:w="13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83"/>
              <w:jc w:val="both"/>
              <w:rPr>
                <w:rFonts w:ascii="宋体" w:hAnsi="宋体" w:cs="宋体" w:eastAsia="宋体" w:hint="default"/>
                <w:sz w:val="18"/>
                <w:szCs w:val="18"/>
              </w:rPr>
            </w:pPr>
            <w:r>
              <w:rPr>
                <w:rFonts w:ascii="宋体" w:hAnsi="宋体" w:cs="宋体" w:eastAsia="宋体" w:hint="default"/>
                <w:sz w:val="18"/>
                <w:szCs w:val="18"/>
              </w:rPr>
              <w:t>优友科技（北 京）有限责任 公司</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07"/>
              <w:jc w:val="righ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06"/>
              <w:jc w:val="righ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07"/>
              <w:jc w:val="righ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05"/>
              <w:jc w:val="right"/>
              <w:rPr>
                <w:rFonts w:ascii="Arial" w:hAnsi="Arial" w:cs="Arial" w:eastAsia="Arial" w:hint="default"/>
                <w:sz w:val="18"/>
                <w:szCs w:val="18"/>
              </w:rPr>
            </w:pPr>
            <w:r>
              <w:rPr>
                <w:rFonts w:ascii="Arial"/>
                <w:w w:val="95"/>
                <w:sz w:val="18"/>
              </w:rPr>
              <w:t>100.00%</w:t>
            </w:r>
            <w:r>
              <w:rPr>
                <w:rFonts w:ascii="Arial"/>
                <w:sz w:val="18"/>
              </w:rPr>
            </w:r>
          </w:p>
        </w:tc>
        <w:tc>
          <w:tcPr>
            <w:tcW w:w="1367" w:type="dxa"/>
            <w:tcBorders>
              <w:top w:val="single" w:sz="4" w:space="0" w:color="5B9BD4"/>
              <w:left w:val="nil" w:sz="6" w:space="0" w:color="auto"/>
              <w:bottom w:val="single" w:sz="4" w:space="0" w:color="5B9BD4"/>
              <w:right w:val="nil" w:sz="6" w:space="0" w:color="auto"/>
            </w:tcBorders>
          </w:tcPr>
          <w:p>
            <w:pPr/>
          </w:p>
        </w:tc>
        <w:tc>
          <w:tcPr>
            <w:tcW w:w="13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07"/>
              <w:jc w:val="right"/>
              <w:rPr>
                <w:rFonts w:ascii="宋体" w:hAnsi="宋体" w:cs="宋体" w:eastAsia="宋体" w:hint="default"/>
                <w:sz w:val="18"/>
                <w:szCs w:val="18"/>
              </w:rPr>
            </w:pPr>
            <w:r>
              <w:rPr>
                <w:rFonts w:ascii="宋体" w:hAnsi="宋体" w:cs="宋体" w:eastAsia="宋体" w:hint="default"/>
                <w:sz w:val="18"/>
                <w:szCs w:val="18"/>
              </w:rPr>
              <w:t>设立取得</w:t>
            </w:r>
          </w:p>
        </w:tc>
      </w:tr>
      <w:tr>
        <w:trPr>
          <w:trHeight w:val="634" w:hRule="exact"/>
        </w:trPr>
        <w:tc>
          <w:tcPr>
            <w:tcW w:w="13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83"/>
              <w:jc w:val="left"/>
              <w:rPr>
                <w:rFonts w:ascii="宋体" w:hAnsi="宋体" w:cs="宋体" w:eastAsia="宋体" w:hint="default"/>
                <w:sz w:val="18"/>
                <w:szCs w:val="18"/>
              </w:rPr>
            </w:pPr>
            <w:r>
              <w:rPr>
                <w:rFonts w:ascii="宋体" w:hAnsi="宋体" w:cs="宋体" w:eastAsia="宋体" w:hint="default"/>
                <w:sz w:val="18"/>
                <w:szCs w:val="18"/>
              </w:rPr>
              <w:t>北京酷昊通讯 科技有限公司</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161"/>
              <w:ind w:right="107"/>
              <w:jc w:val="righ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right="106"/>
              <w:jc w:val="righ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161"/>
              <w:ind w:right="107"/>
              <w:jc w:val="righ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w w:val="95"/>
                <w:sz w:val="18"/>
              </w:rPr>
              <w:t>100.00%</w:t>
            </w:r>
            <w:r>
              <w:rPr>
                <w:rFonts w:ascii="Arial"/>
                <w:sz w:val="18"/>
              </w:rPr>
            </w:r>
          </w:p>
        </w:tc>
        <w:tc>
          <w:tcPr>
            <w:tcW w:w="1367" w:type="dxa"/>
            <w:tcBorders>
              <w:top w:val="single" w:sz="4" w:space="0" w:color="5B9BD4"/>
              <w:left w:val="nil" w:sz="6" w:space="0" w:color="auto"/>
              <w:bottom w:val="single" w:sz="4" w:space="0" w:color="5B9BD4"/>
              <w:right w:val="nil" w:sz="6" w:space="0" w:color="auto"/>
            </w:tcBorders>
          </w:tcPr>
          <w:p>
            <w:pPr/>
          </w:p>
        </w:tc>
        <w:tc>
          <w:tcPr>
            <w:tcW w:w="13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right="107"/>
              <w:jc w:val="right"/>
              <w:rPr>
                <w:rFonts w:ascii="宋体" w:hAnsi="宋体" w:cs="宋体" w:eastAsia="宋体" w:hint="default"/>
                <w:sz w:val="18"/>
                <w:szCs w:val="18"/>
              </w:rPr>
            </w:pPr>
            <w:r>
              <w:rPr>
                <w:rFonts w:ascii="宋体" w:hAnsi="宋体" w:cs="宋体" w:eastAsia="宋体" w:hint="default"/>
                <w:sz w:val="18"/>
                <w:szCs w:val="18"/>
              </w:rPr>
              <w:t>设立取得</w:t>
            </w:r>
          </w:p>
        </w:tc>
      </w:tr>
      <w:tr>
        <w:trPr>
          <w:trHeight w:val="634" w:hRule="exact"/>
        </w:trPr>
        <w:tc>
          <w:tcPr>
            <w:tcW w:w="13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183"/>
              <w:jc w:val="left"/>
              <w:rPr>
                <w:rFonts w:ascii="宋体" w:hAnsi="宋体" w:cs="宋体" w:eastAsia="宋体" w:hint="default"/>
                <w:sz w:val="18"/>
                <w:szCs w:val="18"/>
              </w:rPr>
            </w:pPr>
            <w:r>
              <w:rPr>
                <w:rFonts w:ascii="宋体" w:hAnsi="宋体" w:cs="宋体" w:eastAsia="宋体" w:hint="default"/>
                <w:sz w:val="18"/>
                <w:szCs w:val="18"/>
              </w:rPr>
              <w:t>北京酷联通讯 科技有限公司</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w w:val="95"/>
                <w:sz w:val="18"/>
              </w:rPr>
              <w:t>100.00%</w:t>
            </w:r>
            <w:r>
              <w:rPr>
                <w:rFonts w:ascii="Arial"/>
                <w:sz w:val="18"/>
              </w:rPr>
            </w:r>
          </w:p>
        </w:tc>
        <w:tc>
          <w:tcPr>
            <w:tcW w:w="1367" w:type="dxa"/>
            <w:tcBorders>
              <w:top w:val="single" w:sz="4" w:space="0" w:color="5B9BD4"/>
              <w:left w:val="nil" w:sz="6" w:space="0" w:color="auto"/>
              <w:bottom w:val="single" w:sz="4" w:space="0" w:color="5B9BD4"/>
              <w:right w:val="nil" w:sz="6" w:space="0" w:color="auto"/>
            </w:tcBorders>
          </w:tcPr>
          <w:p>
            <w:pPr/>
          </w:p>
        </w:tc>
        <w:tc>
          <w:tcPr>
            <w:tcW w:w="13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设立取得</w:t>
            </w:r>
          </w:p>
        </w:tc>
      </w:tr>
      <w:tr>
        <w:trPr>
          <w:trHeight w:val="946" w:hRule="exact"/>
        </w:trPr>
        <w:tc>
          <w:tcPr>
            <w:tcW w:w="13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83"/>
              <w:jc w:val="both"/>
              <w:rPr>
                <w:rFonts w:ascii="宋体" w:hAnsi="宋体" w:cs="宋体" w:eastAsia="宋体" w:hint="default"/>
                <w:sz w:val="18"/>
                <w:szCs w:val="18"/>
              </w:rPr>
            </w:pPr>
            <w:r>
              <w:rPr>
                <w:rFonts w:ascii="宋体" w:hAnsi="宋体" w:cs="宋体" w:eastAsia="宋体" w:hint="default"/>
                <w:sz w:val="18"/>
                <w:szCs w:val="18"/>
              </w:rPr>
              <w:t>深圳市享易无 限数码有限公 司</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07"/>
              <w:jc w:val="righ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06"/>
              <w:jc w:val="righ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07"/>
              <w:jc w:val="righ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05"/>
              <w:jc w:val="right"/>
              <w:rPr>
                <w:rFonts w:ascii="Arial" w:hAnsi="Arial" w:cs="Arial" w:eastAsia="Arial" w:hint="default"/>
                <w:sz w:val="18"/>
                <w:szCs w:val="18"/>
              </w:rPr>
            </w:pPr>
            <w:r>
              <w:rPr>
                <w:rFonts w:ascii="Arial"/>
                <w:w w:val="95"/>
                <w:sz w:val="18"/>
              </w:rPr>
              <w:t>100.00%</w:t>
            </w:r>
            <w:r>
              <w:rPr>
                <w:rFonts w:ascii="Arial"/>
                <w:sz w:val="18"/>
              </w:rPr>
            </w:r>
          </w:p>
        </w:tc>
        <w:tc>
          <w:tcPr>
            <w:tcW w:w="1367" w:type="dxa"/>
            <w:tcBorders>
              <w:top w:val="single" w:sz="4" w:space="0" w:color="5B9BD4"/>
              <w:left w:val="nil" w:sz="6" w:space="0" w:color="auto"/>
              <w:bottom w:val="single" w:sz="4" w:space="0" w:color="5B9BD4"/>
              <w:right w:val="nil" w:sz="6" w:space="0" w:color="auto"/>
            </w:tcBorders>
          </w:tcPr>
          <w:p>
            <w:pPr/>
          </w:p>
        </w:tc>
        <w:tc>
          <w:tcPr>
            <w:tcW w:w="13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07"/>
              <w:jc w:val="right"/>
              <w:rPr>
                <w:rFonts w:ascii="宋体" w:hAnsi="宋体" w:cs="宋体" w:eastAsia="宋体" w:hint="default"/>
                <w:sz w:val="18"/>
                <w:szCs w:val="18"/>
              </w:rPr>
            </w:pPr>
            <w:r>
              <w:rPr>
                <w:rFonts w:ascii="宋体" w:hAnsi="宋体" w:cs="宋体" w:eastAsia="宋体" w:hint="default"/>
                <w:sz w:val="18"/>
                <w:szCs w:val="18"/>
              </w:rPr>
              <w:t>设立取得</w:t>
            </w:r>
          </w:p>
        </w:tc>
      </w:tr>
      <w:tr>
        <w:trPr>
          <w:trHeight w:val="634" w:hRule="exact"/>
        </w:trPr>
        <w:tc>
          <w:tcPr>
            <w:tcW w:w="13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6"/>
              <w:jc w:val="left"/>
              <w:rPr>
                <w:rFonts w:ascii="宋体" w:hAnsi="宋体" w:cs="宋体" w:eastAsia="宋体" w:hint="default"/>
                <w:sz w:val="18"/>
                <w:szCs w:val="18"/>
              </w:rPr>
            </w:pPr>
            <w:r>
              <w:rPr>
                <w:rFonts w:ascii="宋体" w:hAnsi="宋体" w:cs="宋体" w:eastAsia="宋体" w:hint="default"/>
                <w:spacing w:val="-3"/>
                <w:sz w:val="18"/>
                <w:szCs w:val="18"/>
              </w:rPr>
              <w:t>爱施德（香港）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161"/>
              <w:ind w:right="107"/>
              <w:jc w:val="righ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right="106"/>
              <w:jc w:val="righ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w w:val="95"/>
                <w:sz w:val="18"/>
              </w:rPr>
              <w:t>CORP</w:t>
            </w:r>
            <w:r>
              <w:rPr>
                <w:rFonts w:ascii="Arial"/>
                <w:sz w:val="18"/>
              </w:rPr>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w w:val="95"/>
                <w:sz w:val="18"/>
              </w:rPr>
              <w:t>100.00%</w:t>
            </w:r>
            <w:r>
              <w:rPr>
                <w:rFonts w:ascii="Arial"/>
                <w:sz w:val="18"/>
              </w:rPr>
            </w:r>
          </w:p>
        </w:tc>
        <w:tc>
          <w:tcPr>
            <w:tcW w:w="1367" w:type="dxa"/>
            <w:tcBorders>
              <w:top w:val="single" w:sz="4" w:space="0" w:color="5B9BD4"/>
              <w:left w:val="nil" w:sz="6" w:space="0" w:color="auto"/>
              <w:bottom w:val="single" w:sz="4" w:space="0" w:color="5B9BD4"/>
              <w:right w:val="nil" w:sz="6" w:space="0" w:color="auto"/>
            </w:tcBorders>
          </w:tcPr>
          <w:p>
            <w:pPr/>
          </w:p>
        </w:tc>
        <w:tc>
          <w:tcPr>
            <w:tcW w:w="13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right="107"/>
              <w:jc w:val="right"/>
              <w:rPr>
                <w:rFonts w:ascii="宋体" w:hAnsi="宋体" w:cs="宋体" w:eastAsia="宋体" w:hint="default"/>
                <w:sz w:val="18"/>
                <w:szCs w:val="18"/>
              </w:rPr>
            </w:pPr>
            <w:r>
              <w:rPr>
                <w:rFonts w:ascii="宋体" w:hAnsi="宋体" w:cs="宋体" w:eastAsia="宋体" w:hint="default"/>
                <w:sz w:val="18"/>
                <w:szCs w:val="18"/>
              </w:rPr>
              <w:t>设立取得</w:t>
            </w:r>
          </w:p>
        </w:tc>
      </w:tr>
      <w:tr>
        <w:trPr>
          <w:trHeight w:val="947" w:hRule="exact"/>
        </w:trPr>
        <w:tc>
          <w:tcPr>
            <w:tcW w:w="13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优友电子商务</w:t>
            </w:r>
          </w:p>
          <w:p>
            <w:pPr>
              <w:pStyle w:val="TableParagraph"/>
              <w:spacing w:line="316" w:lineRule="auto" w:before="77"/>
              <w:ind w:left="108" w:right="183"/>
              <w:jc w:val="left"/>
              <w:rPr>
                <w:rFonts w:ascii="宋体" w:hAnsi="宋体" w:cs="宋体" w:eastAsia="宋体" w:hint="default"/>
                <w:sz w:val="18"/>
                <w:szCs w:val="18"/>
              </w:rPr>
            </w:pPr>
            <w:r>
              <w:rPr>
                <w:rFonts w:ascii="宋体" w:hAnsi="宋体" w:cs="宋体" w:eastAsia="宋体" w:hint="default"/>
                <w:sz w:val="18"/>
                <w:szCs w:val="18"/>
              </w:rPr>
              <w:t>（深圳）有限 公司</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107"/>
              <w:jc w:val="righ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106"/>
              <w:jc w:val="righ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107"/>
              <w:jc w:val="right"/>
              <w:rPr>
                <w:rFonts w:ascii="宋体" w:hAnsi="宋体" w:cs="宋体" w:eastAsia="宋体" w:hint="default"/>
                <w:sz w:val="18"/>
                <w:szCs w:val="18"/>
              </w:rPr>
            </w:pPr>
            <w:r>
              <w:rPr>
                <w:rFonts w:ascii="宋体" w:hAnsi="宋体" w:cs="宋体" w:eastAsia="宋体" w:hint="default"/>
                <w:sz w:val="18"/>
                <w:szCs w:val="18"/>
              </w:rPr>
              <w:t>互联网</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05"/>
              <w:jc w:val="right"/>
              <w:rPr>
                <w:rFonts w:ascii="Arial" w:hAnsi="Arial" w:cs="Arial" w:eastAsia="Arial" w:hint="default"/>
                <w:sz w:val="18"/>
                <w:szCs w:val="18"/>
              </w:rPr>
            </w:pPr>
            <w:r>
              <w:rPr>
                <w:rFonts w:ascii="Arial"/>
                <w:w w:val="95"/>
                <w:sz w:val="18"/>
              </w:rPr>
              <w:t>100.00%</w:t>
            </w:r>
            <w:r>
              <w:rPr>
                <w:rFonts w:ascii="Arial"/>
                <w:sz w:val="18"/>
              </w:rPr>
            </w:r>
          </w:p>
        </w:tc>
        <w:tc>
          <w:tcPr>
            <w:tcW w:w="1367" w:type="dxa"/>
            <w:tcBorders>
              <w:top w:val="single" w:sz="4" w:space="0" w:color="5B9BD4"/>
              <w:left w:val="nil" w:sz="6" w:space="0" w:color="auto"/>
              <w:bottom w:val="single" w:sz="4" w:space="0" w:color="5B9BD4"/>
              <w:right w:val="nil" w:sz="6" w:space="0" w:color="auto"/>
            </w:tcBorders>
          </w:tcPr>
          <w:p>
            <w:pPr/>
          </w:p>
        </w:tc>
        <w:tc>
          <w:tcPr>
            <w:tcW w:w="13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107"/>
              <w:jc w:val="right"/>
              <w:rPr>
                <w:rFonts w:ascii="宋体" w:hAnsi="宋体" w:cs="宋体" w:eastAsia="宋体" w:hint="default"/>
                <w:sz w:val="18"/>
                <w:szCs w:val="18"/>
              </w:rPr>
            </w:pPr>
            <w:r>
              <w:rPr>
                <w:rFonts w:ascii="宋体" w:hAnsi="宋体" w:cs="宋体" w:eastAsia="宋体" w:hint="default"/>
                <w:sz w:val="18"/>
                <w:szCs w:val="18"/>
              </w:rPr>
              <w:t>设立取得</w:t>
            </w:r>
          </w:p>
        </w:tc>
      </w:tr>
      <w:tr>
        <w:trPr>
          <w:trHeight w:val="946" w:hRule="exact"/>
        </w:trPr>
        <w:tc>
          <w:tcPr>
            <w:tcW w:w="13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83"/>
              <w:jc w:val="both"/>
              <w:rPr>
                <w:rFonts w:ascii="宋体" w:hAnsi="宋体" w:cs="宋体" w:eastAsia="宋体" w:hint="default"/>
                <w:sz w:val="18"/>
                <w:szCs w:val="18"/>
              </w:rPr>
            </w:pPr>
            <w:r>
              <w:rPr>
                <w:rFonts w:ascii="宋体" w:hAnsi="宋体" w:cs="宋体" w:eastAsia="宋体" w:hint="default"/>
                <w:sz w:val="18"/>
                <w:szCs w:val="18"/>
              </w:rPr>
              <w:t>江西爱施德通 信科技有限公 司</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07"/>
              <w:jc w:val="right"/>
              <w:rPr>
                <w:rFonts w:ascii="宋体" w:hAnsi="宋体" w:cs="宋体" w:eastAsia="宋体" w:hint="default"/>
                <w:sz w:val="18"/>
                <w:szCs w:val="18"/>
              </w:rPr>
            </w:pPr>
            <w:r>
              <w:rPr>
                <w:rFonts w:ascii="宋体" w:hAnsi="宋体" w:cs="宋体" w:eastAsia="宋体" w:hint="default"/>
                <w:sz w:val="18"/>
                <w:szCs w:val="18"/>
              </w:rPr>
              <w:t>九江</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06"/>
              <w:jc w:val="right"/>
              <w:rPr>
                <w:rFonts w:ascii="宋体" w:hAnsi="宋体" w:cs="宋体" w:eastAsia="宋体" w:hint="default"/>
                <w:sz w:val="18"/>
                <w:szCs w:val="18"/>
              </w:rPr>
            </w:pPr>
            <w:r>
              <w:rPr>
                <w:rFonts w:ascii="宋体" w:hAnsi="宋体" w:cs="宋体" w:eastAsia="宋体" w:hint="default"/>
                <w:sz w:val="18"/>
                <w:szCs w:val="18"/>
              </w:rPr>
              <w:t>九江</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07"/>
              <w:jc w:val="righ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05"/>
              <w:jc w:val="right"/>
              <w:rPr>
                <w:rFonts w:ascii="Arial" w:hAnsi="Arial" w:cs="Arial" w:eastAsia="Arial" w:hint="default"/>
                <w:sz w:val="18"/>
                <w:szCs w:val="18"/>
              </w:rPr>
            </w:pPr>
            <w:r>
              <w:rPr>
                <w:rFonts w:ascii="Arial"/>
                <w:w w:val="95"/>
                <w:sz w:val="18"/>
              </w:rPr>
              <w:t>100.00%</w:t>
            </w:r>
            <w:r>
              <w:rPr>
                <w:rFonts w:ascii="Arial"/>
                <w:sz w:val="18"/>
              </w:rPr>
            </w:r>
          </w:p>
        </w:tc>
        <w:tc>
          <w:tcPr>
            <w:tcW w:w="1367" w:type="dxa"/>
            <w:tcBorders>
              <w:top w:val="single" w:sz="4" w:space="0" w:color="5B9BD4"/>
              <w:left w:val="nil" w:sz="6" w:space="0" w:color="auto"/>
              <w:bottom w:val="single" w:sz="4" w:space="0" w:color="5B9BD4"/>
              <w:right w:val="nil" w:sz="6" w:space="0" w:color="auto"/>
            </w:tcBorders>
          </w:tcPr>
          <w:p>
            <w:pPr/>
          </w:p>
        </w:tc>
        <w:tc>
          <w:tcPr>
            <w:tcW w:w="13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07"/>
              <w:jc w:val="right"/>
              <w:rPr>
                <w:rFonts w:ascii="宋体" w:hAnsi="宋体" w:cs="宋体" w:eastAsia="宋体" w:hint="default"/>
                <w:sz w:val="18"/>
                <w:szCs w:val="18"/>
              </w:rPr>
            </w:pPr>
            <w:r>
              <w:rPr>
                <w:rFonts w:ascii="宋体" w:hAnsi="宋体" w:cs="宋体" w:eastAsia="宋体" w:hint="default"/>
                <w:sz w:val="18"/>
                <w:szCs w:val="18"/>
              </w:rPr>
              <w:t>设立取得</w:t>
            </w:r>
          </w:p>
        </w:tc>
      </w:tr>
      <w:tr>
        <w:trPr>
          <w:trHeight w:val="634" w:hRule="exact"/>
        </w:trPr>
        <w:tc>
          <w:tcPr>
            <w:tcW w:w="13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left="108" w:right="0"/>
              <w:jc w:val="left"/>
              <w:rPr>
                <w:rFonts w:ascii="宋体" w:hAnsi="宋体" w:cs="宋体" w:eastAsia="宋体" w:hint="default"/>
                <w:sz w:val="18"/>
                <w:szCs w:val="18"/>
              </w:rPr>
            </w:pPr>
            <w:r>
              <w:rPr>
                <w:rFonts w:ascii="宋体" w:hAnsi="宋体" w:cs="宋体" w:eastAsia="宋体" w:hint="default"/>
                <w:sz w:val="18"/>
                <w:szCs w:val="18"/>
              </w:rPr>
              <w:t>彩梦科技公司</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161"/>
              <w:ind w:right="107"/>
              <w:jc w:val="righ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right="106"/>
              <w:jc w:val="righ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161"/>
              <w:ind w:right="107"/>
              <w:jc w:val="right"/>
              <w:rPr>
                <w:rFonts w:ascii="宋体" w:hAnsi="宋体" w:cs="宋体" w:eastAsia="宋体" w:hint="default"/>
                <w:sz w:val="18"/>
                <w:szCs w:val="18"/>
              </w:rPr>
            </w:pPr>
            <w:r>
              <w:rPr>
                <w:rFonts w:ascii="宋体" w:hAnsi="宋体" w:cs="宋体" w:eastAsia="宋体" w:hint="default"/>
                <w:sz w:val="18"/>
                <w:szCs w:val="18"/>
              </w:rPr>
              <w:t>互联网</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w w:val="95"/>
                <w:sz w:val="18"/>
              </w:rPr>
              <w:t>85.00%</w:t>
            </w:r>
            <w:r>
              <w:rPr>
                <w:rFonts w:ascii="Arial"/>
                <w:sz w:val="18"/>
              </w:rPr>
            </w:r>
          </w:p>
        </w:tc>
        <w:tc>
          <w:tcPr>
            <w:tcW w:w="1367" w:type="dxa"/>
            <w:tcBorders>
              <w:top w:val="single" w:sz="4" w:space="0" w:color="5B9BD4"/>
              <w:left w:val="nil" w:sz="6" w:space="0" w:color="auto"/>
              <w:bottom w:val="single" w:sz="4" w:space="0" w:color="5B9BD4"/>
              <w:right w:val="nil" w:sz="6" w:space="0" w:color="auto"/>
            </w:tcBorders>
          </w:tcPr>
          <w:p>
            <w:pPr/>
          </w:p>
        </w:tc>
        <w:tc>
          <w:tcPr>
            <w:tcW w:w="13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76" w:right="0"/>
              <w:jc w:val="left"/>
              <w:rPr>
                <w:rFonts w:ascii="宋体" w:hAnsi="宋体" w:cs="宋体" w:eastAsia="宋体" w:hint="default"/>
                <w:sz w:val="18"/>
                <w:szCs w:val="18"/>
              </w:rPr>
            </w:pPr>
            <w:r>
              <w:rPr>
                <w:rFonts w:ascii="宋体" w:hAnsi="宋体" w:cs="宋体" w:eastAsia="宋体" w:hint="default"/>
                <w:sz w:val="18"/>
                <w:szCs w:val="18"/>
              </w:rPr>
              <w:t>同一控制下收</w:t>
            </w:r>
          </w:p>
          <w:p>
            <w:pPr>
              <w:pStyle w:val="TableParagraph"/>
              <w:spacing w:line="240" w:lineRule="auto" w:before="76"/>
              <w:ind w:left="716" w:right="0"/>
              <w:jc w:val="left"/>
              <w:rPr>
                <w:rFonts w:ascii="宋体" w:hAnsi="宋体" w:cs="宋体" w:eastAsia="宋体" w:hint="default"/>
                <w:sz w:val="18"/>
                <w:szCs w:val="18"/>
              </w:rPr>
            </w:pPr>
            <w:r>
              <w:rPr>
                <w:rFonts w:ascii="宋体" w:hAnsi="宋体" w:cs="宋体" w:eastAsia="宋体" w:hint="default"/>
                <w:sz w:val="18"/>
                <w:szCs w:val="18"/>
              </w:rPr>
              <w:t>购取得</w:t>
            </w:r>
          </w:p>
        </w:tc>
      </w:tr>
      <w:tr>
        <w:trPr>
          <w:trHeight w:val="634" w:hRule="exact"/>
        </w:trPr>
        <w:tc>
          <w:tcPr>
            <w:tcW w:w="13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迈奔灵动公司</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互联网</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w w:val="95"/>
                <w:sz w:val="18"/>
              </w:rPr>
              <w:t>100.00%</w:t>
            </w:r>
            <w:r>
              <w:rPr>
                <w:rFonts w:ascii="Arial"/>
                <w:sz w:val="18"/>
              </w:rPr>
            </w:r>
          </w:p>
        </w:tc>
        <w:tc>
          <w:tcPr>
            <w:tcW w:w="1367" w:type="dxa"/>
            <w:tcBorders>
              <w:top w:val="single" w:sz="4" w:space="0" w:color="5B9BD4"/>
              <w:left w:val="nil" w:sz="6" w:space="0" w:color="auto"/>
              <w:bottom w:val="single" w:sz="4" w:space="0" w:color="5B9BD4"/>
              <w:right w:val="nil" w:sz="6" w:space="0" w:color="auto"/>
            </w:tcBorders>
          </w:tcPr>
          <w:p>
            <w:pPr/>
          </w:p>
        </w:tc>
        <w:tc>
          <w:tcPr>
            <w:tcW w:w="13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76" w:right="0"/>
              <w:jc w:val="left"/>
              <w:rPr>
                <w:rFonts w:ascii="宋体" w:hAnsi="宋体" w:cs="宋体" w:eastAsia="宋体" w:hint="default"/>
                <w:sz w:val="18"/>
                <w:szCs w:val="18"/>
              </w:rPr>
            </w:pPr>
            <w:r>
              <w:rPr>
                <w:rFonts w:ascii="宋体" w:hAnsi="宋体" w:cs="宋体" w:eastAsia="宋体" w:hint="default"/>
                <w:sz w:val="18"/>
                <w:szCs w:val="18"/>
              </w:rPr>
              <w:t>非同一控制下</w:t>
            </w:r>
          </w:p>
          <w:p>
            <w:pPr>
              <w:pStyle w:val="TableParagraph"/>
              <w:spacing w:line="240" w:lineRule="auto" w:before="76"/>
              <w:ind w:left="536" w:right="0"/>
              <w:jc w:val="left"/>
              <w:rPr>
                <w:rFonts w:ascii="宋体" w:hAnsi="宋体" w:cs="宋体" w:eastAsia="宋体" w:hint="default"/>
                <w:sz w:val="18"/>
                <w:szCs w:val="18"/>
              </w:rPr>
            </w:pPr>
            <w:r>
              <w:rPr>
                <w:rFonts w:ascii="宋体" w:hAnsi="宋体" w:cs="宋体" w:eastAsia="宋体" w:hint="default"/>
                <w:sz w:val="18"/>
                <w:szCs w:val="18"/>
              </w:rPr>
              <w:t>收购取得</w:t>
            </w:r>
          </w:p>
        </w:tc>
      </w:tr>
      <w:tr>
        <w:trPr>
          <w:trHeight w:val="634" w:hRule="exact"/>
        </w:trPr>
        <w:tc>
          <w:tcPr>
            <w:tcW w:w="13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83"/>
              <w:jc w:val="left"/>
              <w:rPr>
                <w:rFonts w:ascii="宋体" w:hAnsi="宋体" w:cs="宋体" w:eastAsia="宋体" w:hint="default"/>
                <w:sz w:val="18"/>
                <w:szCs w:val="18"/>
              </w:rPr>
            </w:pPr>
            <w:r>
              <w:rPr>
                <w:rFonts w:ascii="宋体" w:hAnsi="宋体" w:cs="宋体" w:eastAsia="宋体" w:hint="default"/>
                <w:sz w:val="18"/>
                <w:szCs w:val="18"/>
              </w:rPr>
              <w:t>深圳市优友互 联有限公司</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161"/>
              <w:ind w:right="107"/>
              <w:jc w:val="righ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right="106"/>
              <w:jc w:val="righ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161"/>
              <w:ind w:right="107"/>
              <w:jc w:val="right"/>
              <w:rPr>
                <w:rFonts w:ascii="宋体" w:hAnsi="宋体" w:cs="宋体" w:eastAsia="宋体" w:hint="default"/>
                <w:sz w:val="18"/>
                <w:szCs w:val="18"/>
              </w:rPr>
            </w:pPr>
            <w:r>
              <w:rPr>
                <w:rFonts w:ascii="宋体" w:hAnsi="宋体" w:cs="宋体" w:eastAsia="宋体" w:hint="default"/>
                <w:sz w:val="18"/>
                <w:szCs w:val="18"/>
              </w:rPr>
              <w:t>互联网</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w w:val="95"/>
                <w:sz w:val="18"/>
              </w:rPr>
              <w:t>100.00%</w:t>
            </w:r>
            <w:r>
              <w:rPr>
                <w:rFonts w:ascii="Arial"/>
                <w:sz w:val="18"/>
              </w:rPr>
            </w:r>
          </w:p>
        </w:tc>
        <w:tc>
          <w:tcPr>
            <w:tcW w:w="1367" w:type="dxa"/>
            <w:tcBorders>
              <w:top w:val="single" w:sz="4" w:space="0" w:color="5B9BD4"/>
              <w:left w:val="nil" w:sz="6" w:space="0" w:color="auto"/>
              <w:bottom w:val="single" w:sz="4" w:space="0" w:color="5B9BD4"/>
              <w:right w:val="nil" w:sz="6" w:space="0" w:color="auto"/>
            </w:tcBorders>
          </w:tcPr>
          <w:p>
            <w:pPr/>
          </w:p>
        </w:tc>
        <w:tc>
          <w:tcPr>
            <w:tcW w:w="13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right="107"/>
              <w:jc w:val="right"/>
              <w:rPr>
                <w:rFonts w:ascii="宋体" w:hAnsi="宋体" w:cs="宋体" w:eastAsia="宋体" w:hint="default"/>
                <w:sz w:val="18"/>
                <w:szCs w:val="18"/>
              </w:rPr>
            </w:pPr>
            <w:r>
              <w:rPr>
                <w:rFonts w:ascii="宋体" w:hAnsi="宋体" w:cs="宋体" w:eastAsia="宋体" w:hint="default"/>
                <w:sz w:val="18"/>
                <w:szCs w:val="18"/>
              </w:rPr>
              <w:t>设立取得</w:t>
            </w:r>
          </w:p>
        </w:tc>
      </w:tr>
      <w:tr>
        <w:trPr>
          <w:trHeight w:val="946" w:hRule="exact"/>
        </w:trPr>
        <w:tc>
          <w:tcPr>
            <w:tcW w:w="13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83"/>
              <w:jc w:val="both"/>
              <w:rPr>
                <w:rFonts w:ascii="宋体" w:hAnsi="宋体" w:cs="宋体" w:eastAsia="宋体" w:hint="default"/>
                <w:sz w:val="18"/>
                <w:szCs w:val="18"/>
              </w:rPr>
            </w:pPr>
            <w:r>
              <w:rPr>
                <w:rFonts w:ascii="宋体" w:hAnsi="宋体" w:cs="宋体" w:eastAsia="宋体" w:hint="default"/>
                <w:sz w:val="18"/>
                <w:szCs w:val="18"/>
              </w:rPr>
              <w:t>长春市酷爱通 讯科技有限公 司</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07"/>
              <w:jc w:val="righ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06"/>
              <w:jc w:val="righ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07"/>
              <w:jc w:val="righ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05"/>
              <w:jc w:val="right"/>
              <w:rPr>
                <w:rFonts w:ascii="Arial" w:hAnsi="Arial" w:cs="Arial" w:eastAsia="Arial" w:hint="default"/>
                <w:sz w:val="18"/>
                <w:szCs w:val="18"/>
              </w:rPr>
            </w:pPr>
            <w:r>
              <w:rPr>
                <w:rFonts w:ascii="Arial"/>
                <w:w w:val="95"/>
                <w:sz w:val="18"/>
              </w:rPr>
              <w:t>100.00%</w:t>
            </w:r>
            <w:r>
              <w:rPr>
                <w:rFonts w:ascii="Arial"/>
                <w:sz w:val="18"/>
              </w:rPr>
            </w:r>
          </w:p>
        </w:tc>
        <w:tc>
          <w:tcPr>
            <w:tcW w:w="1367" w:type="dxa"/>
            <w:tcBorders>
              <w:top w:val="single" w:sz="4" w:space="0" w:color="5B9BD4"/>
              <w:left w:val="nil" w:sz="6" w:space="0" w:color="auto"/>
              <w:bottom w:val="single" w:sz="4" w:space="0" w:color="5B9BD4"/>
              <w:right w:val="nil" w:sz="6" w:space="0" w:color="auto"/>
            </w:tcBorders>
          </w:tcPr>
          <w:p>
            <w:pPr/>
          </w:p>
        </w:tc>
        <w:tc>
          <w:tcPr>
            <w:tcW w:w="13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07"/>
              <w:jc w:val="right"/>
              <w:rPr>
                <w:rFonts w:ascii="宋体" w:hAnsi="宋体" w:cs="宋体" w:eastAsia="宋体" w:hint="default"/>
                <w:sz w:val="18"/>
                <w:szCs w:val="18"/>
              </w:rPr>
            </w:pPr>
            <w:r>
              <w:rPr>
                <w:rFonts w:ascii="宋体" w:hAnsi="宋体" w:cs="宋体" w:eastAsia="宋体" w:hint="default"/>
                <w:sz w:val="18"/>
                <w:szCs w:val="18"/>
              </w:rPr>
              <w:t>设立取得</w:t>
            </w:r>
          </w:p>
        </w:tc>
      </w:tr>
      <w:tr>
        <w:trPr>
          <w:trHeight w:val="946" w:hRule="exact"/>
        </w:trPr>
        <w:tc>
          <w:tcPr>
            <w:tcW w:w="13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183"/>
              <w:jc w:val="both"/>
              <w:rPr>
                <w:rFonts w:ascii="宋体" w:hAnsi="宋体" w:cs="宋体" w:eastAsia="宋体" w:hint="default"/>
                <w:sz w:val="18"/>
                <w:szCs w:val="18"/>
              </w:rPr>
            </w:pPr>
            <w:r>
              <w:rPr>
                <w:rFonts w:ascii="宋体" w:hAnsi="宋体" w:cs="宋体" w:eastAsia="宋体" w:hint="default"/>
                <w:sz w:val="18"/>
                <w:szCs w:val="18"/>
              </w:rPr>
              <w:t>武汉市酷爱星 通讯科技有限 责任公司</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107"/>
              <w:jc w:val="righ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106"/>
              <w:jc w:val="righ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107"/>
              <w:jc w:val="righ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05"/>
              <w:jc w:val="right"/>
              <w:rPr>
                <w:rFonts w:ascii="Arial" w:hAnsi="Arial" w:cs="Arial" w:eastAsia="Arial" w:hint="default"/>
                <w:sz w:val="18"/>
                <w:szCs w:val="18"/>
              </w:rPr>
            </w:pPr>
            <w:r>
              <w:rPr>
                <w:rFonts w:ascii="Arial"/>
                <w:w w:val="95"/>
                <w:sz w:val="18"/>
              </w:rPr>
              <w:t>100.00%</w:t>
            </w:r>
            <w:r>
              <w:rPr>
                <w:rFonts w:ascii="Arial"/>
                <w:sz w:val="18"/>
              </w:rPr>
            </w:r>
          </w:p>
        </w:tc>
        <w:tc>
          <w:tcPr>
            <w:tcW w:w="1367" w:type="dxa"/>
            <w:tcBorders>
              <w:top w:val="single" w:sz="4" w:space="0" w:color="5B9BD4"/>
              <w:left w:val="nil" w:sz="6" w:space="0" w:color="auto"/>
              <w:bottom w:val="single" w:sz="4" w:space="0" w:color="5B9BD4"/>
              <w:right w:val="nil" w:sz="6" w:space="0" w:color="auto"/>
            </w:tcBorders>
          </w:tcPr>
          <w:p>
            <w:pPr/>
          </w:p>
        </w:tc>
        <w:tc>
          <w:tcPr>
            <w:tcW w:w="13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107"/>
              <w:jc w:val="right"/>
              <w:rPr>
                <w:rFonts w:ascii="宋体" w:hAnsi="宋体" w:cs="宋体" w:eastAsia="宋体" w:hint="default"/>
                <w:sz w:val="18"/>
                <w:szCs w:val="18"/>
              </w:rPr>
            </w:pPr>
            <w:r>
              <w:rPr>
                <w:rFonts w:ascii="宋体" w:hAnsi="宋体" w:cs="宋体" w:eastAsia="宋体" w:hint="default"/>
                <w:sz w:val="18"/>
                <w:szCs w:val="18"/>
              </w:rPr>
              <w:t>设立取得</w:t>
            </w:r>
          </w:p>
        </w:tc>
      </w:tr>
      <w:tr>
        <w:trPr>
          <w:trHeight w:val="634" w:hRule="exact"/>
        </w:trPr>
        <w:tc>
          <w:tcPr>
            <w:tcW w:w="13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5"/>
              <w:ind w:left="108" w:right="183"/>
              <w:jc w:val="left"/>
              <w:rPr>
                <w:rFonts w:ascii="宋体" w:hAnsi="宋体" w:cs="宋体" w:eastAsia="宋体" w:hint="default"/>
                <w:sz w:val="18"/>
                <w:szCs w:val="18"/>
              </w:rPr>
            </w:pPr>
            <w:r>
              <w:rPr>
                <w:rFonts w:ascii="宋体" w:hAnsi="宋体" w:cs="宋体" w:eastAsia="宋体" w:hint="default"/>
                <w:sz w:val="18"/>
                <w:szCs w:val="18"/>
              </w:rPr>
              <w:t>壹号电子商务 有限公司</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互联网</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w w:val="95"/>
                <w:sz w:val="18"/>
              </w:rPr>
              <w:t>100.00%</w:t>
            </w:r>
            <w:r>
              <w:rPr>
                <w:rFonts w:ascii="Arial"/>
                <w:sz w:val="18"/>
              </w:rPr>
            </w:r>
          </w:p>
        </w:tc>
        <w:tc>
          <w:tcPr>
            <w:tcW w:w="1367" w:type="dxa"/>
            <w:tcBorders>
              <w:top w:val="single" w:sz="4" w:space="0" w:color="5B9BD4"/>
              <w:left w:val="nil" w:sz="6" w:space="0" w:color="auto"/>
              <w:bottom w:val="single" w:sz="4" w:space="0" w:color="5B9BD4"/>
              <w:right w:val="nil" w:sz="6" w:space="0" w:color="auto"/>
            </w:tcBorders>
          </w:tcPr>
          <w:p>
            <w:pPr/>
          </w:p>
        </w:tc>
        <w:tc>
          <w:tcPr>
            <w:tcW w:w="13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设立取得</w:t>
            </w:r>
          </w:p>
        </w:tc>
      </w:tr>
      <w:tr>
        <w:trPr>
          <w:trHeight w:val="947" w:hRule="exact"/>
        </w:trPr>
        <w:tc>
          <w:tcPr>
            <w:tcW w:w="13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83"/>
              <w:jc w:val="both"/>
              <w:rPr>
                <w:rFonts w:ascii="宋体" w:hAnsi="宋体" w:cs="宋体" w:eastAsia="宋体" w:hint="default"/>
                <w:sz w:val="18"/>
                <w:szCs w:val="18"/>
              </w:rPr>
            </w:pPr>
            <w:r>
              <w:rPr>
                <w:rFonts w:ascii="宋体" w:hAnsi="宋体" w:cs="宋体" w:eastAsia="宋体" w:hint="default"/>
                <w:sz w:val="18"/>
                <w:szCs w:val="18"/>
              </w:rPr>
              <w:t>深圳市酷爱星 通讯科技有限 责任公司</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07"/>
              <w:jc w:val="righ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06"/>
              <w:jc w:val="righ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07"/>
              <w:jc w:val="righ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05"/>
              <w:jc w:val="right"/>
              <w:rPr>
                <w:rFonts w:ascii="Arial" w:hAnsi="Arial" w:cs="Arial" w:eastAsia="Arial" w:hint="default"/>
                <w:sz w:val="18"/>
                <w:szCs w:val="18"/>
              </w:rPr>
            </w:pPr>
            <w:r>
              <w:rPr>
                <w:rFonts w:ascii="Arial"/>
                <w:w w:val="95"/>
                <w:sz w:val="18"/>
              </w:rPr>
              <w:t>100.00%</w:t>
            </w:r>
            <w:r>
              <w:rPr>
                <w:rFonts w:ascii="Arial"/>
                <w:sz w:val="18"/>
              </w:rPr>
            </w:r>
          </w:p>
        </w:tc>
        <w:tc>
          <w:tcPr>
            <w:tcW w:w="1367" w:type="dxa"/>
            <w:tcBorders>
              <w:top w:val="single" w:sz="4" w:space="0" w:color="5B9BD4"/>
              <w:left w:val="nil" w:sz="6" w:space="0" w:color="auto"/>
              <w:bottom w:val="single" w:sz="4" w:space="0" w:color="5B9BD4"/>
              <w:right w:val="nil" w:sz="6" w:space="0" w:color="auto"/>
            </w:tcBorders>
          </w:tcPr>
          <w:p>
            <w:pPr/>
          </w:p>
        </w:tc>
        <w:tc>
          <w:tcPr>
            <w:tcW w:w="13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07"/>
              <w:jc w:val="right"/>
              <w:rPr>
                <w:rFonts w:ascii="宋体" w:hAnsi="宋体" w:cs="宋体" w:eastAsia="宋体" w:hint="default"/>
                <w:sz w:val="18"/>
                <w:szCs w:val="18"/>
              </w:rPr>
            </w:pPr>
            <w:r>
              <w:rPr>
                <w:rFonts w:ascii="宋体" w:hAnsi="宋体" w:cs="宋体" w:eastAsia="宋体" w:hint="default"/>
                <w:sz w:val="18"/>
                <w:szCs w:val="18"/>
              </w:rPr>
              <w:t>设立取得</w:t>
            </w:r>
          </w:p>
        </w:tc>
      </w:tr>
    </w:tbl>
    <w:p>
      <w:pPr>
        <w:spacing w:after="0" w:line="240" w:lineRule="auto"/>
        <w:jc w:val="right"/>
        <w:rPr>
          <w:rFonts w:ascii="宋体" w:hAnsi="宋体" w:cs="宋体" w:eastAsia="宋体" w:hint="default"/>
          <w:sz w:val="18"/>
          <w:szCs w:val="18"/>
        </w:rPr>
        <w:sectPr>
          <w:pgSz w:w="11910" w:h="16840"/>
          <w:pgMar w:header="877" w:footer="979" w:top="1100" w:bottom="116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946" w:hRule="exact"/>
        </w:trPr>
        <w:tc>
          <w:tcPr>
            <w:tcW w:w="13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83"/>
              <w:jc w:val="both"/>
              <w:rPr>
                <w:rFonts w:ascii="宋体" w:hAnsi="宋体" w:cs="宋体" w:eastAsia="宋体" w:hint="default"/>
                <w:sz w:val="18"/>
                <w:szCs w:val="18"/>
              </w:rPr>
            </w:pPr>
            <w:r>
              <w:rPr>
                <w:rFonts w:ascii="宋体" w:hAnsi="宋体" w:cs="宋体" w:eastAsia="宋体" w:hint="default"/>
                <w:sz w:val="18"/>
                <w:szCs w:val="18"/>
              </w:rPr>
              <w:t>西安市爱星通 通信器材有限 公司</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07"/>
              <w:jc w:val="righ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06"/>
              <w:jc w:val="righ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07"/>
              <w:jc w:val="righ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05"/>
              <w:jc w:val="right"/>
              <w:rPr>
                <w:rFonts w:ascii="Arial" w:hAnsi="Arial" w:cs="Arial" w:eastAsia="Arial" w:hint="default"/>
                <w:sz w:val="18"/>
                <w:szCs w:val="18"/>
              </w:rPr>
            </w:pPr>
            <w:r>
              <w:rPr>
                <w:rFonts w:ascii="Arial"/>
                <w:w w:val="95"/>
                <w:sz w:val="18"/>
              </w:rPr>
              <w:t>100.00%</w:t>
            </w:r>
            <w:r>
              <w:rPr>
                <w:rFonts w:ascii="Arial"/>
                <w:sz w:val="18"/>
              </w:rPr>
            </w:r>
          </w:p>
        </w:tc>
        <w:tc>
          <w:tcPr>
            <w:tcW w:w="1367" w:type="dxa"/>
            <w:tcBorders>
              <w:top w:val="single" w:sz="4" w:space="0" w:color="5B9BD4"/>
              <w:left w:val="nil" w:sz="6" w:space="0" w:color="auto"/>
              <w:bottom w:val="single" w:sz="4" w:space="0" w:color="5B9BD4"/>
              <w:right w:val="nil" w:sz="6" w:space="0" w:color="auto"/>
            </w:tcBorders>
          </w:tcPr>
          <w:p>
            <w:pPr/>
          </w:p>
        </w:tc>
        <w:tc>
          <w:tcPr>
            <w:tcW w:w="13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07"/>
              <w:jc w:val="right"/>
              <w:rPr>
                <w:rFonts w:ascii="宋体" w:hAnsi="宋体" w:cs="宋体" w:eastAsia="宋体" w:hint="default"/>
                <w:sz w:val="18"/>
                <w:szCs w:val="18"/>
              </w:rPr>
            </w:pPr>
            <w:r>
              <w:rPr>
                <w:rFonts w:ascii="宋体" w:hAnsi="宋体" w:cs="宋体" w:eastAsia="宋体" w:hint="default"/>
                <w:sz w:val="18"/>
                <w:szCs w:val="18"/>
              </w:rPr>
              <w:t>设立取得</w:t>
            </w:r>
          </w:p>
        </w:tc>
      </w:tr>
      <w:tr>
        <w:trPr>
          <w:trHeight w:val="947" w:hRule="exact"/>
        </w:trPr>
        <w:tc>
          <w:tcPr>
            <w:tcW w:w="13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6"/>
              <w:ind w:left="108" w:right="183"/>
              <w:jc w:val="both"/>
              <w:rPr>
                <w:rFonts w:ascii="宋体" w:hAnsi="宋体" w:cs="宋体" w:eastAsia="宋体" w:hint="default"/>
                <w:sz w:val="18"/>
                <w:szCs w:val="18"/>
              </w:rPr>
            </w:pPr>
            <w:r>
              <w:rPr>
                <w:rFonts w:ascii="宋体" w:hAnsi="宋体" w:cs="宋体" w:eastAsia="宋体" w:hint="default"/>
                <w:sz w:val="18"/>
                <w:szCs w:val="18"/>
              </w:rPr>
              <w:t>深圳市优友金 融服务有限公 司</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107"/>
              <w:jc w:val="righ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106"/>
              <w:jc w:val="righ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107"/>
              <w:jc w:val="righ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05"/>
              <w:jc w:val="right"/>
              <w:rPr>
                <w:rFonts w:ascii="Arial" w:hAnsi="Arial" w:cs="Arial" w:eastAsia="Arial" w:hint="default"/>
                <w:sz w:val="18"/>
                <w:szCs w:val="18"/>
              </w:rPr>
            </w:pPr>
            <w:r>
              <w:rPr>
                <w:rFonts w:ascii="Arial"/>
                <w:w w:val="95"/>
                <w:sz w:val="18"/>
              </w:rPr>
              <w:t>51.00%</w:t>
            </w:r>
            <w:r>
              <w:rPr>
                <w:rFonts w:ascii="Arial"/>
                <w:sz w:val="18"/>
              </w:rPr>
            </w:r>
          </w:p>
        </w:tc>
        <w:tc>
          <w:tcPr>
            <w:tcW w:w="1367" w:type="dxa"/>
            <w:tcBorders>
              <w:top w:val="single" w:sz="4" w:space="0" w:color="5B9BD4"/>
              <w:left w:val="nil" w:sz="6" w:space="0" w:color="auto"/>
              <w:bottom w:val="single" w:sz="4" w:space="0" w:color="5B9BD4"/>
              <w:right w:val="nil" w:sz="6" w:space="0" w:color="auto"/>
            </w:tcBorders>
          </w:tcPr>
          <w:p>
            <w:pPr/>
          </w:p>
        </w:tc>
        <w:tc>
          <w:tcPr>
            <w:tcW w:w="13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107"/>
              <w:jc w:val="right"/>
              <w:rPr>
                <w:rFonts w:ascii="宋体" w:hAnsi="宋体" w:cs="宋体" w:eastAsia="宋体" w:hint="default"/>
                <w:sz w:val="18"/>
                <w:szCs w:val="18"/>
              </w:rPr>
            </w:pPr>
            <w:r>
              <w:rPr>
                <w:rFonts w:ascii="宋体" w:hAnsi="宋体" w:cs="宋体" w:eastAsia="宋体" w:hint="default"/>
                <w:sz w:val="18"/>
                <w:szCs w:val="18"/>
              </w:rPr>
              <w:t>设立取得</w:t>
            </w:r>
          </w:p>
        </w:tc>
      </w:tr>
    </w:tbl>
    <w:p>
      <w:pPr>
        <w:spacing w:line="240" w:lineRule="auto" w:before="10"/>
        <w:rPr>
          <w:rFonts w:ascii="Times New Roman" w:hAnsi="Times New Roman" w:cs="Times New Roman" w:eastAsia="Times New Roman" w:hint="default"/>
          <w:sz w:val="8"/>
          <w:szCs w:val="8"/>
        </w:rPr>
      </w:pPr>
    </w:p>
    <w:p>
      <w:pPr>
        <w:spacing w:before="35"/>
        <w:ind w:left="636" w:right="1513" w:firstLine="0"/>
        <w:jc w:val="left"/>
        <w:rPr>
          <w:rFonts w:ascii="宋体" w:hAnsi="宋体" w:cs="宋体" w:eastAsia="宋体" w:hint="default"/>
          <w:sz w:val="21"/>
          <w:szCs w:val="21"/>
        </w:rPr>
      </w:pPr>
      <w:bookmarkStart w:name="（2）重要的非全资子公司" w:id="387"/>
      <w:bookmarkEnd w:id="387"/>
      <w:r>
        <w:rPr/>
      </w:r>
      <w:r>
        <w:rPr>
          <w:rFonts w:ascii="宋体" w:hAnsi="宋体" w:cs="宋体" w:eastAsia="宋体" w:hint="default"/>
          <w:b/>
          <w:bCs/>
          <w:sz w:val="21"/>
          <w:szCs w:val="21"/>
        </w:rPr>
        <w:t>（</w:t>
      </w:r>
      <w:r>
        <w:rPr>
          <w:rFonts w:ascii="Trebuchet MS" w:hAnsi="Trebuchet MS" w:cs="Trebuchet MS" w:eastAsia="Trebuchet MS" w:hint="default"/>
          <w:b/>
          <w:bCs/>
          <w:sz w:val="21"/>
          <w:szCs w:val="21"/>
        </w:rPr>
        <w:t>2</w:t>
      </w:r>
      <w:r>
        <w:rPr>
          <w:rFonts w:ascii="宋体" w:hAnsi="宋体" w:cs="宋体" w:eastAsia="宋体" w:hint="default"/>
          <w:b/>
          <w:bCs/>
          <w:sz w:val="21"/>
          <w:szCs w:val="21"/>
        </w:rPr>
        <w:t>）重要的非全资子公司</w:t>
      </w:r>
      <w:r>
        <w:rPr>
          <w:rFonts w:ascii="宋体" w:hAnsi="宋体" w:cs="宋体" w:eastAsia="宋体" w:hint="default"/>
          <w:sz w:val="21"/>
          <w:szCs w:val="21"/>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1108" w:hRule="exact"/>
        </w:trPr>
        <w:tc>
          <w:tcPr>
            <w:tcW w:w="191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0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686" w:right="145" w:hanging="540"/>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91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506" w:right="144"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91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866" w:right="144" w:hanging="720"/>
              <w:jc w:val="left"/>
              <w:rPr>
                <w:rFonts w:ascii="宋体" w:hAnsi="宋体" w:cs="宋体" w:eastAsia="宋体" w:hint="default"/>
                <w:sz w:val="18"/>
                <w:szCs w:val="18"/>
              </w:rPr>
            </w:pPr>
            <w:r>
              <w:rPr>
                <w:rFonts w:ascii="宋体" w:hAnsi="宋体" w:cs="宋体" w:eastAsia="宋体" w:hint="default"/>
                <w:sz w:val="18"/>
                <w:szCs w:val="18"/>
              </w:rPr>
              <w:t>期末少数股东权益余 额</w:t>
            </w:r>
          </w:p>
        </w:tc>
      </w:tr>
      <w:tr>
        <w:trPr>
          <w:trHeight w:val="326" w:hRule="exact"/>
        </w:trPr>
        <w:tc>
          <w:tcPr>
            <w:tcW w:w="191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彩梦科技公司</w:t>
            </w:r>
          </w:p>
        </w:tc>
        <w:tc>
          <w:tcPr>
            <w:tcW w:w="1914"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w w:val="95"/>
                <w:sz w:val="18"/>
              </w:rPr>
              <w:t>15.00%</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2"/>
              <w:ind w:right="106"/>
              <w:jc w:val="right"/>
              <w:rPr>
                <w:rFonts w:ascii="Arial" w:hAnsi="Arial" w:cs="Arial" w:eastAsia="Arial" w:hint="default"/>
                <w:sz w:val="18"/>
                <w:szCs w:val="18"/>
              </w:rPr>
            </w:pPr>
            <w:r>
              <w:rPr>
                <w:rFonts w:ascii="Arial"/>
                <w:w w:val="95"/>
                <w:sz w:val="18"/>
              </w:rPr>
              <w:t>361,902.61</w:t>
            </w:r>
            <w:r>
              <w:rPr>
                <w:rFonts w:ascii="Arial"/>
                <w:sz w:val="18"/>
              </w:rPr>
            </w:r>
          </w:p>
        </w:tc>
        <w:tc>
          <w:tcPr>
            <w:tcW w:w="1913"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left="758" w:right="0"/>
              <w:jc w:val="left"/>
              <w:rPr>
                <w:rFonts w:ascii="Arial" w:hAnsi="Arial" w:cs="Arial" w:eastAsia="Arial" w:hint="default"/>
                <w:sz w:val="18"/>
                <w:szCs w:val="18"/>
              </w:rPr>
            </w:pPr>
            <w:r>
              <w:rPr>
                <w:rFonts w:ascii="Arial"/>
                <w:sz w:val="18"/>
              </w:rPr>
              <w:t>3,000,000.00</w:t>
            </w:r>
          </w:p>
        </w:tc>
        <w:tc>
          <w:tcPr>
            <w:tcW w:w="191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2"/>
              <w:ind w:right="104"/>
              <w:jc w:val="right"/>
              <w:rPr>
                <w:rFonts w:ascii="Arial" w:hAnsi="Arial" w:cs="Arial" w:eastAsia="Arial" w:hint="default"/>
                <w:sz w:val="18"/>
                <w:szCs w:val="18"/>
              </w:rPr>
            </w:pPr>
            <w:r>
              <w:rPr>
                <w:rFonts w:ascii="Arial"/>
                <w:w w:val="95"/>
                <w:sz w:val="18"/>
              </w:rPr>
              <w:t>7,726,958.02</w:t>
            </w:r>
            <w:r>
              <w:rPr>
                <w:rFonts w:ascii="Arial"/>
                <w:sz w:val="18"/>
              </w:rPr>
            </w:r>
          </w:p>
        </w:tc>
      </w:tr>
      <w:tr>
        <w:trPr>
          <w:trHeight w:val="635" w:hRule="exact"/>
        </w:trPr>
        <w:tc>
          <w:tcPr>
            <w:tcW w:w="191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86"/>
              <w:jc w:val="left"/>
              <w:rPr>
                <w:rFonts w:ascii="宋体" w:hAnsi="宋体" w:cs="宋体" w:eastAsia="宋体" w:hint="default"/>
                <w:sz w:val="18"/>
                <w:szCs w:val="18"/>
              </w:rPr>
            </w:pPr>
            <w:r>
              <w:rPr>
                <w:rFonts w:ascii="宋体" w:hAnsi="宋体" w:cs="宋体" w:eastAsia="宋体" w:hint="default"/>
                <w:sz w:val="18"/>
                <w:szCs w:val="18"/>
              </w:rPr>
              <w:t>深圳市优友金融服务 有限公司</w:t>
            </w:r>
          </w:p>
        </w:tc>
        <w:tc>
          <w:tcPr>
            <w:tcW w:w="1914"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49.00%</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-100,380.27</w:t>
            </w:r>
            <w:r>
              <w:rPr>
                <w:rFonts w:ascii="Arial"/>
                <w:sz w:val="18"/>
              </w:rPr>
            </w:r>
          </w:p>
        </w:tc>
        <w:tc>
          <w:tcPr>
            <w:tcW w:w="1913" w:type="dxa"/>
            <w:tcBorders>
              <w:top w:val="single" w:sz="4" w:space="0" w:color="5B9BD4"/>
              <w:left w:val="nil" w:sz="6" w:space="0" w:color="auto"/>
              <w:bottom w:val="single" w:sz="4" w:space="0" w:color="5B9BD4"/>
              <w:right w:val="nil" w:sz="6" w:space="0" w:color="auto"/>
            </w:tcBorders>
          </w:tcPr>
          <w:p>
            <w:pPr/>
          </w:p>
        </w:tc>
        <w:tc>
          <w:tcPr>
            <w:tcW w:w="191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389,619.73</w:t>
            </w:r>
            <w:r>
              <w:rPr>
                <w:rFonts w:ascii="Arial"/>
                <w:sz w:val="18"/>
              </w:rPr>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3）重要非全资子公司的主要财务信息" w:id="388"/>
      <w:bookmarkEnd w:id="388"/>
      <w:r>
        <w:rPr>
          <w:b w:val="0"/>
          <w:bCs w:val="0"/>
        </w:rPr>
      </w:r>
      <w:r>
        <w:rPr/>
        <w:t>（</w:t>
      </w:r>
      <w:r>
        <w:rPr>
          <w:rFonts w:ascii="Trebuchet MS" w:hAnsi="Trebuchet MS" w:cs="Trebuchet MS" w:eastAsia="Trebuchet MS" w:hint="default"/>
        </w:rPr>
        <w:t>3</w:t>
      </w:r>
      <w:r>
        <w:rPr/>
        <w:t>）重要非全资子公司的主要财务信息</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317" w:hRule="exact"/>
        </w:trPr>
        <w:tc>
          <w:tcPr>
            <w:tcW w:w="736"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10"/>
              <w:ind w:right="0"/>
              <w:jc w:val="left"/>
              <w:rPr>
                <w:rFonts w:ascii="宋体" w:hAnsi="宋体" w:cs="宋体" w:eastAsia="宋体" w:hint="default"/>
                <w:sz w:val="12"/>
                <w:szCs w:val="12"/>
              </w:rPr>
            </w:pPr>
          </w:p>
          <w:p>
            <w:pPr>
              <w:pStyle w:val="TableParagraph"/>
              <w:spacing w:line="319" w:lineRule="auto"/>
              <w:ind w:left="187" w:right="186"/>
              <w:jc w:val="both"/>
              <w:rPr>
                <w:rFonts w:ascii="宋体" w:hAnsi="宋体" w:cs="宋体" w:eastAsia="宋体" w:hint="default"/>
                <w:sz w:val="18"/>
                <w:szCs w:val="18"/>
              </w:rPr>
            </w:pPr>
            <w:r>
              <w:rPr>
                <w:rFonts w:ascii="宋体" w:hAnsi="宋体" w:cs="宋体" w:eastAsia="宋体" w:hint="default"/>
                <w:sz w:val="18"/>
                <w:szCs w:val="18"/>
              </w:rPr>
              <w:t>子公 司名 称</w:t>
            </w:r>
          </w:p>
        </w:tc>
        <w:tc>
          <w:tcPr>
            <w:tcW w:w="737" w:type="dxa"/>
            <w:tcBorders>
              <w:top w:val="single" w:sz="4" w:space="0" w:color="5B9BD4"/>
              <w:left w:val="nil" w:sz="6" w:space="0" w:color="auto"/>
              <w:bottom w:val="single" w:sz="4" w:space="0" w:color="5B9BD4"/>
              <w:right w:val="nil" w:sz="6" w:space="0" w:color="auto"/>
            </w:tcBorders>
            <w:shd w:val="clear" w:color="auto" w:fill="DEEAF6"/>
          </w:tcPr>
          <w:p>
            <w:pPr/>
          </w:p>
        </w:tc>
        <w:tc>
          <w:tcPr>
            <w:tcW w:w="736" w:type="dxa"/>
            <w:tcBorders>
              <w:top w:val="single" w:sz="4" w:space="0" w:color="5B9BD4"/>
              <w:left w:val="nil" w:sz="6" w:space="0" w:color="auto"/>
              <w:bottom w:val="single" w:sz="4" w:space="0" w:color="5B9BD4"/>
              <w:right w:val="nil" w:sz="6" w:space="0" w:color="auto"/>
            </w:tcBorders>
            <w:shd w:val="clear" w:color="auto" w:fill="DEEAF6"/>
          </w:tcPr>
          <w:p>
            <w:pPr/>
          </w:p>
        </w:tc>
        <w:tc>
          <w:tcPr>
            <w:tcW w:w="1472"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37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35" w:type="dxa"/>
            <w:tcBorders>
              <w:top w:val="single" w:sz="4" w:space="0" w:color="5B9BD4"/>
              <w:left w:val="nil" w:sz="6" w:space="0" w:color="auto"/>
              <w:bottom w:val="single" w:sz="4" w:space="0" w:color="5B9BD4"/>
              <w:right w:val="nil" w:sz="6" w:space="0" w:color="auto"/>
            </w:tcBorders>
            <w:shd w:val="clear" w:color="auto" w:fill="DEEAF6"/>
          </w:tcPr>
          <w:p>
            <w:pPr/>
          </w:p>
        </w:tc>
        <w:tc>
          <w:tcPr>
            <w:tcW w:w="736" w:type="dxa"/>
            <w:tcBorders>
              <w:top w:val="single" w:sz="4" w:space="0" w:color="5B9BD4"/>
              <w:left w:val="nil" w:sz="6" w:space="0" w:color="auto"/>
              <w:bottom w:val="single" w:sz="4" w:space="0" w:color="5B9BD4"/>
              <w:right w:val="nil" w:sz="6" w:space="0" w:color="auto"/>
            </w:tcBorders>
            <w:shd w:val="clear" w:color="auto" w:fill="DEEAF6"/>
          </w:tcPr>
          <w:p>
            <w:pPr/>
          </w:p>
        </w:tc>
        <w:tc>
          <w:tcPr>
            <w:tcW w:w="734" w:type="dxa"/>
            <w:tcBorders>
              <w:top w:val="single" w:sz="4" w:space="0" w:color="5B9BD4"/>
              <w:left w:val="nil" w:sz="6" w:space="0" w:color="auto"/>
              <w:bottom w:val="single" w:sz="4" w:space="0" w:color="5B9BD4"/>
              <w:right w:val="nil" w:sz="6" w:space="0" w:color="auto"/>
            </w:tcBorders>
            <w:shd w:val="clear" w:color="auto" w:fill="DEEAF6"/>
          </w:tcPr>
          <w:p>
            <w:pPr/>
          </w:p>
        </w:tc>
        <w:tc>
          <w:tcPr>
            <w:tcW w:w="736" w:type="dxa"/>
            <w:tcBorders>
              <w:top w:val="single" w:sz="4" w:space="0" w:color="5B9BD4"/>
              <w:left w:val="nil" w:sz="6" w:space="0" w:color="auto"/>
              <w:bottom w:val="single" w:sz="4" w:space="0" w:color="5B9BD4"/>
              <w:right w:val="nil" w:sz="6" w:space="0" w:color="auto"/>
            </w:tcBorders>
            <w:shd w:val="clear" w:color="auto" w:fill="DEEAF6"/>
          </w:tcPr>
          <w:p>
            <w:pPr/>
          </w:p>
        </w:tc>
        <w:tc>
          <w:tcPr>
            <w:tcW w:w="1472"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37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37" w:type="dxa"/>
            <w:tcBorders>
              <w:top w:val="single" w:sz="4" w:space="0" w:color="5B9BD4"/>
              <w:left w:val="nil" w:sz="6" w:space="0" w:color="auto"/>
              <w:bottom w:val="single" w:sz="4" w:space="0" w:color="5B9BD4"/>
              <w:right w:val="nil" w:sz="6" w:space="0" w:color="auto"/>
            </w:tcBorders>
            <w:shd w:val="clear" w:color="auto" w:fill="DEEAF6"/>
          </w:tcPr>
          <w:p>
            <w:pPr/>
          </w:p>
        </w:tc>
        <w:tc>
          <w:tcPr>
            <w:tcW w:w="736"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951" w:hRule="exact"/>
        </w:trPr>
        <w:tc>
          <w:tcPr>
            <w:tcW w:w="736" w:type="dxa"/>
            <w:vMerge/>
            <w:tcBorders>
              <w:left w:val="nil" w:sz="6" w:space="0" w:color="auto"/>
              <w:bottom w:val="single" w:sz="4" w:space="0" w:color="5B9BD4"/>
              <w:right w:val="nil" w:sz="6" w:space="0" w:color="auto"/>
            </w:tcBorders>
            <w:shd w:val="clear" w:color="auto" w:fill="DEEAF6"/>
          </w:tcPr>
          <w:p>
            <w:pPr/>
          </w:p>
        </w:tc>
        <w:tc>
          <w:tcPr>
            <w:tcW w:w="737" w:type="dxa"/>
            <w:tcBorders>
              <w:top w:val="single" w:sz="4" w:space="0" w:color="5B9BD4"/>
              <w:left w:val="nil" w:sz="6" w:space="0" w:color="auto"/>
              <w:bottom w:val="single" w:sz="4" w:space="0" w:color="5B9BD4"/>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87" w:right="187"/>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11"/>
              <w:ind w:left="187" w:right="186"/>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6" w:type="dxa"/>
            <w:tcBorders>
              <w:top w:val="single" w:sz="4" w:space="0" w:color="5B9BD4"/>
              <w:left w:val="nil" w:sz="6" w:space="0" w:color="auto"/>
              <w:bottom w:val="single" w:sz="4" w:space="0" w:color="5B9BD4"/>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87" w:right="186"/>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87" w:right="187"/>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5" w:type="dxa"/>
            <w:tcBorders>
              <w:top w:val="single" w:sz="4" w:space="0" w:color="5B9BD4"/>
              <w:left w:val="nil" w:sz="6" w:space="0" w:color="auto"/>
              <w:bottom w:val="single" w:sz="4" w:space="0" w:color="5B9BD4"/>
              <w:right w:val="nil" w:sz="6" w:space="0" w:color="auto"/>
            </w:tcBorders>
          </w:tcPr>
          <w:p>
            <w:pPr>
              <w:pStyle w:val="TableParagraph"/>
              <w:spacing w:line="316" w:lineRule="auto" w:before="11"/>
              <w:ind w:left="187" w:right="185"/>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87" w:right="186"/>
              <w:jc w:val="left"/>
              <w:rPr>
                <w:rFonts w:ascii="宋体" w:hAnsi="宋体" w:cs="宋体" w:eastAsia="宋体" w:hint="default"/>
                <w:sz w:val="18"/>
                <w:szCs w:val="18"/>
              </w:rPr>
            </w:pPr>
            <w:r>
              <w:rPr>
                <w:rFonts w:ascii="宋体" w:hAnsi="宋体" w:cs="宋体" w:eastAsia="宋体" w:hint="default"/>
                <w:sz w:val="18"/>
                <w:szCs w:val="18"/>
              </w:rPr>
              <w:t>负债 合计</w:t>
            </w:r>
          </w:p>
        </w:tc>
        <w:tc>
          <w:tcPr>
            <w:tcW w:w="734" w:type="dxa"/>
            <w:tcBorders>
              <w:top w:val="single" w:sz="4" w:space="0" w:color="5B9BD4"/>
              <w:left w:val="nil" w:sz="6" w:space="0" w:color="auto"/>
              <w:bottom w:val="single" w:sz="4" w:space="0" w:color="5B9BD4"/>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87" w:right="185"/>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11"/>
              <w:ind w:left="187" w:right="186"/>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5" w:type="dxa"/>
            <w:tcBorders>
              <w:top w:val="single" w:sz="4" w:space="0" w:color="5B9BD4"/>
              <w:left w:val="nil" w:sz="6" w:space="0" w:color="auto"/>
              <w:bottom w:val="single" w:sz="4" w:space="0" w:color="5B9BD4"/>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87" w:right="185"/>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88" w:right="186"/>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7" w:type="dxa"/>
            <w:tcBorders>
              <w:top w:val="single" w:sz="4" w:space="0" w:color="5B9BD4"/>
              <w:left w:val="nil" w:sz="6" w:space="0" w:color="auto"/>
              <w:bottom w:val="single" w:sz="4" w:space="0" w:color="5B9BD4"/>
              <w:right w:val="nil" w:sz="6" w:space="0" w:color="auto"/>
            </w:tcBorders>
          </w:tcPr>
          <w:p>
            <w:pPr>
              <w:pStyle w:val="TableParagraph"/>
              <w:spacing w:line="316" w:lineRule="auto" w:before="11"/>
              <w:ind w:left="187" w:right="187"/>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87" w:right="186"/>
              <w:jc w:val="left"/>
              <w:rPr>
                <w:rFonts w:ascii="宋体" w:hAnsi="宋体" w:cs="宋体" w:eastAsia="宋体" w:hint="default"/>
                <w:sz w:val="18"/>
                <w:szCs w:val="18"/>
              </w:rPr>
            </w:pPr>
            <w:r>
              <w:rPr>
                <w:rFonts w:ascii="宋体" w:hAnsi="宋体" w:cs="宋体" w:eastAsia="宋体" w:hint="default"/>
                <w:sz w:val="18"/>
                <w:szCs w:val="18"/>
              </w:rPr>
              <w:t>负债 合计</w:t>
            </w:r>
          </w:p>
        </w:tc>
      </w:tr>
      <w:tr>
        <w:trPr>
          <w:trHeight w:val="946" w:hRule="exact"/>
        </w:trPr>
        <w:tc>
          <w:tcPr>
            <w:tcW w:w="7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267"/>
              <w:jc w:val="both"/>
              <w:rPr>
                <w:rFonts w:ascii="宋体" w:hAnsi="宋体" w:cs="宋体" w:eastAsia="宋体" w:hint="default"/>
                <w:sz w:val="18"/>
                <w:szCs w:val="18"/>
              </w:rPr>
            </w:pPr>
            <w:r>
              <w:rPr>
                <w:rFonts w:ascii="宋体" w:hAnsi="宋体" w:cs="宋体" w:eastAsia="宋体" w:hint="default"/>
                <w:sz w:val="18"/>
                <w:szCs w:val="18"/>
              </w:rPr>
              <w:t>彩梦 科技 公司</w:t>
            </w:r>
          </w:p>
        </w:tc>
        <w:tc>
          <w:tcPr>
            <w:tcW w:w="737"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78" w:right="0"/>
              <w:jc w:val="left"/>
              <w:rPr>
                <w:rFonts w:ascii="Arial" w:hAnsi="Arial" w:cs="Arial" w:eastAsia="Arial" w:hint="default"/>
                <w:sz w:val="18"/>
                <w:szCs w:val="18"/>
              </w:rPr>
            </w:pPr>
            <w:r>
              <w:rPr>
                <w:rFonts w:ascii="Arial"/>
                <w:sz w:val="18"/>
              </w:rPr>
              <w:t>65,16</w:t>
            </w:r>
          </w:p>
          <w:p>
            <w:pPr>
              <w:pStyle w:val="TableParagraph"/>
              <w:spacing w:line="240" w:lineRule="auto" w:before="105"/>
              <w:ind w:left="129" w:right="0"/>
              <w:jc w:val="left"/>
              <w:rPr>
                <w:rFonts w:ascii="Arial" w:hAnsi="Arial" w:cs="Arial" w:eastAsia="Arial" w:hint="default"/>
                <w:sz w:val="18"/>
                <w:szCs w:val="18"/>
              </w:rPr>
            </w:pPr>
            <w:r>
              <w:rPr>
                <w:rFonts w:ascii="Arial"/>
                <w:sz w:val="18"/>
              </w:rPr>
              <w:t>6,122.</w:t>
            </w:r>
          </w:p>
          <w:p>
            <w:pPr>
              <w:pStyle w:val="TableParagraph"/>
              <w:spacing w:line="240" w:lineRule="auto" w:before="105"/>
              <w:ind w:left="428" w:right="0"/>
              <w:jc w:val="left"/>
              <w:rPr>
                <w:rFonts w:ascii="Arial" w:hAnsi="Arial" w:cs="Arial" w:eastAsia="Arial" w:hint="default"/>
                <w:sz w:val="18"/>
                <w:szCs w:val="18"/>
              </w:rPr>
            </w:pPr>
            <w:r>
              <w:rPr>
                <w:rFonts w:ascii="Arial"/>
                <w:sz w:val="18"/>
              </w:rPr>
              <w:t>16</w:t>
            </w:r>
          </w:p>
        </w:tc>
        <w:tc>
          <w:tcPr>
            <w:tcW w:w="7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78" w:right="0"/>
              <w:jc w:val="left"/>
              <w:rPr>
                <w:rFonts w:ascii="Arial" w:hAnsi="Arial" w:cs="Arial" w:eastAsia="Arial" w:hint="default"/>
                <w:sz w:val="18"/>
                <w:szCs w:val="18"/>
              </w:rPr>
            </w:pPr>
            <w:r>
              <w:rPr>
                <w:rFonts w:ascii="Arial"/>
                <w:sz w:val="18"/>
              </w:rPr>
              <w:t>17,89</w:t>
            </w:r>
          </w:p>
          <w:p>
            <w:pPr>
              <w:pStyle w:val="TableParagraph"/>
              <w:spacing w:line="240" w:lineRule="auto" w:before="105"/>
              <w:ind w:left="129" w:right="0"/>
              <w:jc w:val="left"/>
              <w:rPr>
                <w:rFonts w:ascii="Arial" w:hAnsi="Arial" w:cs="Arial" w:eastAsia="Arial" w:hint="default"/>
                <w:sz w:val="18"/>
                <w:szCs w:val="18"/>
              </w:rPr>
            </w:pPr>
            <w:r>
              <w:rPr>
                <w:rFonts w:ascii="Arial"/>
                <w:sz w:val="18"/>
              </w:rPr>
              <w:t>3,224.</w:t>
            </w:r>
          </w:p>
          <w:p>
            <w:pPr>
              <w:pStyle w:val="TableParagraph"/>
              <w:spacing w:line="240" w:lineRule="auto" w:before="105"/>
              <w:ind w:left="428" w:right="0"/>
              <w:jc w:val="left"/>
              <w:rPr>
                <w:rFonts w:ascii="Arial" w:hAnsi="Arial" w:cs="Arial" w:eastAsia="Arial" w:hint="default"/>
                <w:sz w:val="18"/>
                <w:szCs w:val="18"/>
              </w:rPr>
            </w:pPr>
            <w:r>
              <w:rPr>
                <w:rFonts w:ascii="Arial"/>
                <w:sz w:val="18"/>
              </w:rPr>
              <w:t>27</w:t>
            </w:r>
          </w:p>
        </w:tc>
        <w:tc>
          <w:tcPr>
            <w:tcW w:w="73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78" w:right="0"/>
              <w:jc w:val="left"/>
              <w:rPr>
                <w:rFonts w:ascii="Arial" w:hAnsi="Arial" w:cs="Arial" w:eastAsia="Arial" w:hint="default"/>
                <w:sz w:val="18"/>
                <w:szCs w:val="18"/>
              </w:rPr>
            </w:pPr>
            <w:r>
              <w:rPr>
                <w:rFonts w:ascii="Arial"/>
                <w:sz w:val="18"/>
              </w:rPr>
              <w:t>83,05</w:t>
            </w:r>
          </w:p>
          <w:p>
            <w:pPr>
              <w:pStyle w:val="TableParagraph"/>
              <w:spacing w:line="240" w:lineRule="auto" w:before="105"/>
              <w:ind w:left="129" w:right="0"/>
              <w:jc w:val="left"/>
              <w:rPr>
                <w:rFonts w:ascii="Arial" w:hAnsi="Arial" w:cs="Arial" w:eastAsia="Arial" w:hint="default"/>
                <w:sz w:val="18"/>
                <w:szCs w:val="18"/>
              </w:rPr>
            </w:pPr>
            <w:r>
              <w:rPr>
                <w:rFonts w:ascii="Arial"/>
                <w:sz w:val="18"/>
              </w:rPr>
              <w:t>9,346.</w:t>
            </w:r>
          </w:p>
          <w:p>
            <w:pPr>
              <w:pStyle w:val="TableParagraph"/>
              <w:spacing w:line="240" w:lineRule="auto" w:before="105"/>
              <w:ind w:left="428" w:right="0"/>
              <w:jc w:val="left"/>
              <w:rPr>
                <w:rFonts w:ascii="Arial" w:hAnsi="Arial" w:cs="Arial" w:eastAsia="Arial" w:hint="default"/>
                <w:sz w:val="18"/>
                <w:szCs w:val="18"/>
              </w:rPr>
            </w:pPr>
            <w:r>
              <w:rPr>
                <w:rFonts w:ascii="Arial"/>
                <w:sz w:val="18"/>
              </w:rPr>
              <w:t>43</w:t>
            </w:r>
          </w:p>
        </w:tc>
        <w:tc>
          <w:tcPr>
            <w:tcW w:w="73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78" w:right="0"/>
              <w:jc w:val="left"/>
              <w:rPr>
                <w:rFonts w:ascii="Arial" w:hAnsi="Arial" w:cs="Arial" w:eastAsia="Arial" w:hint="default"/>
                <w:sz w:val="18"/>
                <w:szCs w:val="18"/>
              </w:rPr>
            </w:pPr>
            <w:r>
              <w:rPr>
                <w:rFonts w:ascii="Arial"/>
                <w:sz w:val="18"/>
              </w:rPr>
              <w:t>31,54</w:t>
            </w:r>
          </w:p>
          <w:p>
            <w:pPr>
              <w:pStyle w:val="TableParagraph"/>
              <w:spacing w:line="240" w:lineRule="auto" w:before="105"/>
              <w:ind w:left="129" w:right="0"/>
              <w:jc w:val="left"/>
              <w:rPr>
                <w:rFonts w:ascii="Arial" w:hAnsi="Arial" w:cs="Arial" w:eastAsia="Arial" w:hint="default"/>
                <w:sz w:val="18"/>
                <w:szCs w:val="18"/>
              </w:rPr>
            </w:pPr>
            <w:r>
              <w:rPr>
                <w:rFonts w:ascii="Arial"/>
                <w:sz w:val="18"/>
              </w:rPr>
              <w:t>6,293.</w:t>
            </w:r>
          </w:p>
          <w:p>
            <w:pPr>
              <w:pStyle w:val="TableParagraph"/>
              <w:spacing w:line="240" w:lineRule="auto" w:before="105"/>
              <w:ind w:left="428" w:right="0"/>
              <w:jc w:val="left"/>
              <w:rPr>
                <w:rFonts w:ascii="Arial" w:hAnsi="Arial" w:cs="Arial" w:eastAsia="Arial" w:hint="default"/>
                <w:sz w:val="18"/>
                <w:szCs w:val="18"/>
              </w:rPr>
            </w:pPr>
            <w:r>
              <w:rPr>
                <w:rFonts w:ascii="Arial"/>
                <w:sz w:val="18"/>
              </w:rPr>
              <w:t>02</w:t>
            </w:r>
          </w:p>
        </w:tc>
        <w:tc>
          <w:tcPr>
            <w:tcW w:w="735" w:type="dxa"/>
            <w:tcBorders>
              <w:top w:val="single" w:sz="4" w:space="0" w:color="5B9BD4"/>
              <w:left w:val="nil" w:sz="6" w:space="0" w:color="auto"/>
              <w:bottom w:val="single" w:sz="4" w:space="0" w:color="5B9BD4"/>
              <w:right w:val="nil" w:sz="6" w:space="0" w:color="auto"/>
            </w:tcBorders>
          </w:tcPr>
          <w:p>
            <w:pPr/>
          </w:p>
        </w:tc>
        <w:tc>
          <w:tcPr>
            <w:tcW w:w="7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77" w:right="0"/>
              <w:jc w:val="left"/>
              <w:rPr>
                <w:rFonts w:ascii="Arial" w:hAnsi="Arial" w:cs="Arial" w:eastAsia="Arial" w:hint="default"/>
                <w:sz w:val="18"/>
                <w:szCs w:val="18"/>
              </w:rPr>
            </w:pPr>
            <w:r>
              <w:rPr>
                <w:rFonts w:ascii="Arial"/>
                <w:sz w:val="18"/>
              </w:rPr>
              <w:t>31,54</w:t>
            </w:r>
          </w:p>
          <w:p>
            <w:pPr>
              <w:pStyle w:val="TableParagraph"/>
              <w:spacing w:line="240" w:lineRule="auto" w:before="105"/>
              <w:ind w:left="128" w:right="0"/>
              <w:jc w:val="left"/>
              <w:rPr>
                <w:rFonts w:ascii="Arial" w:hAnsi="Arial" w:cs="Arial" w:eastAsia="Arial" w:hint="default"/>
                <w:sz w:val="18"/>
                <w:szCs w:val="18"/>
              </w:rPr>
            </w:pPr>
            <w:r>
              <w:rPr>
                <w:rFonts w:ascii="Arial"/>
                <w:sz w:val="18"/>
              </w:rPr>
              <w:t>6,293.</w:t>
            </w:r>
          </w:p>
          <w:p>
            <w:pPr>
              <w:pStyle w:val="TableParagraph"/>
              <w:spacing w:line="240" w:lineRule="auto" w:before="105"/>
              <w:ind w:left="427" w:right="0"/>
              <w:jc w:val="left"/>
              <w:rPr>
                <w:rFonts w:ascii="Arial" w:hAnsi="Arial" w:cs="Arial" w:eastAsia="Arial" w:hint="default"/>
                <w:sz w:val="18"/>
                <w:szCs w:val="18"/>
              </w:rPr>
            </w:pPr>
            <w:r>
              <w:rPr>
                <w:rFonts w:ascii="Arial"/>
                <w:sz w:val="18"/>
              </w:rPr>
              <w:t>02</w:t>
            </w:r>
          </w:p>
        </w:tc>
        <w:tc>
          <w:tcPr>
            <w:tcW w:w="73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77" w:right="0"/>
              <w:jc w:val="left"/>
              <w:rPr>
                <w:rFonts w:ascii="Arial" w:hAnsi="Arial" w:cs="Arial" w:eastAsia="Arial" w:hint="default"/>
                <w:sz w:val="18"/>
                <w:szCs w:val="18"/>
              </w:rPr>
            </w:pPr>
            <w:r>
              <w:rPr>
                <w:rFonts w:ascii="Arial"/>
                <w:sz w:val="18"/>
              </w:rPr>
              <w:t>59,75</w:t>
            </w:r>
          </w:p>
          <w:p>
            <w:pPr>
              <w:pStyle w:val="TableParagraph"/>
              <w:spacing w:line="240" w:lineRule="auto" w:before="105"/>
              <w:ind w:left="128" w:right="0"/>
              <w:jc w:val="left"/>
              <w:rPr>
                <w:rFonts w:ascii="Arial" w:hAnsi="Arial" w:cs="Arial" w:eastAsia="Arial" w:hint="default"/>
                <w:sz w:val="18"/>
                <w:szCs w:val="18"/>
              </w:rPr>
            </w:pPr>
            <w:r>
              <w:rPr>
                <w:rFonts w:ascii="Arial"/>
                <w:sz w:val="18"/>
              </w:rPr>
              <w:t>6,676.</w:t>
            </w:r>
          </w:p>
          <w:p>
            <w:pPr>
              <w:pStyle w:val="TableParagraph"/>
              <w:spacing w:line="240" w:lineRule="auto" w:before="105"/>
              <w:ind w:left="427" w:right="0"/>
              <w:jc w:val="left"/>
              <w:rPr>
                <w:rFonts w:ascii="Arial" w:hAnsi="Arial" w:cs="Arial" w:eastAsia="Arial" w:hint="default"/>
                <w:sz w:val="18"/>
                <w:szCs w:val="18"/>
              </w:rPr>
            </w:pPr>
            <w:r>
              <w:rPr>
                <w:rFonts w:ascii="Arial"/>
                <w:sz w:val="18"/>
              </w:rPr>
              <w:t>76</w:t>
            </w:r>
          </w:p>
        </w:tc>
        <w:tc>
          <w:tcPr>
            <w:tcW w:w="7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77" w:right="0"/>
              <w:jc w:val="left"/>
              <w:rPr>
                <w:rFonts w:ascii="Arial" w:hAnsi="Arial" w:cs="Arial" w:eastAsia="Arial" w:hint="default"/>
                <w:sz w:val="18"/>
                <w:szCs w:val="18"/>
              </w:rPr>
            </w:pPr>
            <w:r>
              <w:rPr>
                <w:rFonts w:ascii="Arial"/>
                <w:sz w:val="18"/>
              </w:rPr>
              <w:t>19,57</w:t>
            </w:r>
          </w:p>
          <w:p>
            <w:pPr>
              <w:pStyle w:val="TableParagraph"/>
              <w:spacing w:line="240" w:lineRule="auto" w:before="105"/>
              <w:ind w:left="128" w:right="0"/>
              <w:jc w:val="left"/>
              <w:rPr>
                <w:rFonts w:ascii="Arial" w:hAnsi="Arial" w:cs="Arial" w:eastAsia="Arial" w:hint="default"/>
                <w:sz w:val="18"/>
                <w:szCs w:val="18"/>
              </w:rPr>
            </w:pPr>
            <w:r>
              <w:rPr>
                <w:rFonts w:ascii="Arial"/>
                <w:sz w:val="18"/>
              </w:rPr>
              <w:t>8,873.</w:t>
            </w:r>
          </w:p>
          <w:p>
            <w:pPr>
              <w:pStyle w:val="TableParagraph"/>
              <w:spacing w:line="240" w:lineRule="auto" w:before="105"/>
              <w:ind w:left="427" w:right="0"/>
              <w:jc w:val="left"/>
              <w:rPr>
                <w:rFonts w:ascii="Arial" w:hAnsi="Arial" w:cs="Arial" w:eastAsia="Arial" w:hint="default"/>
                <w:sz w:val="18"/>
                <w:szCs w:val="18"/>
              </w:rPr>
            </w:pPr>
            <w:r>
              <w:rPr>
                <w:rFonts w:ascii="Arial"/>
                <w:sz w:val="18"/>
              </w:rPr>
              <w:t>58</w:t>
            </w:r>
          </w:p>
        </w:tc>
        <w:tc>
          <w:tcPr>
            <w:tcW w:w="735"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77" w:right="0"/>
              <w:jc w:val="left"/>
              <w:rPr>
                <w:rFonts w:ascii="Arial" w:hAnsi="Arial" w:cs="Arial" w:eastAsia="Arial" w:hint="default"/>
                <w:sz w:val="18"/>
                <w:szCs w:val="18"/>
              </w:rPr>
            </w:pPr>
            <w:r>
              <w:rPr>
                <w:rFonts w:ascii="Arial"/>
                <w:sz w:val="18"/>
              </w:rPr>
              <w:t>79,33</w:t>
            </w:r>
          </w:p>
          <w:p>
            <w:pPr>
              <w:pStyle w:val="TableParagraph"/>
              <w:spacing w:line="240" w:lineRule="auto" w:before="105"/>
              <w:ind w:left="128" w:right="0"/>
              <w:jc w:val="left"/>
              <w:rPr>
                <w:rFonts w:ascii="Arial" w:hAnsi="Arial" w:cs="Arial" w:eastAsia="Arial" w:hint="default"/>
                <w:sz w:val="18"/>
                <w:szCs w:val="18"/>
              </w:rPr>
            </w:pPr>
            <w:r>
              <w:rPr>
                <w:rFonts w:ascii="Arial"/>
                <w:sz w:val="18"/>
              </w:rPr>
              <w:t>5,550.</w:t>
            </w:r>
          </w:p>
          <w:p>
            <w:pPr>
              <w:pStyle w:val="TableParagraph"/>
              <w:spacing w:line="240" w:lineRule="auto" w:before="105"/>
              <w:ind w:left="427" w:right="0"/>
              <w:jc w:val="left"/>
              <w:rPr>
                <w:rFonts w:ascii="Arial" w:hAnsi="Arial" w:cs="Arial" w:eastAsia="Arial" w:hint="default"/>
                <w:sz w:val="18"/>
                <w:szCs w:val="18"/>
              </w:rPr>
            </w:pPr>
            <w:r>
              <w:rPr>
                <w:rFonts w:ascii="Arial"/>
                <w:sz w:val="18"/>
              </w:rPr>
              <w:t>34</w:t>
            </w:r>
          </w:p>
        </w:tc>
        <w:tc>
          <w:tcPr>
            <w:tcW w:w="73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80" w:right="0"/>
              <w:jc w:val="left"/>
              <w:rPr>
                <w:rFonts w:ascii="Arial" w:hAnsi="Arial" w:cs="Arial" w:eastAsia="Arial" w:hint="default"/>
                <w:sz w:val="18"/>
                <w:szCs w:val="18"/>
              </w:rPr>
            </w:pPr>
            <w:r>
              <w:rPr>
                <w:rFonts w:ascii="Arial"/>
                <w:sz w:val="18"/>
              </w:rPr>
              <w:t>10,21</w:t>
            </w:r>
          </w:p>
          <w:p>
            <w:pPr>
              <w:pStyle w:val="TableParagraph"/>
              <w:spacing w:line="240" w:lineRule="auto" w:before="105"/>
              <w:ind w:left="130" w:right="0"/>
              <w:jc w:val="left"/>
              <w:rPr>
                <w:rFonts w:ascii="Arial" w:hAnsi="Arial" w:cs="Arial" w:eastAsia="Arial" w:hint="default"/>
                <w:sz w:val="18"/>
                <w:szCs w:val="18"/>
              </w:rPr>
            </w:pPr>
            <w:r>
              <w:rPr>
                <w:rFonts w:ascii="Arial"/>
                <w:sz w:val="18"/>
              </w:rPr>
              <w:t>8,555.</w:t>
            </w:r>
          </w:p>
          <w:p>
            <w:pPr>
              <w:pStyle w:val="TableParagraph"/>
              <w:spacing w:line="240" w:lineRule="auto" w:before="105"/>
              <w:ind w:left="429" w:right="0"/>
              <w:jc w:val="left"/>
              <w:rPr>
                <w:rFonts w:ascii="Arial" w:hAnsi="Arial" w:cs="Arial" w:eastAsia="Arial" w:hint="default"/>
                <w:sz w:val="18"/>
                <w:szCs w:val="18"/>
              </w:rPr>
            </w:pPr>
            <w:r>
              <w:rPr>
                <w:rFonts w:ascii="Arial"/>
                <w:sz w:val="18"/>
              </w:rPr>
              <w:t>55</w:t>
            </w:r>
          </w:p>
        </w:tc>
        <w:tc>
          <w:tcPr>
            <w:tcW w:w="737" w:type="dxa"/>
            <w:tcBorders>
              <w:top w:val="single" w:sz="4" w:space="0" w:color="5B9BD4"/>
              <w:left w:val="nil" w:sz="6" w:space="0" w:color="auto"/>
              <w:bottom w:val="single" w:sz="4" w:space="0" w:color="5B9BD4"/>
              <w:right w:val="nil" w:sz="6" w:space="0" w:color="auto"/>
            </w:tcBorders>
          </w:tcPr>
          <w:p>
            <w:pPr/>
          </w:p>
        </w:tc>
        <w:tc>
          <w:tcPr>
            <w:tcW w:w="7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78" w:right="0"/>
              <w:jc w:val="left"/>
              <w:rPr>
                <w:rFonts w:ascii="Arial" w:hAnsi="Arial" w:cs="Arial" w:eastAsia="Arial" w:hint="default"/>
                <w:sz w:val="18"/>
                <w:szCs w:val="18"/>
              </w:rPr>
            </w:pPr>
            <w:r>
              <w:rPr>
                <w:rFonts w:ascii="Arial"/>
                <w:sz w:val="18"/>
              </w:rPr>
              <w:t>10,21</w:t>
            </w:r>
          </w:p>
          <w:p>
            <w:pPr>
              <w:pStyle w:val="TableParagraph"/>
              <w:spacing w:line="240" w:lineRule="auto" w:before="105"/>
              <w:ind w:left="129" w:right="0"/>
              <w:jc w:val="left"/>
              <w:rPr>
                <w:rFonts w:ascii="Arial" w:hAnsi="Arial" w:cs="Arial" w:eastAsia="Arial" w:hint="default"/>
                <w:sz w:val="18"/>
                <w:szCs w:val="18"/>
              </w:rPr>
            </w:pPr>
            <w:r>
              <w:rPr>
                <w:rFonts w:ascii="Arial"/>
                <w:sz w:val="18"/>
              </w:rPr>
              <w:t>8,555.</w:t>
            </w:r>
          </w:p>
          <w:p>
            <w:pPr>
              <w:pStyle w:val="TableParagraph"/>
              <w:spacing w:line="240" w:lineRule="auto" w:before="105"/>
              <w:ind w:left="428" w:right="0"/>
              <w:jc w:val="left"/>
              <w:rPr>
                <w:rFonts w:ascii="Arial" w:hAnsi="Arial" w:cs="Arial" w:eastAsia="Arial" w:hint="default"/>
                <w:sz w:val="18"/>
                <w:szCs w:val="18"/>
              </w:rPr>
            </w:pPr>
            <w:r>
              <w:rPr>
                <w:rFonts w:ascii="Arial"/>
                <w:sz w:val="18"/>
              </w:rPr>
              <w:t>55</w:t>
            </w:r>
          </w:p>
        </w:tc>
      </w:tr>
      <w:tr>
        <w:trPr>
          <w:trHeight w:val="2194" w:hRule="exact"/>
        </w:trPr>
        <w:tc>
          <w:tcPr>
            <w:tcW w:w="7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267"/>
              <w:jc w:val="both"/>
              <w:rPr>
                <w:rFonts w:ascii="宋体" w:hAnsi="宋体" w:cs="宋体" w:eastAsia="宋体" w:hint="default"/>
                <w:sz w:val="18"/>
                <w:szCs w:val="18"/>
              </w:rPr>
            </w:pPr>
            <w:r>
              <w:rPr>
                <w:rFonts w:ascii="宋体" w:hAnsi="宋体" w:cs="宋体" w:eastAsia="宋体" w:hint="default"/>
                <w:sz w:val="18"/>
                <w:szCs w:val="18"/>
              </w:rPr>
              <w:t>深圳 市优 友金 融服 务有 限公 司</w:t>
            </w:r>
          </w:p>
        </w:tc>
        <w:tc>
          <w:tcPr>
            <w:tcW w:w="73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78" w:right="0"/>
              <w:jc w:val="left"/>
              <w:rPr>
                <w:rFonts w:ascii="Arial" w:hAnsi="Arial" w:cs="Arial" w:eastAsia="Arial" w:hint="default"/>
                <w:sz w:val="18"/>
                <w:szCs w:val="18"/>
              </w:rPr>
            </w:pPr>
            <w:r>
              <w:rPr>
                <w:rFonts w:ascii="Arial"/>
                <w:sz w:val="18"/>
              </w:rPr>
              <w:t>190,7</w:t>
            </w:r>
          </w:p>
          <w:p>
            <w:pPr>
              <w:pStyle w:val="TableParagraph"/>
              <w:spacing w:line="240" w:lineRule="auto" w:before="105"/>
              <w:ind w:left="178" w:right="0"/>
              <w:jc w:val="left"/>
              <w:rPr>
                <w:rFonts w:ascii="Arial" w:hAnsi="Arial" w:cs="Arial" w:eastAsia="Arial" w:hint="default"/>
                <w:sz w:val="18"/>
                <w:szCs w:val="18"/>
              </w:rPr>
            </w:pPr>
            <w:r>
              <w:rPr>
                <w:rFonts w:ascii="Arial"/>
                <w:sz w:val="18"/>
              </w:rPr>
              <w:t>61,06</w:t>
            </w:r>
          </w:p>
          <w:p>
            <w:pPr>
              <w:pStyle w:val="TableParagraph"/>
              <w:spacing w:line="240" w:lineRule="auto" w:before="105"/>
              <w:ind w:left="278" w:right="0"/>
              <w:jc w:val="left"/>
              <w:rPr>
                <w:rFonts w:ascii="Arial" w:hAnsi="Arial" w:cs="Arial" w:eastAsia="Arial" w:hint="default"/>
                <w:sz w:val="18"/>
                <w:szCs w:val="18"/>
              </w:rPr>
            </w:pPr>
            <w:r>
              <w:rPr>
                <w:rFonts w:ascii="Arial"/>
                <w:sz w:val="18"/>
              </w:rPr>
              <w:t>9.26</w:t>
            </w:r>
          </w:p>
        </w:tc>
        <w:tc>
          <w:tcPr>
            <w:tcW w:w="7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78" w:right="0"/>
              <w:jc w:val="left"/>
              <w:rPr>
                <w:rFonts w:ascii="Arial" w:hAnsi="Arial" w:cs="Arial" w:eastAsia="Arial" w:hint="default"/>
                <w:sz w:val="18"/>
                <w:szCs w:val="18"/>
              </w:rPr>
            </w:pPr>
            <w:r>
              <w:rPr>
                <w:rFonts w:ascii="Arial"/>
                <w:sz w:val="18"/>
              </w:rPr>
              <w:t>68,85</w:t>
            </w:r>
          </w:p>
          <w:p>
            <w:pPr>
              <w:pStyle w:val="TableParagraph"/>
              <w:spacing w:line="240" w:lineRule="auto" w:before="105"/>
              <w:ind w:left="278" w:right="0"/>
              <w:jc w:val="left"/>
              <w:rPr>
                <w:rFonts w:ascii="Arial" w:hAnsi="Arial" w:cs="Arial" w:eastAsia="Arial" w:hint="default"/>
                <w:sz w:val="18"/>
                <w:szCs w:val="18"/>
              </w:rPr>
            </w:pPr>
            <w:r>
              <w:rPr>
                <w:rFonts w:ascii="Arial"/>
                <w:sz w:val="18"/>
              </w:rPr>
              <w:t>2.61</w:t>
            </w:r>
          </w:p>
        </w:tc>
        <w:tc>
          <w:tcPr>
            <w:tcW w:w="736"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78" w:right="0"/>
              <w:jc w:val="left"/>
              <w:rPr>
                <w:rFonts w:ascii="Arial" w:hAnsi="Arial" w:cs="Arial" w:eastAsia="Arial" w:hint="default"/>
                <w:sz w:val="18"/>
                <w:szCs w:val="18"/>
              </w:rPr>
            </w:pPr>
            <w:r>
              <w:rPr>
                <w:rFonts w:ascii="Arial"/>
                <w:sz w:val="18"/>
              </w:rPr>
              <w:t>190,8</w:t>
            </w:r>
          </w:p>
          <w:p>
            <w:pPr>
              <w:pStyle w:val="TableParagraph"/>
              <w:spacing w:line="240" w:lineRule="auto" w:before="105"/>
              <w:ind w:left="178" w:right="0"/>
              <w:jc w:val="left"/>
              <w:rPr>
                <w:rFonts w:ascii="Arial" w:hAnsi="Arial" w:cs="Arial" w:eastAsia="Arial" w:hint="default"/>
                <w:sz w:val="18"/>
                <w:szCs w:val="18"/>
              </w:rPr>
            </w:pPr>
            <w:r>
              <w:rPr>
                <w:rFonts w:ascii="Arial"/>
                <w:sz w:val="18"/>
              </w:rPr>
              <w:t>29,92</w:t>
            </w:r>
          </w:p>
          <w:p>
            <w:pPr>
              <w:pStyle w:val="TableParagraph"/>
              <w:spacing w:line="240" w:lineRule="auto" w:before="105"/>
              <w:ind w:left="278" w:right="0"/>
              <w:jc w:val="left"/>
              <w:rPr>
                <w:rFonts w:ascii="Arial" w:hAnsi="Arial" w:cs="Arial" w:eastAsia="Arial" w:hint="default"/>
                <w:sz w:val="18"/>
                <w:szCs w:val="18"/>
              </w:rPr>
            </w:pPr>
            <w:r>
              <w:rPr>
                <w:rFonts w:ascii="Arial"/>
                <w:sz w:val="18"/>
              </w:rPr>
              <w:t>1.87</w:t>
            </w:r>
          </w:p>
        </w:tc>
        <w:tc>
          <w:tcPr>
            <w:tcW w:w="73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78" w:right="0"/>
              <w:jc w:val="left"/>
              <w:rPr>
                <w:rFonts w:ascii="Arial" w:hAnsi="Arial" w:cs="Arial" w:eastAsia="Arial" w:hint="default"/>
                <w:sz w:val="18"/>
                <w:szCs w:val="18"/>
              </w:rPr>
            </w:pPr>
            <w:r>
              <w:rPr>
                <w:rFonts w:ascii="Arial"/>
                <w:sz w:val="18"/>
              </w:rPr>
              <w:t>190,0</w:t>
            </w:r>
          </w:p>
          <w:p>
            <w:pPr>
              <w:pStyle w:val="TableParagraph"/>
              <w:spacing w:line="240" w:lineRule="auto" w:before="105"/>
              <w:ind w:left="178" w:right="0"/>
              <w:jc w:val="left"/>
              <w:rPr>
                <w:rFonts w:ascii="Arial" w:hAnsi="Arial" w:cs="Arial" w:eastAsia="Arial" w:hint="default"/>
                <w:sz w:val="18"/>
                <w:szCs w:val="18"/>
              </w:rPr>
            </w:pPr>
            <w:r>
              <w:rPr>
                <w:rFonts w:ascii="Arial"/>
                <w:sz w:val="18"/>
              </w:rPr>
              <w:t>34,77</w:t>
            </w:r>
          </w:p>
          <w:p>
            <w:pPr>
              <w:pStyle w:val="TableParagraph"/>
              <w:spacing w:line="240" w:lineRule="auto" w:before="105"/>
              <w:ind w:left="278" w:right="0"/>
              <w:jc w:val="left"/>
              <w:rPr>
                <w:rFonts w:ascii="Arial" w:hAnsi="Arial" w:cs="Arial" w:eastAsia="Arial" w:hint="default"/>
                <w:sz w:val="18"/>
                <w:szCs w:val="18"/>
              </w:rPr>
            </w:pPr>
            <w:r>
              <w:rPr>
                <w:rFonts w:ascii="Arial"/>
                <w:sz w:val="18"/>
              </w:rPr>
              <w:t>9.56</w:t>
            </w:r>
          </w:p>
        </w:tc>
        <w:tc>
          <w:tcPr>
            <w:tcW w:w="735" w:type="dxa"/>
            <w:tcBorders>
              <w:top w:val="single" w:sz="4" w:space="0" w:color="5B9BD4"/>
              <w:left w:val="nil" w:sz="6" w:space="0" w:color="auto"/>
              <w:bottom w:val="single" w:sz="4" w:space="0" w:color="5B9BD4"/>
              <w:right w:val="nil" w:sz="6" w:space="0" w:color="auto"/>
            </w:tcBorders>
          </w:tcPr>
          <w:p>
            <w:pPr/>
          </w:p>
        </w:tc>
        <w:tc>
          <w:tcPr>
            <w:tcW w:w="7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77" w:right="0"/>
              <w:jc w:val="left"/>
              <w:rPr>
                <w:rFonts w:ascii="Arial" w:hAnsi="Arial" w:cs="Arial" w:eastAsia="Arial" w:hint="default"/>
                <w:sz w:val="18"/>
                <w:szCs w:val="18"/>
              </w:rPr>
            </w:pPr>
            <w:r>
              <w:rPr>
                <w:rFonts w:ascii="Arial"/>
                <w:sz w:val="18"/>
              </w:rPr>
              <w:t>190,0</w:t>
            </w:r>
          </w:p>
          <w:p>
            <w:pPr>
              <w:pStyle w:val="TableParagraph"/>
              <w:spacing w:line="240" w:lineRule="auto" w:before="105"/>
              <w:ind w:left="177" w:right="0"/>
              <w:jc w:val="left"/>
              <w:rPr>
                <w:rFonts w:ascii="Arial" w:hAnsi="Arial" w:cs="Arial" w:eastAsia="Arial" w:hint="default"/>
                <w:sz w:val="18"/>
                <w:szCs w:val="18"/>
              </w:rPr>
            </w:pPr>
            <w:r>
              <w:rPr>
                <w:rFonts w:ascii="Arial"/>
                <w:sz w:val="18"/>
              </w:rPr>
              <w:t>34,77</w:t>
            </w:r>
          </w:p>
          <w:p>
            <w:pPr>
              <w:pStyle w:val="TableParagraph"/>
              <w:spacing w:line="240" w:lineRule="auto" w:before="105"/>
              <w:ind w:left="277" w:right="0"/>
              <w:jc w:val="left"/>
              <w:rPr>
                <w:rFonts w:ascii="Arial" w:hAnsi="Arial" w:cs="Arial" w:eastAsia="Arial" w:hint="default"/>
                <w:sz w:val="18"/>
                <w:szCs w:val="18"/>
              </w:rPr>
            </w:pPr>
            <w:r>
              <w:rPr>
                <w:rFonts w:ascii="Arial"/>
                <w:sz w:val="18"/>
              </w:rPr>
              <w:t>9.56</w:t>
            </w:r>
          </w:p>
        </w:tc>
        <w:tc>
          <w:tcPr>
            <w:tcW w:w="734" w:type="dxa"/>
            <w:tcBorders>
              <w:top w:val="single" w:sz="4" w:space="0" w:color="5B9BD4"/>
              <w:left w:val="nil" w:sz="6" w:space="0" w:color="auto"/>
              <w:bottom w:val="single" w:sz="4" w:space="0" w:color="5B9BD4"/>
              <w:right w:val="nil" w:sz="6" w:space="0" w:color="auto"/>
            </w:tcBorders>
          </w:tcPr>
          <w:p>
            <w:pPr/>
          </w:p>
        </w:tc>
        <w:tc>
          <w:tcPr>
            <w:tcW w:w="736" w:type="dxa"/>
            <w:tcBorders>
              <w:top w:val="single" w:sz="4" w:space="0" w:color="5B9BD4"/>
              <w:left w:val="nil" w:sz="6" w:space="0" w:color="auto"/>
              <w:bottom w:val="single" w:sz="4" w:space="0" w:color="5B9BD4"/>
              <w:right w:val="nil" w:sz="6" w:space="0" w:color="auto"/>
            </w:tcBorders>
            <w:shd w:val="clear" w:color="auto" w:fill="DEEAF6"/>
          </w:tcPr>
          <w:p>
            <w:pPr/>
          </w:p>
        </w:tc>
        <w:tc>
          <w:tcPr>
            <w:tcW w:w="735" w:type="dxa"/>
            <w:tcBorders>
              <w:top w:val="single" w:sz="4" w:space="0" w:color="5B9BD4"/>
              <w:left w:val="nil" w:sz="6" w:space="0" w:color="auto"/>
              <w:bottom w:val="single" w:sz="4" w:space="0" w:color="5B9BD4"/>
              <w:right w:val="nil" w:sz="6" w:space="0" w:color="auto"/>
            </w:tcBorders>
          </w:tcPr>
          <w:p>
            <w:pPr/>
          </w:p>
        </w:tc>
        <w:tc>
          <w:tcPr>
            <w:tcW w:w="737" w:type="dxa"/>
            <w:tcBorders>
              <w:top w:val="single" w:sz="4" w:space="0" w:color="5B9BD4"/>
              <w:left w:val="nil" w:sz="6" w:space="0" w:color="auto"/>
              <w:bottom w:val="single" w:sz="4" w:space="0" w:color="5B9BD4"/>
              <w:right w:val="nil" w:sz="6" w:space="0" w:color="auto"/>
            </w:tcBorders>
            <w:shd w:val="clear" w:color="auto" w:fill="DEEAF6"/>
          </w:tcPr>
          <w:p>
            <w:pPr/>
          </w:p>
        </w:tc>
        <w:tc>
          <w:tcPr>
            <w:tcW w:w="737" w:type="dxa"/>
            <w:tcBorders>
              <w:top w:val="single" w:sz="4" w:space="0" w:color="5B9BD4"/>
              <w:left w:val="nil" w:sz="6" w:space="0" w:color="auto"/>
              <w:bottom w:val="single" w:sz="4" w:space="0" w:color="5B9BD4"/>
              <w:right w:val="nil" w:sz="6" w:space="0" w:color="auto"/>
            </w:tcBorders>
          </w:tcPr>
          <w:p>
            <w:pPr/>
          </w:p>
        </w:tc>
        <w:tc>
          <w:tcPr>
            <w:tcW w:w="736" w:type="dxa"/>
            <w:tcBorders>
              <w:top w:val="single" w:sz="4" w:space="0" w:color="5B9BD4"/>
              <w:left w:val="nil" w:sz="6" w:space="0" w:color="auto"/>
              <w:bottom w:val="single" w:sz="4" w:space="0" w:color="5B9BD4"/>
              <w:right w:val="nil" w:sz="6" w:space="0" w:color="auto"/>
            </w:tcBorders>
            <w:shd w:val="clear" w:color="auto" w:fill="DEEAF6"/>
          </w:tcPr>
          <w:p>
            <w:pPr/>
          </w:p>
        </w:tc>
      </w:tr>
    </w:tbl>
    <w:p>
      <w:pPr>
        <w:spacing w:line="240" w:lineRule="auto" w:before="0"/>
        <w:rPr>
          <w:rFonts w:ascii="宋体" w:hAnsi="宋体" w:cs="宋体" w:eastAsia="宋体" w:hint="default"/>
          <w:sz w:val="15"/>
          <w:szCs w:val="15"/>
        </w:rPr>
      </w:pPr>
    </w:p>
    <w:p>
      <w:pPr>
        <w:pStyle w:val="BodyText"/>
        <w:spacing w:line="240" w:lineRule="auto" w:before="18"/>
        <w:ind w:left="0" w:right="1129"/>
        <w:jc w:val="right"/>
      </w:pPr>
      <w:r>
        <w:rPr/>
        <w:t>单位： 元</w:t>
      </w:r>
    </w:p>
    <w:p>
      <w:pPr>
        <w:spacing w:line="240" w:lineRule="auto" w:before="5"/>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322" w:hRule="exact"/>
        </w:trPr>
        <w:tc>
          <w:tcPr>
            <w:tcW w:w="1061"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440" w:right="168" w:hanging="270"/>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1061" w:type="dxa"/>
            <w:tcBorders>
              <w:top w:val="single" w:sz="4" w:space="0" w:color="5B9BD4"/>
              <w:left w:val="nil" w:sz="6" w:space="0" w:color="auto"/>
              <w:bottom w:val="single" w:sz="4" w:space="0" w:color="5B9BD4"/>
              <w:right w:val="nil" w:sz="6" w:space="0" w:color="auto"/>
            </w:tcBorders>
            <w:shd w:val="clear" w:color="auto" w:fill="DEEAF6"/>
          </w:tcPr>
          <w:p>
            <w:pPr/>
          </w:p>
        </w:tc>
        <w:tc>
          <w:tcPr>
            <w:tcW w:w="2128"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61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064" w:type="dxa"/>
            <w:tcBorders>
              <w:top w:val="single" w:sz="4" w:space="0" w:color="5B9BD4"/>
              <w:left w:val="nil" w:sz="6" w:space="0" w:color="auto"/>
              <w:bottom w:val="single" w:sz="4" w:space="0" w:color="5B9BD4"/>
              <w:right w:val="nil" w:sz="6" w:space="0" w:color="auto"/>
            </w:tcBorders>
            <w:shd w:val="clear" w:color="auto" w:fill="DEEAF6"/>
          </w:tcPr>
          <w:p>
            <w:pPr/>
          </w:p>
        </w:tc>
        <w:tc>
          <w:tcPr>
            <w:tcW w:w="1063" w:type="dxa"/>
            <w:tcBorders>
              <w:top w:val="single" w:sz="4" w:space="0" w:color="5B9BD4"/>
              <w:left w:val="nil" w:sz="6" w:space="0" w:color="auto"/>
              <w:bottom w:val="single" w:sz="4" w:space="0" w:color="5B9BD4"/>
              <w:right w:val="nil" w:sz="6" w:space="0" w:color="auto"/>
            </w:tcBorders>
            <w:shd w:val="clear" w:color="auto" w:fill="DEEAF6"/>
          </w:tcPr>
          <w:p>
            <w:pPr/>
          </w:p>
        </w:tc>
        <w:tc>
          <w:tcPr>
            <w:tcW w:w="2127"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61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066"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29" w:hRule="exact"/>
        </w:trPr>
        <w:tc>
          <w:tcPr>
            <w:tcW w:w="1061" w:type="dxa"/>
            <w:vMerge/>
            <w:tcBorders>
              <w:left w:val="nil" w:sz="6" w:space="0" w:color="auto"/>
              <w:bottom w:val="single" w:sz="4" w:space="0" w:color="5B9BD4"/>
              <w:right w:val="nil" w:sz="6" w:space="0" w:color="auto"/>
            </w:tcBorders>
            <w:shd w:val="clear" w:color="auto" w:fill="DEEAF6"/>
          </w:tcPr>
          <w:p>
            <w:pPr/>
          </w:p>
        </w:tc>
        <w:tc>
          <w:tcPr>
            <w:tcW w:w="106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left="17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left="26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351" w:right="172"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71" w:right="170"/>
              <w:jc w:val="left"/>
              <w:rPr>
                <w:rFonts w:ascii="宋体" w:hAnsi="宋体" w:cs="宋体" w:eastAsia="宋体" w:hint="default"/>
                <w:sz w:val="18"/>
                <w:szCs w:val="18"/>
              </w:rPr>
            </w:pPr>
            <w:r>
              <w:rPr>
                <w:rFonts w:ascii="宋体" w:hAnsi="宋体" w:cs="宋体" w:eastAsia="宋体" w:hint="default"/>
                <w:sz w:val="18"/>
                <w:szCs w:val="18"/>
              </w:rPr>
              <w:t>经营活动 现金流量</w:t>
            </w:r>
          </w:p>
        </w:tc>
        <w:tc>
          <w:tcPr>
            <w:tcW w:w="10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left="17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left="26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351" w:right="169"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72" w:right="170"/>
              <w:jc w:val="left"/>
              <w:rPr>
                <w:rFonts w:ascii="宋体" w:hAnsi="宋体" w:cs="宋体" w:eastAsia="宋体" w:hint="default"/>
                <w:sz w:val="18"/>
                <w:szCs w:val="18"/>
              </w:rPr>
            </w:pPr>
            <w:r>
              <w:rPr>
                <w:rFonts w:ascii="宋体" w:hAnsi="宋体" w:cs="宋体" w:eastAsia="宋体" w:hint="default"/>
                <w:sz w:val="18"/>
                <w:szCs w:val="18"/>
              </w:rPr>
              <w:t>经营活动 现金流量</w:t>
            </w:r>
          </w:p>
        </w:tc>
      </w:tr>
      <w:tr>
        <w:trPr>
          <w:trHeight w:val="639" w:hRule="exact"/>
        </w:trPr>
        <w:tc>
          <w:tcPr>
            <w:tcW w:w="106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11"/>
              <w:ind w:left="108" w:right="231"/>
              <w:jc w:val="left"/>
              <w:rPr>
                <w:rFonts w:ascii="宋体" w:hAnsi="宋体" w:cs="宋体" w:eastAsia="宋体" w:hint="default"/>
                <w:sz w:val="18"/>
                <w:szCs w:val="18"/>
              </w:rPr>
            </w:pPr>
            <w:r>
              <w:rPr>
                <w:rFonts w:ascii="宋体" w:hAnsi="宋体" w:cs="宋体" w:eastAsia="宋体" w:hint="default"/>
                <w:sz w:val="18"/>
                <w:szCs w:val="18"/>
              </w:rPr>
              <w:t>彩梦科技 公司</w:t>
            </w:r>
          </w:p>
        </w:tc>
        <w:tc>
          <w:tcPr>
            <w:tcW w:w="1061"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left="154" w:right="0"/>
              <w:jc w:val="left"/>
              <w:rPr>
                <w:rFonts w:ascii="Arial" w:hAnsi="Arial" w:cs="Arial" w:eastAsia="Arial" w:hint="default"/>
                <w:sz w:val="18"/>
                <w:szCs w:val="18"/>
              </w:rPr>
            </w:pPr>
            <w:r>
              <w:rPr>
                <w:rFonts w:ascii="Arial"/>
                <w:sz w:val="18"/>
              </w:rPr>
              <w:t>63,109,12</w:t>
            </w:r>
          </w:p>
          <w:p>
            <w:pPr>
              <w:pStyle w:val="TableParagraph"/>
              <w:spacing w:line="240" w:lineRule="auto" w:before="105"/>
              <w:ind w:left="603" w:right="0"/>
              <w:jc w:val="left"/>
              <w:rPr>
                <w:rFonts w:ascii="Arial" w:hAnsi="Arial" w:cs="Arial" w:eastAsia="Arial" w:hint="default"/>
                <w:sz w:val="18"/>
                <w:szCs w:val="18"/>
              </w:rPr>
            </w:pPr>
            <w:r>
              <w:rPr>
                <w:rFonts w:ascii="Arial"/>
                <w:sz w:val="18"/>
              </w:rPr>
              <w:t>5.98</w:t>
            </w:r>
          </w:p>
        </w:tc>
        <w:tc>
          <w:tcPr>
            <w:tcW w:w="106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2"/>
              <w:ind w:left="155" w:right="0"/>
              <w:jc w:val="left"/>
              <w:rPr>
                <w:rFonts w:ascii="Arial" w:hAnsi="Arial" w:cs="Arial" w:eastAsia="Arial" w:hint="default"/>
                <w:sz w:val="18"/>
                <w:szCs w:val="18"/>
              </w:rPr>
            </w:pPr>
            <w:r>
              <w:rPr>
                <w:rFonts w:ascii="Arial"/>
                <w:sz w:val="18"/>
              </w:rPr>
              <w:t>2,412,684</w:t>
            </w:r>
          </w:p>
          <w:p>
            <w:pPr>
              <w:pStyle w:val="TableParagraph"/>
              <w:spacing w:line="240" w:lineRule="auto" w:before="105"/>
              <w:ind w:left="704" w:right="0"/>
              <w:jc w:val="left"/>
              <w:rPr>
                <w:rFonts w:ascii="Arial" w:hAnsi="Arial" w:cs="Arial" w:eastAsia="Arial" w:hint="default"/>
                <w:sz w:val="18"/>
                <w:szCs w:val="18"/>
              </w:rPr>
            </w:pPr>
            <w:r>
              <w:rPr>
                <w:rFonts w:ascii="Arial"/>
                <w:sz w:val="18"/>
              </w:rPr>
              <w:t>.06</w:t>
            </w:r>
          </w:p>
        </w:tc>
        <w:tc>
          <w:tcPr>
            <w:tcW w:w="1066"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right="106"/>
              <w:jc w:val="right"/>
              <w:rPr>
                <w:rFonts w:ascii="Arial" w:hAnsi="Arial" w:cs="Arial" w:eastAsia="Arial" w:hint="default"/>
                <w:sz w:val="18"/>
                <w:szCs w:val="18"/>
              </w:rPr>
            </w:pPr>
            <w:r>
              <w:rPr>
                <w:rFonts w:ascii="Arial"/>
                <w:w w:val="95"/>
                <w:sz w:val="18"/>
              </w:rPr>
              <w:t>2,396,058.</w:t>
            </w:r>
            <w:r>
              <w:rPr>
                <w:rFonts w:ascii="Arial"/>
                <w:sz w:val="18"/>
              </w:rPr>
            </w:r>
          </w:p>
          <w:p>
            <w:pPr>
              <w:pStyle w:val="TableParagraph"/>
              <w:spacing w:line="240" w:lineRule="auto" w:before="105"/>
              <w:ind w:right="107"/>
              <w:jc w:val="right"/>
              <w:rPr>
                <w:rFonts w:ascii="Arial" w:hAnsi="Arial" w:cs="Arial" w:eastAsia="Arial" w:hint="default"/>
                <w:sz w:val="18"/>
                <w:szCs w:val="18"/>
              </w:rPr>
            </w:pPr>
            <w:r>
              <w:rPr>
                <w:rFonts w:ascii="Arial"/>
                <w:spacing w:val="-1"/>
                <w:w w:val="95"/>
                <w:sz w:val="18"/>
              </w:rPr>
              <w:t>62</w:t>
            </w:r>
            <w:r>
              <w:rPr>
                <w:rFonts w:ascii="Arial"/>
                <w:sz w:val="18"/>
              </w:rPr>
            </w:r>
          </w:p>
        </w:tc>
        <w:tc>
          <w:tcPr>
            <w:tcW w:w="106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2"/>
              <w:ind w:left="199" w:right="0"/>
              <w:jc w:val="left"/>
              <w:rPr>
                <w:rFonts w:ascii="Arial" w:hAnsi="Arial" w:cs="Arial" w:eastAsia="Arial" w:hint="default"/>
                <w:sz w:val="18"/>
                <w:szCs w:val="18"/>
              </w:rPr>
            </w:pPr>
            <w:r>
              <w:rPr>
                <w:rFonts w:ascii="Arial"/>
                <w:sz w:val="18"/>
              </w:rPr>
              <w:t>-23,212,5</w:t>
            </w:r>
          </w:p>
          <w:p>
            <w:pPr>
              <w:pStyle w:val="TableParagraph"/>
              <w:spacing w:line="240" w:lineRule="auto" w:before="105"/>
              <w:ind w:left="507" w:right="0"/>
              <w:jc w:val="left"/>
              <w:rPr>
                <w:rFonts w:ascii="Arial" w:hAnsi="Arial" w:cs="Arial" w:eastAsia="Arial" w:hint="default"/>
                <w:sz w:val="18"/>
                <w:szCs w:val="18"/>
              </w:rPr>
            </w:pPr>
            <w:r>
              <w:rPr>
                <w:rFonts w:ascii="Arial"/>
                <w:sz w:val="18"/>
              </w:rPr>
              <w:t>40.15</w:t>
            </w:r>
          </w:p>
        </w:tc>
        <w:tc>
          <w:tcPr>
            <w:tcW w:w="1063"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left="157" w:right="0"/>
              <w:jc w:val="left"/>
              <w:rPr>
                <w:rFonts w:ascii="Arial" w:hAnsi="Arial" w:cs="Arial" w:eastAsia="Arial" w:hint="default"/>
                <w:sz w:val="18"/>
                <w:szCs w:val="18"/>
              </w:rPr>
            </w:pPr>
            <w:r>
              <w:rPr>
                <w:rFonts w:ascii="Arial"/>
                <w:sz w:val="18"/>
              </w:rPr>
              <w:t>36,736,89</w:t>
            </w:r>
          </w:p>
          <w:p>
            <w:pPr>
              <w:pStyle w:val="TableParagraph"/>
              <w:spacing w:line="240" w:lineRule="auto" w:before="105"/>
              <w:ind w:left="606" w:right="0"/>
              <w:jc w:val="left"/>
              <w:rPr>
                <w:rFonts w:ascii="Arial" w:hAnsi="Arial" w:cs="Arial" w:eastAsia="Arial" w:hint="default"/>
                <w:sz w:val="18"/>
                <w:szCs w:val="18"/>
              </w:rPr>
            </w:pPr>
            <w:r>
              <w:rPr>
                <w:rFonts w:ascii="Arial"/>
                <w:sz w:val="18"/>
              </w:rPr>
              <w:t>6.27</w:t>
            </w:r>
          </w:p>
        </w:tc>
        <w:tc>
          <w:tcPr>
            <w:tcW w:w="106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2"/>
              <w:ind w:left="197" w:right="0"/>
              <w:jc w:val="left"/>
              <w:rPr>
                <w:rFonts w:ascii="Arial" w:hAnsi="Arial" w:cs="Arial" w:eastAsia="Arial" w:hint="default"/>
                <w:sz w:val="18"/>
                <w:szCs w:val="18"/>
              </w:rPr>
            </w:pPr>
            <w:r>
              <w:rPr>
                <w:rFonts w:ascii="Arial"/>
                <w:sz w:val="18"/>
              </w:rPr>
              <w:t>-6,486,45</w:t>
            </w:r>
          </w:p>
          <w:p>
            <w:pPr>
              <w:pStyle w:val="TableParagraph"/>
              <w:spacing w:line="240" w:lineRule="auto" w:before="105"/>
              <w:ind w:left="606" w:right="0"/>
              <w:jc w:val="left"/>
              <w:rPr>
                <w:rFonts w:ascii="Arial" w:hAnsi="Arial" w:cs="Arial" w:eastAsia="Arial" w:hint="default"/>
                <w:sz w:val="18"/>
                <w:szCs w:val="18"/>
              </w:rPr>
            </w:pPr>
            <w:r>
              <w:rPr>
                <w:rFonts w:ascii="Arial"/>
                <w:sz w:val="18"/>
              </w:rPr>
              <w:t>6.96</w:t>
            </w:r>
          </w:p>
        </w:tc>
        <w:tc>
          <w:tcPr>
            <w:tcW w:w="1063"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left="197" w:right="0"/>
              <w:jc w:val="left"/>
              <w:rPr>
                <w:rFonts w:ascii="Arial" w:hAnsi="Arial" w:cs="Arial" w:eastAsia="Arial" w:hint="default"/>
                <w:sz w:val="18"/>
                <w:szCs w:val="18"/>
              </w:rPr>
            </w:pPr>
            <w:r>
              <w:rPr>
                <w:rFonts w:ascii="Arial"/>
                <w:sz w:val="18"/>
              </w:rPr>
              <w:t>-6,486,45</w:t>
            </w:r>
          </w:p>
          <w:p>
            <w:pPr>
              <w:pStyle w:val="TableParagraph"/>
              <w:spacing w:line="240" w:lineRule="auto" w:before="105"/>
              <w:ind w:left="606" w:right="0"/>
              <w:jc w:val="left"/>
              <w:rPr>
                <w:rFonts w:ascii="Arial" w:hAnsi="Arial" w:cs="Arial" w:eastAsia="Arial" w:hint="default"/>
                <w:sz w:val="18"/>
                <w:szCs w:val="18"/>
              </w:rPr>
            </w:pPr>
            <w:r>
              <w:rPr>
                <w:rFonts w:ascii="Arial"/>
                <w:sz w:val="18"/>
              </w:rPr>
              <w:t>6.96</w:t>
            </w:r>
          </w:p>
        </w:tc>
        <w:tc>
          <w:tcPr>
            <w:tcW w:w="10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2"/>
              <w:ind w:left="159" w:right="0"/>
              <w:jc w:val="left"/>
              <w:rPr>
                <w:rFonts w:ascii="Arial" w:hAnsi="Arial" w:cs="Arial" w:eastAsia="Arial" w:hint="default"/>
                <w:sz w:val="18"/>
                <w:szCs w:val="18"/>
              </w:rPr>
            </w:pPr>
            <w:r>
              <w:rPr>
                <w:rFonts w:ascii="Arial"/>
                <w:sz w:val="18"/>
              </w:rPr>
              <w:t>15,517,68</w:t>
            </w:r>
          </w:p>
          <w:p>
            <w:pPr>
              <w:pStyle w:val="TableParagraph"/>
              <w:spacing w:line="240" w:lineRule="auto" w:before="105"/>
              <w:ind w:left="608" w:right="0"/>
              <w:jc w:val="left"/>
              <w:rPr>
                <w:rFonts w:ascii="Arial" w:hAnsi="Arial" w:cs="Arial" w:eastAsia="Arial" w:hint="default"/>
                <w:sz w:val="18"/>
                <w:szCs w:val="18"/>
              </w:rPr>
            </w:pPr>
            <w:r>
              <w:rPr>
                <w:rFonts w:ascii="Arial"/>
                <w:sz w:val="18"/>
              </w:rPr>
              <w:t>3.86</w:t>
            </w:r>
          </w:p>
        </w:tc>
      </w:tr>
      <w:tr>
        <w:trPr>
          <w:trHeight w:val="634" w:hRule="exact"/>
        </w:trPr>
        <w:tc>
          <w:tcPr>
            <w:tcW w:w="106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231"/>
              <w:jc w:val="left"/>
              <w:rPr>
                <w:rFonts w:ascii="宋体" w:hAnsi="宋体" w:cs="宋体" w:eastAsia="宋体" w:hint="default"/>
                <w:sz w:val="18"/>
                <w:szCs w:val="18"/>
              </w:rPr>
            </w:pPr>
            <w:r>
              <w:rPr>
                <w:rFonts w:ascii="宋体" w:hAnsi="宋体" w:cs="宋体" w:eastAsia="宋体" w:hint="default"/>
                <w:sz w:val="18"/>
                <w:szCs w:val="18"/>
              </w:rPr>
              <w:t>深圳市优 友金融服</w:t>
            </w:r>
          </w:p>
        </w:tc>
        <w:tc>
          <w:tcPr>
            <w:tcW w:w="106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54" w:right="0"/>
              <w:jc w:val="left"/>
              <w:rPr>
                <w:rFonts w:ascii="Arial" w:hAnsi="Arial" w:cs="Arial" w:eastAsia="Arial" w:hint="default"/>
                <w:sz w:val="18"/>
                <w:szCs w:val="18"/>
              </w:rPr>
            </w:pPr>
            <w:r>
              <w:rPr>
                <w:rFonts w:ascii="Arial"/>
                <w:sz w:val="18"/>
              </w:rPr>
              <w:t>11,785,00</w:t>
            </w:r>
          </w:p>
          <w:p>
            <w:pPr>
              <w:pStyle w:val="TableParagraph"/>
              <w:spacing w:line="240" w:lineRule="auto" w:before="105"/>
              <w:ind w:left="603" w:right="0"/>
              <w:jc w:val="left"/>
              <w:rPr>
                <w:rFonts w:ascii="Arial" w:hAnsi="Arial" w:cs="Arial" w:eastAsia="Arial" w:hint="default"/>
                <w:sz w:val="18"/>
                <w:szCs w:val="18"/>
              </w:rPr>
            </w:pPr>
            <w:r>
              <w:rPr>
                <w:rFonts w:ascii="Arial"/>
                <w:sz w:val="18"/>
              </w:rPr>
              <w:t>9.41</w:t>
            </w:r>
          </w:p>
        </w:tc>
        <w:tc>
          <w:tcPr>
            <w:tcW w:w="106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-204,857.</w:t>
            </w:r>
            <w:r>
              <w:rPr>
                <w:rFonts w:ascii="Arial"/>
                <w:sz w:val="18"/>
              </w:rPr>
            </w:r>
          </w:p>
          <w:p>
            <w:pPr>
              <w:pStyle w:val="TableParagraph"/>
              <w:spacing w:line="240" w:lineRule="auto" w:before="105"/>
              <w:ind w:right="107"/>
              <w:jc w:val="right"/>
              <w:rPr>
                <w:rFonts w:ascii="Arial" w:hAnsi="Arial" w:cs="Arial" w:eastAsia="Arial" w:hint="default"/>
                <w:sz w:val="18"/>
                <w:szCs w:val="18"/>
              </w:rPr>
            </w:pPr>
            <w:r>
              <w:rPr>
                <w:rFonts w:ascii="Arial"/>
                <w:spacing w:val="-1"/>
                <w:w w:val="95"/>
                <w:sz w:val="18"/>
              </w:rPr>
              <w:t>69</w:t>
            </w:r>
            <w:r>
              <w:rPr>
                <w:rFonts w:ascii="Arial"/>
                <w:sz w:val="18"/>
              </w:rPr>
            </w:r>
          </w:p>
        </w:tc>
        <w:tc>
          <w:tcPr>
            <w:tcW w:w="106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-204,857.</w:t>
            </w:r>
            <w:r>
              <w:rPr>
                <w:rFonts w:ascii="Arial"/>
                <w:sz w:val="18"/>
              </w:rPr>
            </w:r>
          </w:p>
          <w:p>
            <w:pPr>
              <w:pStyle w:val="TableParagraph"/>
              <w:spacing w:line="240" w:lineRule="auto" w:before="105"/>
              <w:ind w:right="107"/>
              <w:jc w:val="right"/>
              <w:rPr>
                <w:rFonts w:ascii="Arial" w:hAnsi="Arial" w:cs="Arial" w:eastAsia="Arial" w:hint="default"/>
                <w:sz w:val="18"/>
                <w:szCs w:val="18"/>
              </w:rPr>
            </w:pPr>
            <w:r>
              <w:rPr>
                <w:rFonts w:ascii="Arial"/>
                <w:spacing w:val="-1"/>
                <w:w w:val="95"/>
                <w:sz w:val="18"/>
              </w:rPr>
              <w:t>69</w:t>
            </w:r>
            <w:r>
              <w:rPr>
                <w:rFonts w:ascii="Arial"/>
                <w:sz w:val="18"/>
              </w:rPr>
            </w:r>
          </w:p>
        </w:tc>
        <w:tc>
          <w:tcPr>
            <w:tcW w:w="106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1,332,714.</w:t>
            </w:r>
            <w:r>
              <w:rPr>
                <w:rFonts w:ascii="Arial"/>
                <w:sz w:val="18"/>
              </w:rPr>
            </w:r>
          </w:p>
          <w:p>
            <w:pPr>
              <w:pStyle w:val="TableParagraph"/>
              <w:spacing w:line="240" w:lineRule="auto" w:before="105"/>
              <w:ind w:right="107"/>
              <w:jc w:val="right"/>
              <w:rPr>
                <w:rFonts w:ascii="Arial" w:hAnsi="Arial" w:cs="Arial" w:eastAsia="Arial" w:hint="default"/>
                <w:sz w:val="18"/>
                <w:szCs w:val="18"/>
              </w:rPr>
            </w:pPr>
            <w:r>
              <w:rPr>
                <w:rFonts w:ascii="Arial"/>
                <w:spacing w:val="-1"/>
                <w:w w:val="95"/>
                <w:sz w:val="18"/>
              </w:rPr>
              <w:t>07</w:t>
            </w:r>
            <w:r>
              <w:rPr>
                <w:rFonts w:ascii="Arial"/>
                <w:sz w:val="18"/>
              </w:rPr>
            </w:r>
          </w:p>
        </w:tc>
        <w:tc>
          <w:tcPr>
            <w:tcW w:w="1063" w:type="dxa"/>
            <w:tcBorders>
              <w:top w:val="single" w:sz="4" w:space="0" w:color="5B9BD4"/>
              <w:left w:val="nil" w:sz="6" w:space="0" w:color="auto"/>
              <w:bottom w:val="single" w:sz="4" w:space="0" w:color="5B9BD4"/>
              <w:right w:val="nil" w:sz="6" w:space="0" w:color="auto"/>
            </w:tcBorders>
          </w:tcPr>
          <w:p>
            <w:pPr/>
          </w:p>
        </w:tc>
        <w:tc>
          <w:tcPr>
            <w:tcW w:w="1064" w:type="dxa"/>
            <w:tcBorders>
              <w:top w:val="single" w:sz="4" w:space="0" w:color="5B9BD4"/>
              <w:left w:val="nil" w:sz="6" w:space="0" w:color="auto"/>
              <w:bottom w:val="single" w:sz="4" w:space="0" w:color="5B9BD4"/>
              <w:right w:val="nil" w:sz="6" w:space="0" w:color="auto"/>
            </w:tcBorders>
            <w:shd w:val="clear" w:color="auto" w:fill="DEEAF6"/>
          </w:tcPr>
          <w:p>
            <w:pPr/>
          </w:p>
        </w:tc>
        <w:tc>
          <w:tcPr>
            <w:tcW w:w="1063" w:type="dxa"/>
            <w:tcBorders>
              <w:top w:val="single" w:sz="4" w:space="0" w:color="5B9BD4"/>
              <w:left w:val="nil" w:sz="6" w:space="0" w:color="auto"/>
              <w:bottom w:val="single" w:sz="4" w:space="0" w:color="5B9BD4"/>
              <w:right w:val="nil" w:sz="6" w:space="0" w:color="auto"/>
            </w:tcBorders>
          </w:tcPr>
          <w:p>
            <w:pPr/>
          </w:p>
        </w:tc>
        <w:tc>
          <w:tcPr>
            <w:tcW w:w="1066" w:type="dxa"/>
            <w:tcBorders>
              <w:top w:val="single" w:sz="4" w:space="0" w:color="5B9BD4"/>
              <w:left w:val="nil" w:sz="6" w:space="0" w:color="auto"/>
              <w:bottom w:val="single" w:sz="4" w:space="0" w:color="5B9BD4"/>
              <w:right w:val="nil" w:sz="6" w:space="0" w:color="auto"/>
            </w:tcBorders>
            <w:shd w:val="clear" w:color="auto" w:fill="DEEAF6"/>
          </w:tcPr>
          <w:p>
            <w:pPr/>
          </w:p>
        </w:tc>
      </w:tr>
    </w:tbl>
    <w:p>
      <w:pPr>
        <w:spacing w:after="0"/>
        <w:sectPr>
          <w:pgSz w:w="11910" w:h="16840"/>
          <w:pgMar w:header="877" w:footer="979" w:top="1100" w:bottom="1160" w:left="920" w:right="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635" w:hRule="exact"/>
        </w:trPr>
        <w:tc>
          <w:tcPr>
            <w:tcW w:w="106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231"/>
              <w:jc w:val="left"/>
              <w:rPr>
                <w:rFonts w:ascii="宋体" w:hAnsi="宋体" w:cs="宋体" w:eastAsia="宋体" w:hint="default"/>
                <w:sz w:val="18"/>
                <w:szCs w:val="18"/>
              </w:rPr>
            </w:pPr>
            <w:r>
              <w:rPr>
                <w:rFonts w:ascii="宋体" w:hAnsi="宋体" w:cs="宋体" w:eastAsia="宋体" w:hint="default"/>
                <w:sz w:val="18"/>
                <w:szCs w:val="18"/>
              </w:rPr>
              <w:t>务有限公 司</w:t>
            </w:r>
          </w:p>
        </w:tc>
        <w:tc>
          <w:tcPr>
            <w:tcW w:w="1061" w:type="dxa"/>
            <w:tcBorders>
              <w:top w:val="single" w:sz="4" w:space="0" w:color="5B9BD4"/>
              <w:left w:val="nil" w:sz="6" w:space="0" w:color="auto"/>
              <w:bottom w:val="single" w:sz="4" w:space="0" w:color="5B9BD4"/>
              <w:right w:val="nil" w:sz="6" w:space="0" w:color="auto"/>
            </w:tcBorders>
          </w:tcPr>
          <w:p>
            <w:pPr/>
          </w:p>
        </w:tc>
        <w:tc>
          <w:tcPr>
            <w:tcW w:w="1062" w:type="dxa"/>
            <w:tcBorders>
              <w:top w:val="single" w:sz="4" w:space="0" w:color="5B9BD4"/>
              <w:left w:val="nil" w:sz="6" w:space="0" w:color="auto"/>
              <w:bottom w:val="single" w:sz="4" w:space="0" w:color="5B9BD4"/>
              <w:right w:val="nil" w:sz="6" w:space="0" w:color="auto"/>
            </w:tcBorders>
            <w:shd w:val="clear" w:color="auto" w:fill="DEEAF6"/>
          </w:tcPr>
          <w:p>
            <w:pPr/>
          </w:p>
        </w:tc>
        <w:tc>
          <w:tcPr>
            <w:tcW w:w="1066" w:type="dxa"/>
            <w:tcBorders>
              <w:top w:val="single" w:sz="4" w:space="0" w:color="5B9BD4"/>
              <w:left w:val="nil" w:sz="6" w:space="0" w:color="auto"/>
              <w:bottom w:val="single" w:sz="4" w:space="0" w:color="5B9BD4"/>
              <w:right w:val="nil" w:sz="6" w:space="0" w:color="auto"/>
            </w:tcBorders>
          </w:tcPr>
          <w:p>
            <w:pPr/>
          </w:p>
        </w:tc>
        <w:tc>
          <w:tcPr>
            <w:tcW w:w="1064" w:type="dxa"/>
            <w:tcBorders>
              <w:top w:val="single" w:sz="4" w:space="0" w:color="5B9BD4"/>
              <w:left w:val="nil" w:sz="6" w:space="0" w:color="auto"/>
              <w:bottom w:val="single" w:sz="4" w:space="0" w:color="5B9BD4"/>
              <w:right w:val="nil" w:sz="6" w:space="0" w:color="auto"/>
            </w:tcBorders>
            <w:shd w:val="clear" w:color="auto" w:fill="DEEAF6"/>
          </w:tcPr>
          <w:p>
            <w:pPr/>
          </w:p>
        </w:tc>
        <w:tc>
          <w:tcPr>
            <w:tcW w:w="1063" w:type="dxa"/>
            <w:tcBorders>
              <w:top w:val="single" w:sz="4" w:space="0" w:color="5B9BD4"/>
              <w:left w:val="nil" w:sz="6" w:space="0" w:color="auto"/>
              <w:bottom w:val="single" w:sz="4" w:space="0" w:color="5B9BD4"/>
              <w:right w:val="nil" w:sz="6" w:space="0" w:color="auto"/>
            </w:tcBorders>
          </w:tcPr>
          <w:p>
            <w:pPr/>
          </w:p>
        </w:tc>
        <w:tc>
          <w:tcPr>
            <w:tcW w:w="1064" w:type="dxa"/>
            <w:tcBorders>
              <w:top w:val="single" w:sz="4" w:space="0" w:color="5B9BD4"/>
              <w:left w:val="nil" w:sz="6" w:space="0" w:color="auto"/>
              <w:bottom w:val="single" w:sz="4" w:space="0" w:color="5B9BD4"/>
              <w:right w:val="nil" w:sz="6" w:space="0" w:color="auto"/>
            </w:tcBorders>
            <w:shd w:val="clear" w:color="auto" w:fill="DEEAF6"/>
          </w:tcPr>
          <w:p>
            <w:pPr/>
          </w:p>
        </w:tc>
        <w:tc>
          <w:tcPr>
            <w:tcW w:w="1063" w:type="dxa"/>
            <w:tcBorders>
              <w:top w:val="single" w:sz="4" w:space="0" w:color="5B9BD4"/>
              <w:left w:val="nil" w:sz="6" w:space="0" w:color="auto"/>
              <w:bottom w:val="single" w:sz="4" w:space="0" w:color="5B9BD4"/>
              <w:right w:val="nil" w:sz="6" w:space="0" w:color="auto"/>
            </w:tcBorders>
          </w:tcPr>
          <w:p>
            <w:pPr/>
          </w:p>
        </w:tc>
        <w:tc>
          <w:tcPr>
            <w:tcW w:w="1066" w:type="dxa"/>
            <w:tcBorders>
              <w:top w:val="single" w:sz="4" w:space="0" w:color="5B9BD4"/>
              <w:left w:val="nil" w:sz="6" w:space="0" w:color="auto"/>
              <w:bottom w:val="single" w:sz="4" w:space="0" w:color="5B9BD4"/>
              <w:right w:val="nil" w:sz="6" w:space="0" w:color="auto"/>
            </w:tcBorders>
            <w:shd w:val="clear" w:color="auto" w:fill="DEEAF6"/>
          </w:tcPr>
          <w:p>
            <w:pP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2、在合营安排或联营企业中的权益" w:id="389"/>
      <w:bookmarkEnd w:id="389"/>
      <w:r>
        <w:rPr>
          <w:b w:val="0"/>
          <w:bCs w:val="0"/>
        </w:rPr>
      </w:r>
      <w:r>
        <w:rPr>
          <w:rFonts w:ascii="Trebuchet MS" w:hAnsi="Trebuchet MS" w:cs="Trebuchet MS" w:eastAsia="Trebuchet MS" w:hint="default"/>
        </w:rPr>
        <w:t>2</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spacing w:before="0"/>
        <w:ind w:left="636" w:right="1513" w:firstLine="0"/>
        <w:jc w:val="left"/>
        <w:rPr>
          <w:rFonts w:ascii="宋体" w:hAnsi="宋体" w:cs="宋体" w:eastAsia="宋体" w:hint="default"/>
          <w:sz w:val="21"/>
          <w:szCs w:val="21"/>
        </w:rPr>
      </w:pPr>
      <w:bookmarkStart w:name="（1）重要的合营企业或联营企业" w:id="390"/>
      <w:bookmarkEnd w:id="390"/>
      <w:r>
        <w:rPr/>
      </w:r>
      <w:r>
        <w:rPr>
          <w:rFonts w:ascii="宋体" w:hAnsi="宋体" w:cs="宋体" w:eastAsia="宋体" w:hint="default"/>
          <w:b/>
          <w:bCs/>
          <w:sz w:val="21"/>
          <w:szCs w:val="21"/>
        </w:rPr>
        <w:t>（</w:t>
      </w:r>
      <w:r>
        <w:rPr>
          <w:rFonts w:ascii="Trebuchet MS" w:hAnsi="Trebuchet MS" w:cs="Trebuchet MS" w:eastAsia="Trebuchet MS"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spacing w:line="240" w:lineRule="auto" w:before="13"/>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22" w:hRule="exact"/>
        </w:trPr>
        <w:tc>
          <w:tcPr>
            <w:tcW w:w="1372" w:type="dxa"/>
            <w:tcBorders>
              <w:top w:val="single" w:sz="4" w:space="0" w:color="5B9BD4"/>
              <w:left w:val="nil" w:sz="6" w:space="0" w:color="auto"/>
              <w:bottom w:val="nil" w:sz="6" w:space="0" w:color="auto"/>
              <w:right w:val="nil" w:sz="6" w:space="0" w:color="auto"/>
            </w:tcBorders>
            <w:shd w:val="clear" w:color="auto" w:fill="DEEAF6"/>
          </w:tcPr>
          <w:p>
            <w:pPr/>
          </w:p>
        </w:tc>
        <w:tc>
          <w:tcPr>
            <w:tcW w:w="1367" w:type="dxa"/>
            <w:tcBorders>
              <w:top w:val="single" w:sz="4" w:space="0" w:color="5B9BD4"/>
              <w:left w:val="nil" w:sz="6" w:space="0" w:color="auto"/>
              <w:bottom w:val="nil" w:sz="6" w:space="0" w:color="auto"/>
              <w:right w:val="nil" w:sz="6" w:space="0" w:color="auto"/>
            </w:tcBorders>
            <w:shd w:val="clear" w:color="auto" w:fill="DEEAF6"/>
          </w:tcPr>
          <w:p>
            <w:pPr/>
          </w:p>
        </w:tc>
        <w:tc>
          <w:tcPr>
            <w:tcW w:w="1367" w:type="dxa"/>
            <w:tcBorders>
              <w:top w:val="single" w:sz="4" w:space="0" w:color="5B9BD4"/>
              <w:left w:val="nil" w:sz="6" w:space="0" w:color="auto"/>
              <w:bottom w:val="nil" w:sz="6" w:space="0" w:color="auto"/>
              <w:right w:val="nil" w:sz="6" w:space="0" w:color="auto"/>
            </w:tcBorders>
            <w:shd w:val="clear" w:color="auto" w:fill="DEEAF6"/>
          </w:tcPr>
          <w:p>
            <w:pPr/>
          </w:p>
        </w:tc>
        <w:tc>
          <w:tcPr>
            <w:tcW w:w="1367" w:type="dxa"/>
            <w:tcBorders>
              <w:top w:val="single" w:sz="4" w:space="0" w:color="5B9BD4"/>
              <w:left w:val="nil" w:sz="6" w:space="0" w:color="auto"/>
              <w:bottom w:val="nil" w:sz="6" w:space="0" w:color="auto"/>
              <w:right w:val="nil" w:sz="6" w:space="0" w:color="auto"/>
            </w:tcBorders>
            <w:shd w:val="clear" w:color="auto" w:fill="DEEAF6"/>
          </w:tcPr>
          <w:p>
            <w:pPr/>
          </w:p>
        </w:tc>
        <w:tc>
          <w:tcPr>
            <w:tcW w:w="2734"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5"/>
              <w:ind w:left="141" w:right="143"/>
              <w:jc w:val="center"/>
              <w:rPr>
                <w:rFonts w:ascii="宋体" w:hAnsi="宋体" w:cs="宋体" w:eastAsia="宋体" w:hint="default"/>
                <w:sz w:val="18"/>
                <w:szCs w:val="18"/>
              </w:rPr>
            </w:pPr>
            <w:r>
              <w:rPr>
                <w:rFonts w:ascii="宋体" w:hAnsi="宋体" w:cs="宋体" w:eastAsia="宋体" w:hint="default"/>
                <w:sz w:val="18"/>
                <w:szCs w:val="18"/>
              </w:rPr>
              <w:t>对合营企业或 联营企业投资 的会计处理方 法</w:t>
            </w:r>
          </w:p>
        </w:tc>
      </w:tr>
      <w:tr>
        <w:trPr>
          <w:trHeight w:val="931" w:hRule="exact"/>
        </w:trPr>
        <w:tc>
          <w:tcPr>
            <w:tcW w:w="1372"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316" w:lineRule="auto" w:before="1"/>
              <w:ind w:left="235" w:right="144" w:hanging="90"/>
              <w:jc w:val="left"/>
              <w:rPr>
                <w:rFonts w:ascii="宋体" w:hAnsi="宋体" w:cs="宋体" w:eastAsia="宋体" w:hint="default"/>
                <w:sz w:val="18"/>
                <w:szCs w:val="18"/>
              </w:rPr>
            </w:pPr>
            <w:r>
              <w:rPr>
                <w:rFonts w:ascii="宋体" w:hAnsi="宋体" w:cs="宋体" w:eastAsia="宋体" w:hint="default"/>
                <w:sz w:val="18"/>
                <w:szCs w:val="18"/>
              </w:rPr>
              <w:t>合营企业或联 营企业名称</w:t>
            </w:r>
          </w:p>
        </w:tc>
        <w:tc>
          <w:tcPr>
            <w:tcW w:w="1367"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240" w:lineRule="auto" w:before="157"/>
              <w:ind w:left="23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240" w:lineRule="auto" w:before="157"/>
              <w:ind w:left="41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240" w:lineRule="auto" w:before="157"/>
              <w:ind w:left="32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nil" w:sz="6" w:space="0" w:color="auto"/>
              <w:bottom w:val="single" w:sz="4" w:space="0" w:color="5B9BD4"/>
              <w:right w:val="nil" w:sz="6" w:space="0" w:color="auto"/>
            </w:tcBorders>
            <w:shd w:val="clear" w:color="auto" w:fill="DEEAF6"/>
          </w:tcPr>
          <w:p>
            <w:pPr/>
          </w:p>
        </w:tc>
      </w:tr>
      <w:tr>
        <w:trPr>
          <w:trHeight w:val="952" w:hRule="exact"/>
        </w:trPr>
        <w:tc>
          <w:tcPr>
            <w:tcW w:w="13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磨盘股份公司</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897"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898"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316" w:lineRule="auto" w:before="10"/>
              <w:ind w:left="178" w:right="107"/>
              <w:jc w:val="both"/>
              <w:rPr>
                <w:rFonts w:ascii="宋体" w:hAnsi="宋体" w:cs="宋体" w:eastAsia="宋体" w:hint="default"/>
                <w:sz w:val="18"/>
                <w:szCs w:val="18"/>
              </w:rPr>
            </w:pPr>
            <w:r>
              <w:rPr>
                <w:rFonts w:ascii="宋体" w:hAnsi="宋体" w:cs="宋体" w:eastAsia="宋体" w:hint="default"/>
                <w:sz w:val="18"/>
                <w:szCs w:val="18"/>
              </w:rPr>
              <w:t>技术开发、推 广、转让、咨 询等相关服务</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670" w:right="0"/>
              <w:jc w:val="left"/>
              <w:rPr>
                <w:rFonts w:ascii="Arial" w:hAnsi="Arial" w:cs="Arial" w:eastAsia="Arial" w:hint="default"/>
                <w:sz w:val="18"/>
                <w:szCs w:val="18"/>
              </w:rPr>
            </w:pPr>
            <w:r>
              <w:rPr>
                <w:rFonts w:ascii="Arial"/>
                <w:sz w:val="18"/>
              </w:rPr>
              <w:t>27.93%</w:t>
            </w:r>
          </w:p>
        </w:tc>
        <w:tc>
          <w:tcPr>
            <w:tcW w:w="13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716"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11"/>
        <w:rPr>
          <w:rFonts w:ascii="宋体" w:hAnsi="宋体" w:cs="宋体" w:eastAsia="宋体" w:hint="default"/>
          <w:b/>
          <w:bCs/>
          <w:sz w:val="7"/>
          <w:szCs w:val="7"/>
        </w:rPr>
      </w:pPr>
    </w:p>
    <w:p>
      <w:pPr>
        <w:spacing w:before="35"/>
        <w:ind w:left="636" w:right="1513" w:firstLine="0"/>
        <w:jc w:val="left"/>
        <w:rPr>
          <w:rFonts w:ascii="宋体" w:hAnsi="宋体" w:cs="宋体" w:eastAsia="宋体" w:hint="default"/>
          <w:sz w:val="21"/>
          <w:szCs w:val="21"/>
        </w:rPr>
      </w:pPr>
      <w:bookmarkStart w:name="（2）重要联营企业的主要财务信息" w:id="391"/>
      <w:bookmarkEnd w:id="391"/>
      <w:r>
        <w:rPr/>
      </w:r>
      <w:r>
        <w:rPr>
          <w:rFonts w:ascii="宋体" w:hAnsi="宋体" w:cs="宋体" w:eastAsia="宋体" w:hint="default"/>
          <w:b/>
          <w:bCs/>
          <w:sz w:val="21"/>
          <w:szCs w:val="21"/>
        </w:rPr>
        <w:t>（</w:t>
      </w:r>
      <w:r>
        <w:rPr>
          <w:rFonts w:ascii="Trebuchet MS" w:hAnsi="Trebuchet MS" w:cs="Trebuchet MS" w:eastAsia="Trebuchet MS" w:hint="default"/>
          <w:b/>
          <w:bCs/>
          <w:sz w:val="21"/>
          <w:szCs w:val="21"/>
        </w:rPr>
        <w:t>2</w:t>
      </w:r>
      <w:r>
        <w:rPr>
          <w:rFonts w:ascii="宋体" w:hAnsi="宋体" w:cs="宋体" w:eastAsia="宋体" w:hint="default"/>
          <w:b/>
          <w:bCs/>
          <w:sz w:val="21"/>
          <w:szCs w:val="21"/>
        </w:rPr>
        <w:t>）重要联营企业的主要财务信息</w:t>
      </w:r>
      <w:r>
        <w:rPr>
          <w:rFonts w:ascii="宋体" w:hAnsi="宋体" w:cs="宋体" w:eastAsia="宋体" w:hint="default"/>
          <w:sz w:val="21"/>
          <w:szCs w:val="21"/>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190"/>
        <w:gridCol w:w="3191"/>
        <w:gridCol w:w="3190"/>
      </w:tblGrid>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
        </w:tc>
        <w:tc>
          <w:tcPr>
            <w:tcW w:w="3191"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left="745" w:right="0"/>
              <w:jc w:val="left"/>
              <w:rPr>
                <w:rFonts w:ascii="宋体" w:hAnsi="宋体" w:cs="宋体" w:eastAsia="宋体" w:hint="default"/>
                <w:sz w:val="18"/>
                <w:szCs w:val="18"/>
              </w:rPr>
            </w:pPr>
            <w:r>
              <w:rPr>
                <w:rFonts w:ascii="宋体" w:hAnsi="宋体" w:cs="宋体" w:eastAsia="宋体" w:hint="default"/>
                <w:w w:val="105"/>
                <w:sz w:val="18"/>
                <w:szCs w:val="18"/>
              </w:rPr>
              <w:t>期末余额</w:t>
            </w:r>
            <w:r>
              <w:rPr>
                <w:rFonts w:ascii="Arial" w:hAnsi="Arial" w:cs="Arial" w:eastAsia="Arial" w:hint="default"/>
                <w:w w:val="105"/>
                <w:sz w:val="18"/>
                <w:szCs w:val="18"/>
              </w:rPr>
              <w:t>/</w:t>
            </w:r>
            <w:r>
              <w:rPr>
                <w:rFonts w:ascii="宋体" w:hAnsi="宋体" w:cs="宋体" w:eastAsia="宋体" w:hint="default"/>
                <w:w w:val="105"/>
                <w:sz w:val="18"/>
                <w:szCs w:val="18"/>
              </w:rPr>
              <w:t>本期发生额</w:t>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745" w:right="0"/>
              <w:jc w:val="left"/>
              <w:rPr>
                <w:rFonts w:ascii="宋体" w:hAnsi="宋体" w:cs="宋体" w:eastAsia="宋体" w:hint="default"/>
                <w:sz w:val="18"/>
                <w:szCs w:val="18"/>
              </w:rPr>
            </w:pPr>
            <w:r>
              <w:rPr>
                <w:rFonts w:ascii="宋体" w:hAnsi="宋体" w:cs="宋体" w:eastAsia="宋体" w:hint="default"/>
                <w:w w:val="105"/>
                <w:sz w:val="18"/>
                <w:szCs w:val="18"/>
              </w:rPr>
              <w:t>期初余额</w:t>
            </w:r>
            <w:r>
              <w:rPr>
                <w:rFonts w:ascii="Arial" w:hAnsi="Arial" w:cs="Arial" w:eastAsia="Arial" w:hint="default"/>
                <w:w w:val="105"/>
                <w:sz w:val="18"/>
                <w:szCs w:val="18"/>
              </w:rPr>
              <w:t>/</w:t>
            </w:r>
            <w:r>
              <w:rPr>
                <w:rFonts w:ascii="宋体" w:hAnsi="宋体" w:cs="宋体" w:eastAsia="宋体" w:hint="default"/>
                <w:w w:val="105"/>
                <w:sz w:val="18"/>
                <w:szCs w:val="18"/>
              </w:rPr>
              <w:t>上期发生额</w:t>
            </w: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
        </w:tc>
        <w:tc>
          <w:tcPr>
            <w:tcW w:w="3191" w:type="dxa"/>
            <w:tcBorders>
              <w:top w:val="single" w:sz="4" w:space="0" w:color="5B9BD4"/>
              <w:left w:val="nil" w:sz="6" w:space="0" w:color="auto"/>
              <w:bottom w:val="single" w:sz="4" w:space="0" w:color="5B9BD4"/>
              <w:right w:val="nil" w:sz="6" w:space="0" w:color="auto"/>
            </w:tcBorders>
          </w:tcPr>
          <w:p>
            <w:pPr>
              <w:pStyle w:val="TableParagraph"/>
              <w:spacing w:line="240" w:lineRule="auto" w:before="6"/>
              <w:ind w:left="1055" w:right="0"/>
              <w:jc w:val="left"/>
              <w:rPr>
                <w:rFonts w:ascii="宋体" w:hAnsi="宋体" w:cs="宋体" w:eastAsia="宋体" w:hint="default"/>
                <w:sz w:val="18"/>
                <w:szCs w:val="18"/>
              </w:rPr>
            </w:pPr>
            <w:r>
              <w:rPr>
                <w:rFonts w:ascii="宋体" w:hAnsi="宋体" w:cs="宋体" w:eastAsia="宋体" w:hint="default"/>
                <w:sz w:val="18"/>
                <w:szCs w:val="18"/>
              </w:rPr>
              <w:t>磨盘股份公司</w:t>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55" w:right="0"/>
              <w:jc w:val="left"/>
              <w:rPr>
                <w:rFonts w:ascii="宋体" w:hAnsi="宋体" w:cs="宋体" w:eastAsia="宋体" w:hint="default"/>
                <w:sz w:val="18"/>
                <w:szCs w:val="18"/>
              </w:rPr>
            </w:pPr>
            <w:r>
              <w:rPr>
                <w:rFonts w:ascii="宋体" w:hAnsi="宋体" w:cs="宋体" w:eastAsia="宋体" w:hint="default"/>
                <w:sz w:val="18"/>
                <w:szCs w:val="18"/>
              </w:rPr>
              <w:t>磨盘股份公司</w:t>
            </w: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71,162,672.36</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8,480,735.43</w:t>
            </w:r>
            <w:r>
              <w:rPr>
                <w:rFonts w:ascii="Arial"/>
                <w:sz w:val="18"/>
              </w:rPr>
            </w: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43,381,097.70</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46,660,778.54</w:t>
            </w:r>
            <w:r>
              <w:rPr>
                <w:rFonts w:ascii="Arial"/>
                <w:sz w:val="18"/>
              </w:rPr>
            </w:r>
          </w:p>
        </w:tc>
      </w:tr>
      <w:tr>
        <w:trPr>
          <w:trHeight w:val="323"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1" w:type="dxa"/>
            <w:tcBorders>
              <w:top w:val="single" w:sz="4" w:space="0" w:color="5B9BD4"/>
              <w:left w:val="nil" w:sz="6" w:space="0" w:color="auto"/>
              <w:bottom w:val="single" w:sz="4" w:space="0" w:color="5B9BD4"/>
              <w:right w:val="nil" w:sz="6" w:space="0" w:color="auto"/>
            </w:tcBorders>
          </w:tcPr>
          <w:p>
            <w:pPr>
              <w:pStyle w:val="TableParagraph"/>
              <w:spacing w:line="240" w:lineRule="auto" w:before="48"/>
              <w:ind w:right="107"/>
              <w:jc w:val="right"/>
              <w:rPr>
                <w:rFonts w:ascii="Arial" w:hAnsi="Arial" w:cs="Arial" w:eastAsia="Arial" w:hint="default"/>
                <w:sz w:val="18"/>
                <w:szCs w:val="18"/>
              </w:rPr>
            </w:pPr>
            <w:r>
              <w:rPr>
                <w:rFonts w:ascii="Arial"/>
                <w:w w:val="95"/>
                <w:sz w:val="18"/>
              </w:rPr>
              <w:t>114,543,770.06</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8"/>
              <w:ind w:right="105"/>
              <w:jc w:val="right"/>
              <w:rPr>
                <w:rFonts w:ascii="Arial" w:hAnsi="Arial" w:cs="Arial" w:eastAsia="Arial" w:hint="default"/>
                <w:sz w:val="18"/>
                <w:szCs w:val="18"/>
              </w:rPr>
            </w:pPr>
            <w:r>
              <w:rPr>
                <w:rFonts w:ascii="Arial"/>
                <w:w w:val="95"/>
                <w:sz w:val="18"/>
              </w:rPr>
              <w:t>55,141,513.97</w:t>
            </w:r>
            <w:r>
              <w:rPr>
                <w:rFonts w:ascii="Arial"/>
                <w:sz w:val="18"/>
              </w:rPr>
            </w: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20,078,255.02</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3,550,465.43</w:t>
            </w:r>
            <w:r>
              <w:rPr>
                <w:rFonts w:ascii="Arial"/>
                <w:sz w:val="18"/>
              </w:rPr>
            </w: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19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7,287,558.57</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8,104,854.85</w:t>
            </w:r>
            <w:r>
              <w:rPr>
                <w:rFonts w:ascii="Arial"/>
                <w:sz w:val="18"/>
              </w:rPr>
            </w: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27,365,813.59</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11,655,320.28</w:t>
            </w:r>
            <w:r>
              <w:rPr>
                <w:rFonts w:ascii="Arial"/>
                <w:sz w:val="18"/>
              </w:rPr>
            </w: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191" w:type="dxa"/>
            <w:tcBorders>
              <w:top w:val="single" w:sz="4" w:space="0" w:color="5B9BD4"/>
              <w:left w:val="nil" w:sz="6" w:space="0" w:color="auto"/>
              <w:bottom w:val="single" w:sz="4" w:space="0" w:color="5B9BD4"/>
              <w:right w:val="nil" w:sz="6" w:space="0" w:color="auto"/>
            </w:tcBorders>
          </w:tcPr>
          <w:p>
            <w:pP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87,177,956.47</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43,486,193.69</w:t>
            </w:r>
            <w:r>
              <w:rPr>
                <w:rFonts w:ascii="Arial"/>
                <w:sz w:val="18"/>
              </w:rPr>
            </w: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24,348,803.24</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15,137,544.02</w:t>
            </w:r>
            <w:r>
              <w:rPr>
                <w:rFonts w:ascii="Arial"/>
                <w:sz w:val="18"/>
              </w:rPr>
            </w: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3191" w:type="dxa"/>
            <w:tcBorders>
              <w:top w:val="single" w:sz="4" w:space="0" w:color="5B9BD4"/>
              <w:left w:val="nil" w:sz="6" w:space="0" w:color="auto"/>
              <w:bottom w:val="single" w:sz="4" w:space="0" w:color="5B9BD4"/>
              <w:right w:val="nil" w:sz="6" w:space="0" w:color="auto"/>
            </w:tcBorders>
          </w:tcPr>
          <w:p>
            <w:pP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商誉</w:t>
            </w:r>
          </w:p>
        </w:tc>
        <w:tc>
          <w:tcPr>
            <w:tcW w:w="319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13,150,845.27</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31,862,455.98</w:t>
            </w:r>
            <w:r>
              <w:rPr>
                <w:rFonts w:ascii="Arial"/>
                <w:sz w:val="18"/>
              </w:rPr>
            </w: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内部交易未实现利润</w:t>
            </w:r>
          </w:p>
        </w:tc>
        <w:tc>
          <w:tcPr>
            <w:tcW w:w="3191" w:type="dxa"/>
            <w:tcBorders>
              <w:top w:val="single" w:sz="4" w:space="0" w:color="5B9BD4"/>
              <w:left w:val="nil" w:sz="6" w:space="0" w:color="auto"/>
              <w:bottom w:val="single" w:sz="4" w:space="0" w:color="5B9BD4"/>
              <w:right w:val="nil" w:sz="6" w:space="0" w:color="auto"/>
            </w:tcBorders>
          </w:tcPr>
          <w:p>
            <w:pP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其他</w:t>
            </w:r>
          </w:p>
        </w:tc>
        <w:tc>
          <w:tcPr>
            <w:tcW w:w="3191" w:type="dxa"/>
            <w:tcBorders>
              <w:top w:val="single" w:sz="4" w:space="0" w:color="5B9BD4"/>
              <w:left w:val="nil" w:sz="6" w:space="0" w:color="auto"/>
              <w:bottom w:val="single" w:sz="4" w:space="0" w:color="5B9BD4"/>
              <w:right w:val="nil" w:sz="6" w:space="0" w:color="auto"/>
            </w:tcBorders>
          </w:tcPr>
          <w:p>
            <w:pP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37,499,648.51</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47,000,000.00</w:t>
            </w:r>
            <w:r>
              <w:rPr>
                <w:rFonts w:ascii="Arial"/>
                <w:sz w:val="18"/>
              </w:rPr>
            </w:r>
          </w:p>
        </w:tc>
      </w:tr>
      <w:tr>
        <w:trPr>
          <w:trHeight w:val="634"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201"/>
              <w:jc w:val="left"/>
              <w:rPr>
                <w:rFonts w:ascii="宋体" w:hAnsi="宋体" w:cs="宋体" w:eastAsia="宋体" w:hint="default"/>
                <w:sz w:val="18"/>
                <w:szCs w:val="18"/>
              </w:rPr>
            </w:pPr>
            <w:r>
              <w:rPr>
                <w:rFonts w:ascii="宋体" w:hAnsi="宋体" w:cs="宋体" w:eastAsia="宋体" w:hint="default"/>
                <w:sz w:val="18"/>
                <w:szCs w:val="18"/>
              </w:rPr>
              <w:t>存在公开报价的联营企业权益投资的 公允价值</w:t>
            </w:r>
          </w:p>
        </w:tc>
        <w:tc>
          <w:tcPr>
            <w:tcW w:w="3191" w:type="dxa"/>
            <w:tcBorders>
              <w:top w:val="single" w:sz="4" w:space="0" w:color="5B9BD4"/>
              <w:left w:val="nil" w:sz="6" w:space="0" w:color="auto"/>
              <w:bottom w:val="single" w:sz="4" w:space="0" w:color="5B9BD4"/>
              <w:right w:val="nil" w:sz="6" w:space="0" w:color="auto"/>
            </w:tcBorders>
          </w:tcPr>
          <w:p>
            <w:pP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84,843,508.77</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25,226,392.77</w:t>
            </w:r>
            <w:r>
              <w:rPr>
                <w:rFonts w:ascii="Arial"/>
                <w:sz w:val="18"/>
              </w:rPr>
            </w: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-23,291,717.79</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3,316,145.14</w:t>
            </w:r>
            <w:r>
              <w:rPr>
                <w:rFonts w:ascii="Arial"/>
                <w:sz w:val="18"/>
              </w:rPr>
            </w: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3191" w:type="dxa"/>
            <w:tcBorders>
              <w:top w:val="single" w:sz="4" w:space="0" w:color="5B9BD4"/>
              <w:left w:val="nil" w:sz="6" w:space="0" w:color="auto"/>
              <w:bottom w:val="single" w:sz="4" w:space="0" w:color="5B9BD4"/>
              <w:right w:val="nil" w:sz="6" w:space="0" w:color="auto"/>
            </w:tcBorders>
          </w:tcPr>
          <w:p>
            <w:pP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191" w:type="dxa"/>
            <w:tcBorders>
              <w:top w:val="single" w:sz="4" w:space="0" w:color="5B9BD4"/>
              <w:left w:val="nil" w:sz="6" w:space="0" w:color="auto"/>
              <w:bottom w:val="single" w:sz="4" w:space="0" w:color="5B9BD4"/>
              <w:right w:val="nil" w:sz="6" w:space="0" w:color="auto"/>
            </w:tcBorders>
          </w:tcPr>
          <w:p>
            <w:pP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-23,291,717.79</w:t>
            </w:r>
            <w:r>
              <w:rPr>
                <w:rFonts w:ascii="Arial"/>
                <w:sz w:val="18"/>
              </w:rPr>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3,316,145.14</w:t>
            </w:r>
            <w:r>
              <w:rPr>
                <w:rFonts w:ascii="Arial"/>
                <w:sz w:val="18"/>
              </w:rPr>
            </w:r>
          </w:p>
        </w:tc>
      </w:tr>
      <w:tr>
        <w:trPr>
          <w:trHeight w:val="323" w:hRule="exact"/>
        </w:trPr>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3191" w:type="dxa"/>
            <w:tcBorders>
              <w:top w:val="single" w:sz="4" w:space="0" w:color="5B9BD4"/>
              <w:left w:val="nil" w:sz="6" w:space="0" w:color="auto"/>
              <w:bottom w:val="single" w:sz="4" w:space="0" w:color="5B9BD4"/>
              <w:right w:val="nil" w:sz="6" w:space="0" w:color="auto"/>
            </w:tcBorders>
          </w:tcPr>
          <w:p>
            <w:pP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
        </w:tc>
      </w:tr>
    </w:tbl>
    <w:p>
      <w:pPr>
        <w:spacing w:after="0"/>
        <w:sectPr>
          <w:pgSz w:w="11910" w:h="16840"/>
          <w:pgMar w:header="877" w:footer="979" w:top="1100" w:bottom="1160" w:left="920" w:right="0"/>
        </w:sectPr>
      </w:pPr>
    </w:p>
    <w:p>
      <w:pPr>
        <w:spacing w:line="240" w:lineRule="auto" w:before="9"/>
        <w:rPr>
          <w:rFonts w:ascii="宋体" w:hAnsi="宋体" w:cs="宋体" w:eastAsia="宋体" w:hint="default"/>
          <w:sz w:val="19"/>
          <w:szCs w:val="19"/>
        </w:rPr>
      </w:pPr>
    </w:p>
    <w:p>
      <w:pPr>
        <w:pStyle w:val="Heading2"/>
        <w:spacing w:line="240" w:lineRule="auto" w:before="26"/>
        <w:ind w:left="213" w:right="1513"/>
        <w:jc w:val="left"/>
        <w:rPr>
          <w:rFonts w:ascii="宋体" w:hAnsi="宋体" w:cs="宋体" w:eastAsia="宋体" w:hint="default"/>
          <w:b w:val="0"/>
          <w:bCs w:val="0"/>
        </w:rPr>
      </w:pPr>
      <w:bookmarkStart w:name="十、公允价值的披露" w:id="392"/>
      <w:bookmarkEnd w:id="392"/>
      <w:r>
        <w:rPr>
          <w:b w:val="0"/>
          <w:bCs w:val="0"/>
        </w:rPr>
      </w:r>
      <w:bookmarkStart w:name="_bookmark83" w:id="393"/>
      <w:bookmarkEnd w:id="393"/>
      <w:r>
        <w:rPr>
          <w:b w:val="0"/>
          <w:bCs w:val="0"/>
        </w:rPr>
      </w:r>
      <w:r>
        <w:rPr>
          <w:rFonts w:ascii="宋体" w:hAnsi="宋体" w:cs="宋体" w:eastAsia="宋体" w:hint="default"/>
        </w:rPr>
        <w:t>十、公允价值的披露</w:t>
      </w:r>
      <w:r>
        <w:rPr>
          <w:rFonts w:ascii="宋体" w:hAnsi="宋体" w:cs="宋体" w:eastAsia="宋体" w:hint="default"/>
          <w:b w:val="0"/>
          <w:bCs w:val="0"/>
        </w:rPr>
      </w:r>
    </w:p>
    <w:p>
      <w:pPr>
        <w:spacing w:line="240" w:lineRule="auto" w:before="3"/>
        <w:rPr>
          <w:rFonts w:ascii="宋体" w:hAnsi="宋体" w:cs="宋体" w:eastAsia="宋体" w:hint="default"/>
          <w:b/>
          <w:bCs/>
          <w:sz w:val="24"/>
          <w:szCs w:val="24"/>
        </w:rPr>
      </w:pPr>
    </w:p>
    <w:p>
      <w:pPr>
        <w:pStyle w:val="Heading5"/>
        <w:spacing w:line="240" w:lineRule="auto" w:before="0"/>
        <w:ind w:right="1513"/>
        <w:jc w:val="left"/>
        <w:rPr>
          <w:b w:val="0"/>
          <w:bCs w:val="0"/>
        </w:rPr>
      </w:pPr>
      <w:bookmarkStart w:name="1、以公允价值计量的资产和负债的期末公允价值" w:id="394"/>
      <w:bookmarkEnd w:id="394"/>
      <w:r>
        <w:rPr>
          <w:b w:val="0"/>
          <w:bCs w:val="0"/>
        </w:rPr>
      </w:r>
      <w:r>
        <w:rPr>
          <w:rFonts w:ascii="Trebuchet MS" w:hAnsi="Trebuchet MS" w:cs="Trebuchet MS" w:eastAsia="Trebuchet MS" w:hint="default"/>
        </w:rPr>
        <w:t>1</w:t>
      </w:r>
      <w:r>
        <w:rPr/>
        <w:t>、以公允价值计量的资产和负债的期末公允价值</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995"/>
        <w:gridCol w:w="1836"/>
        <w:gridCol w:w="1914"/>
        <w:gridCol w:w="1913"/>
        <w:gridCol w:w="1913"/>
      </w:tblGrid>
      <w:tr>
        <w:trPr>
          <w:trHeight w:val="322" w:hRule="exact"/>
        </w:trPr>
        <w:tc>
          <w:tcPr>
            <w:tcW w:w="1995"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630" w:hRule="exact"/>
        </w:trPr>
        <w:tc>
          <w:tcPr>
            <w:tcW w:w="1995" w:type="dxa"/>
            <w:vMerge/>
            <w:tcBorders>
              <w:left w:val="nil" w:sz="6" w:space="0" w:color="auto"/>
              <w:bottom w:val="single" w:sz="4" w:space="0" w:color="5B9BD4"/>
              <w:right w:val="nil" w:sz="6" w:space="0" w:color="auto"/>
            </w:tcBorders>
            <w:shd w:val="clear" w:color="auto" w:fill="DEEAF6"/>
          </w:tcPr>
          <w:p>
            <w:pPr/>
          </w:p>
        </w:tc>
        <w:tc>
          <w:tcPr>
            <w:tcW w:w="18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7"/>
              <w:ind w:left="828" w:right="107"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7"/>
              <w:ind w:left="866" w:right="145" w:hanging="720"/>
              <w:jc w:val="left"/>
              <w:rPr>
                <w:rFonts w:ascii="宋体" w:hAnsi="宋体" w:cs="宋体" w:eastAsia="宋体" w:hint="default"/>
                <w:sz w:val="18"/>
                <w:szCs w:val="18"/>
              </w:rPr>
            </w:pPr>
            <w:r>
              <w:rPr>
                <w:rFonts w:ascii="宋体" w:hAnsi="宋体" w:cs="宋体" w:eastAsia="宋体" w:hint="default"/>
                <w:sz w:val="18"/>
                <w:szCs w:val="18"/>
              </w:rPr>
              <w:t>第二层次公允价值计 量</w:t>
            </w:r>
          </w:p>
        </w:tc>
        <w:tc>
          <w:tcPr>
            <w:tcW w:w="191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7"/>
              <w:ind w:left="866" w:right="144" w:hanging="720"/>
              <w:jc w:val="left"/>
              <w:rPr>
                <w:rFonts w:ascii="宋体" w:hAnsi="宋体" w:cs="宋体" w:eastAsia="宋体" w:hint="default"/>
                <w:sz w:val="18"/>
                <w:szCs w:val="18"/>
              </w:rPr>
            </w:pPr>
            <w:r>
              <w:rPr>
                <w:rFonts w:ascii="宋体" w:hAnsi="宋体" w:cs="宋体" w:eastAsia="宋体" w:hint="default"/>
                <w:sz w:val="18"/>
                <w:szCs w:val="18"/>
              </w:rPr>
              <w:t>第三层次公允价值计 量</w:t>
            </w:r>
          </w:p>
        </w:tc>
        <w:tc>
          <w:tcPr>
            <w:tcW w:w="191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638" w:hRule="exact"/>
        </w:trPr>
        <w:tc>
          <w:tcPr>
            <w:tcW w:w="19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10"/>
              <w:ind w:left="108" w:right="106"/>
              <w:jc w:val="left"/>
              <w:rPr>
                <w:rFonts w:ascii="宋体" w:hAnsi="宋体" w:cs="宋体" w:eastAsia="宋体" w:hint="default"/>
                <w:sz w:val="18"/>
                <w:szCs w:val="18"/>
              </w:rPr>
            </w:pPr>
            <w:r>
              <w:rPr>
                <w:rFonts w:ascii="宋体" w:hAnsi="宋体" w:cs="宋体" w:eastAsia="宋体" w:hint="default"/>
                <w:spacing w:val="-3"/>
                <w:sz w:val="18"/>
                <w:szCs w:val="18"/>
              </w:rPr>
              <w:t>一、持续的公允价值计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量</w:t>
            </w:r>
          </w:p>
        </w:tc>
        <w:tc>
          <w:tcPr>
            <w:tcW w:w="1836" w:type="dxa"/>
            <w:tcBorders>
              <w:top w:val="single" w:sz="4" w:space="0" w:color="5B9BD4"/>
              <w:left w:val="nil" w:sz="6" w:space="0" w:color="auto"/>
              <w:bottom w:val="single" w:sz="4" w:space="0" w:color="5B9BD4"/>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18"/>
                <w:szCs w:val="18"/>
              </w:rPr>
            </w:pPr>
            <w:r>
              <w:rPr>
                <w:rFonts w:ascii="Arial"/>
                <w:w w:val="95"/>
                <w:sz w:val="18"/>
              </w:rPr>
              <w:t>--</w:t>
            </w:r>
            <w:r>
              <w:rPr>
                <w:rFonts w:ascii="Arial"/>
                <w:sz w:val="18"/>
              </w:rPr>
            </w:r>
          </w:p>
        </w:tc>
        <w:tc>
          <w:tcPr>
            <w:tcW w:w="1913" w:type="dxa"/>
            <w:tcBorders>
              <w:top w:val="single" w:sz="4" w:space="0" w:color="5B9BD4"/>
              <w:left w:val="nil" w:sz="6" w:space="0" w:color="auto"/>
              <w:bottom w:val="single" w:sz="4" w:space="0" w:color="5B9BD4"/>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18"/>
                <w:szCs w:val="18"/>
              </w:rPr>
            </w:pPr>
            <w:r>
              <w:rPr>
                <w:rFonts w:ascii="Arial"/>
                <w:w w:val="95"/>
                <w:sz w:val="18"/>
              </w:rPr>
              <w:t>--</w:t>
            </w:r>
            <w:r>
              <w:rPr>
                <w:rFonts w:ascii="Arial"/>
                <w:sz w:val="18"/>
              </w:rPr>
            </w:r>
          </w:p>
        </w:tc>
        <w:tc>
          <w:tcPr>
            <w:tcW w:w="191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18"/>
                <w:szCs w:val="18"/>
              </w:rPr>
            </w:pPr>
            <w:r>
              <w:rPr>
                <w:rFonts w:ascii="Arial"/>
                <w:w w:val="95"/>
                <w:sz w:val="18"/>
              </w:rPr>
              <w:t>--</w:t>
            </w:r>
            <w:r>
              <w:rPr>
                <w:rFonts w:ascii="Arial"/>
                <w:sz w:val="18"/>
              </w:rPr>
            </w:r>
          </w:p>
        </w:tc>
      </w:tr>
      <w:tr>
        <w:trPr>
          <w:trHeight w:val="946" w:hRule="exact"/>
        </w:trPr>
        <w:tc>
          <w:tcPr>
            <w:tcW w:w="19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06"/>
              <w:jc w:val="left"/>
              <w:rPr>
                <w:rFonts w:ascii="宋体" w:hAnsi="宋体" w:cs="宋体" w:eastAsia="宋体" w:hint="default"/>
                <w:sz w:val="18"/>
                <w:szCs w:val="18"/>
              </w:rPr>
            </w:pPr>
            <w:r>
              <w:rPr>
                <w:rFonts w:ascii="宋体" w:hAnsi="宋体" w:cs="宋体" w:eastAsia="宋体" w:hint="default"/>
                <w:spacing w:val="-3"/>
                <w:sz w:val="18"/>
                <w:szCs w:val="18"/>
              </w:rPr>
              <w:t>（一）以公允价值计量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且变动计入当期损益 的金融资产</w:t>
            </w:r>
          </w:p>
        </w:tc>
        <w:tc>
          <w:tcPr>
            <w:tcW w:w="1836"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4"/>
              <w:jc w:val="right"/>
              <w:rPr>
                <w:rFonts w:ascii="Arial" w:hAnsi="Arial" w:cs="Arial" w:eastAsia="Arial" w:hint="default"/>
                <w:sz w:val="18"/>
                <w:szCs w:val="18"/>
              </w:rPr>
            </w:pPr>
            <w:r>
              <w:rPr>
                <w:rFonts w:ascii="Arial"/>
                <w:w w:val="95"/>
                <w:sz w:val="18"/>
              </w:rPr>
              <w:t>30,565,784.60</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
        </w:tc>
        <w:tc>
          <w:tcPr>
            <w:tcW w:w="1913" w:type="dxa"/>
            <w:tcBorders>
              <w:top w:val="single" w:sz="4" w:space="0" w:color="5B9BD4"/>
              <w:left w:val="nil" w:sz="6" w:space="0" w:color="auto"/>
              <w:bottom w:val="single" w:sz="4" w:space="0" w:color="5B9BD4"/>
              <w:right w:val="nil" w:sz="6" w:space="0" w:color="auto"/>
            </w:tcBorders>
          </w:tcPr>
          <w:p>
            <w:pPr/>
          </w:p>
        </w:tc>
        <w:tc>
          <w:tcPr>
            <w:tcW w:w="191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5"/>
              <w:jc w:val="right"/>
              <w:rPr>
                <w:rFonts w:ascii="Arial" w:hAnsi="Arial" w:cs="Arial" w:eastAsia="Arial" w:hint="default"/>
                <w:sz w:val="18"/>
                <w:szCs w:val="18"/>
              </w:rPr>
            </w:pPr>
            <w:r>
              <w:rPr>
                <w:rFonts w:ascii="Arial"/>
                <w:w w:val="95"/>
                <w:sz w:val="18"/>
              </w:rPr>
              <w:t>30,565,784.60</w:t>
            </w:r>
            <w:r>
              <w:rPr>
                <w:rFonts w:ascii="Arial"/>
                <w:sz w:val="18"/>
              </w:rPr>
            </w:r>
          </w:p>
        </w:tc>
      </w:tr>
      <w:tr>
        <w:trPr>
          <w:trHeight w:val="322" w:hRule="exact"/>
        </w:trPr>
        <w:tc>
          <w:tcPr>
            <w:tcW w:w="19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交易性金融资产</w:t>
            </w:r>
          </w:p>
        </w:tc>
        <w:tc>
          <w:tcPr>
            <w:tcW w:w="1836" w:type="dxa"/>
            <w:tcBorders>
              <w:top w:val="single" w:sz="4" w:space="0" w:color="5B9BD4"/>
              <w:left w:val="nil" w:sz="6" w:space="0" w:color="auto"/>
              <w:bottom w:val="single" w:sz="4" w:space="0" w:color="5B9BD4"/>
              <w:right w:val="nil" w:sz="6" w:space="0" w:color="auto"/>
            </w:tcBorders>
          </w:tcPr>
          <w:p>
            <w:pP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
        </w:tc>
        <w:tc>
          <w:tcPr>
            <w:tcW w:w="1913" w:type="dxa"/>
            <w:tcBorders>
              <w:top w:val="single" w:sz="4" w:space="0" w:color="5B9BD4"/>
              <w:left w:val="nil" w:sz="6" w:space="0" w:color="auto"/>
              <w:bottom w:val="single" w:sz="4" w:space="0" w:color="5B9BD4"/>
              <w:right w:val="nil" w:sz="6" w:space="0" w:color="auto"/>
            </w:tcBorders>
          </w:tcPr>
          <w:p>
            <w:pPr/>
          </w:p>
        </w:tc>
        <w:tc>
          <w:tcPr>
            <w:tcW w:w="1913"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946" w:hRule="exact"/>
        </w:trPr>
        <w:tc>
          <w:tcPr>
            <w:tcW w:w="19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9" w:lineRule="auto" w:before="5"/>
              <w:ind w:left="108" w:right="114"/>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指定以公允价值计量 且其变动计入当期损 益的金融资产</w:t>
            </w:r>
          </w:p>
        </w:tc>
        <w:tc>
          <w:tcPr>
            <w:tcW w:w="1836"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4"/>
              <w:jc w:val="right"/>
              <w:rPr>
                <w:rFonts w:ascii="Arial" w:hAnsi="Arial" w:cs="Arial" w:eastAsia="Arial" w:hint="default"/>
                <w:sz w:val="18"/>
                <w:szCs w:val="18"/>
              </w:rPr>
            </w:pPr>
            <w:r>
              <w:rPr>
                <w:rFonts w:ascii="Arial"/>
                <w:w w:val="95"/>
                <w:sz w:val="18"/>
              </w:rPr>
              <w:t>30,565,784.60</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
        </w:tc>
        <w:tc>
          <w:tcPr>
            <w:tcW w:w="1913" w:type="dxa"/>
            <w:tcBorders>
              <w:top w:val="single" w:sz="4" w:space="0" w:color="5B9BD4"/>
              <w:left w:val="nil" w:sz="6" w:space="0" w:color="auto"/>
              <w:bottom w:val="single" w:sz="4" w:space="0" w:color="5B9BD4"/>
              <w:right w:val="nil" w:sz="6" w:space="0" w:color="auto"/>
            </w:tcBorders>
          </w:tcPr>
          <w:p>
            <w:pPr/>
          </w:p>
        </w:tc>
        <w:tc>
          <w:tcPr>
            <w:tcW w:w="191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5"/>
              <w:jc w:val="right"/>
              <w:rPr>
                <w:rFonts w:ascii="Arial" w:hAnsi="Arial" w:cs="Arial" w:eastAsia="Arial" w:hint="default"/>
                <w:sz w:val="18"/>
                <w:szCs w:val="18"/>
              </w:rPr>
            </w:pPr>
            <w:r>
              <w:rPr>
                <w:rFonts w:ascii="Arial"/>
                <w:w w:val="95"/>
                <w:sz w:val="18"/>
              </w:rPr>
              <w:t>30,565,784.60</w:t>
            </w:r>
            <w:r>
              <w:rPr>
                <w:rFonts w:ascii="Arial"/>
                <w:sz w:val="18"/>
              </w:rPr>
            </w:r>
          </w:p>
        </w:tc>
      </w:tr>
      <w:tr>
        <w:trPr>
          <w:trHeight w:val="322" w:hRule="exact"/>
        </w:trPr>
        <w:tc>
          <w:tcPr>
            <w:tcW w:w="19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）债务工具投资</w:t>
            </w:r>
          </w:p>
        </w:tc>
        <w:tc>
          <w:tcPr>
            <w:tcW w:w="1836" w:type="dxa"/>
            <w:tcBorders>
              <w:top w:val="single" w:sz="4" w:space="0" w:color="5B9BD4"/>
              <w:left w:val="nil" w:sz="6" w:space="0" w:color="auto"/>
              <w:bottom w:val="single" w:sz="4" w:space="0" w:color="5B9BD4"/>
              <w:right w:val="nil" w:sz="6" w:space="0" w:color="auto"/>
            </w:tcBorders>
          </w:tcPr>
          <w:p>
            <w:pP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
        </w:tc>
        <w:tc>
          <w:tcPr>
            <w:tcW w:w="1913" w:type="dxa"/>
            <w:tcBorders>
              <w:top w:val="single" w:sz="4" w:space="0" w:color="5B9BD4"/>
              <w:left w:val="nil" w:sz="6" w:space="0" w:color="auto"/>
              <w:bottom w:val="single" w:sz="4" w:space="0" w:color="5B9BD4"/>
              <w:right w:val="nil" w:sz="6" w:space="0" w:color="auto"/>
            </w:tcBorders>
          </w:tcPr>
          <w:p>
            <w:pPr/>
          </w:p>
        </w:tc>
        <w:tc>
          <w:tcPr>
            <w:tcW w:w="1913"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19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w:t>
            </w:r>
            <w:r>
              <w:rPr>
                <w:rFonts w:ascii="宋体" w:hAnsi="宋体" w:cs="宋体" w:eastAsia="宋体" w:hint="default"/>
                <w:sz w:val="18"/>
                <w:szCs w:val="18"/>
              </w:rPr>
              <w:t>）权益工具投资</w:t>
            </w:r>
          </w:p>
        </w:tc>
        <w:tc>
          <w:tcPr>
            <w:tcW w:w="183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30,565,784.60</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
        </w:tc>
        <w:tc>
          <w:tcPr>
            <w:tcW w:w="1913" w:type="dxa"/>
            <w:tcBorders>
              <w:top w:val="single" w:sz="4" w:space="0" w:color="5B9BD4"/>
              <w:left w:val="nil" w:sz="6" w:space="0" w:color="auto"/>
              <w:bottom w:val="single" w:sz="4" w:space="0" w:color="5B9BD4"/>
              <w:right w:val="nil" w:sz="6" w:space="0" w:color="auto"/>
            </w:tcBorders>
          </w:tcPr>
          <w:p>
            <w:pPr/>
          </w:p>
        </w:tc>
        <w:tc>
          <w:tcPr>
            <w:tcW w:w="191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30,565,784.60</w:t>
            </w:r>
            <w:r>
              <w:rPr>
                <w:rFonts w:ascii="Arial"/>
                <w:sz w:val="18"/>
              </w:rPr>
            </w:r>
          </w:p>
        </w:tc>
      </w:tr>
      <w:tr>
        <w:trPr>
          <w:trHeight w:val="634" w:hRule="exact"/>
        </w:trPr>
        <w:tc>
          <w:tcPr>
            <w:tcW w:w="19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06"/>
              <w:jc w:val="left"/>
              <w:rPr>
                <w:rFonts w:ascii="宋体" w:hAnsi="宋体" w:cs="宋体" w:eastAsia="宋体" w:hint="default"/>
                <w:sz w:val="18"/>
                <w:szCs w:val="18"/>
              </w:rPr>
            </w:pPr>
            <w:r>
              <w:rPr>
                <w:rFonts w:ascii="宋体" w:hAnsi="宋体" w:cs="宋体" w:eastAsia="宋体" w:hint="default"/>
                <w:spacing w:val="-3"/>
                <w:sz w:val="18"/>
                <w:szCs w:val="18"/>
              </w:rPr>
              <w:t>（二）可供出售金融资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产</w:t>
            </w:r>
          </w:p>
        </w:tc>
        <w:tc>
          <w:tcPr>
            <w:tcW w:w="1836"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380,771,010.00</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
        </w:tc>
        <w:tc>
          <w:tcPr>
            <w:tcW w:w="1913" w:type="dxa"/>
            <w:tcBorders>
              <w:top w:val="single" w:sz="4" w:space="0" w:color="5B9BD4"/>
              <w:left w:val="nil" w:sz="6" w:space="0" w:color="auto"/>
              <w:bottom w:val="single" w:sz="4" w:space="0" w:color="5B9BD4"/>
              <w:right w:val="nil" w:sz="6" w:space="0" w:color="auto"/>
            </w:tcBorders>
          </w:tcPr>
          <w:p>
            <w:pPr/>
          </w:p>
        </w:tc>
        <w:tc>
          <w:tcPr>
            <w:tcW w:w="191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380,771,010.00</w:t>
            </w:r>
            <w:r>
              <w:rPr>
                <w:rFonts w:ascii="Arial"/>
                <w:sz w:val="18"/>
              </w:rPr>
            </w:r>
          </w:p>
        </w:tc>
      </w:tr>
      <w:tr>
        <w:trPr>
          <w:trHeight w:val="323" w:hRule="exact"/>
        </w:trPr>
        <w:tc>
          <w:tcPr>
            <w:tcW w:w="19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）债务工具投资</w:t>
            </w:r>
          </w:p>
        </w:tc>
        <w:tc>
          <w:tcPr>
            <w:tcW w:w="1836" w:type="dxa"/>
            <w:tcBorders>
              <w:top w:val="single" w:sz="4" w:space="0" w:color="5B9BD4"/>
              <w:left w:val="nil" w:sz="6" w:space="0" w:color="auto"/>
              <w:bottom w:val="single" w:sz="4" w:space="0" w:color="5B9BD4"/>
              <w:right w:val="nil" w:sz="6" w:space="0" w:color="auto"/>
            </w:tcBorders>
          </w:tcPr>
          <w:p>
            <w:pP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
        </w:tc>
        <w:tc>
          <w:tcPr>
            <w:tcW w:w="1913" w:type="dxa"/>
            <w:tcBorders>
              <w:top w:val="single" w:sz="4" w:space="0" w:color="5B9BD4"/>
              <w:left w:val="nil" w:sz="6" w:space="0" w:color="auto"/>
              <w:bottom w:val="single" w:sz="4" w:space="0" w:color="5B9BD4"/>
              <w:right w:val="nil" w:sz="6" w:space="0" w:color="auto"/>
            </w:tcBorders>
          </w:tcPr>
          <w:p>
            <w:pPr/>
          </w:p>
        </w:tc>
        <w:tc>
          <w:tcPr>
            <w:tcW w:w="1913"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19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w:t>
            </w:r>
            <w:r>
              <w:rPr>
                <w:rFonts w:ascii="宋体" w:hAnsi="宋体" w:cs="宋体" w:eastAsia="宋体" w:hint="default"/>
                <w:sz w:val="18"/>
                <w:szCs w:val="18"/>
              </w:rPr>
              <w:t>）权益工具投资</w:t>
            </w:r>
          </w:p>
        </w:tc>
        <w:tc>
          <w:tcPr>
            <w:tcW w:w="183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380,771,010.00</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
        </w:tc>
        <w:tc>
          <w:tcPr>
            <w:tcW w:w="1913" w:type="dxa"/>
            <w:tcBorders>
              <w:top w:val="single" w:sz="4" w:space="0" w:color="5B9BD4"/>
              <w:left w:val="nil" w:sz="6" w:space="0" w:color="auto"/>
              <w:bottom w:val="single" w:sz="4" w:space="0" w:color="5B9BD4"/>
              <w:right w:val="nil" w:sz="6" w:space="0" w:color="auto"/>
            </w:tcBorders>
          </w:tcPr>
          <w:p>
            <w:pPr/>
          </w:p>
        </w:tc>
        <w:tc>
          <w:tcPr>
            <w:tcW w:w="191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380,771,010.00</w:t>
            </w:r>
            <w:r>
              <w:rPr>
                <w:rFonts w:ascii="Arial"/>
                <w:sz w:val="18"/>
              </w:rPr>
            </w:r>
          </w:p>
        </w:tc>
      </w:tr>
      <w:tr>
        <w:trPr>
          <w:trHeight w:val="634" w:hRule="exact"/>
        </w:trPr>
        <w:tc>
          <w:tcPr>
            <w:tcW w:w="19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264"/>
              <w:jc w:val="left"/>
              <w:rPr>
                <w:rFonts w:ascii="宋体" w:hAnsi="宋体" w:cs="宋体" w:eastAsia="宋体" w:hint="default"/>
                <w:sz w:val="18"/>
                <w:szCs w:val="18"/>
              </w:rPr>
            </w:pPr>
            <w:r>
              <w:rPr>
                <w:rFonts w:ascii="宋体" w:hAnsi="宋体" w:cs="宋体" w:eastAsia="宋体" w:hint="default"/>
                <w:sz w:val="18"/>
                <w:szCs w:val="18"/>
              </w:rPr>
              <w:t>持续以公允价值计量 的资产总额</w:t>
            </w:r>
          </w:p>
        </w:tc>
        <w:tc>
          <w:tcPr>
            <w:tcW w:w="1836"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Trebuchet MS" w:hAnsi="Trebuchet MS" w:cs="Trebuchet MS" w:eastAsia="Trebuchet MS" w:hint="default"/>
                <w:sz w:val="18"/>
                <w:szCs w:val="18"/>
              </w:rPr>
            </w:pPr>
            <w:r>
              <w:rPr>
                <w:rFonts w:ascii="Trebuchet MS"/>
                <w:b/>
                <w:w w:val="90"/>
                <w:sz w:val="18"/>
              </w:rPr>
              <w:t>411,336,794.60</w:t>
            </w:r>
            <w:r>
              <w:rPr>
                <w:rFonts w:ascii="Trebuchet MS"/>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
        </w:tc>
        <w:tc>
          <w:tcPr>
            <w:tcW w:w="1913" w:type="dxa"/>
            <w:tcBorders>
              <w:top w:val="single" w:sz="4" w:space="0" w:color="5B9BD4"/>
              <w:left w:val="nil" w:sz="6" w:space="0" w:color="auto"/>
              <w:bottom w:val="single" w:sz="4" w:space="0" w:color="5B9BD4"/>
              <w:right w:val="nil" w:sz="6" w:space="0" w:color="auto"/>
            </w:tcBorders>
          </w:tcPr>
          <w:p>
            <w:pPr/>
          </w:p>
        </w:tc>
        <w:tc>
          <w:tcPr>
            <w:tcW w:w="191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Trebuchet MS" w:hAnsi="Trebuchet MS" w:cs="Trebuchet MS" w:eastAsia="Trebuchet MS" w:hint="default"/>
                <w:sz w:val="18"/>
                <w:szCs w:val="18"/>
              </w:rPr>
            </w:pPr>
            <w:r>
              <w:rPr>
                <w:rFonts w:ascii="Trebuchet MS"/>
                <w:b/>
                <w:w w:val="90"/>
                <w:sz w:val="18"/>
              </w:rPr>
              <w:t>411,336,794.60</w:t>
            </w:r>
            <w:r>
              <w:rPr>
                <w:rFonts w:ascii="Trebuchet MS"/>
                <w:sz w:val="18"/>
              </w:rPr>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2、持续和非持续第一层次公允价值计量项目市价的确定依据" w:id="395"/>
      <w:bookmarkEnd w:id="395"/>
      <w:r>
        <w:rPr>
          <w:b w:val="0"/>
          <w:bCs w:val="0"/>
        </w:rPr>
      </w:r>
      <w:r>
        <w:rPr>
          <w:rFonts w:ascii="Trebuchet MS" w:hAnsi="Trebuchet MS" w:cs="Trebuchet MS" w:eastAsia="Trebuchet MS"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30"/>
          <w:szCs w:val="30"/>
        </w:rPr>
      </w:pPr>
    </w:p>
    <w:p>
      <w:pPr>
        <w:pStyle w:val="BodyText"/>
        <w:spacing w:line="398" w:lineRule="auto"/>
        <w:ind w:left="214" w:right="1132" w:firstLine="420"/>
        <w:jc w:val="both"/>
      </w:pPr>
      <w:r>
        <w:rPr>
          <w:spacing w:val="-1"/>
        </w:rPr>
        <w:t>对于持续的第一层次公允价值计量，指定为以公允价值计量且其变动计入当期损益的金融资产是根据</w:t>
      </w:r>
      <w:r>
        <w:rPr/>
        <w:t> 深圳证券交易所公开市场上市股票</w:t>
      </w:r>
      <w:r>
        <w:rPr>
          <w:rFonts w:ascii="Arial" w:hAnsi="Arial" w:cs="Arial" w:eastAsia="Arial" w:hint="default"/>
        </w:rPr>
        <w:t>2015</w:t>
      </w:r>
      <w:r>
        <w:rPr/>
        <w:t>年</w:t>
      </w:r>
      <w:r>
        <w:rPr>
          <w:rFonts w:ascii="Arial" w:hAnsi="Arial" w:cs="Arial" w:eastAsia="Arial" w:hint="default"/>
        </w:rPr>
        <w:t>12</w:t>
      </w:r>
      <w:r>
        <w:rPr/>
        <w:t>月</w:t>
      </w:r>
      <w:r>
        <w:rPr>
          <w:rFonts w:ascii="Arial" w:hAnsi="Arial" w:cs="Arial" w:eastAsia="Arial" w:hint="default"/>
        </w:rPr>
        <w:t>31</w:t>
      </w:r>
      <w:r>
        <w:rPr/>
        <w:t>日收盘价作为市价依据，可供出售金融资产是根据香港</w:t>
      </w:r>
      <w:r>
        <w:rPr>
          <w:spacing w:val="-27"/>
        </w:rPr>
        <w:t> </w:t>
      </w:r>
      <w:r>
        <w:rPr>
          <w:spacing w:val="-27"/>
        </w:rPr>
      </w:r>
      <w:r>
        <w:rPr/>
        <w:t>联合交易所公开市场上市股票</w:t>
      </w:r>
      <w:r>
        <w:rPr>
          <w:rFonts w:ascii="Arial" w:hAnsi="Arial" w:cs="Arial" w:eastAsia="Arial" w:hint="default"/>
        </w:rPr>
        <w:t>2015</w:t>
      </w:r>
      <w:r>
        <w:rPr/>
        <w:t>年</w:t>
      </w:r>
      <w:r>
        <w:rPr>
          <w:rFonts w:ascii="Arial" w:hAnsi="Arial" w:cs="Arial" w:eastAsia="Arial" w:hint="default"/>
        </w:rPr>
        <w:t>12</w:t>
      </w:r>
      <w:r>
        <w:rPr/>
        <w:t>月</w:t>
      </w:r>
      <w:r>
        <w:rPr>
          <w:rFonts w:ascii="Arial" w:hAnsi="Arial" w:cs="Arial" w:eastAsia="Arial" w:hint="default"/>
        </w:rPr>
        <w:t>31</w:t>
      </w:r>
      <w:r>
        <w:rPr/>
        <w:t>日收盘价作为市价依据。</w:t>
      </w:r>
    </w:p>
    <w:p>
      <w:pPr>
        <w:pStyle w:val="Heading2"/>
        <w:spacing w:line="240" w:lineRule="auto" w:before="84"/>
        <w:ind w:left="214" w:right="1513"/>
        <w:jc w:val="left"/>
        <w:rPr>
          <w:rFonts w:ascii="宋体" w:hAnsi="宋体" w:cs="宋体" w:eastAsia="宋体" w:hint="default"/>
          <w:b w:val="0"/>
          <w:bCs w:val="0"/>
        </w:rPr>
      </w:pPr>
      <w:bookmarkStart w:name="十一、关联方及关联交易" w:id="396"/>
      <w:bookmarkEnd w:id="396"/>
      <w:r>
        <w:rPr>
          <w:b w:val="0"/>
          <w:bCs w:val="0"/>
        </w:rPr>
      </w:r>
      <w:bookmarkStart w:name="_bookmark84" w:id="397"/>
      <w:bookmarkEnd w:id="397"/>
      <w:r>
        <w:rPr>
          <w:b w:val="0"/>
          <w:bCs w:val="0"/>
        </w:rPr>
      </w:r>
      <w:r>
        <w:rPr>
          <w:rFonts w:ascii="宋体" w:hAnsi="宋体" w:cs="宋体" w:eastAsia="宋体" w:hint="default"/>
        </w:rPr>
        <w:t>十一、关联方及关联交易</w:t>
      </w:r>
      <w:r>
        <w:rPr>
          <w:rFonts w:ascii="宋体" w:hAnsi="宋体" w:cs="宋体" w:eastAsia="宋体" w:hint="default"/>
          <w:b w:val="0"/>
          <w:bCs w:val="0"/>
        </w:rPr>
      </w:r>
    </w:p>
    <w:p>
      <w:pPr>
        <w:spacing w:line="240" w:lineRule="auto" w:before="3"/>
        <w:rPr>
          <w:rFonts w:ascii="宋体" w:hAnsi="宋体" w:cs="宋体" w:eastAsia="宋体" w:hint="default"/>
          <w:b/>
          <w:bCs/>
          <w:sz w:val="24"/>
          <w:szCs w:val="24"/>
        </w:rPr>
      </w:pPr>
    </w:p>
    <w:p>
      <w:pPr>
        <w:pStyle w:val="Heading5"/>
        <w:spacing w:line="240" w:lineRule="auto" w:before="0"/>
        <w:ind w:right="1513"/>
        <w:jc w:val="left"/>
        <w:rPr>
          <w:b w:val="0"/>
          <w:bCs w:val="0"/>
        </w:rPr>
      </w:pPr>
      <w:bookmarkStart w:name="1、本企业的母公司情况" w:id="398"/>
      <w:bookmarkEnd w:id="398"/>
      <w:r>
        <w:rPr>
          <w:b w:val="0"/>
          <w:bCs w:val="0"/>
        </w:rPr>
      </w:r>
      <w:r>
        <w:rPr>
          <w:rFonts w:ascii="Trebuchet MS" w:hAnsi="Trebuchet MS" w:cs="Trebuchet MS" w:eastAsia="Trebuchet MS" w:hint="default"/>
        </w:rPr>
        <w:t>1</w:t>
      </w:r>
      <w:r>
        <w:rPr/>
        <w:t>、本企业的母公司情况</w:t>
      </w:r>
      <w:r>
        <w:rPr>
          <w:b w:val="0"/>
          <w:bCs w:val="0"/>
        </w:rPr>
      </w:r>
    </w:p>
    <w:p>
      <w:pPr>
        <w:spacing w:line="240" w:lineRule="auto" w:before="13"/>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1595"/>
        <w:gridCol w:w="1595"/>
        <w:gridCol w:w="1594"/>
        <w:gridCol w:w="1594"/>
        <w:gridCol w:w="1594"/>
        <w:gridCol w:w="1596"/>
      </w:tblGrid>
      <w:tr>
        <w:trPr>
          <w:trHeight w:val="629" w:hRule="exact"/>
        </w:trPr>
        <w:tc>
          <w:tcPr>
            <w:tcW w:w="15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left="346"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left="52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left="435"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left="43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346" w:right="165" w:hanging="180"/>
              <w:jc w:val="left"/>
              <w:rPr>
                <w:rFonts w:ascii="宋体" w:hAnsi="宋体" w:cs="宋体" w:eastAsia="宋体" w:hint="default"/>
                <w:sz w:val="18"/>
                <w:szCs w:val="18"/>
              </w:rPr>
            </w:pPr>
            <w:r>
              <w:rPr>
                <w:rFonts w:ascii="宋体" w:hAnsi="宋体" w:cs="宋体" w:eastAsia="宋体" w:hint="default"/>
                <w:sz w:val="18"/>
                <w:szCs w:val="18"/>
              </w:rPr>
              <w:t>母公司对本企业 的持股比例</w:t>
            </w:r>
          </w:p>
        </w:tc>
        <w:tc>
          <w:tcPr>
            <w:tcW w:w="159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256" w:right="167" w:hanging="90"/>
              <w:jc w:val="left"/>
              <w:rPr>
                <w:rFonts w:ascii="宋体" w:hAnsi="宋体" w:cs="宋体" w:eastAsia="宋体" w:hint="default"/>
                <w:sz w:val="18"/>
                <w:szCs w:val="18"/>
              </w:rPr>
            </w:pPr>
            <w:r>
              <w:rPr>
                <w:rFonts w:ascii="宋体" w:hAnsi="宋体" w:cs="宋体" w:eastAsia="宋体" w:hint="default"/>
                <w:sz w:val="18"/>
                <w:szCs w:val="18"/>
              </w:rPr>
              <w:t>母公司对本企业 的表决权比例</w:t>
            </w:r>
          </w:p>
        </w:tc>
      </w:tr>
      <w:tr>
        <w:trPr>
          <w:trHeight w:val="639" w:hRule="exact"/>
        </w:trPr>
        <w:tc>
          <w:tcPr>
            <w:tcW w:w="15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10"/>
              <w:ind w:left="108" w:right="225"/>
              <w:jc w:val="left"/>
              <w:rPr>
                <w:rFonts w:ascii="宋体" w:hAnsi="宋体" w:cs="宋体" w:eastAsia="宋体" w:hint="default"/>
                <w:sz w:val="18"/>
                <w:szCs w:val="18"/>
              </w:rPr>
            </w:pPr>
            <w:r>
              <w:rPr>
                <w:rFonts w:ascii="宋体" w:hAnsi="宋体" w:cs="宋体" w:eastAsia="宋体" w:hint="default"/>
                <w:sz w:val="18"/>
                <w:szCs w:val="18"/>
              </w:rPr>
              <w:t>深圳市神州通投 资集团有限公司</w:t>
            </w:r>
          </w:p>
        </w:tc>
        <w:tc>
          <w:tcPr>
            <w:tcW w:w="1595" w:type="dxa"/>
            <w:tcBorders>
              <w:top w:val="single" w:sz="4" w:space="0" w:color="5B9BD4"/>
              <w:left w:val="nil" w:sz="6" w:space="0" w:color="auto"/>
              <w:bottom w:val="single" w:sz="4" w:space="0" w:color="5B9BD4"/>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深圳</w:t>
            </w: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实业投资</w:t>
            </w:r>
          </w:p>
        </w:tc>
        <w:tc>
          <w:tcPr>
            <w:tcW w:w="1594" w:type="dxa"/>
            <w:tcBorders>
              <w:top w:val="single" w:sz="4" w:space="0" w:color="5B9BD4"/>
              <w:left w:val="nil" w:sz="6" w:space="0" w:color="auto"/>
              <w:bottom w:val="single" w:sz="4" w:space="0" w:color="5B9BD4"/>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7"/>
              <w:jc w:val="right"/>
              <w:rPr>
                <w:rFonts w:ascii="宋体" w:hAnsi="宋体" w:cs="宋体" w:eastAsia="宋体" w:hint="default"/>
                <w:sz w:val="18"/>
                <w:szCs w:val="18"/>
              </w:rPr>
            </w:pPr>
            <w:r>
              <w:rPr>
                <w:rFonts w:ascii="Arial" w:hAnsi="Arial" w:cs="Arial" w:eastAsia="Arial" w:hint="default"/>
                <w:sz w:val="18"/>
                <w:szCs w:val="18"/>
              </w:rPr>
              <w:t>20,000</w:t>
            </w:r>
            <w:r>
              <w:rPr>
                <w:rFonts w:ascii="Arial" w:hAnsi="Arial" w:cs="Arial" w:eastAsia="Arial" w:hint="default"/>
                <w:spacing w:val="-9"/>
                <w:sz w:val="18"/>
                <w:szCs w:val="18"/>
              </w:rPr>
              <w:t> </w:t>
            </w:r>
            <w:r>
              <w:rPr>
                <w:rFonts w:ascii="宋体" w:hAnsi="宋体" w:cs="宋体" w:eastAsia="宋体" w:hint="default"/>
                <w:sz w:val="18"/>
                <w:szCs w:val="18"/>
              </w:rPr>
              <w:t>万元</w:t>
            </w: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56.00%</w:t>
            </w:r>
            <w:r>
              <w:rPr>
                <w:rFonts w:ascii="Arial"/>
                <w:sz w:val="18"/>
              </w:rPr>
            </w:r>
          </w:p>
        </w:tc>
        <w:tc>
          <w:tcPr>
            <w:tcW w:w="1596" w:type="dxa"/>
            <w:tcBorders>
              <w:top w:val="single" w:sz="4" w:space="0" w:color="5B9BD4"/>
              <w:left w:val="nil" w:sz="6" w:space="0" w:color="auto"/>
              <w:bottom w:val="single" w:sz="4" w:space="0" w:color="5B9BD4"/>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56.00%</w:t>
            </w:r>
            <w:r>
              <w:rPr>
                <w:rFonts w:ascii="Arial"/>
                <w:sz w:val="18"/>
              </w:rPr>
            </w:r>
          </w:p>
        </w:tc>
      </w:tr>
      <w:tr>
        <w:trPr>
          <w:trHeight w:val="634" w:hRule="exact"/>
        </w:trPr>
        <w:tc>
          <w:tcPr>
            <w:tcW w:w="15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225"/>
              <w:jc w:val="left"/>
              <w:rPr>
                <w:rFonts w:ascii="宋体" w:hAnsi="宋体" w:cs="宋体" w:eastAsia="宋体" w:hint="default"/>
                <w:sz w:val="18"/>
                <w:szCs w:val="18"/>
              </w:rPr>
            </w:pPr>
            <w:r>
              <w:rPr>
                <w:rFonts w:ascii="宋体" w:hAnsi="宋体" w:cs="宋体" w:eastAsia="宋体" w:hint="default"/>
                <w:sz w:val="18"/>
                <w:szCs w:val="18"/>
              </w:rPr>
              <w:t>深圳市华夏风投 资有限公司①</w:t>
            </w:r>
          </w:p>
        </w:tc>
        <w:tc>
          <w:tcPr>
            <w:tcW w:w="1595"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深圳</w:t>
            </w: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实业投资</w:t>
            </w:r>
          </w:p>
        </w:tc>
        <w:tc>
          <w:tcPr>
            <w:tcW w:w="1594"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07"/>
              <w:jc w:val="right"/>
              <w:rPr>
                <w:rFonts w:ascii="宋体" w:hAnsi="宋体" w:cs="宋体" w:eastAsia="宋体" w:hint="default"/>
                <w:sz w:val="18"/>
                <w:szCs w:val="18"/>
              </w:rPr>
            </w:pPr>
            <w:r>
              <w:rPr>
                <w:rFonts w:ascii="Arial" w:hAnsi="Arial" w:cs="Arial" w:eastAsia="Arial" w:hint="default"/>
                <w:sz w:val="18"/>
                <w:szCs w:val="18"/>
              </w:rPr>
              <w:t>1,330</w:t>
            </w:r>
            <w:r>
              <w:rPr>
                <w:rFonts w:ascii="Arial" w:hAnsi="Arial" w:cs="Arial" w:eastAsia="Arial" w:hint="default"/>
                <w:spacing w:val="-8"/>
                <w:sz w:val="18"/>
                <w:szCs w:val="18"/>
              </w:rPr>
              <w:t> </w:t>
            </w:r>
            <w:r>
              <w:rPr>
                <w:rFonts w:ascii="宋体" w:hAnsi="宋体" w:cs="宋体" w:eastAsia="宋体" w:hint="default"/>
                <w:sz w:val="18"/>
                <w:szCs w:val="18"/>
              </w:rPr>
              <w:t>万元</w:t>
            </w: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50.11%</w:t>
            </w:r>
            <w:r>
              <w:rPr>
                <w:rFonts w:ascii="Arial"/>
                <w:sz w:val="18"/>
              </w:rPr>
            </w:r>
          </w:p>
        </w:tc>
        <w:tc>
          <w:tcPr>
            <w:tcW w:w="1596"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75.36%</w:t>
            </w:r>
            <w:r>
              <w:rPr>
                <w:rFonts w:ascii="Arial"/>
                <w:sz w:val="18"/>
              </w:rPr>
            </w:r>
          </w:p>
        </w:tc>
      </w:tr>
      <w:tr>
        <w:trPr>
          <w:trHeight w:val="322" w:hRule="exact"/>
        </w:trPr>
        <w:tc>
          <w:tcPr>
            <w:tcW w:w="15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黄绍武②</w:t>
            </w:r>
          </w:p>
        </w:tc>
        <w:tc>
          <w:tcPr>
            <w:tcW w:w="1595" w:type="dxa"/>
            <w:tcBorders>
              <w:top w:val="single" w:sz="4" w:space="0" w:color="5B9BD4"/>
              <w:left w:val="nil" w:sz="6" w:space="0" w:color="auto"/>
              <w:bottom w:val="single" w:sz="4" w:space="0" w:color="5B9BD4"/>
              <w:right w:val="nil" w:sz="6" w:space="0" w:color="auto"/>
            </w:tcBorders>
          </w:tcPr>
          <w:p>
            <w:pP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
        </w:tc>
        <w:tc>
          <w:tcPr>
            <w:tcW w:w="1594" w:type="dxa"/>
            <w:tcBorders>
              <w:top w:val="single" w:sz="4" w:space="0" w:color="5B9BD4"/>
              <w:left w:val="nil" w:sz="6" w:space="0" w:color="auto"/>
              <w:bottom w:val="single" w:sz="4" w:space="0" w:color="5B9BD4"/>
              <w:right w:val="nil" w:sz="6" w:space="0" w:color="auto"/>
            </w:tcBorders>
          </w:tcPr>
          <w:p>
            <w:pP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51.58%</w:t>
            </w:r>
            <w:r>
              <w:rPr>
                <w:rFonts w:ascii="Arial"/>
                <w:sz w:val="18"/>
              </w:rPr>
            </w:r>
          </w:p>
        </w:tc>
        <w:tc>
          <w:tcPr>
            <w:tcW w:w="159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76.93%</w:t>
            </w:r>
            <w:r>
              <w:rPr>
                <w:rFonts w:ascii="Arial"/>
                <w:sz w:val="18"/>
              </w:rPr>
            </w:r>
          </w:p>
        </w:tc>
      </w:tr>
    </w:tbl>
    <w:p>
      <w:pPr>
        <w:spacing w:after="0" w:line="240" w:lineRule="auto"/>
        <w:jc w:val="right"/>
        <w:rPr>
          <w:rFonts w:ascii="Arial" w:hAnsi="Arial" w:cs="Arial" w:eastAsia="Arial" w:hint="default"/>
          <w:sz w:val="18"/>
          <w:szCs w:val="18"/>
        </w:rPr>
        <w:sectPr>
          <w:pgSz w:w="11910" w:h="16840"/>
          <w:pgMar w:header="877" w:footer="979" w:top="1100" w:bottom="1160" w:left="920" w:right="0"/>
        </w:sectPr>
      </w:pPr>
    </w:p>
    <w:p>
      <w:pPr>
        <w:spacing w:line="240" w:lineRule="auto" w:before="7"/>
        <w:rPr>
          <w:rFonts w:ascii="宋体" w:hAnsi="宋体" w:cs="宋体" w:eastAsia="宋体" w:hint="default"/>
          <w:b/>
          <w:bCs/>
          <w:sz w:val="27"/>
          <w:szCs w:val="27"/>
        </w:rPr>
      </w:pPr>
    </w:p>
    <w:p>
      <w:pPr>
        <w:pStyle w:val="BodyText"/>
        <w:spacing w:line="240" w:lineRule="auto" w:before="18"/>
        <w:ind w:left="633" w:right="1513"/>
        <w:jc w:val="left"/>
      </w:pPr>
      <w:r>
        <w:rPr/>
        <w:t>本企业的母公司情况的说明</w:t>
      </w:r>
    </w:p>
    <w:p>
      <w:pPr>
        <w:spacing w:line="240" w:lineRule="auto" w:before="9"/>
        <w:rPr>
          <w:rFonts w:ascii="宋体" w:hAnsi="宋体" w:cs="宋体" w:eastAsia="宋体" w:hint="default"/>
          <w:sz w:val="26"/>
          <w:szCs w:val="26"/>
        </w:rPr>
      </w:pPr>
    </w:p>
    <w:p>
      <w:pPr>
        <w:pStyle w:val="BodyText"/>
        <w:spacing w:line="398" w:lineRule="auto"/>
        <w:ind w:left="213" w:right="1131" w:firstLine="420"/>
        <w:jc w:val="both"/>
      </w:pPr>
      <w:r>
        <w:rPr>
          <w:spacing w:val="-1"/>
        </w:rPr>
        <w:t>注：①深圳市华夏风投资有限公司分别持有深圳市神州通投资集团有限公司与深圳市全球星投资管理</w:t>
      </w:r>
      <w:r>
        <w:rPr/>
        <w:t> </w:t>
      </w:r>
      <w:r>
        <w:rPr>
          <w:w w:val="95"/>
        </w:rPr>
        <w:t>有限公司</w:t>
      </w:r>
      <w:r>
        <w:rPr>
          <w:rFonts w:ascii="Arial" w:hAnsi="Arial" w:cs="Arial" w:eastAsia="Arial" w:hint="default"/>
          <w:w w:val="95"/>
        </w:rPr>
        <w:t>66.5000%</w:t>
      </w:r>
      <w:r>
        <w:rPr>
          <w:w w:val="95"/>
        </w:rPr>
        <w:t>股权，通过深圳市神州通投资集团有限公司持有本公司</w:t>
      </w:r>
      <w:r>
        <w:rPr>
          <w:rFonts w:ascii="Arial" w:hAnsi="Arial" w:cs="Arial" w:eastAsia="Arial" w:hint="default"/>
          <w:w w:val="95"/>
        </w:rPr>
        <w:t>37.2419%</w:t>
      </w:r>
      <w:r>
        <w:rPr>
          <w:w w:val="95"/>
        </w:rPr>
        <w:t>股权，通过深圳市全</w:t>
      </w:r>
      <w:r>
        <w:rPr>
          <w:spacing w:val="56"/>
          <w:w w:val="95"/>
        </w:rPr>
        <w:t> </w:t>
      </w:r>
      <w:r>
        <w:rPr>
          <w:spacing w:val="56"/>
          <w:w w:val="95"/>
        </w:rPr>
      </w:r>
      <w:r>
        <w:rPr/>
        <w:t>球星投资管理有限公司持有本公司</w:t>
      </w:r>
      <w:r>
        <w:rPr>
          <w:rFonts w:ascii="Arial" w:hAnsi="Arial" w:cs="Arial" w:eastAsia="Arial" w:hint="default"/>
        </w:rPr>
        <w:t>12.8709%</w:t>
      </w:r>
      <w:r>
        <w:rPr/>
        <w:t>股权，合计持有本公司</w:t>
      </w:r>
      <w:r>
        <w:rPr>
          <w:rFonts w:ascii="Arial" w:hAnsi="Arial" w:cs="Arial" w:eastAsia="Arial" w:hint="default"/>
        </w:rPr>
        <w:t>50.1128%</w:t>
      </w:r>
      <w:r>
        <w:rPr/>
        <w:t>股权。</w:t>
      </w:r>
    </w:p>
    <w:p>
      <w:pPr>
        <w:pStyle w:val="BodyText"/>
        <w:spacing w:line="388" w:lineRule="auto" w:before="179"/>
        <w:ind w:left="214" w:right="1513" w:firstLine="420"/>
        <w:jc w:val="left"/>
      </w:pPr>
      <w:r>
        <w:rPr>
          <w:w w:val="95"/>
        </w:rPr>
        <w:t>②黄绍武直接及间接持有深圳市华夏风投资有限公司</w:t>
      </w:r>
      <w:r>
        <w:rPr>
          <w:rFonts w:ascii="Arial" w:hAnsi="Arial" w:cs="Arial" w:eastAsia="Arial" w:hint="default"/>
          <w:w w:val="95"/>
        </w:rPr>
        <w:t>99.80</w:t>
      </w:r>
      <w:r>
        <w:rPr>
          <w:w w:val="95"/>
        </w:rPr>
        <w:t>％，通过该公司间接持有本公司</w:t>
      </w:r>
      <w:r>
        <w:rPr>
          <w:rFonts w:ascii="Arial" w:hAnsi="Arial" w:cs="Arial" w:eastAsia="Arial" w:hint="default"/>
          <w:w w:val="95"/>
        </w:rPr>
        <w:t>50.0126%</w:t>
      </w:r>
      <w:r>
        <w:rPr>
          <w:rFonts w:ascii="Arial" w:hAnsi="Arial" w:cs="Arial" w:eastAsia="Arial" w:hint="default"/>
          <w:spacing w:val="-38"/>
          <w:w w:val="95"/>
        </w:rPr>
        <w:t> </w:t>
      </w:r>
      <w:r>
        <w:rPr>
          <w:rFonts w:ascii="Arial" w:hAnsi="Arial" w:cs="Arial" w:eastAsia="Arial" w:hint="default"/>
          <w:spacing w:val="-38"/>
          <w:w w:val="95"/>
        </w:rPr>
      </w:r>
      <w:r>
        <w:rPr/>
        <w:t>股权，另外直接持有本公司</w:t>
      </w:r>
      <w:r>
        <w:rPr>
          <w:rFonts w:ascii="Arial" w:hAnsi="Arial" w:cs="Arial" w:eastAsia="Arial" w:hint="default"/>
        </w:rPr>
        <w:t>1.5708%</w:t>
      </w:r>
      <w:r>
        <w:rPr/>
        <w:t>股权，合计持有本公司</w:t>
      </w:r>
      <w:r>
        <w:rPr>
          <w:rFonts w:ascii="Arial" w:hAnsi="Arial" w:cs="Arial" w:eastAsia="Arial" w:hint="default"/>
        </w:rPr>
        <w:t>51.5834%</w:t>
      </w:r>
      <w:r>
        <w:rPr/>
        <w:t>股权。</w:t>
      </w:r>
    </w:p>
    <w:p>
      <w:pPr>
        <w:spacing w:line="240" w:lineRule="auto" w:before="6"/>
        <w:rPr>
          <w:rFonts w:ascii="宋体" w:hAnsi="宋体" w:cs="宋体" w:eastAsia="宋体" w:hint="default"/>
          <w:sz w:val="14"/>
          <w:szCs w:val="14"/>
        </w:rPr>
      </w:pPr>
    </w:p>
    <w:p>
      <w:pPr>
        <w:pStyle w:val="BodyText"/>
        <w:spacing w:line="240" w:lineRule="auto"/>
        <w:ind w:left="633" w:right="1513"/>
        <w:jc w:val="left"/>
      </w:pPr>
      <w:r>
        <w:rPr/>
        <w:t>本企业最终控制方是黄绍武。</w:t>
      </w:r>
    </w:p>
    <w:p>
      <w:pPr>
        <w:spacing w:line="240" w:lineRule="auto" w:before="9"/>
        <w:rPr>
          <w:rFonts w:ascii="宋体" w:hAnsi="宋体" w:cs="宋体" w:eastAsia="宋体" w:hint="default"/>
          <w:sz w:val="26"/>
          <w:szCs w:val="26"/>
        </w:rPr>
      </w:pPr>
    </w:p>
    <w:p>
      <w:pPr>
        <w:pStyle w:val="BodyText"/>
        <w:spacing w:line="453" w:lineRule="auto"/>
        <w:ind w:left="636" w:right="1513" w:hanging="3"/>
        <w:jc w:val="left"/>
        <w:rPr>
          <w:rFonts w:ascii="宋体" w:hAnsi="宋体" w:cs="宋体" w:eastAsia="宋体" w:hint="default"/>
        </w:rPr>
      </w:pPr>
      <w:r>
        <w:rPr>
          <w:w w:val="95"/>
        </w:rPr>
        <w:t>以上控股股东所持股权比例系以</w:t>
      </w:r>
      <w:r>
        <w:rPr>
          <w:rFonts w:ascii="Arial" w:hAnsi="Arial" w:cs="Arial" w:eastAsia="Arial" w:hint="default"/>
          <w:w w:val="95"/>
        </w:rPr>
        <w:t>2015</w:t>
      </w:r>
      <w:r>
        <w:rPr>
          <w:w w:val="95"/>
        </w:rPr>
        <w:t>年</w:t>
      </w:r>
      <w:r>
        <w:rPr>
          <w:rFonts w:ascii="Arial" w:hAnsi="Arial" w:cs="Arial" w:eastAsia="Arial" w:hint="default"/>
          <w:w w:val="95"/>
        </w:rPr>
        <w:t>12</w:t>
      </w:r>
      <w:r>
        <w:rPr>
          <w:w w:val="95"/>
        </w:rPr>
        <w:t>月</w:t>
      </w:r>
      <w:r>
        <w:rPr>
          <w:rFonts w:ascii="Arial" w:hAnsi="Arial" w:cs="Arial" w:eastAsia="Arial" w:hint="default"/>
          <w:w w:val="95"/>
        </w:rPr>
        <w:t>31</w:t>
      </w:r>
      <w:r>
        <w:rPr>
          <w:w w:val="95"/>
        </w:rPr>
        <w:t>日公司发行在外总股数</w:t>
      </w:r>
      <w:r>
        <w:rPr>
          <w:rFonts w:ascii="Arial" w:hAnsi="Arial" w:cs="Arial" w:eastAsia="Arial" w:hint="default"/>
          <w:w w:val="95"/>
        </w:rPr>
        <w:t>1,003,884,839</w:t>
      </w:r>
      <w:r>
        <w:rPr>
          <w:w w:val="95"/>
        </w:rPr>
        <w:t>股为基础计算。</w:t>
      </w:r>
      <w:r>
        <w:rPr>
          <w:spacing w:val="52"/>
          <w:w w:val="95"/>
        </w:rPr>
        <w:t> </w:t>
      </w:r>
      <w:bookmarkStart w:name="2、本企业的子公司情况" w:id="399"/>
      <w:bookmarkEnd w:id="399"/>
      <w:r>
        <w:rPr>
          <w:spacing w:val="52"/>
          <w:w w:val="95"/>
        </w:rPr>
      </w:r>
      <w:r>
        <w:rPr>
          <w:rFonts w:ascii="Trebuchet MS" w:hAnsi="Trebuchet MS" w:cs="Trebuchet MS" w:eastAsia="Trebuchet MS" w:hint="default"/>
          <w:b/>
          <w:bCs/>
        </w:rPr>
        <w:t>2</w:t>
      </w:r>
      <w:r>
        <w:rPr>
          <w:rFonts w:ascii="宋体" w:hAnsi="宋体" w:cs="宋体" w:eastAsia="宋体" w:hint="default"/>
          <w:b/>
          <w:bCs/>
        </w:rPr>
        <w:t>、本企业的子公司情况</w:t>
      </w:r>
      <w:r>
        <w:rPr>
          <w:rFonts w:ascii="宋体" w:hAnsi="宋体" w:cs="宋体" w:eastAsia="宋体" w:hint="default"/>
        </w:rPr>
      </w:r>
    </w:p>
    <w:p>
      <w:pPr>
        <w:spacing w:line="453" w:lineRule="auto" w:before="181"/>
        <w:ind w:left="634" w:right="4654" w:firstLine="0"/>
        <w:jc w:val="left"/>
        <w:rPr>
          <w:rFonts w:ascii="宋体" w:hAnsi="宋体" w:cs="宋体" w:eastAsia="宋体" w:hint="default"/>
          <w:sz w:val="21"/>
          <w:szCs w:val="21"/>
        </w:rPr>
      </w:pPr>
      <w:r>
        <w:rPr>
          <w:rFonts w:ascii="宋体" w:hAnsi="宋体" w:cs="宋体" w:eastAsia="宋体" w:hint="default"/>
          <w:spacing w:val="-4"/>
          <w:w w:val="99"/>
          <w:sz w:val="21"/>
          <w:szCs w:val="21"/>
        </w:rPr>
        <w:t>本企业子公司的情况详见附注九、</w:t>
      </w:r>
      <w:r>
        <w:rPr>
          <w:rFonts w:ascii="Arial" w:hAnsi="Arial" w:cs="Arial" w:eastAsia="Arial" w:hint="default"/>
          <w:spacing w:val="-4"/>
          <w:w w:val="99"/>
          <w:sz w:val="21"/>
          <w:szCs w:val="21"/>
        </w:rPr>
        <w:t>1</w:t>
      </w:r>
      <w:r>
        <w:rPr>
          <w:rFonts w:ascii="宋体" w:hAnsi="宋体" w:cs="宋体" w:eastAsia="宋体" w:hint="default"/>
          <w:spacing w:val="-4"/>
          <w:w w:val="99"/>
          <w:sz w:val="21"/>
          <w:szCs w:val="21"/>
        </w:rPr>
        <w:t>、在子公司中的权益。。</w:t>
      </w:r>
      <w:r>
        <w:rPr>
          <w:rFonts w:ascii="宋体" w:hAnsi="宋体" w:cs="宋体" w:eastAsia="宋体" w:hint="default"/>
          <w:spacing w:val="-102"/>
          <w:w w:val="99"/>
          <w:sz w:val="21"/>
          <w:szCs w:val="21"/>
        </w:rPr>
        <w:t> </w:t>
      </w:r>
      <w:r>
        <w:rPr>
          <w:rFonts w:ascii="宋体" w:hAnsi="宋体" w:cs="宋体" w:eastAsia="宋体" w:hint="default"/>
          <w:spacing w:val="-102"/>
          <w:w w:val="99"/>
          <w:sz w:val="21"/>
          <w:szCs w:val="21"/>
        </w:rPr>
      </w:r>
      <w:bookmarkStart w:name="3、本企业合营和联营企业情况" w:id="400"/>
      <w:bookmarkEnd w:id="400"/>
      <w:r>
        <w:rPr>
          <w:rFonts w:ascii="宋体" w:hAnsi="宋体" w:cs="宋体" w:eastAsia="宋体" w:hint="default"/>
          <w:spacing w:val="-102"/>
          <w:w w:val="99"/>
          <w:sz w:val="21"/>
          <w:szCs w:val="21"/>
        </w:rPr>
      </w:r>
      <w:r>
        <w:rPr>
          <w:rFonts w:ascii="Trebuchet MS" w:hAnsi="Trebuchet MS" w:cs="Trebuchet MS" w:eastAsia="Trebuchet MS"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453" w:lineRule="auto" w:before="181"/>
        <w:ind w:left="636" w:right="2866" w:hanging="3"/>
        <w:jc w:val="left"/>
        <w:rPr>
          <w:rFonts w:ascii="宋体" w:hAnsi="宋体" w:cs="宋体" w:eastAsia="宋体" w:hint="default"/>
        </w:rPr>
      </w:pPr>
      <w:r>
        <w:rPr/>
        <w:t>本企业重要的合营或联营企业详见附注九、</w:t>
      </w:r>
      <w:r>
        <w:rPr>
          <w:rFonts w:ascii="Arial" w:hAnsi="Arial" w:cs="Arial" w:eastAsia="Arial" w:hint="default"/>
        </w:rPr>
        <w:t>2</w:t>
      </w:r>
      <w:r>
        <w:rPr/>
        <w:t>、在合营安排或联营企业中的权益。 </w:t>
      </w:r>
      <w:bookmarkStart w:name="4、其他关联方情况" w:id="401"/>
      <w:bookmarkEnd w:id="401"/>
      <w:r>
        <w:rPr/>
      </w:r>
      <w:r>
        <w:rPr>
          <w:rFonts w:ascii="Trebuchet MS" w:hAnsi="Trebuchet MS" w:cs="Trebuchet MS" w:eastAsia="Trebuchet MS" w:hint="default"/>
          <w:b/>
          <w:bCs/>
        </w:rPr>
        <w:t>4</w:t>
      </w:r>
      <w:r>
        <w:rPr>
          <w:rFonts w:ascii="宋体" w:hAnsi="宋体" w:cs="宋体" w:eastAsia="宋体" w:hint="default"/>
          <w:b/>
          <w:bCs/>
        </w:rPr>
        <w:t>、其他关联方情况</w:t>
      </w:r>
      <w:r>
        <w:rPr>
          <w:rFonts w:ascii="宋体" w:hAnsi="宋体" w:cs="宋体" w:eastAsia="宋体" w:hint="default"/>
        </w:rPr>
      </w:r>
    </w:p>
    <w:p>
      <w:pPr>
        <w:spacing w:line="240" w:lineRule="auto" w:before="6"/>
        <w:rPr>
          <w:rFonts w:ascii="宋体" w:hAnsi="宋体" w:cs="宋体" w:eastAsia="宋体" w:hint="default"/>
          <w:b/>
          <w:bCs/>
          <w:sz w:val="9"/>
          <w:szCs w:val="9"/>
        </w:rPr>
      </w:pPr>
    </w:p>
    <w:tbl>
      <w:tblPr>
        <w:tblW w:w="0" w:type="auto"/>
        <w:jc w:val="left"/>
        <w:tblInd w:w="101" w:type="dxa"/>
        <w:tblLayout w:type="fixed"/>
        <w:tblCellMar>
          <w:top w:w="0" w:type="dxa"/>
          <w:left w:w="0" w:type="dxa"/>
          <w:bottom w:w="0" w:type="dxa"/>
          <w:right w:w="0" w:type="dxa"/>
        </w:tblCellMar>
        <w:tblLook w:val="01E0"/>
      </w:tblPr>
      <w:tblGrid>
        <w:gridCol w:w="4783"/>
        <w:gridCol w:w="4786"/>
      </w:tblGrid>
      <w:tr>
        <w:trPr>
          <w:trHeight w:val="317" w:hRule="exact"/>
        </w:trPr>
        <w:tc>
          <w:tcPr>
            <w:tcW w:w="478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402"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326" w:hRule="exact"/>
        </w:trPr>
        <w:tc>
          <w:tcPr>
            <w:tcW w:w="478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深圳市全球星投资管理有限公司</w:t>
            </w:r>
          </w:p>
        </w:tc>
        <w:tc>
          <w:tcPr>
            <w:tcW w:w="4786" w:type="dxa"/>
            <w:tcBorders>
              <w:top w:val="single" w:sz="4" w:space="0" w:color="5B9BD4"/>
              <w:left w:val="nil" w:sz="6" w:space="0" w:color="auto"/>
              <w:bottom w:val="single" w:sz="4" w:space="0" w:color="5B9BD4"/>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hAnsi="宋体" w:cs="宋体" w:eastAsia="宋体" w:hint="default"/>
                <w:sz w:val="18"/>
                <w:szCs w:val="18"/>
              </w:rPr>
              <w:t>本公司股东</w:t>
            </w:r>
          </w:p>
        </w:tc>
      </w:tr>
      <w:tr>
        <w:trPr>
          <w:trHeight w:val="322" w:hRule="exact"/>
        </w:trPr>
        <w:tc>
          <w:tcPr>
            <w:tcW w:w="478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深圳市神州通物流有限公司及其子公司</w:t>
            </w:r>
          </w:p>
        </w:tc>
        <w:tc>
          <w:tcPr>
            <w:tcW w:w="4786"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107"/>
              <w:jc w:val="right"/>
              <w:rPr>
                <w:rFonts w:ascii="宋体" w:hAnsi="宋体" w:cs="宋体" w:eastAsia="宋体" w:hint="default"/>
                <w:sz w:val="18"/>
                <w:szCs w:val="18"/>
              </w:rPr>
            </w:pPr>
            <w:r>
              <w:rPr>
                <w:rFonts w:ascii="宋体" w:hAnsi="宋体" w:cs="宋体" w:eastAsia="宋体" w:hint="default"/>
                <w:sz w:val="18"/>
                <w:szCs w:val="18"/>
              </w:rPr>
              <w:t>与本公司受同一控制人控制</w:t>
            </w:r>
          </w:p>
        </w:tc>
      </w:tr>
      <w:tr>
        <w:trPr>
          <w:trHeight w:val="322" w:hRule="exact"/>
        </w:trPr>
        <w:tc>
          <w:tcPr>
            <w:tcW w:w="478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上海酷武供应链管理股份有限公司</w:t>
            </w:r>
          </w:p>
        </w:tc>
        <w:tc>
          <w:tcPr>
            <w:tcW w:w="4786" w:type="dxa"/>
            <w:tcBorders>
              <w:top w:val="single" w:sz="4" w:space="0" w:color="5B9BD4"/>
              <w:left w:val="nil" w:sz="6" w:space="0" w:color="auto"/>
              <w:bottom w:val="single" w:sz="4" w:space="0" w:color="5B9BD4"/>
              <w:right w:val="nil" w:sz="6" w:space="0" w:color="auto"/>
            </w:tcBorders>
          </w:tcPr>
          <w:p>
            <w:pPr>
              <w:pStyle w:val="TableParagraph"/>
              <w:spacing w:line="240" w:lineRule="auto" w:before="6"/>
              <w:ind w:right="107"/>
              <w:jc w:val="right"/>
              <w:rPr>
                <w:rFonts w:ascii="宋体" w:hAnsi="宋体" w:cs="宋体" w:eastAsia="宋体" w:hint="default"/>
                <w:sz w:val="18"/>
                <w:szCs w:val="18"/>
              </w:rPr>
            </w:pPr>
            <w:r>
              <w:rPr>
                <w:rFonts w:ascii="宋体" w:hAnsi="宋体" w:cs="宋体" w:eastAsia="宋体" w:hint="default"/>
                <w:sz w:val="18"/>
                <w:szCs w:val="18"/>
              </w:rPr>
              <w:t>与本公司受同一控制人控制</w:t>
            </w:r>
          </w:p>
        </w:tc>
      </w:tr>
      <w:tr>
        <w:trPr>
          <w:trHeight w:val="322" w:hRule="exact"/>
        </w:trPr>
        <w:tc>
          <w:tcPr>
            <w:tcW w:w="478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深圳市酷奇投资有限公司</w:t>
            </w:r>
          </w:p>
        </w:tc>
        <w:tc>
          <w:tcPr>
            <w:tcW w:w="4786"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107"/>
              <w:jc w:val="right"/>
              <w:rPr>
                <w:rFonts w:ascii="宋体" w:hAnsi="宋体" w:cs="宋体" w:eastAsia="宋体" w:hint="default"/>
                <w:sz w:val="18"/>
                <w:szCs w:val="18"/>
              </w:rPr>
            </w:pPr>
            <w:r>
              <w:rPr>
                <w:rFonts w:ascii="宋体" w:hAnsi="宋体" w:cs="宋体" w:eastAsia="宋体" w:hint="default"/>
                <w:sz w:val="18"/>
                <w:szCs w:val="18"/>
              </w:rPr>
              <w:t>与本公司受同一控制人控制</w:t>
            </w:r>
          </w:p>
        </w:tc>
      </w:tr>
      <w:tr>
        <w:trPr>
          <w:trHeight w:val="322" w:hRule="exact"/>
        </w:trPr>
        <w:tc>
          <w:tcPr>
            <w:tcW w:w="478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深圳市神州通油茶营销有限公司</w:t>
            </w:r>
          </w:p>
        </w:tc>
        <w:tc>
          <w:tcPr>
            <w:tcW w:w="4786"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107"/>
              <w:jc w:val="right"/>
              <w:rPr>
                <w:rFonts w:ascii="宋体" w:hAnsi="宋体" w:cs="宋体" w:eastAsia="宋体" w:hint="default"/>
                <w:sz w:val="18"/>
                <w:szCs w:val="18"/>
              </w:rPr>
            </w:pPr>
            <w:r>
              <w:rPr>
                <w:rFonts w:ascii="宋体" w:hAnsi="宋体" w:cs="宋体" w:eastAsia="宋体" w:hint="default"/>
                <w:sz w:val="18"/>
                <w:szCs w:val="18"/>
              </w:rPr>
              <w:t>与本公司受同一控制人控制</w:t>
            </w:r>
          </w:p>
        </w:tc>
      </w:tr>
      <w:tr>
        <w:trPr>
          <w:trHeight w:val="322" w:hRule="exact"/>
        </w:trPr>
        <w:tc>
          <w:tcPr>
            <w:tcW w:w="478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西藏山南神州通商业服务有限公司</w:t>
            </w:r>
          </w:p>
        </w:tc>
        <w:tc>
          <w:tcPr>
            <w:tcW w:w="4786" w:type="dxa"/>
            <w:tcBorders>
              <w:top w:val="single" w:sz="4" w:space="0" w:color="5B9BD4"/>
              <w:left w:val="nil" w:sz="6" w:space="0" w:color="auto"/>
              <w:bottom w:val="single" w:sz="4" w:space="0" w:color="5B9BD4"/>
              <w:right w:val="nil" w:sz="6" w:space="0" w:color="auto"/>
            </w:tcBorders>
          </w:tcPr>
          <w:p>
            <w:pPr>
              <w:pStyle w:val="TableParagraph"/>
              <w:spacing w:line="240" w:lineRule="auto" w:before="6"/>
              <w:ind w:right="107"/>
              <w:jc w:val="right"/>
              <w:rPr>
                <w:rFonts w:ascii="宋体" w:hAnsi="宋体" w:cs="宋体" w:eastAsia="宋体" w:hint="default"/>
                <w:sz w:val="18"/>
                <w:szCs w:val="18"/>
              </w:rPr>
            </w:pPr>
            <w:r>
              <w:rPr>
                <w:rFonts w:ascii="宋体" w:hAnsi="宋体" w:cs="宋体" w:eastAsia="宋体" w:hint="default"/>
                <w:sz w:val="18"/>
                <w:szCs w:val="18"/>
              </w:rPr>
              <w:t>与本公司受同一控制人控制</w:t>
            </w:r>
          </w:p>
        </w:tc>
      </w:tr>
      <w:tr>
        <w:trPr>
          <w:trHeight w:val="322" w:hRule="exact"/>
        </w:trPr>
        <w:tc>
          <w:tcPr>
            <w:tcW w:w="478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神州通国际有限公司</w:t>
            </w:r>
          </w:p>
        </w:tc>
        <w:tc>
          <w:tcPr>
            <w:tcW w:w="4786"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107"/>
              <w:jc w:val="right"/>
              <w:rPr>
                <w:rFonts w:ascii="宋体" w:hAnsi="宋体" w:cs="宋体" w:eastAsia="宋体" w:hint="default"/>
                <w:sz w:val="18"/>
                <w:szCs w:val="18"/>
              </w:rPr>
            </w:pPr>
            <w:r>
              <w:rPr>
                <w:rFonts w:ascii="宋体" w:hAnsi="宋体" w:cs="宋体" w:eastAsia="宋体" w:hint="default"/>
                <w:sz w:val="18"/>
                <w:szCs w:val="18"/>
              </w:rPr>
              <w:t>与本公司受同一控制人控制</w:t>
            </w:r>
          </w:p>
        </w:tc>
      </w:tr>
      <w:tr>
        <w:trPr>
          <w:trHeight w:val="322" w:hRule="exact"/>
        </w:trPr>
        <w:tc>
          <w:tcPr>
            <w:tcW w:w="478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新余爱乐投资管理中心（有限合伙）</w:t>
            </w:r>
          </w:p>
        </w:tc>
        <w:tc>
          <w:tcPr>
            <w:tcW w:w="4786"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106"/>
              <w:jc w:val="right"/>
              <w:rPr>
                <w:rFonts w:ascii="宋体" w:hAnsi="宋体" w:cs="宋体" w:eastAsia="宋体" w:hint="default"/>
                <w:sz w:val="18"/>
                <w:szCs w:val="18"/>
              </w:rPr>
            </w:pPr>
            <w:r>
              <w:rPr>
                <w:rFonts w:ascii="宋体" w:hAnsi="宋体" w:cs="宋体" w:eastAsia="宋体" w:hint="default"/>
                <w:sz w:val="18"/>
                <w:szCs w:val="18"/>
              </w:rPr>
              <w:t>本公司高管控制的有限合伙企业</w:t>
            </w:r>
          </w:p>
        </w:tc>
      </w:tr>
    </w:tbl>
    <w:p>
      <w:pPr>
        <w:spacing w:line="240" w:lineRule="auto" w:before="11"/>
        <w:rPr>
          <w:rFonts w:ascii="宋体" w:hAnsi="宋体" w:cs="宋体" w:eastAsia="宋体" w:hint="default"/>
          <w:b/>
          <w:bCs/>
          <w:sz w:val="7"/>
          <w:szCs w:val="7"/>
        </w:rPr>
      </w:pPr>
    </w:p>
    <w:p>
      <w:pPr>
        <w:pStyle w:val="Heading5"/>
        <w:spacing w:line="240" w:lineRule="auto"/>
        <w:ind w:right="1513"/>
        <w:jc w:val="left"/>
        <w:rPr>
          <w:b w:val="0"/>
          <w:bCs w:val="0"/>
        </w:rPr>
      </w:pPr>
      <w:bookmarkStart w:name="5、关联交易情况" w:id="402"/>
      <w:bookmarkEnd w:id="402"/>
      <w:r>
        <w:rPr>
          <w:b w:val="0"/>
          <w:bCs w:val="0"/>
        </w:rPr>
      </w:r>
      <w:r>
        <w:rPr>
          <w:rFonts w:ascii="Trebuchet MS" w:hAnsi="Trebuchet MS" w:cs="Trebuchet MS" w:eastAsia="Trebuchet MS"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spacing w:before="0"/>
        <w:ind w:left="636" w:right="1513" w:firstLine="0"/>
        <w:jc w:val="left"/>
        <w:rPr>
          <w:rFonts w:ascii="宋体" w:hAnsi="宋体" w:cs="宋体" w:eastAsia="宋体" w:hint="default"/>
          <w:sz w:val="21"/>
          <w:szCs w:val="21"/>
        </w:rPr>
      </w:pPr>
      <w:bookmarkStart w:name="（1）购销商品、提供和接受劳务的关联交易" w:id="403"/>
      <w:bookmarkEnd w:id="403"/>
      <w:r>
        <w:rPr/>
      </w:r>
      <w:r>
        <w:rPr>
          <w:rFonts w:ascii="宋体" w:hAnsi="宋体" w:cs="宋体" w:eastAsia="宋体" w:hint="default"/>
          <w:b/>
          <w:bCs/>
          <w:sz w:val="21"/>
          <w:szCs w:val="21"/>
        </w:rPr>
        <w:t>（</w:t>
      </w:r>
      <w:r>
        <w:rPr>
          <w:rFonts w:ascii="Trebuchet MS" w:hAnsi="Trebuchet MS" w:cs="Trebuchet MS" w:eastAsia="Trebuchet MS"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sz w:val="21"/>
          <w:szCs w:val="21"/>
        </w:rPr>
      </w:r>
    </w:p>
    <w:p>
      <w:pPr>
        <w:spacing w:line="240" w:lineRule="auto" w:before="5"/>
        <w:rPr>
          <w:rFonts w:ascii="宋体" w:hAnsi="宋体" w:cs="宋体" w:eastAsia="宋体" w:hint="default"/>
          <w:b/>
          <w:bCs/>
          <w:sz w:val="30"/>
          <w:szCs w:val="30"/>
        </w:rPr>
      </w:pPr>
    </w:p>
    <w:p>
      <w:pPr>
        <w:pStyle w:val="BodyText"/>
        <w:spacing w:line="240" w:lineRule="auto"/>
        <w:ind w:left="633" w:right="1513"/>
        <w:jc w:val="left"/>
      </w:pPr>
      <w:r>
        <w:rPr>
          <w:w w:val="105"/>
        </w:rPr>
        <w:t>采购商品</w:t>
      </w:r>
      <w:r>
        <w:rPr>
          <w:rFonts w:ascii="Arial" w:hAnsi="Arial" w:cs="Arial" w:eastAsia="Arial" w:hint="default"/>
          <w:w w:val="105"/>
        </w:rPr>
        <w:t>/</w:t>
      </w:r>
      <w:r>
        <w:rPr>
          <w:w w:val="105"/>
        </w:rPr>
        <w:t>接受劳务情况表</w:t>
      </w:r>
    </w:p>
    <w:p>
      <w:pPr>
        <w:spacing w:line="240" w:lineRule="auto" w:before="3"/>
        <w:rPr>
          <w:rFonts w:ascii="宋体" w:hAnsi="宋体" w:cs="宋体" w:eastAsia="宋体" w:hint="default"/>
          <w:sz w:val="24"/>
          <w:szCs w:val="24"/>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317" w:hRule="exact"/>
        </w:trPr>
        <w:tc>
          <w:tcPr>
            <w:tcW w:w="154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8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27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223"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32"/>
              <w:jc w:val="righ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0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8" w:hRule="exact"/>
        </w:trPr>
        <w:tc>
          <w:tcPr>
            <w:tcW w:w="154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right="63"/>
              <w:jc w:val="center"/>
              <w:rPr>
                <w:rFonts w:ascii="宋体" w:hAnsi="宋体" w:cs="宋体" w:eastAsia="宋体" w:hint="default"/>
                <w:sz w:val="18"/>
                <w:szCs w:val="18"/>
              </w:rPr>
            </w:pPr>
            <w:r>
              <w:rPr>
                <w:rFonts w:ascii="宋体" w:hAnsi="宋体" w:cs="宋体" w:eastAsia="宋体" w:hint="default"/>
                <w:sz w:val="18"/>
                <w:szCs w:val="18"/>
              </w:rPr>
              <w:t>深圳市酷奇投资</w:t>
            </w:r>
          </w:p>
        </w:tc>
        <w:tc>
          <w:tcPr>
            <w:tcW w:w="1454" w:type="dxa"/>
            <w:tcBorders>
              <w:top w:val="single" w:sz="4" w:space="0" w:color="5B9BD4"/>
              <w:left w:val="nil" w:sz="6" w:space="0" w:color="auto"/>
              <w:bottom w:val="single" w:sz="4" w:space="0" w:color="5B9BD4"/>
              <w:right w:val="nil" w:sz="6" w:space="0" w:color="auto"/>
            </w:tcBorders>
          </w:tcPr>
          <w:p>
            <w:pPr>
              <w:pStyle w:val="TableParagraph"/>
              <w:spacing w:line="240" w:lineRule="auto" w:before="10"/>
              <w:ind w:left="626"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5B9BD4"/>
              <w:left w:val="nil" w:sz="6" w:space="0" w:color="auto"/>
              <w:bottom w:val="single" w:sz="4" w:space="0" w:color="5B9BD4"/>
              <w:right w:val="nil" w:sz="6" w:space="0" w:color="auto"/>
            </w:tcBorders>
            <w:shd w:val="clear" w:color="auto" w:fill="DEEAF6"/>
          </w:tcPr>
          <w:p>
            <w:pPr/>
          </w:p>
        </w:tc>
        <w:tc>
          <w:tcPr>
            <w:tcW w:w="1706"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left="702" w:right="0"/>
              <w:jc w:val="left"/>
              <w:rPr>
                <w:rFonts w:ascii="Arial" w:hAnsi="Arial" w:cs="Arial" w:eastAsia="Arial" w:hint="default"/>
                <w:sz w:val="18"/>
                <w:szCs w:val="18"/>
              </w:rPr>
            </w:pPr>
            <w:r>
              <w:rPr>
                <w:rFonts w:ascii="Arial"/>
                <w:sz w:val="18"/>
              </w:rPr>
              <w:t>200,000.00</w:t>
            </w:r>
          </w:p>
        </w:tc>
        <w:tc>
          <w:tcPr>
            <w:tcW w:w="170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right="107"/>
              <w:jc w:val="righ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left="702" w:right="0"/>
              <w:jc w:val="left"/>
              <w:rPr>
                <w:rFonts w:ascii="Arial" w:hAnsi="Arial" w:cs="Arial" w:eastAsia="Arial" w:hint="default"/>
                <w:sz w:val="18"/>
                <w:szCs w:val="18"/>
              </w:rPr>
            </w:pPr>
            <w:r>
              <w:rPr>
                <w:rFonts w:ascii="Arial"/>
                <w:sz w:val="18"/>
              </w:rPr>
              <w:t>111,715.32</w:t>
            </w:r>
          </w:p>
        </w:tc>
      </w:tr>
    </w:tbl>
    <w:p>
      <w:pPr>
        <w:spacing w:after="0" w:line="240" w:lineRule="auto"/>
        <w:jc w:val="left"/>
        <w:rPr>
          <w:rFonts w:ascii="Arial" w:hAnsi="Arial" w:cs="Arial" w:eastAsia="Arial" w:hint="default"/>
          <w:sz w:val="18"/>
          <w:szCs w:val="18"/>
        </w:rPr>
        <w:sectPr>
          <w:pgSz w:w="11910" w:h="16840"/>
          <w:pgMar w:header="877" w:footer="979" w:top="1100" w:bottom="1160" w:left="920" w:right="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322" w:hRule="exact"/>
        </w:trPr>
        <w:tc>
          <w:tcPr>
            <w:tcW w:w="154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有限公司①</w:t>
            </w:r>
          </w:p>
        </w:tc>
        <w:tc>
          <w:tcPr>
            <w:tcW w:w="1454" w:type="dxa"/>
            <w:tcBorders>
              <w:top w:val="single" w:sz="4" w:space="0" w:color="5B9BD4"/>
              <w:left w:val="nil" w:sz="6" w:space="0" w:color="auto"/>
              <w:bottom w:val="single" w:sz="4" w:space="0" w:color="5B9BD4"/>
              <w:right w:val="nil" w:sz="6" w:space="0" w:color="auto"/>
            </w:tcBorders>
          </w:tcPr>
          <w:p>
            <w:pPr/>
          </w:p>
        </w:tc>
        <w:tc>
          <w:tcPr>
            <w:tcW w:w="1455" w:type="dxa"/>
            <w:tcBorders>
              <w:top w:val="single" w:sz="4" w:space="0" w:color="5B9BD4"/>
              <w:left w:val="nil" w:sz="6" w:space="0" w:color="auto"/>
              <w:bottom w:val="single" w:sz="4" w:space="0" w:color="5B9BD4"/>
              <w:right w:val="nil" w:sz="6" w:space="0" w:color="auto"/>
            </w:tcBorders>
            <w:shd w:val="clear" w:color="auto" w:fill="DEEAF6"/>
          </w:tcPr>
          <w:p>
            <w:pPr/>
          </w:p>
        </w:tc>
        <w:tc>
          <w:tcPr>
            <w:tcW w:w="1706" w:type="dxa"/>
            <w:tcBorders>
              <w:top w:val="single" w:sz="4" w:space="0" w:color="5B9BD4"/>
              <w:left w:val="nil" w:sz="6" w:space="0" w:color="auto"/>
              <w:bottom w:val="single" w:sz="4" w:space="0" w:color="5B9BD4"/>
              <w:right w:val="nil" w:sz="6" w:space="0" w:color="auto"/>
            </w:tcBorders>
          </w:tcPr>
          <w:p>
            <w:pPr/>
          </w:p>
        </w:tc>
        <w:tc>
          <w:tcPr>
            <w:tcW w:w="1708" w:type="dxa"/>
            <w:tcBorders>
              <w:top w:val="single" w:sz="4" w:space="0" w:color="5B9BD4"/>
              <w:left w:val="nil" w:sz="6" w:space="0" w:color="auto"/>
              <w:bottom w:val="single" w:sz="4" w:space="0" w:color="5B9BD4"/>
              <w:right w:val="nil" w:sz="6" w:space="0" w:color="auto"/>
            </w:tcBorders>
            <w:shd w:val="clear" w:color="auto" w:fill="DEEAF6"/>
          </w:tcPr>
          <w:p>
            <w:pPr/>
          </w:p>
        </w:tc>
        <w:tc>
          <w:tcPr>
            <w:tcW w:w="1706" w:type="dxa"/>
            <w:tcBorders>
              <w:top w:val="single" w:sz="4" w:space="0" w:color="5B9BD4"/>
              <w:left w:val="nil" w:sz="6" w:space="0" w:color="auto"/>
              <w:bottom w:val="single" w:sz="4" w:space="0" w:color="5B9BD4"/>
              <w:right w:val="nil" w:sz="6" w:space="0" w:color="auto"/>
            </w:tcBorders>
          </w:tcPr>
          <w:p>
            <w:pPr/>
          </w:p>
        </w:tc>
      </w:tr>
      <w:tr>
        <w:trPr>
          <w:trHeight w:val="946" w:hRule="exact"/>
        </w:trPr>
        <w:tc>
          <w:tcPr>
            <w:tcW w:w="154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171"/>
              <w:jc w:val="left"/>
              <w:rPr>
                <w:rFonts w:ascii="宋体" w:hAnsi="宋体" w:cs="宋体" w:eastAsia="宋体" w:hint="default"/>
                <w:sz w:val="18"/>
                <w:szCs w:val="18"/>
              </w:rPr>
            </w:pPr>
            <w:r>
              <w:rPr>
                <w:rFonts w:ascii="宋体" w:hAnsi="宋体" w:cs="宋体" w:eastAsia="宋体" w:hint="default"/>
                <w:sz w:val="18"/>
                <w:szCs w:val="18"/>
              </w:rPr>
              <w:t>深圳市神州通油 茶营销有限公司</w:t>
            </w:r>
          </w:p>
          <w:p>
            <w:pPr>
              <w:pStyle w:val="TableParagraph"/>
              <w:spacing w:line="240" w:lineRule="auto" w:before="19"/>
              <w:ind w:left="108" w:right="0"/>
              <w:jc w:val="left"/>
              <w:rPr>
                <w:rFonts w:ascii="宋体" w:hAnsi="宋体" w:cs="宋体" w:eastAsia="宋体" w:hint="default"/>
                <w:sz w:val="18"/>
                <w:szCs w:val="18"/>
              </w:rPr>
            </w:pPr>
            <w:r>
              <w:rPr>
                <w:rFonts w:ascii="宋体" w:hAnsi="宋体" w:cs="宋体" w:eastAsia="宋体" w:hint="default"/>
                <w:sz w:val="18"/>
                <w:szCs w:val="18"/>
              </w:rPr>
              <w:t>②</w:t>
            </w:r>
          </w:p>
        </w:tc>
        <w:tc>
          <w:tcPr>
            <w:tcW w:w="1454" w:type="dxa"/>
            <w:tcBorders>
              <w:top w:val="single" w:sz="4" w:space="0" w:color="5B9BD4"/>
              <w:left w:val="nil" w:sz="6" w:space="0" w:color="auto"/>
              <w:bottom w:val="single" w:sz="4" w:space="0" w:color="5B9BD4"/>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采购物品</w:t>
            </w:r>
          </w:p>
        </w:tc>
        <w:tc>
          <w:tcPr>
            <w:tcW w:w="145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5"/>
              <w:jc w:val="right"/>
              <w:rPr>
                <w:rFonts w:ascii="Arial" w:hAnsi="Arial" w:cs="Arial" w:eastAsia="Arial" w:hint="default"/>
                <w:sz w:val="18"/>
                <w:szCs w:val="18"/>
              </w:rPr>
            </w:pPr>
            <w:r>
              <w:rPr>
                <w:rFonts w:ascii="Arial"/>
                <w:w w:val="95"/>
                <w:sz w:val="18"/>
              </w:rPr>
              <w:t>1,673,232.48</w:t>
            </w:r>
            <w:r>
              <w:rPr>
                <w:rFonts w:ascii="Arial"/>
                <w:sz w:val="18"/>
              </w:rPr>
            </w:r>
          </w:p>
        </w:tc>
        <w:tc>
          <w:tcPr>
            <w:tcW w:w="1706"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3"/>
              <w:jc w:val="right"/>
              <w:rPr>
                <w:rFonts w:ascii="Arial" w:hAnsi="Arial" w:cs="Arial" w:eastAsia="Arial" w:hint="default"/>
                <w:sz w:val="18"/>
                <w:szCs w:val="18"/>
              </w:rPr>
            </w:pPr>
            <w:r>
              <w:rPr>
                <w:rFonts w:ascii="Arial"/>
                <w:w w:val="95"/>
                <w:sz w:val="18"/>
              </w:rPr>
              <w:t>4,000,000.00</w:t>
            </w:r>
            <w:r>
              <w:rPr>
                <w:rFonts w:ascii="Arial"/>
                <w:sz w:val="18"/>
              </w:rPr>
            </w:r>
          </w:p>
        </w:tc>
        <w:tc>
          <w:tcPr>
            <w:tcW w:w="170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3"/>
              <w:jc w:val="right"/>
              <w:rPr>
                <w:rFonts w:ascii="Arial" w:hAnsi="Arial" w:cs="Arial" w:eastAsia="Arial" w:hint="default"/>
                <w:sz w:val="18"/>
                <w:szCs w:val="18"/>
              </w:rPr>
            </w:pPr>
            <w:r>
              <w:rPr>
                <w:rFonts w:ascii="Arial"/>
                <w:w w:val="95"/>
                <w:sz w:val="18"/>
              </w:rPr>
              <w:t>3,027,262.44</w:t>
            </w:r>
            <w:r>
              <w:rPr>
                <w:rFonts w:ascii="Arial"/>
                <w:sz w:val="18"/>
              </w:rPr>
            </w:r>
          </w:p>
        </w:tc>
      </w:tr>
      <w:tr>
        <w:trPr>
          <w:trHeight w:val="1570" w:hRule="exact"/>
        </w:trPr>
        <w:tc>
          <w:tcPr>
            <w:tcW w:w="154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171"/>
              <w:jc w:val="both"/>
              <w:rPr>
                <w:rFonts w:ascii="宋体" w:hAnsi="宋体" w:cs="宋体" w:eastAsia="宋体" w:hint="default"/>
                <w:sz w:val="18"/>
                <w:szCs w:val="18"/>
              </w:rPr>
            </w:pPr>
            <w:r>
              <w:rPr>
                <w:rFonts w:ascii="宋体" w:hAnsi="宋体" w:cs="宋体" w:eastAsia="宋体" w:hint="default"/>
                <w:sz w:val="18"/>
                <w:szCs w:val="18"/>
              </w:rPr>
              <w:t>上海酷武供应链 管理股份有限公 司、深圳市神州 通物流有限公司 及其子公司③</w:t>
            </w:r>
          </w:p>
        </w:tc>
        <w:tc>
          <w:tcPr>
            <w:tcW w:w="1454"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107"/>
              <w:jc w:val="righ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8,394,437.88</w:t>
            </w:r>
            <w:r>
              <w:rPr>
                <w:rFonts w:ascii="Arial"/>
                <w:sz w:val="18"/>
              </w:rPr>
            </w:r>
          </w:p>
        </w:tc>
        <w:tc>
          <w:tcPr>
            <w:tcW w:w="1706"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25,000,000.00</w:t>
            </w:r>
            <w:r>
              <w:rPr>
                <w:rFonts w:ascii="Arial"/>
                <w:sz w:val="18"/>
              </w:rPr>
            </w:r>
          </w:p>
        </w:tc>
        <w:tc>
          <w:tcPr>
            <w:tcW w:w="170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107"/>
              <w:jc w:val="righ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13,586,586.94</w:t>
            </w:r>
            <w:r>
              <w:rPr>
                <w:rFonts w:ascii="Arial"/>
                <w:sz w:val="18"/>
              </w:rPr>
            </w:r>
          </w:p>
        </w:tc>
      </w:tr>
    </w:tbl>
    <w:p>
      <w:pPr>
        <w:spacing w:line="240" w:lineRule="auto" w:before="0"/>
        <w:rPr>
          <w:rFonts w:ascii="宋体" w:hAnsi="宋体" w:cs="宋体" w:eastAsia="宋体" w:hint="default"/>
          <w:sz w:val="15"/>
          <w:szCs w:val="15"/>
        </w:rPr>
      </w:pPr>
    </w:p>
    <w:p>
      <w:pPr>
        <w:pStyle w:val="BodyText"/>
        <w:spacing w:line="240" w:lineRule="auto" w:before="18"/>
        <w:ind w:left="634" w:right="1513"/>
        <w:jc w:val="left"/>
      </w:pPr>
      <w:r>
        <w:rPr>
          <w:w w:val="105"/>
        </w:rPr>
        <w:t>出售商品</w:t>
      </w:r>
      <w:r>
        <w:rPr>
          <w:rFonts w:ascii="Arial" w:hAnsi="Arial" w:cs="Arial" w:eastAsia="Arial" w:hint="default"/>
          <w:w w:val="105"/>
        </w:rPr>
        <w:t>/</w:t>
      </w:r>
      <w:r>
        <w:rPr>
          <w:w w:val="105"/>
        </w:rPr>
        <w:t>提供劳务情况表</w:t>
      </w:r>
    </w:p>
    <w:p>
      <w:pPr>
        <w:spacing w:line="240" w:lineRule="auto" w:before="2"/>
        <w:rPr>
          <w:rFonts w:ascii="宋体" w:hAnsi="宋体" w:cs="宋体" w:eastAsia="宋体" w:hint="default"/>
          <w:sz w:val="24"/>
          <w:szCs w:val="24"/>
        </w:rPr>
      </w:pPr>
    </w:p>
    <w:p>
      <w:pPr>
        <w:pStyle w:val="BodyText"/>
        <w:spacing w:line="240" w:lineRule="auto" w:before="18"/>
        <w:ind w:left="0" w:right="1129"/>
        <w:jc w:val="right"/>
      </w:pPr>
      <w:r>
        <w:rPr/>
        <w:t>单位： 元</w:t>
      </w:r>
    </w:p>
    <w:p>
      <w:pPr>
        <w:spacing w:line="240" w:lineRule="auto" w:before="5"/>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2398"/>
        <w:gridCol w:w="2259"/>
        <w:gridCol w:w="2258"/>
        <w:gridCol w:w="2654"/>
      </w:tblGrid>
      <w:tr>
        <w:trPr>
          <w:trHeight w:val="317" w:hRule="exact"/>
        </w:trPr>
        <w:tc>
          <w:tcPr>
            <w:tcW w:w="9569" w:type="dxa"/>
            <w:gridSpan w:val="4"/>
            <w:tcBorders>
              <w:top w:val="single" w:sz="4" w:space="0" w:color="5B9BD4"/>
              <w:left w:val="nil" w:sz="6" w:space="0" w:color="auto"/>
              <w:bottom w:val="single" w:sz="4" w:space="0" w:color="5B9BD4"/>
              <w:right w:val="nil" w:sz="6" w:space="0" w:color="auto"/>
            </w:tcBorders>
            <w:shd w:val="clear" w:color="auto" w:fill="DEEAF6"/>
          </w:tcPr>
          <w:p>
            <w:pPr>
              <w:pStyle w:val="TableParagraph"/>
              <w:tabs>
                <w:tab w:pos="2985" w:val="left" w:leader="none"/>
                <w:tab w:pos="5335" w:val="left" w:leader="none"/>
                <w:tab w:pos="7791" w:val="left" w:leader="none"/>
              </w:tabs>
              <w:spacing w:line="240" w:lineRule="auto" w:before="6"/>
              <w:ind w:left="929" w:right="0"/>
              <w:jc w:val="left"/>
              <w:rPr>
                <w:rFonts w:ascii="宋体" w:hAnsi="宋体" w:cs="宋体" w:eastAsia="宋体" w:hint="default"/>
                <w:sz w:val="18"/>
                <w:szCs w:val="18"/>
              </w:rPr>
            </w:pPr>
            <w:r>
              <w:rPr>
                <w:rFonts w:ascii="宋体" w:hAnsi="宋体" w:cs="宋体" w:eastAsia="宋体" w:hint="default"/>
                <w:sz w:val="18"/>
                <w:szCs w:val="18"/>
              </w:rPr>
              <w:t>关联方</w:t>
              <w:tab/>
              <w:t>关联交易内容</w:t>
              <w:tab/>
              <w:t>本期发生额</w:t>
              <w:tab/>
              <w:t>上期发生额</w:t>
            </w:r>
          </w:p>
        </w:tc>
      </w:tr>
      <w:tr>
        <w:trPr>
          <w:trHeight w:val="638" w:hRule="exact"/>
        </w:trPr>
        <w:tc>
          <w:tcPr>
            <w:tcW w:w="239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10"/>
              <w:ind w:left="108" w:right="129"/>
              <w:jc w:val="left"/>
              <w:rPr>
                <w:rFonts w:ascii="宋体" w:hAnsi="宋体" w:cs="宋体" w:eastAsia="宋体" w:hint="default"/>
                <w:sz w:val="18"/>
                <w:szCs w:val="18"/>
              </w:rPr>
            </w:pPr>
            <w:r>
              <w:rPr>
                <w:rFonts w:ascii="宋体" w:hAnsi="宋体" w:cs="宋体" w:eastAsia="宋体" w:hint="default"/>
                <w:sz w:val="18"/>
                <w:szCs w:val="18"/>
              </w:rPr>
              <w:t>深圳市神州通油茶营销有限 公司</w:t>
            </w:r>
          </w:p>
        </w:tc>
        <w:tc>
          <w:tcPr>
            <w:tcW w:w="2259" w:type="dxa"/>
            <w:tcBorders>
              <w:top w:val="single" w:sz="4" w:space="0" w:color="5B9BD4"/>
              <w:left w:val="nil" w:sz="6" w:space="0" w:color="auto"/>
              <w:bottom w:val="single" w:sz="4" w:space="0" w:color="5B9BD4"/>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5B9BD4"/>
              <w:left w:val="nil" w:sz="6" w:space="0" w:color="auto"/>
              <w:bottom w:val="single" w:sz="4" w:space="0" w:color="5B9BD4"/>
              <w:right w:val="nil" w:sz="6" w:space="0" w:color="auto"/>
            </w:tcBorders>
            <w:shd w:val="clear" w:color="auto" w:fill="DEEAF6"/>
          </w:tcPr>
          <w:p>
            <w:pPr/>
          </w:p>
        </w:tc>
        <w:tc>
          <w:tcPr>
            <w:tcW w:w="2654" w:type="dxa"/>
            <w:tcBorders>
              <w:top w:val="single" w:sz="4" w:space="0" w:color="5B9BD4"/>
              <w:left w:val="nil" w:sz="6" w:space="0" w:color="auto"/>
              <w:bottom w:val="single" w:sz="4" w:space="0" w:color="5B9BD4"/>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1,045,236.58</w:t>
            </w:r>
            <w:r>
              <w:rPr>
                <w:rFonts w:ascii="Arial"/>
                <w:sz w:val="18"/>
              </w:rPr>
            </w:r>
          </w:p>
        </w:tc>
      </w:tr>
      <w:tr>
        <w:trPr>
          <w:trHeight w:val="634" w:hRule="exact"/>
        </w:trPr>
        <w:tc>
          <w:tcPr>
            <w:tcW w:w="239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29"/>
              <w:jc w:val="left"/>
              <w:rPr>
                <w:rFonts w:ascii="宋体" w:hAnsi="宋体" w:cs="宋体" w:eastAsia="宋体" w:hint="default"/>
                <w:sz w:val="18"/>
                <w:szCs w:val="18"/>
              </w:rPr>
            </w:pPr>
            <w:r>
              <w:rPr>
                <w:rFonts w:ascii="宋体" w:hAnsi="宋体" w:cs="宋体" w:eastAsia="宋体" w:hint="default"/>
                <w:sz w:val="18"/>
                <w:szCs w:val="18"/>
              </w:rPr>
              <w:t>深圳市神州通投资集团有限 公司</w:t>
            </w:r>
          </w:p>
        </w:tc>
        <w:tc>
          <w:tcPr>
            <w:tcW w:w="2259" w:type="dxa"/>
            <w:tcBorders>
              <w:top w:val="single" w:sz="4" w:space="0" w:color="5B9BD4"/>
              <w:left w:val="nil" w:sz="6" w:space="0" w:color="auto"/>
              <w:bottom w:val="single" w:sz="4" w:space="0" w:color="5B9BD4"/>
              <w:right w:val="nil" w:sz="6" w:space="0" w:color="auto"/>
            </w:tcBorders>
          </w:tcPr>
          <w:p>
            <w:pPr>
              <w:pStyle w:val="TableParagraph"/>
              <w:spacing w:line="240" w:lineRule="auto" w:before="161"/>
              <w:ind w:right="107"/>
              <w:jc w:val="righ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5B9BD4"/>
              <w:left w:val="nil" w:sz="6" w:space="0" w:color="auto"/>
              <w:bottom w:val="single" w:sz="4" w:space="0" w:color="5B9BD4"/>
              <w:right w:val="nil" w:sz="6" w:space="0" w:color="auto"/>
            </w:tcBorders>
            <w:shd w:val="clear" w:color="auto" w:fill="DEEAF6"/>
          </w:tcPr>
          <w:p>
            <w:pPr/>
          </w:p>
        </w:tc>
        <w:tc>
          <w:tcPr>
            <w:tcW w:w="2654"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74,321.37</w:t>
            </w:r>
            <w:r>
              <w:rPr>
                <w:rFonts w:ascii="Arial"/>
                <w:sz w:val="18"/>
              </w:rPr>
            </w:r>
          </w:p>
        </w:tc>
      </w:tr>
      <w:tr>
        <w:trPr>
          <w:trHeight w:val="634" w:hRule="exact"/>
        </w:trPr>
        <w:tc>
          <w:tcPr>
            <w:tcW w:w="239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129"/>
              <w:jc w:val="left"/>
              <w:rPr>
                <w:rFonts w:ascii="宋体" w:hAnsi="宋体" w:cs="宋体" w:eastAsia="宋体" w:hint="default"/>
                <w:sz w:val="18"/>
                <w:szCs w:val="18"/>
              </w:rPr>
            </w:pPr>
            <w:r>
              <w:rPr>
                <w:rFonts w:ascii="宋体" w:hAnsi="宋体" w:cs="宋体" w:eastAsia="宋体" w:hint="default"/>
                <w:sz w:val="18"/>
                <w:szCs w:val="18"/>
              </w:rPr>
              <w:t>深圳市神州通物流有限公司 及其子公司</w:t>
            </w:r>
          </w:p>
        </w:tc>
        <w:tc>
          <w:tcPr>
            <w:tcW w:w="2259"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5B9BD4"/>
              <w:left w:val="nil" w:sz="6" w:space="0" w:color="auto"/>
              <w:bottom w:val="single" w:sz="4" w:space="0" w:color="5B9BD4"/>
              <w:right w:val="nil" w:sz="6" w:space="0" w:color="auto"/>
            </w:tcBorders>
            <w:shd w:val="clear" w:color="auto" w:fill="DEEAF6"/>
          </w:tcPr>
          <w:p>
            <w:pPr/>
          </w:p>
        </w:tc>
        <w:tc>
          <w:tcPr>
            <w:tcW w:w="2654"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216,748.23</w:t>
            </w:r>
            <w:r>
              <w:rPr>
                <w:rFonts w:ascii="Arial"/>
                <w:sz w:val="18"/>
              </w:rPr>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2） 关联担保情况" w:id="404"/>
      <w:bookmarkEnd w:id="404"/>
      <w:r>
        <w:rPr>
          <w:b w:val="0"/>
          <w:bCs w:val="0"/>
        </w:rPr>
      </w:r>
      <w:r>
        <w:rPr/>
        <w:t>（</w:t>
      </w:r>
      <w:r>
        <w:rPr>
          <w:rFonts w:ascii="Trebuchet MS" w:hAnsi="Trebuchet MS" w:cs="Trebuchet MS" w:eastAsia="Trebuchet MS" w:hint="default"/>
        </w:rPr>
        <w:t>2</w:t>
      </w:r>
      <w:r>
        <w:rPr/>
        <w:t>）</w:t>
      </w:r>
      <w:r>
        <w:rPr>
          <w:spacing w:val="-9"/>
        </w:rPr>
        <w:t> </w:t>
      </w:r>
      <w:r>
        <w:rPr/>
        <w:t>关联担保情况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1"/>
          <w:szCs w:val="21"/>
        </w:rPr>
      </w:pPr>
    </w:p>
    <w:tbl>
      <w:tblPr>
        <w:tblW w:w="0" w:type="auto"/>
        <w:jc w:val="left"/>
        <w:tblInd w:w="101" w:type="dxa"/>
        <w:tblLayout w:type="fixed"/>
        <w:tblCellMar>
          <w:top w:w="0" w:type="dxa"/>
          <w:left w:w="0" w:type="dxa"/>
          <w:bottom w:w="0" w:type="dxa"/>
          <w:right w:w="0" w:type="dxa"/>
        </w:tblCellMar>
        <w:tblLook w:val="01E0"/>
      </w:tblPr>
      <w:tblGrid>
        <w:gridCol w:w="1592"/>
        <w:gridCol w:w="1386"/>
        <w:gridCol w:w="1746"/>
        <w:gridCol w:w="1700"/>
        <w:gridCol w:w="1166"/>
        <w:gridCol w:w="1134"/>
        <w:gridCol w:w="1008"/>
      </w:tblGrid>
      <w:tr>
        <w:trPr>
          <w:trHeight w:val="941" w:hRule="exact"/>
        </w:trPr>
        <w:tc>
          <w:tcPr>
            <w:tcW w:w="15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38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74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left="51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70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实际使用金额</w:t>
            </w:r>
          </w:p>
        </w:tc>
        <w:tc>
          <w:tcPr>
            <w:tcW w:w="2300"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担保债务期间（注①）</w:t>
            </w:r>
          </w:p>
        </w:tc>
        <w:tc>
          <w:tcPr>
            <w:tcW w:w="100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44" w:right="143"/>
              <w:jc w:val="center"/>
              <w:rPr>
                <w:rFonts w:ascii="宋体" w:hAnsi="宋体" w:cs="宋体" w:eastAsia="宋体" w:hint="default"/>
                <w:sz w:val="18"/>
                <w:szCs w:val="18"/>
              </w:rPr>
            </w:pPr>
            <w:r>
              <w:rPr>
                <w:rFonts w:ascii="宋体" w:hAnsi="宋体" w:cs="宋体" w:eastAsia="宋体" w:hint="default"/>
                <w:sz w:val="18"/>
                <w:szCs w:val="18"/>
              </w:rPr>
              <w:t>担保是否 已经履行 完毕</w:t>
            </w:r>
          </w:p>
        </w:tc>
      </w:tr>
      <w:tr>
        <w:trPr>
          <w:trHeight w:val="640" w:hRule="exact"/>
        </w:trPr>
        <w:tc>
          <w:tcPr>
            <w:tcW w:w="15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11"/>
              <w:ind w:left="108" w:right="221"/>
              <w:jc w:val="left"/>
              <w:rPr>
                <w:rFonts w:ascii="宋体" w:hAnsi="宋体" w:cs="宋体" w:eastAsia="宋体" w:hint="default"/>
                <w:sz w:val="18"/>
                <w:szCs w:val="18"/>
              </w:rPr>
            </w:pPr>
            <w:r>
              <w:rPr>
                <w:rFonts w:ascii="宋体" w:hAnsi="宋体" w:cs="宋体" w:eastAsia="宋体" w:hint="default"/>
                <w:sz w:val="18"/>
                <w:szCs w:val="18"/>
              </w:rPr>
              <w:t>深圳市神州通投 资集团有限公司</w:t>
            </w:r>
          </w:p>
        </w:tc>
        <w:tc>
          <w:tcPr>
            <w:tcW w:w="1386" w:type="dxa"/>
            <w:tcBorders>
              <w:top w:val="single" w:sz="4" w:space="0" w:color="5B9BD4"/>
              <w:left w:val="nil" w:sz="6" w:space="0" w:color="auto"/>
              <w:bottom w:val="single" w:sz="4" w:space="0" w:color="5B9BD4"/>
              <w:right w:val="nil" w:sz="6" w:space="0" w:color="auto"/>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4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06"/>
              <w:jc w:val="right"/>
              <w:rPr>
                <w:rFonts w:ascii="Arial" w:hAnsi="Arial" w:cs="Arial" w:eastAsia="Arial" w:hint="default"/>
                <w:sz w:val="18"/>
                <w:szCs w:val="18"/>
              </w:rPr>
            </w:pPr>
            <w:r>
              <w:rPr>
                <w:rFonts w:ascii="Arial"/>
                <w:spacing w:val="-1"/>
                <w:sz w:val="18"/>
              </w:rPr>
              <w:t>2,200,000,000.00</w:t>
            </w:r>
          </w:p>
        </w:tc>
        <w:tc>
          <w:tcPr>
            <w:tcW w:w="1700" w:type="dxa"/>
            <w:tcBorders>
              <w:top w:val="single" w:sz="4" w:space="0" w:color="5B9BD4"/>
              <w:left w:val="nil" w:sz="6" w:space="0" w:color="auto"/>
              <w:bottom w:val="single" w:sz="4" w:space="0" w:color="5B9BD4"/>
              <w:right w:val="nil" w:sz="6" w:space="0" w:color="auto"/>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900,000,000.00</w:t>
            </w:r>
            <w:r>
              <w:rPr>
                <w:rFonts w:ascii="Arial"/>
                <w:sz w:val="18"/>
              </w:rPr>
            </w:r>
          </w:p>
        </w:tc>
        <w:tc>
          <w:tcPr>
            <w:tcW w:w="11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32" w:right="0"/>
              <w:jc w:val="center"/>
              <w:rPr>
                <w:rFonts w:ascii="Arial" w:hAnsi="Arial" w:cs="Arial" w:eastAsia="Arial" w:hint="default"/>
                <w:sz w:val="18"/>
                <w:szCs w:val="18"/>
              </w:rPr>
            </w:pPr>
            <w:r>
              <w:rPr>
                <w:rFonts w:ascii="Arial"/>
                <w:sz w:val="18"/>
              </w:rPr>
              <w:t>2015-11-18</w:t>
            </w:r>
          </w:p>
        </w:tc>
        <w:tc>
          <w:tcPr>
            <w:tcW w:w="1134" w:type="dxa"/>
            <w:tcBorders>
              <w:top w:val="single" w:sz="4" w:space="0" w:color="5B9BD4"/>
              <w:left w:val="nil" w:sz="6" w:space="0" w:color="auto"/>
              <w:bottom w:val="single" w:sz="4" w:space="0" w:color="5B9BD4"/>
              <w:right w:val="nil" w:sz="6" w:space="0" w:color="auto"/>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 w:right="0"/>
              <w:jc w:val="center"/>
              <w:rPr>
                <w:rFonts w:ascii="Arial" w:hAnsi="Arial" w:cs="Arial" w:eastAsia="Arial" w:hint="default"/>
                <w:sz w:val="18"/>
                <w:szCs w:val="18"/>
              </w:rPr>
            </w:pPr>
            <w:r>
              <w:rPr>
                <w:rFonts w:ascii="Arial"/>
                <w:sz w:val="18"/>
              </w:rPr>
              <w:t>2016-11-17</w:t>
            </w:r>
          </w:p>
        </w:tc>
        <w:tc>
          <w:tcPr>
            <w:tcW w:w="100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5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221"/>
              <w:jc w:val="left"/>
              <w:rPr>
                <w:rFonts w:ascii="宋体" w:hAnsi="宋体" w:cs="宋体" w:eastAsia="宋体" w:hint="default"/>
                <w:sz w:val="18"/>
                <w:szCs w:val="18"/>
              </w:rPr>
            </w:pPr>
            <w:r>
              <w:rPr>
                <w:rFonts w:ascii="宋体" w:hAnsi="宋体" w:cs="宋体" w:eastAsia="宋体" w:hint="default"/>
                <w:sz w:val="18"/>
                <w:szCs w:val="18"/>
              </w:rPr>
              <w:t>深圳市神州通投 资集团有限公司</w:t>
            </w:r>
          </w:p>
        </w:tc>
        <w:tc>
          <w:tcPr>
            <w:tcW w:w="1386" w:type="dxa"/>
            <w:tcBorders>
              <w:top w:val="single" w:sz="4" w:space="0" w:color="5B9BD4"/>
              <w:left w:val="nil" w:sz="6" w:space="0" w:color="auto"/>
              <w:bottom w:val="single" w:sz="4" w:space="0" w:color="5B9BD4"/>
              <w:right w:val="nil" w:sz="6" w:space="0" w:color="auto"/>
            </w:tcBorders>
          </w:tcPr>
          <w:p>
            <w:pPr>
              <w:pStyle w:val="TableParagraph"/>
              <w:spacing w:line="240" w:lineRule="auto" w:before="161"/>
              <w:ind w:left="108"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4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6"/>
              <w:jc w:val="right"/>
              <w:rPr>
                <w:rFonts w:ascii="Arial" w:hAnsi="Arial" w:cs="Arial" w:eastAsia="Arial" w:hint="default"/>
                <w:sz w:val="18"/>
                <w:szCs w:val="18"/>
              </w:rPr>
            </w:pPr>
            <w:r>
              <w:rPr>
                <w:rFonts w:ascii="Arial"/>
                <w:spacing w:val="-1"/>
                <w:sz w:val="18"/>
              </w:rPr>
              <w:t>2,000,000,000.00</w:t>
            </w:r>
          </w:p>
        </w:tc>
        <w:tc>
          <w:tcPr>
            <w:tcW w:w="1700"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4"/>
              <w:jc w:val="right"/>
              <w:rPr>
                <w:rFonts w:ascii="Arial" w:hAnsi="Arial" w:cs="Arial" w:eastAsia="Arial" w:hint="default"/>
                <w:sz w:val="18"/>
                <w:szCs w:val="18"/>
              </w:rPr>
            </w:pPr>
            <w:r>
              <w:rPr>
                <w:rFonts w:ascii="Arial"/>
                <w:spacing w:val="-1"/>
                <w:sz w:val="18"/>
              </w:rPr>
              <w:t>1,200,000,000.00</w:t>
            </w:r>
          </w:p>
        </w:tc>
        <w:tc>
          <w:tcPr>
            <w:tcW w:w="11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32" w:right="0"/>
              <w:jc w:val="center"/>
              <w:rPr>
                <w:rFonts w:ascii="Arial" w:hAnsi="Arial" w:cs="Arial" w:eastAsia="Arial" w:hint="default"/>
                <w:sz w:val="18"/>
                <w:szCs w:val="18"/>
              </w:rPr>
            </w:pPr>
            <w:r>
              <w:rPr>
                <w:rFonts w:ascii="Arial"/>
                <w:sz w:val="18"/>
              </w:rPr>
              <w:t>2015-09-26</w:t>
            </w:r>
          </w:p>
        </w:tc>
        <w:tc>
          <w:tcPr>
            <w:tcW w:w="1134"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 w:right="0"/>
              <w:jc w:val="center"/>
              <w:rPr>
                <w:rFonts w:ascii="Arial" w:hAnsi="Arial" w:cs="Arial" w:eastAsia="Arial" w:hint="default"/>
                <w:sz w:val="18"/>
                <w:szCs w:val="18"/>
              </w:rPr>
            </w:pPr>
            <w:r>
              <w:rPr>
                <w:rFonts w:ascii="Arial"/>
                <w:sz w:val="18"/>
              </w:rPr>
              <w:t>2016-09-26</w:t>
            </w:r>
          </w:p>
        </w:tc>
        <w:tc>
          <w:tcPr>
            <w:tcW w:w="100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right="10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5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221"/>
              <w:jc w:val="left"/>
              <w:rPr>
                <w:rFonts w:ascii="宋体" w:hAnsi="宋体" w:cs="宋体" w:eastAsia="宋体" w:hint="default"/>
                <w:sz w:val="18"/>
                <w:szCs w:val="18"/>
              </w:rPr>
            </w:pPr>
            <w:r>
              <w:rPr>
                <w:rFonts w:ascii="宋体" w:hAnsi="宋体" w:cs="宋体" w:eastAsia="宋体" w:hint="default"/>
                <w:sz w:val="18"/>
                <w:szCs w:val="18"/>
              </w:rPr>
              <w:t>深圳市神州通投 资集团有限公司</w:t>
            </w:r>
          </w:p>
        </w:tc>
        <w:tc>
          <w:tcPr>
            <w:tcW w:w="1386" w:type="dxa"/>
            <w:tcBorders>
              <w:top w:val="single" w:sz="4" w:space="0" w:color="5B9BD4"/>
              <w:left w:val="nil" w:sz="6" w:space="0" w:color="auto"/>
              <w:bottom w:val="single" w:sz="4" w:space="0" w:color="5B9BD4"/>
              <w:right w:val="nil" w:sz="6" w:space="0" w:color="auto"/>
            </w:tcBorders>
          </w:tcPr>
          <w:p>
            <w:pPr>
              <w:pStyle w:val="TableParagraph"/>
              <w:spacing w:line="240" w:lineRule="auto" w:before="161"/>
              <w:ind w:left="108"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4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600,000,000.00</w:t>
            </w:r>
            <w:r>
              <w:rPr>
                <w:rFonts w:ascii="Arial"/>
                <w:sz w:val="18"/>
              </w:rPr>
            </w:r>
          </w:p>
        </w:tc>
        <w:tc>
          <w:tcPr>
            <w:tcW w:w="1700"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3"/>
              <w:jc w:val="right"/>
              <w:rPr>
                <w:rFonts w:ascii="Arial" w:hAnsi="Arial" w:cs="Arial" w:eastAsia="Arial" w:hint="default"/>
                <w:sz w:val="18"/>
                <w:szCs w:val="18"/>
              </w:rPr>
            </w:pPr>
            <w:r>
              <w:rPr>
                <w:rFonts w:ascii="Arial"/>
                <w:w w:val="95"/>
                <w:sz w:val="18"/>
              </w:rPr>
              <w:t>---</w:t>
            </w:r>
            <w:r>
              <w:rPr>
                <w:rFonts w:ascii="Arial"/>
                <w:sz w:val="18"/>
              </w:rPr>
            </w:r>
          </w:p>
        </w:tc>
        <w:tc>
          <w:tcPr>
            <w:tcW w:w="11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32" w:right="0"/>
              <w:jc w:val="center"/>
              <w:rPr>
                <w:rFonts w:ascii="Arial" w:hAnsi="Arial" w:cs="Arial" w:eastAsia="Arial" w:hint="default"/>
                <w:sz w:val="18"/>
                <w:szCs w:val="18"/>
              </w:rPr>
            </w:pPr>
            <w:r>
              <w:rPr>
                <w:rFonts w:ascii="Arial"/>
                <w:sz w:val="18"/>
              </w:rPr>
              <w:t>2015-03-20</w:t>
            </w:r>
          </w:p>
        </w:tc>
        <w:tc>
          <w:tcPr>
            <w:tcW w:w="1134"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 w:right="0"/>
              <w:jc w:val="center"/>
              <w:rPr>
                <w:rFonts w:ascii="Arial" w:hAnsi="Arial" w:cs="Arial" w:eastAsia="Arial" w:hint="default"/>
                <w:sz w:val="18"/>
                <w:szCs w:val="18"/>
              </w:rPr>
            </w:pPr>
            <w:r>
              <w:rPr>
                <w:rFonts w:ascii="Arial"/>
                <w:sz w:val="18"/>
              </w:rPr>
              <w:t>2016-03-19</w:t>
            </w:r>
          </w:p>
        </w:tc>
        <w:tc>
          <w:tcPr>
            <w:tcW w:w="100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right="10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5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221"/>
              <w:jc w:val="left"/>
              <w:rPr>
                <w:rFonts w:ascii="宋体" w:hAnsi="宋体" w:cs="宋体" w:eastAsia="宋体" w:hint="default"/>
                <w:sz w:val="18"/>
                <w:szCs w:val="18"/>
              </w:rPr>
            </w:pPr>
            <w:r>
              <w:rPr>
                <w:rFonts w:ascii="宋体" w:hAnsi="宋体" w:cs="宋体" w:eastAsia="宋体" w:hint="default"/>
                <w:sz w:val="18"/>
                <w:szCs w:val="18"/>
              </w:rPr>
              <w:t>深圳市神州通投 资集团有限公司</w:t>
            </w:r>
          </w:p>
        </w:tc>
        <w:tc>
          <w:tcPr>
            <w:tcW w:w="1386"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4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6"/>
              <w:jc w:val="right"/>
              <w:rPr>
                <w:rFonts w:ascii="Arial" w:hAnsi="Arial" w:cs="Arial" w:eastAsia="Arial" w:hint="default"/>
                <w:sz w:val="18"/>
                <w:szCs w:val="18"/>
              </w:rPr>
            </w:pPr>
            <w:r>
              <w:rPr>
                <w:rFonts w:ascii="Arial"/>
                <w:spacing w:val="-1"/>
                <w:sz w:val="18"/>
              </w:rPr>
              <w:t>3,500,000,000.00</w:t>
            </w:r>
          </w:p>
        </w:tc>
        <w:tc>
          <w:tcPr>
            <w:tcW w:w="1700"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3"/>
              <w:jc w:val="right"/>
              <w:rPr>
                <w:rFonts w:ascii="Arial" w:hAnsi="Arial" w:cs="Arial" w:eastAsia="Arial" w:hint="default"/>
                <w:sz w:val="18"/>
                <w:szCs w:val="18"/>
              </w:rPr>
            </w:pPr>
            <w:r>
              <w:rPr>
                <w:rFonts w:ascii="Arial"/>
                <w:w w:val="95"/>
                <w:sz w:val="18"/>
              </w:rPr>
              <w:t>---</w:t>
            </w:r>
            <w:r>
              <w:rPr>
                <w:rFonts w:ascii="Arial"/>
                <w:sz w:val="18"/>
              </w:rPr>
            </w:r>
          </w:p>
        </w:tc>
        <w:tc>
          <w:tcPr>
            <w:tcW w:w="11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32" w:right="0"/>
              <w:jc w:val="center"/>
              <w:rPr>
                <w:rFonts w:ascii="Arial" w:hAnsi="Arial" w:cs="Arial" w:eastAsia="Arial" w:hint="default"/>
                <w:sz w:val="18"/>
                <w:szCs w:val="18"/>
              </w:rPr>
            </w:pPr>
            <w:r>
              <w:rPr>
                <w:rFonts w:ascii="Arial"/>
                <w:sz w:val="18"/>
              </w:rPr>
              <w:t>2014-03-21</w:t>
            </w:r>
          </w:p>
        </w:tc>
        <w:tc>
          <w:tcPr>
            <w:tcW w:w="1134"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 w:right="0"/>
              <w:jc w:val="center"/>
              <w:rPr>
                <w:rFonts w:ascii="Arial" w:hAnsi="Arial" w:cs="Arial" w:eastAsia="Arial" w:hint="default"/>
                <w:sz w:val="18"/>
                <w:szCs w:val="18"/>
              </w:rPr>
            </w:pPr>
            <w:r>
              <w:rPr>
                <w:rFonts w:ascii="Arial"/>
                <w:sz w:val="18"/>
              </w:rPr>
              <w:t>2016-03-20</w:t>
            </w:r>
          </w:p>
        </w:tc>
        <w:tc>
          <w:tcPr>
            <w:tcW w:w="100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5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221"/>
              <w:jc w:val="left"/>
              <w:rPr>
                <w:rFonts w:ascii="宋体" w:hAnsi="宋体" w:cs="宋体" w:eastAsia="宋体" w:hint="default"/>
                <w:sz w:val="18"/>
                <w:szCs w:val="18"/>
              </w:rPr>
            </w:pPr>
            <w:r>
              <w:rPr>
                <w:rFonts w:ascii="宋体" w:hAnsi="宋体" w:cs="宋体" w:eastAsia="宋体" w:hint="default"/>
                <w:sz w:val="18"/>
                <w:szCs w:val="18"/>
              </w:rPr>
              <w:t>深圳市神州通投 资集团有限公司</w:t>
            </w:r>
          </w:p>
        </w:tc>
        <w:tc>
          <w:tcPr>
            <w:tcW w:w="1386" w:type="dxa"/>
            <w:tcBorders>
              <w:top w:val="single" w:sz="4" w:space="0" w:color="5B9BD4"/>
              <w:left w:val="nil" w:sz="6" w:space="0" w:color="auto"/>
              <w:bottom w:val="single" w:sz="4" w:space="0" w:color="5B9BD4"/>
              <w:right w:val="nil" w:sz="6" w:space="0" w:color="auto"/>
            </w:tcBorders>
          </w:tcPr>
          <w:p>
            <w:pPr>
              <w:pStyle w:val="TableParagraph"/>
              <w:spacing w:line="240" w:lineRule="auto" w:before="161"/>
              <w:ind w:left="108"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4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700,000,000.00</w:t>
            </w:r>
            <w:r>
              <w:rPr>
                <w:rFonts w:ascii="Arial"/>
                <w:sz w:val="18"/>
              </w:rPr>
            </w:r>
          </w:p>
        </w:tc>
        <w:tc>
          <w:tcPr>
            <w:tcW w:w="1700"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3"/>
              <w:jc w:val="right"/>
              <w:rPr>
                <w:rFonts w:ascii="Arial" w:hAnsi="Arial" w:cs="Arial" w:eastAsia="Arial" w:hint="default"/>
                <w:sz w:val="18"/>
                <w:szCs w:val="18"/>
              </w:rPr>
            </w:pPr>
            <w:r>
              <w:rPr>
                <w:rFonts w:ascii="Arial"/>
                <w:w w:val="95"/>
                <w:sz w:val="18"/>
              </w:rPr>
              <w:t>---</w:t>
            </w:r>
            <w:r>
              <w:rPr>
                <w:rFonts w:ascii="Arial"/>
                <w:sz w:val="18"/>
              </w:rPr>
            </w:r>
          </w:p>
        </w:tc>
        <w:tc>
          <w:tcPr>
            <w:tcW w:w="11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32" w:right="0"/>
              <w:jc w:val="center"/>
              <w:rPr>
                <w:rFonts w:ascii="Arial" w:hAnsi="Arial" w:cs="Arial" w:eastAsia="Arial" w:hint="default"/>
                <w:sz w:val="18"/>
                <w:szCs w:val="18"/>
              </w:rPr>
            </w:pPr>
            <w:r>
              <w:rPr>
                <w:rFonts w:ascii="Arial"/>
                <w:sz w:val="18"/>
              </w:rPr>
              <w:t>2015-05-26</w:t>
            </w:r>
          </w:p>
        </w:tc>
        <w:tc>
          <w:tcPr>
            <w:tcW w:w="1134"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 w:right="0"/>
              <w:jc w:val="center"/>
              <w:rPr>
                <w:rFonts w:ascii="Arial" w:hAnsi="Arial" w:cs="Arial" w:eastAsia="Arial" w:hint="default"/>
                <w:sz w:val="18"/>
                <w:szCs w:val="18"/>
              </w:rPr>
            </w:pPr>
            <w:r>
              <w:rPr>
                <w:rFonts w:ascii="Arial"/>
                <w:sz w:val="18"/>
              </w:rPr>
              <w:t>2016-05-25</w:t>
            </w:r>
          </w:p>
        </w:tc>
        <w:tc>
          <w:tcPr>
            <w:tcW w:w="100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right="10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5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221"/>
              <w:jc w:val="left"/>
              <w:rPr>
                <w:rFonts w:ascii="宋体" w:hAnsi="宋体" w:cs="宋体" w:eastAsia="宋体" w:hint="default"/>
                <w:sz w:val="18"/>
                <w:szCs w:val="18"/>
              </w:rPr>
            </w:pPr>
            <w:r>
              <w:rPr>
                <w:rFonts w:ascii="宋体" w:hAnsi="宋体" w:cs="宋体" w:eastAsia="宋体" w:hint="default"/>
                <w:sz w:val="18"/>
                <w:szCs w:val="18"/>
              </w:rPr>
              <w:t>深圳市神州通投 资集团有限公司</w:t>
            </w:r>
          </w:p>
        </w:tc>
        <w:tc>
          <w:tcPr>
            <w:tcW w:w="1386" w:type="dxa"/>
            <w:tcBorders>
              <w:top w:val="single" w:sz="4" w:space="0" w:color="5B9BD4"/>
              <w:left w:val="nil" w:sz="6" w:space="0" w:color="auto"/>
              <w:bottom w:val="single" w:sz="4" w:space="0" w:color="5B9BD4"/>
              <w:right w:val="nil" w:sz="6" w:space="0" w:color="auto"/>
            </w:tcBorders>
          </w:tcPr>
          <w:p>
            <w:pPr>
              <w:pStyle w:val="TableParagraph"/>
              <w:spacing w:line="240" w:lineRule="auto" w:before="161"/>
              <w:ind w:left="108"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4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500,000,000.00</w:t>
            </w:r>
            <w:r>
              <w:rPr>
                <w:rFonts w:ascii="Arial"/>
                <w:sz w:val="18"/>
              </w:rPr>
            </w:r>
          </w:p>
        </w:tc>
        <w:tc>
          <w:tcPr>
            <w:tcW w:w="1700"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300,000,000.00</w:t>
            </w:r>
            <w:r>
              <w:rPr>
                <w:rFonts w:ascii="Arial"/>
                <w:sz w:val="18"/>
              </w:rPr>
            </w:r>
          </w:p>
        </w:tc>
        <w:tc>
          <w:tcPr>
            <w:tcW w:w="11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32" w:right="0"/>
              <w:jc w:val="center"/>
              <w:rPr>
                <w:rFonts w:ascii="Arial" w:hAnsi="Arial" w:cs="Arial" w:eastAsia="Arial" w:hint="default"/>
                <w:sz w:val="18"/>
                <w:szCs w:val="18"/>
              </w:rPr>
            </w:pPr>
            <w:r>
              <w:rPr>
                <w:rFonts w:ascii="Arial"/>
                <w:sz w:val="18"/>
              </w:rPr>
              <w:t>2015-09-11</w:t>
            </w:r>
          </w:p>
        </w:tc>
        <w:tc>
          <w:tcPr>
            <w:tcW w:w="1134"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 w:right="0"/>
              <w:jc w:val="center"/>
              <w:rPr>
                <w:rFonts w:ascii="Arial" w:hAnsi="Arial" w:cs="Arial" w:eastAsia="Arial" w:hint="default"/>
                <w:sz w:val="18"/>
                <w:szCs w:val="18"/>
              </w:rPr>
            </w:pPr>
            <w:r>
              <w:rPr>
                <w:rFonts w:ascii="Arial"/>
                <w:sz w:val="18"/>
              </w:rPr>
              <w:t>2016-09-10</w:t>
            </w:r>
          </w:p>
        </w:tc>
        <w:tc>
          <w:tcPr>
            <w:tcW w:w="100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right="10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35" w:hRule="exact"/>
        </w:trPr>
        <w:tc>
          <w:tcPr>
            <w:tcW w:w="15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6"/>
              <w:ind w:left="108" w:right="221"/>
              <w:jc w:val="left"/>
              <w:rPr>
                <w:rFonts w:ascii="宋体" w:hAnsi="宋体" w:cs="宋体" w:eastAsia="宋体" w:hint="default"/>
                <w:sz w:val="18"/>
                <w:szCs w:val="18"/>
              </w:rPr>
            </w:pPr>
            <w:r>
              <w:rPr>
                <w:rFonts w:ascii="宋体" w:hAnsi="宋体" w:cs="宋体" w:eastAsia="宋体" w:hint="default"/>
                <w:sz w:val="18"/>
                <w:szCs w:val="18"/>
              </w:rPr>
              <w:t>深圳市神州通投 资集团有限公司</w:t>
            </w:r>
          </w:p>
        </w:tc>
        <w:tc>
          <w:tcPr>
            <w:tcW w:w="1386" w:type="dxa"/>
            <w:tcBorders>
              <w:top w:val="single" w:sz="4" w:space="0" w:color="5B9BD4"/>
              <w:left w:val="nil" w:sz="6" w:space="0" w:color="auto"/>
              <w:bottom w:val="single" w:sz="4" w:space="0" w:color="5B9BD4"/>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4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400,000,000.00</w:t>
            </w:r>
            <w:r>
              <w:rPr>
                <w:rFonts w:ascii="Arial"/>
                <w:sz w:val="18"/>
              </w:rPr>
            </w:r>
          </w:p>
        </w:tc>
        <w:tc>
          <w:tcPr>
            <w:tcW w:w="1700"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03"/>
              <w:jc w:val="right"/>
              <w:rPr>
                <w:rFonts w:ascii="Arial" w:hAnsi="Arial" w:cs="Arial" w:eastAsia="Arial" w:hint="default"/>
                <w:sz w:val="18"/>
                <w:szCs w:val="18"/>
              </w:rPr>
            </w:pPr>
            <w:r>
              <w:rPr>
                <w:rFonts w:ascii="Arial"/>
                <w:w w:val="95"/>
                <w:sz w:val="18"/>
              </w:rPr>
              <w:t>3,150,000.00</w:t>
            </w:r>
            <w:r>
              <w:rPr>
                <w:rFonts w:ascii="Arial"/>
                <w:sz w:val="18"/>
              </w:rPr>
            </w:r>
          </w:p>
        </w:tc>
        <w:tc>
          <w:tcPr>
            <w:tcW w:w="11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32" w:right="0"/>
              <w:jc w:val="center"/>
              <w:rPr>
                <w:rFonts w:ascii="Arial" w:hAnsi="Arial" w:cs="Arial" w:eastAsia="Arial" w:hint="default"/>
                <w:sz w:val="18"/>
                <w:szCs w:val="18"/>
              </w:rPr>
            </w:pPr>
            <w:r>
              <w:rPr>
                <w:rFonts w:ascii="Arial"/>
                <w:sz w:val="18"/>
              </w:rPr>
              <w:t>2015-07-27</w:t>
            </w:r>
          </w:p>
        </w:tc>
        <w:tc>
          <w:tcPr>
            <w:tcW w:w="1134" w:type="dxa"/>
            <w:tcBorders>
              <w:top w:val="single" w:sz="4" w:space="0" w:color="5B9BD4"/>
              <w:left w:val="nil" w:sz="6" w:space="0" w:color="auto"/>
              <w:bottom w:val="single" w:sz="4" w:space="0" w:color="5B9BD4"/>
              <w:right w:val="nil" w:sz="6" w:space="0" w:color="auto"/>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 w:right="0"/>
              <w:jc w:val="center"/>
              <w:rPr>
                <w:rFonts w:ascii="Arial" w:hAnsi="Arial" w:cs="Arial" w:eastAsia="Arial" w:hint="default"/>
                <w:sz w:val="18"/>
                <w:szCs w:val="18"/>
              </w:rPr>
            </w:pPr>
            <w:r>
              <w:rPr>
                <w:rFonts w:ascii="Arial"/>
                <w:sz w:val="18"/>
              </w:rPr>
              <w:t>2016-06-06</w:t>
            </w:r>
          </w:p>
        </w:tc>
        <w:tc>
          <w:tcPr>
            <w:tcW w:w="100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5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221"/>
              <w:jc w:val="left"/>
              <w:rPr>
                <w:rFonts w:ascii="宋体" w:hAnsi="宋体" w:cs="宋体" w:eastAsia="宋体" w:hint="default"/>
                <w:sz w:val="18"/>
                <w:szCs w:val="18"/>
              </w:rPr>
            </w:pPr>
            <w:r>
              <w:rPr>
                <w:rFonts w:ascii="宋体" w:hAnsi="宋体" w:cs="宋体" w:eastAsia="宋体" w:hint="default"/>
                <w:sz w:val="18"/>
                <w:szCs w:val="18"/>
              </w:rPr>
              <w:t>深圳市神州通投 资集团有限公司</w:t>
            </w:r>
          </w:p>
        </w:tc>
        <w:tc>
          <w:tcPr>
            <w:tcW w:w="1386" w:type="dxa"/>
            <w:tcBorders>
              <w:top w:val="single" w:sz="4" w:space="0" w:color="5B9BD4"/>
              <w:left w:val="nil" w:sz="6" w:space="0" w:color="auto"/>
              <w:bottom w:val="single" w:sz="4" w:space="0" w:color="5B9BD4"/>
              <w:right w:val="nil" w:sz="6" w:space="0" w:color="auto"/>
            </w:tcBorders>
          </w:tcPr>
          <w:p>
            <w:pPr>
              <w:pStyle w:val="TableParagraph"/>
              <w:spacing w:line="240" w:lineRule="auto" w:before="161"/>
              <w:ind w:left="108"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4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700,000,000.00</w:t>
            </w:r>
            <w:r>
              <w:rPr>
                <w:rFonts w:ascii="Arial"/>
                <w:sz w:val="18"/>
              </w:rPr>
            </w:r>
          </w:p>
        </w:tc>
        <w:tc>
          <w:tcPr>
            <w:tcW w:w="1700"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290,000,000.00</w:t>
            </w:r>
            <w:r>
              <w:rPr>
                <w:rFonts w:ascii="Arial"/>
                <w:sz w:val="18"/>
              </w:rPr>
            </w:r>
          </w:p>
        </w:tc>
        <w:tc>
          <w:tcPr>
            <w:tcW w:w="11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32" w:right="0"/>
              <w:jc w:val="center"/>
              <w:rPr>
                <w:rFonts w:ascii="Arial" w:hAnsi="Arial" w:cs="Arial" w:eastAsia="Arial" w:hint="default"/>
                <w:sz w:val="18"/>
                <w:szCs w:val="18"/>
              </w:rPr>
            </w:pPr>
            <w:r>
              <w:rPr>
                <w:rFonts w:ascii="Arial"/>
                <w:sz w:val="18"/>
              </w:rPr>
              <w:t>2015-11-10</w:t>
            </w:r>
          </w:p>
        </w:tc>
        <w:tc>
          <w:tcPr>
            <w:tcW w:w="1134"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 w:right="0"/>
              <w:jc w:val="center"/>
              <w:rPr>
                <w:rFonts w:ascii="Arial" w:hAnsi="Arial" w:cs="Arial" w:eastAsia="Arial" w:hint="default"/>
                <w:sz w:val="18"/>
                <w:szCs w:val="18"/>
              </w:rPr>
            </w:pPr>
            <w:r>
              <w:rPr>
                <w:rFonts w:ascii="Arial"/>
                <w:sz w:val="18"/>
              </w:rPr>
              <w:t>2016-11-09</w:t>
            </w:r>
          </w:p>
        </w:tc>
        <w:tc>
          <w:tcPr>
            <w:tcW w:w="100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right="10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5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13"/>
              <w:jc w:val="center"/>
              <w:rPr>
                <w:rFonts w:ascii="宋体" w:hAnsi="宋体" w:cs="宋体" w:eastAsia="宋体" w:hint="default"/>
                <w:sz w:val="18"/>
                <w:szCs w:val="18"/>
              </w:rPr>
            </w:pPr>
            <w:r>
              <w:rPr>
                <w:rFonts w:ascii="宋体" w:hAnsi="宋体" w:cs="宋体" w:eastAsia="宋体" w:hint="default"/>
                <w:sz w:val="18"/>
                <w:szCs w:val="18"/>
              </w:rPr>
              <w:t>深圳市神州通投</w:t>
            </w:r>
          </w:p>
        </w:tc>
        <w:tc>
          <w:tcPr>
            <w:tcW w:w="1386"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4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400,000,000.00</w:t>
            </w:r>
            <w:r>
              <w:rPr>
                <w:rFonts w:ascii="Arial"/>
                <w:sz w:val="18"/>
              </w:rPr>
            </w:r>
          </w:p>
        </w:tc>
        <w:tc>
          <w:tcPr>
            <w:tcW w:w="170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200,000,000.00</w:t>
            </w:r>
            <w:r>
              <w:rPr>
                <w:rFonts w:ascii="Arial"/>
                <w:sz w:val="18"/>
              </w:rPr>
            </w:r>
          </w:p>
        </w:tc>
        <w:tc>
          <w:tcPr>
            <w:tcW w:w="11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32" w:right="0"/>
              <w:jc w:val="center"/>
              <w:rPr>
                <w:rFonts w:ascii="Arial" w:hAnsi="Arial" w:cs="Arial" w:eastAsia="Arial" w:hint="default"/>
                <w:sz w:val="18"/>
                <w:szCs w:val="18"/>
              </w:rPr>
            </w:pPr>
            <w:r>
              <w:rPr>
                <w:rFonts w:ascii="Arial"/>
                <w:sz w:val="18"/>
              </w:rPr>
              <w:t>2015-09-15</w:t>
            </w:r>
          </w:p>
        </w:tc>
        <w:tc>
          <w:tcPr>
            <w:tcW w:w="1134"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 w:right="0"/>
              <w:jc w:val="center"/>
              <w:rPr>
                <w:rFonts w:ascii="Arial" w:hAnsi="Arial" w:cs="Arial" w:eastAsia="Arial" w:hint="default"/>
                <w:sz w:val="18"/>
                <w:szCs w:val="18"/>
              </w:rPr>
            </w:pPr>
            <w:r>
              <w:rPr>
                <w:rFonts w:ascii="Arial"/>
                <w:sz w:val="18"/>
              </w:rPr>
              <w:t>2016-09-15</w:t>
            </w:r>
          </w:p>
        </w:tc>
        <w:tc>
          <w:tcPr>
            <w:tcW w:w="100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07"/>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right"/>
        <w:rPr>
          <w:rFonts w:ascii="宋体" w:hAnsi="宋体" w:cs="宋体" w:eastAsia="宋体" w:hint="default"/>
          <w:sz w:val="18"/>
          <w:szCs w:val="18"/>
        </w:rPr>
        <w:sectPr>
          <w:pgSz w:w="11910" w:h="16840"/>
          <w:pgMar w:header="877" w:footer="979" w:top="1100" w:bottom="1160" w:left="920" w:right="0"/>
        </w:sectPr>
      </w:pPr>
    </w:p>
    <w:p>
      <w:pPr>
        <w:spacing w:line="240" w:lineRule="auto" w:before="6"/>
        <w:rPr>
          <w:rFonts w:ascii="宋体" w:hAnsi="宋体" w:cs="宋体" w:eastAsia="宋体" w:hint="default"/>
          <w:b/>
          <w:bCs/>
          <w:sz w:val="24"/>
          <w:szCs w:val="24"/>
        </w:rPr>
      </w:pPr>
    </w:p>
    <w:tbl>
      <w:tblPr>
        <w:tblW w:w="0" w:type="auto"/>
        <w:jc w:val="left"/>
        <w:tblInd w:w="101" w:type="dxa"/>
        <w:tblLayout w:type="fixed"/>
        <w:tblCellMar>
          <w:top w:w="0" w:type="dxa"/>
          <w:left w:w="0" w:type="dxa"/>
          <w:bottom w:w="0" w:type="dxa"/>
          <w:right w:w="0" w:type="dxa"/>
        </w:tblCellMar>
        <w:tblLook w:val="01E0"/>
      </w:tblPr>
      <w:tblGrid>
        <w:gridCol w:w="1592"/>
        <w:gridCol w:w="1386"/>
        <w:gridCol w:w="1746"/>
        <w:gridCol w:w="1700"/>
        <w:gridCol w:w="1166"/>
        <w:gridCol w:w="1134"/>
        <w:gridCol w:w="1008"/>
      </w:tblGrid>
      <w:tr>
        <w:trPr>
          <w:trHeight w:val="322" w:hRule="exact"/>
        </w:trPr>
        <w:tc>
          <w:tcPr>
            <w:tcW w:w="15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资集团有限公司</w:t>
            </w:r>
          </w:p>
        </w:tc>
        <w:tc>
          <w:tcPr>
            <w:tcW w:w="1386" w:type="dxa"/>
            <w:tcBorders>
              <w:top w:val="single" w:sz="4" w:space="0" w:color="5B9BD4"/>
              <w:left w:val="nil" w:sz="6" w:space="0" w:color="auto"/>
              <w:bottom w:val="single" w:sz="4" w:space="0" w:color="5B9BD4"/>
              <w:right w:val="nil" w:sz="6" w:space="0" w:color="auto"/>
            </w:tcBorders>
          </w:tcPr>
          <w:p>
            <w:pPr/>
          </w:p>
        </w:tc>
        <w:tc>
          <w:tcPr>
            <w:tcW w:w="1746" w:type="dxa"/>
            <w:tcBorders>
              <w:top w:val="single" w:sz="4" w:space="0" w:color="5B9BD4"/>
              <w:left w:val="nil" w:sz="6" w:space="0" w:color="auto"/>
              <w:bottom w:val="single" w:sz="4" w:space="0" w:color="5B9BD4"/>
              <w:right w:val="nil" w:sz="6" w:space="0" w:color="auto"/>
            </w:tcBorders>
            <w:shd w:val="clear" w:color="auto" w:fill="DEEAF6"/>
          </w:tcPr>
          <w:p>
            <w:pPr/>
          </w:p>
        </w:tc>
        <w:tc>
          <w:tcPr>
            <w:tcW w:w="1700" w:type="dxa"/>
            <w:tcBorders>
              <w:top w:val="single" w:sz="4" w:space="0" w:color="5B9BD4"/>
              <w:left w:val="nil" w:sz="6" w:space="0" w:color="auto"/>
              <w:bottom w:val="single" w:sz="4" w:space="0" w:color="5B9BD4"/>
              <w:right w:val="nil" w:sz="6" w:space="0" w:color="auto"/>
            </w:tcBorders>
          </w:tcPr>
          <w:p>
            <w:pPr/>
          </w:p>
        </w:tc>
        <w:tc>
          <w:tcPr>
            <w:tcW w:w="1166" w:type="dxa"/>
            <w:tcBorders>
              <w:top w:val="single" w:sz="4" w:space="0" w:color="5B9BD4"/>
              <w:left w:val="nil" w:sz="6" w:space="0" w:color="auto"/>
              <w:bottom w:val="single" w:sz="4" w:space="0" w:color="5B9BD4"/>
              <w:right w:val="nil" w:sz="6" w:space="0" w:color="auto"/>
            </w:tcBorders>
            <w:shd w:val="clear" w:color="auto" w:fill="DEEAF6"/>
          </w:tcPr>
          <w:p>
            <w:pPr/>
          </w:p>
        </w:tc>
        <w:tc>
          <w:tcPr>
            <w:tcW w:w="1134" w:type="dxa"/>
            <w:tcBorders>
              <w:top w:val="single" w:sz="4" w:space="0" w:color="5B9BD4"/>
              <w:left w:val="nil" w:sz="6" w:space="0" w:color="auto"/>
              <w:bottom w:val="single" w:sz="4" w:space="0" w:color="5B9BD4"/>
              <w:right w:val="nil" w:sz="6" w:space="0" w:color="auto"/>
            </w:tcBorders>
          </w:tcPr>
          <w:p>
            <w:pPr/>
          </w:p>
        </w:tc>
        <w:tc>
          <w:tcPr>
            <w:tcW w:w="100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4" w:hRule="exact"/>
        </w:trPr>
        <w:tc>
          <w:tcPr>
            <w:tcW w:w="15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221"/>
              <w:jc w:val="left"/>
              <w:rPr>
                <w:rFonts w:ascii="宋体" w:hAnsi="宋体" w:cs="宋体" w:eastAsia="宋体" w:hint="default"/>
                <w:sz w:val="18"/>
                <w:szCs w:val="18"/>
              </w:rPr>
            </w:pPr>
            <w:r>
              <w:rPr>
                <w:rFonts w:ascii="宋体" w:hAnsi="宋体" w:cs="宋体" w:eastAsia="宋体" w:hint="default"/>
                <w:sz w:val="18"/>
                <w:szCs w:val="18"/>
              </w:rPr>
              <w:t>深圳市神州通投 资集团有限公司</w:t>
            </w:r>
          </w:p>
        </w:tc>
        <w:tc>
          <w:tcPr>
            <w:tcW w:w="1386"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4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200,000,000.00</w:t>
            </w:r>
            <w:r>
              <w:rPr>
                <w:rFonts w:ascii="Arial"/>
                <w:sz w:val="18"/>
              </w:rPr>
            </w:r>
          </w:p>
        </w:tc>
        <w:tc>
          <w:tcPr>
            <w:tcW w:w="1700"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200,000,000.00</w:t>
            </w:r>
            <w:r>
              <w:rPr>
                <w:rFonts w:ascii="Arial"/>
                <w:sz w:val="18"/>
              </w:rPr>
            </w:r>
          </w:p>
        </w:tc>
        <w:tc>
          <w:tcPr>
            <w:tcW w:w="11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32" w:right="0"/>
              <w:jc w:val="center"/>
              <w:rPr>
                <w:rFonts w:ascii="Arial" w:hAnsi="Arial" w:cs="Arial" w:eastAsia="Arial" w:hint="default"/>
                <w:sz w:val="18"/>
                <w:szCs w:val="18"/>
              </w:rPr>
            </w:pPr>
            <w:r>
              <w:rPr>
                <w:rFonts w:ascii="Arial"/>
                <w:sz w:val="18"/>
              </w:rPr>
              <w:t>2015-04-03</w:t>
            </w:r>
          </w:p>
        </w:tc>
        <w:tc>
          <w:tcPr>
            <w:tcW w:w="1134"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7"/>
              <w:jc w:val="right"/>
              <w:rPr>
                <w:rFonts w:ascii="Arial" w:hAnsi="Arial" w:cs="Arial" w:eastAsia="Arial" w:hint="default"/>
                <w:sz w:val="18"/>
                <w:szCs w:val="18"/>
              </w:rPr>
            </w:pPr>
            <w:r>
              <w:rPr>
                <w:rFonts w:ascii="Arial"/>
                <w:spacing w:val="-1"/>
                <w:w w:val="95"/>
                <w:sz w:val="18"/>
              </w:rPr>
              <w:t>2016-04-03</w:t>
            </w:r>
            <w:r>
              <w:rPr>
                <w:rFonts w:ascii="Arial"/>
                <w:sz w:val="18"/>
              </w:rPr>
            </w:r>
          </w:p>
        </w:tc>
        <w:tc>
          <w:tcPr>
            <w:tcW w:w="100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5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5"/>
              <w:ind w:left="108" w:right="221"/>
              <w:jc w:val="left"/>
              <w:rPr>
                <w:rFonts w:ascii="宋体" w:hAnsi="宋体" w:cs="宋体" w:eastAsia="宋体" w:hint="default"/>
                <w:sz w:val="18"/>
                <w:szCs w:val="18"/>
              </w:rPr>
            </w:pPr>
            <w:r>
              <w:rPr>
                <w:rFonts w:ascii="宋体" w:hAnsi="宋体" w:cs="宋体" w:eastAsia="宋体" w:hint="default"/>
                <w:sz w:val="18"/>
                <w:szCs w:val="18"/>
              </w:rPr>
              <w:t>深圳市神州通投 资集团有限公司</w:t>
            </w:r>
          </w:p>
        </w:tc>
        <w:tc>
          <w:tcPr>
            <w:tcW w:w="1386" w:type="dxa"/>
            <w:tcBorders>
              <w:top w:val="single" w:sz="4" w:space="0" w:color="5B9BD4"/>
              <w:left w:val="nil" w:sz="6" w:space="0" w:color="auto"/>
              <w:bottom w:val="single" w:sz="4" w:space="0" w:color="5B9BD4"/>
              <w:right w:val="nil" w:sz="6" w:space="0" w:color="auto"/>
            </w:tcBorders>
          </w:tcPr>
          <w:p>
            <w:pPr>
              <w:pStyle w:val="TableParagraph"/>
              <w:spacing w:line="240" w:lineRule="auto" w:before="161"/>
              <w:ind w:left="108"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4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400,000,000.00</w:t>
            </w:r>
            <w:r>
              <w:rPr>
                <w:rFonts w:ascii="Arial"/>
                <w:sz w:val="18"/>
              </w:rPr>
            </w:r>
          </w:p>
        </w:tc>
        <w:tc>
          <w:tcPr>
            <w:tcW w:w="1700"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300,000,000.00</w:t>
            </w:r>
            <w:r>
              <w:rPr>
                <w:rFonts w:ascii="Arial"/>
                <w:sz w:val="18"/>
              </w:rPr>
            </w:r>
          </w:p>
        </w:tc>
        <w:tc>
          <w:tcPr>
            <w:tcW w:w="11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32" w:right="0"/>
              <w:jc w:val="center"/>
              <w:rPr>
                <w:rFonts w:ascii="Arial" w:hAnsi="Arial" w:cs="Arial" w:eastAsia="Arial" w:hint="default"/>
                <w:sz w:val="18"/>
                <w:szCs w:val="18"/>
              </w:rPr>
            </w:pPr>
            <w:r>
              <w:rPr>
                <w:rFonts w:ascii="Arial"/>
                <w:sz w:val="18"/>
              </w:rPr>
              <w:t>2014-12-04</w:t>
            </w:r>
          </w:p>
        </w:tc>
        <w:tc>
          <w:tcPr>
            <w:tcW w:w="1134"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7"/>
              <w:jc w:val="right"/>
              <w:rPr>
                <w:rFonts w:ascii="Arial" w:hAnsi="Arial" w:cs="Arial" w:eastAsia="Arial" w:hint="default"/>
                <w:sz w:val="18"/>
                <w:szCs w:val="18"/>
              </w:rPr>
            </w:pPr>
            <w:r>
              <w:rPr>
                <w:rFonts w:ascii="Arial"/>
                <w:spacing w:val="-1"/>
                <w:w w:val="95"/>
                <w:sz w:val="18"/>
              </w:rPr>
              <w:t>2015-12-04</w:t>
            </w:r>
            <w:r>
              <w:rPr>
                <w:rFonts w:ascii="Arial"/>
                <w:sz w:val="18"/>
              </w:rPr>
            </w:r>
          </w:p>
        </w:tc>
        <w:tc>
          <w:tcPr>
            <w:tcW w:w="100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right="10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5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221"/>
              <w:jc w:val="left"/>
              <w:rPr>
                <w:rFonts w:ascii="宋体" w:hAnsi="宋体" w:cs="宋体" w:eastAsia="宋体" w:hint="default"/>
                <w:sz w:val="18"/>
                <w:szCs w:val="18"/>
              </w:rPr>
            </w:pPr>
            <w:r>
              <w:rPr>
                <w:rFonts w:ascii="宋体" w:hAnsi="宋体" w:cs="宋体" w:eastAsia="宋体" w:hint="default"/>
                <w:sz w:val="18"/>
                <w:szCs w:val="18"/>
              </w:rPr>
              <w:t>深圳市神州通投 资集团有限公司</w:t>
            </w:r>
          </w:p>
        </w:tc>
        <w:tc>
          <w:tcPr>
            <w:tcW w:w="1386" w:type="dxa"/>
            <w:tcBorders>
              <w:top w:val="single" w:sz="4" w:space="0" w:color="5B9BD4"/>
              <w:left w:val="nil" w:sz="6" w:space="0" w:color="auto"/>
              <w:bottom w:val="single" w:sz="4" w:space="0" w:color="5B9BD4"/>
              <w:right w:val="nil" w:sz="6" w:space="0" w:color="auto"/>
            </w:tcBorders>
          </w:tcPr>
          <w:p>
            <w:pPr>
              <w:pStyle w:val="TableParagraph"/>
              <w:spacing w:line="240" w:lineRule="auto" w:before="161"/>
              <w:ind w:left="108"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4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400,000,000.00</w:t>
            </w:r>
            <w:r>
              <w:rPr>
                <w:rFonts w:ascii="Arial"/>
                <w:sz w:val="18"/>
              </w:rPr>
            </w:r>
          </w:p>
        </w:tc>
        <w:tc>
          <w:tcPr>
            <w:tcW w:w="1700"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100,000,000.00</w:t>
            </w:r>
            <w:r>
              <w:rPr>
                <w:rFonts w:ascii="Arial"/>
                <w:sz w:val="18"/>
              </w:rPr>
            </w:r>
          </w:p>
        </w:tc>
        <w:tc>
          <w:tcPr>
            <w:tcW w:w="11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32" w:right="0"/>
              <w:jc w:val="center"/>
              <w:rPr>
                <w:rFonts w:ascii="Arial" w:hAnsi="Arial" w:cs="Arial" w:eastAsia="Arial" w:hint="default"/>
                <w:sz w:val="18"/>
                <w:szCs w:val="18"/>
              </w:rPr>
            </w:pPr>
            <w:r>
              <w:rPr>
                <w:rFonts w:ascii="Arial"/>
                <w:sz w:val="18"/>
              </w:rPr>
              <w:t>2014-12-11</w:t>
            </w:r>
          </w:p>
        </w:tc>
        <w:tc>
          <w:tcPr>
            <w:tcW w:w="1134"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7"/>
              <w:jc w:val="right"/>
              <w:rPr>
                <w:rFonts w:ascii="Arial" w:hAnsi="Arial" w:cs="Arial" w:eastAsia="Arial" w:hint="default"/>
                <w:sz w:val="18"/>
                <w:szCs w:val="18"/>
              </w:rPr>
            </w:pPr>
            <w:r>
              <w:rPr>
                <w:rFonts w:ascii="Arial"/>
                <w:spacing w:val="-1"/>
                <w:w w:val="95"/>
                <w:sz w:val="18"/>
              </w:rPr>
              <w:t>2015-12-10</w:t>
            </w:r>
            <w:r>
              <w:rPr>
                <w:rFonts w:ascii="Arial"/>
                <w:sz w:val="18"/>
              </w:rPr>
            </w:r>
          </w:p>
        </w:tc>
        <w:tc>
          <w:tcPr>
            <w:tcW w:w="100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right="10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5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221"/>
              <w:jc w:val="left"/>
              <w:rPr>
                <w:rFonts w:ascii="宋体" w:hAnsi="宋体" w:cs="宋体" w:eastAsia="宋体" w:hint="default"/>
                <w:sz w:val="18"/>
                <w:szCs w:val="18"/>
              </w:rPr>
            </w:pPr>
            <w:r>
              <w:rPr>
                <w:rFonts w:ascii="宋体" w:hAnsi="宋体" w:cs="宋体" w:eastAsia="宋体" w:hint="default"/>
                <w:sz w:val="18"/>
                <w:szCs w:val="18"/>
              </w:rPr>
              <w:t>深圳市神州通投 资集团有限公司</w:t>
            </w:r>
          </w:p>
        </w:tc>
        <w:tc>
          <w:tcPr>
            <w:tcW w:w="1386"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4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300,000,000.00</w:t>
            </w:r>
            <w:r>
              <w:rPr>
                <w:rFonts w:ascii="Arial"/>
                <w:sz w:val="18"/>
              </w:rPr>
            </w:r>
          </w:p>
        </w:tc>
        <w:tc>
          <w:tcPr>
            <w:tcW w:w="1700"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100,000,000.00</w:t>
            </w:r>
            <w:r>
              <w:rPr>
                <w:rFonts w:ascii="Arial"/>
                <w:sz w:val="18"/>
              </w:rPr>
            </w:r>
          </w:p>
        </w:tc>
        <w:tc>
          <w:tcPr>
            <w:tcW w:w="11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32" w:right="0"/>
              <w:jc w:val="center"/>
              <w:rPr>
                <w:rFonts w:ascii="Arial" w:hAnsi="Arial" w:cs="Arial" w:eastAsia="Arial" w:hint="default"/>
                <w:sz w:val="18"/>
                <w:szCs w:val="18"/>
              </w:rPr>
            </w:pPr>
            <w:r>
              <w:rPr>
                <w:rFonts w:ascii="Arial"/>
                <w:sz w:val="18"/>
              </w:rPr>
              <w:t>2015-02-05</w:t>
            </w:r>
          </w:p>
        </w:tc>
        <w:tc>
          <w:tcPr>
            <w:tcW w:w="1134"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7"/>
              <w:jc w:val="right"/>
              <w:rPr>
                <w:rFonts w:ascii="Arial" w:hAnsi="Arial" w:cs="Arial" w:eastAsia="Arial" w:hint="default"/>
                <w:sz w:val="18"/>
                <w:szCs w:val="18"/>
              </w:rPr>
            </w:pPr>
            <w:r>
              <w:rPr>
                <w:rFonts w:ascii="Arial"/>
                <w:spacing w:val="-1"/>
                <w:w w:val="95"/>
                <w:sz w:val="18"/>
              </w:rPr>
              <w:t>2015-12-24</w:t>
            </w:r>
            <w:r>
              <w:rPr>
                <w:rFonts w:ascii="Arial"/>
                <w:sz w:val="18"/>
              </w:rPr>
            </w:r>
          </w:p>
        </w:tc>
        <w:tc>
          <w:tcPr>
            <w:tcW w:w="100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5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221"/>
              <w:jc w:val="left"/>
              <w:rPr>
                <w:rFonts w:ascii="宋体" w:hAnsi="宋体" w:cs="宋体" w:eastAsia="宋体" w:hint="default"/>
                <w:sz w:val="18"/>
                <w:szCs w:val="18"/>
              </w:rPr>
            </w:pPr>
            <w:r>
              <w:rPr>
                <w:rFonts w:ascii="宋体" w:hAnsi="宋体" w:cs="宋体" w:eastAsia="宋体" w:hint="default"/>
                <w:sz w:val="18"/>
                <w:szCs w:val="18"/>
              </w:rPr>
              <w:t>深圳市神州通投 资集团有限公司</w:t>
            </w:r>
          </w:p>
        </w:tc>
        <w:tc>
          <w:tcPr>
            <w:tcW w:w="1386" w:type="dxa"/>
            <w:tcBorders>
              <w:top w:val="single" w:sz="4" w:space="0" w:color="5B9BD4"/>
              <w:left w:val="nil" w:sz="6" w:space="0" w:color="auto"/>
              <w:bottom w:val="single" w:sz="4" w:space="0" w:color="5B9BD4"/>
              <w:right w:val="nil" w:sz="6" w:space="0" w:color="auto"/>
            </w:tcBorders>
          </w:tcPr>
          <w:p>
            <w:pPr>
              <w:pStyle w:val="TableParagraph"/>
              <w:spacing w:line="240" w:lineRule="auto" w:before="161"/>
              <w:ind w:left="108"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4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6"/>
              <w:jc w:val="right"/>
              <w:rPr>
                <w:rFonts w:ascii="Arial" w:hAnsi="Arial" w:cs="Arial" w:eastAsia="Arial" w:hint="default"/>
                <w:sz w:val="18"/>
                <w:szCs w:val="18"/>
              </w:rPr>
            </w:pPr>
            <w:r>
              <w:rPr>
                <w:rFonts w:ascii="Arial"/>
                <w:spacing w:val="-1"/>
                <w:sz w:val="18"/>
              </w:rPr>
              <w:t>1,240,000,000.00</w:t>
            </w:r>
          </w:p>
        </w:tc>
        <w:tc>
          <w:tcPr>
            <w:tcW w:w="1700"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4"/>
              <w:jc w:val="right"/>
              <w:rPr>
                <w:rFonts w:ascii="Arial" w:hAnsi="Arial" w:cs="Arial" w:eastAsia="Arial" w:hint="default"/>
                <w:sz w:val="18"/>
                <w:szCs w:val="18"/>
              </w:rPr>
            </w:pPr>
            <w:r>
              <w:rPr>
                <w:rFonts w:ascii="Arial"/>
                <w:spacing w:val="-1"/>
                <w:sz w:val="18"/>
              </w:rPr>
              <w:t>1,100,000,000.00</w:t>
            </w:r>
          </w:p>
        </w:tc>
        <w:tc>
          <w:tcPr>
            <w:tcW w:w="11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32" w:right="0"/>
              <w:jc w:val="center"/>
              <w:rPr>
                <w:rFonts w:ascii="Arial" w:hAnsi="Arial" w:cs="Arial" w:eastAsia="Arial" w:hint="default"/>
                <w:sz w:val="18"/>
                <w:szCs w:val="18"/>
              </w:rPr>
            </w:pPr>
            <w:r>
              <w:rPr>
                <w:rFonts w:ascii="Arial"/>
                <w:sz w:val="18"/>
              </w:rPr>
              <w:t>2014-12-23</w:t>
            </w:r>
          </w:p>
        </w:tc>
        <w:tc>
          <w:tcPr>
            <w:tcW w:w="1134"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7"/>
              <w:jc w:val="right"/>
              <w:rPr>
                <w:rFonts w:ascii="Arial" w:hAnsi="Arial" w:cs="Arial" w:eastAsia="Arial" w:hint="default"/>
                <w:sz w:val="18"/>
                <w:szCs w:val="18"/>
              </w:rPr>
            </w:pPr>
            <w:r>
              <w:rPr>
                <w:rFonts w:ascii="Arial"/>
                <w:spacing w:val="-1"/>
                <w:w w:val="95"/>
                <w:sz w:val="18"/>
              </w:rPr>
              <w:t>2015-12-23</w:t>
            </w:r>
            <w:r>
              <w:rPr>
                <w:rFonts w:ascii="Arial"/>
                <w:sz w:val="18"/>
              </w:rPr>
            </w:r>
          </w:p>
        </w:tc>
        <w:tc>
          <w:tcPr>
            <w:tcW w:w="100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right="10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5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left="108"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86" w:type="dxa"/>
            <w:tcBorders>
              <w:top w:val="single" w:sz="4" w:space="0" w:color="5B9BD4"/>
              <w:left w:val="nil" w:sz="6" w:space="0" w:color="auto"/>
              <w:bottom w:val="single" w:sz="4" w:space="0" w:color="5B9BD4"/>
              <w:right w:val="nil" w:sz="6" w:space="0" w:color="auto"/>
            </w:tcBorders>
          </w:tcPr>
          <w:p>
            <w:pPr>
              <w:pStyle w:val="TableParagraph"/>
              <w:spacing w:line="316" w:lineRule="auto" w:before="5"/>
              <w:ind w:left="108" w:right="197"/>
              <w:jc w:val="left"/>
              <w:rPr>
                <w:rFonts w:ascii="宋体" w:hAnsi="宋体" w:cs="宋体" w:eastAsia="宋体" w:hint="default"/>
                <w:sz w:val="18"/>
                <w:szCs w:val="18"/>
              </w:rPr>
            </w:pPr>
            <w:r>
              <w:rPr>
                <w:rFonts w:ascii="宋体" w:hAnsi="宋体" w:cs="宋体" w:eastAsia="宋体" w:hint="default"/>
                <w:sz w:val="18"/>
                <w:szCs w:val="18"/>
              </w:rPr>
              <w:t>深圳市酷动数 码有限公司</w:t>
            </w:r>
          </w:p>
        </w:tc>
        <w:tc>
          <w:tcPr>
            <w:tcW w:w="174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400,000,000.00</w:t>
            </w:r>
            <w:r>
              <w:rPr>
                <w:rFonts w:ascii="Arial"/>
                <w:sz w:val="18"/>
              </w:rPr>
            </w:r>
          </w:p>
        </w:tc>
        <w:tc>
          <w:tcPr>
            <w:tcW w:w="1700"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170,000,000.00</w:t>
            </w:r>
            <w:r>
              <w:rPr>
                <w:rFonts w:ascii="Arial"/>
                <w:sz w:val="18"/>
              </w:rPr>
            </w:r>
          </w:p>
        </w:tc>
        <w:tc>
          <w:tcPr>
            <w:tcW w:w="11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32" w:right="0"/>
              <w:jc w:val="center"/>
              <w:rPr>
                <w:rFonts w:ascii="Arial" w:hAnsi="Arial" w:cs="Arial" w:eastAsia="Arial" w:hint="default"/>
                <w:sz w:val="18"/>
                <w:szCs w:val="18"/>
              </w:rPr>
            </w:pPr>
            <w:r>
              <w:rPr>
                <w:rFonts w:ascii="Arial"/>
                <w:sz w:val="18"/>
              </w:rPr>
              <w:t>2015-07-15</w:t>
            </w:r>
          </w:p>
        </w:tc>
        <w:tc>
          <w:tcPr>
            <w:tcW w:w="1134"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7"/>
              <w:jc w:val="right"/>
              <w:rPr>
                <w:rFonts w:ascii="Arial" w:hAnsi="Arial" w:cs="Arial" w:eastAsia="Arial" w:hint="default"/>
                <w:sz w:val="18"/>
                <w:szCs w:val="18"/>
              </w:rPr>
            </w:pPr>
            <w:r>
              <w:rPr>
                <w:rFonts w:ascii="Arial"/>
                <w:spacing w:val="-1"/>
                <w:w w:val="95"/>
                <w:sz w:val="18"/>
              </w:rPr>
              <w:t>2016-07-15</w:t>
            </w:r>
            <w:r>
              <w:rPr>
                <w:rFonts w:ascii="Arial"/>
                <w:sz w:val="18"/>
              </w:rPr>
            </w:r>
          </w:p>
        </w:tc>
        <w:tc>
          <w:tcPr>
            <w:tcW w:w="100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right="10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5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86" w:type="dxa"/>
            <w:tcBorders>
              <w:top w:val="single" w:sz="4" w:space="0" w:color="5B9BD4"/>
              <w:left w:val="nil" w:sz="6" w:space="0" w:color="auto"/>
              <w:bottom w:val="single" w:sz="4" w:space="0" w:color="5B9BD4"/>
              <w:right w:val="nil" w:sz="6" w:space="0" w:color="auto"/>
            </w:tcBorders>
          </w:tcPr>
          <w:p>
            <w:pPr>
              <w:pStyle w:val="TableParagraph"/>
              <w:spacing w:line="316" w:lineRule="auto" w:before="6"/>
              <w:ind w:left="108" w:right="197"/>
              <w:jc w:val="left"/>
              <w:rPr>
                <w:rFonts w:ascii="宋体" w:hAnsi="宋体" w:cs="宋体" w:eastAsia="宋体" w:hint="default"/>
                <w:sz w:val="18"/>
                <w:szCs w:val="18"/>
              </w:rPr>
            </w:pPr>
            <w:r>
              <w:rPr>
                <w:rFonts w:ascii="宋体" w:hAnsi="宋体" w:cs="宋体" w:eastAsia="宋体" w:hint="default"/>
                <w:sz w:val="18"/>
                <w:szCs w:val="18"/>
              </w:rPr>
              <w:t>深圳市酷动数 码有限公司</w:t>
            </w:r>
          </w:p>
        </w:tc>
        <w:tc>
          <w:tcPr>
            <w:tcW w:w="174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60,000,000.00</w:t>
            </w:r>
            <w:r>
              <w:rPr>
                <w:rFonts w:ascii="Arial"/>
                <w:sz w:val="18"/>
              </w:rPr>
            </w:r>
          </w:p>
        </w:tc>
        <w:tc>
          <w:tcPr>
            <w:tcW w:w="1700"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3"/>
              <w:jc w:val="right"/>
              <w:rPr>
                <w:rFonts w:ascii="Arial" w:hAnsi="Arial" w:cs="Arial" w:eastAsia="Arial" w:hint="default"/>
                <w:sz w:val="18"/>
                <w:szCs w:val="18"/>
              </w:rPr>
            </w:pPr>
            <w:r>
              <w:rPr>
                <w:rFonts w:ascii="Arial"/>
                <w:w w:val="95"/>
                <w:sz w:val="18"/>
              </w:rPr>
              <w:t>---</w:t>
            </w:r>
            <w:r>
              <w:rPr>
                <w:rFonts w:ascii="Arial"/>
                <w:sz w:val="18"/>
              </w:rPr>
            </w:r>
          </w:p>
        </w:tc>
        <w:tc>
          <w:tcPr>
            <w:tcW w:w="11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32" w:right="0"/>
              <w:jc w:val="center"/>
              <w:rPr>
                <w:rFonts w:ascii="Arial" w:hAnsi="Arial" w:cs="Arial" w:eastAsia="Arial" w:hint="default"/>
                <w:sz w:val="18"/>
                <w:szCs w:val="18"/>
              </w:rPr>
            </w:pPr>
            <w:r>
              <w:rPr>
                <w:rFonts w:ascii="Arial"/>
                <w:sz w:val="18"/>
              </w:rPr>
              <w:t>2015-11-26</w:t>
            </w:r>
          </w:p>
        </w:tc>
        <w:tc>
          <w:tcPr>
            <w:tcW w:w="1134"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7"/>
              <w:jc w:val="right"/>
              <w:rPr>
                <w:rFonts w:ascii="Arial" w:hAnsi="Arial" w:cs="Arial" w:eastAsia="Arial" w:hint="default"/>
                <w:sz w:val="18"/>
                <w:szCs w:val="18"/>
              </w:rPr>
            </w:pPr>
            <w:r>
              <w:rPr>
                <w:rFonts w:ascii="Arial"/>
                <w:spacing w:val="-1"/>
                <w:w w:val="95"/>
                <w:sz w:val="18"/>
              </w:rPr>
              <w:t>2016-11-25</w:t>
            </w:r>
            <w:r>
              <w:rPr>
                <w:rFonts w:ascii="Arial"/>
                <w:sz w:val="18"/>
              </w:rPr>
            </w:r>
          </w:p>
        </w:tc>
        <w:tc>
          <w:tcPr>
            <w:tcW w:w="100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5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left="108"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86" w:type="dxa"/>
            <w:tcBorders>
              <w:top w:val="single" w:sz="4" w:space="0" w:color="5B9BD4"/>
              <w:left w:val="nil" w:sz="6" w:space="0" w:color="auto"/>
              <w:bottom w:val="single" w:sz="4" w:space="0" w:color="5B9BD4"/>
              <w:right w:val="nil" w:sz="6" w:space="0" w:color="auto"/>
            </w:tcBorders>
          </w:tcPr>
          <w:p>
            <w:pPr>
              <w:pStyle w:val="TableParagraph"/>
              <w:spacing w:line="316" w:lineRule="auto" w:before="5"/>
              <w:ind w:left="108" w:right="197"/>
              <w:jc w:val="left"/>
              <w:rPr>
                <w:rFonts w:ascii="宋体" w:hAnsi="宋体" w:cs="宋体" w:eastAsia="宋体" w:hint="default"/>
                <w:sz w:val="18"/>
                <w:szCs w:val="18"/>
              </w:rPr>
            </w:pPr>
            <w:r>
              <w:rPr>
                <w:rFonts w:ascii="宋体" w:hAnsi="宋体" w:cs="宋体" w:eastAsia="宋体" w:hint="default"/>
                <w:sz w:val="18"/>
                <w:szCs w:val="18"/>
              </w:rPr>
              <w:t>深圳市酷动数 码有限公司</w:t>
            </w:r>
          </w:p>
        </w:tc>
        <w:tc>
          <w:tcPr>
            <w:tcW w:w="174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100,000,000.00</w:t>
            </w:r>
            <w:r>
              <w:rPr>
                <w:rFonts w:ascii="Arial"/>
                <w:sz w:val="18"/>
              </w:rPr>
            </w:r>
          </w:p>
        </w:tc>
        <w:tc>
          <w:tcPr>
            <w:tcW w:w="1700"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3"/>
              <w:jc w:val="right"/>
              <w:rPr>
                <w:rFonts w:ascii="Arial" w:hAnsi="Arial" w:cs="Arial" w:eastAsia="Arial" w:hint="default"/>
                <w:sz w:val="18"/>
                <w:szCs w:val="18"/>
              </w:rPr>
            </w:pPr>
            <w:r>
              <w:rPr>
                <w:rFonts w:ascii="Arial"/>
                <w:w w:val="95"/>
                <w:sz w:val="18"/>
              </w:rPr>
              <w:t>---</w:t>
            </w:r>
            <w:r>
              <w:rPr>
                <w:rFonts w:ascii="Arial"/>
                <w:sz w:val="18"/>
              </w:rPr>
            </w:r>
          </w:p>
        </w:tc>
        <w:tc>
          <w:tcPr>
            <w:tcW w:w="11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32" w:right="0"/>
              <w:jc w:val="center"/>
              <w:rPr>
                <w:rFonts w:ascii="Arial" w:hAnsi="Arial" w:cs="Arial" w:eastAsia="Arial" w:hint="default"/>
                <w:sz w:val="18"/>
                <w:szCs w:val="18"/>
              </w:rPr>
            </w:pPr>
            <w:r>
              <w:rPr>
                <w:rFonts w:ascii="Arial"/>
                <w:sz w:val="18"/>
              </w:rPr>
              <w:t>2015-12-07</w:t>
            </w:r>
          </w:p>
        </w:tc>
        <w:tc>
          <w:tcPr>
            <w:tcW w:w="1134"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7"/>
              <w:jc w:val="right"/>
              <w:rPr>
                <w:rFonts w:ascii="Arial" w:hAnsi="Arial" w:cs="Arial" w:eastAsia="Arial" w:hint="default"/>
                <w:sz w:val="18"/>
                <w:szCs w:val="18"/>
              </w:rPr>
            </w:pPr>
            <w:r>
              <w:rPr>
                <w:rFonts w:ascii="Arial"/>
                <w:spacing w:val="-1"/>
                <w:w w:val="95"/>
                <w:sz w:val="18"/>
              </w:rPr>
              <w:t>2016-12-06</w:t>
            </w:r>
            <w:r>
              <w:rPr>
                <w:rFonts w:ascii="Arial"/>
                <w:sz w:val="18"/>
              </w:rPr>
            </w:r>
          </w:p>
        </w:tc>
        <w:tc>
          <w:tcPr>
            <w:tcW w:w="100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right="10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5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left="108"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86" w:type="dxa"/>
            <w:tcBorders>
              <w:top w:val="single" w:sz="4" w:space="0" w:color="5B9BD4"/>
              <w:left w:val="nil" w:sz="6" w:space="0" w:color="auto"/>
              <w:bottom w:val="single" w:sz="4" w:space="0" w:color="5B9BD4"/>
              <w:right w:val="nil" w:sz="6" w:space="0" w:color="auto"/>
            </w:tcBorders>
          </w:tcPr>
          <w:p>
            <w:pPr>
              <w:pStyle w:val="TableParagraph"/>
              <w:spacing w:line="316" w:lineRule="auto" w:before="5"/>
              <w:ind w:left="108" w:right="197"/>
              <w:jc w:val="left"/>
              <w:rPr>
                <w:rFonts w:ascii="宋体" w:hAnsi="宋体" w:cs="宋体" w:eastAsia="宋体" w:hint="default"/>
                <w:sz w:val="18"/>
                <w:szCs w:val="18"/>
              </w:rPr>
            </w:pPr>
            <w:r>
              <w:rPr>
                <w:rFonts w:ascii="宋体" w:hAnsi="宋体" w:cs="宋体" w:eastAsia="宋体" w:hint="default"/>
                <w:sz w:val="18"/>
                <w:szCs w:val="18"/>
              </w:rPr>
              <w:t>深圳市酷动数 码有限公司</w:t>
            </w:r>
          </w:p>
        </w:tc>
        <w:tc>
          <w:tcPr>
            <w:tcW w:w="174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200,000,000.00</w:t>
            </w:r>
            <w:r>
              <w:rPr>
                <w:rFonts w:ascii="Arial"/>
                <w:sz w:val="18"/>
              </w:rPr>
            </w:r>
          </w:p>
        </w:tc>
        <w:tc>
          <w:tcPr>
            <w:tcW w:w="1700"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150,000,000.00</w:t>
            </w:r>
            <w:r>
              <w:rPr>
                <w:rFonts w:ascii="Arial"/>
                <w:sz w:val="18"/>
              </w:rPr>
            </w:r>
          </w:p>
        </w:tc>
        <w:tc>
          <w:tcPr>
            <w:tcW w:w="1166" w:type="dxa"/>
            <w:tcBorders>
              <w:top w:val="single" w:sz="4" w:space="0" w:color="5B9BD4"/>
              <w:left w:val="nil" w:sz="6" w:space="0" w:color="auto"/>
              <w:bottom w:val="single" w:sz="4" w:space="0" w:color="5B9BD4"/>
              <w:right w:val="nil" w:sz="6" w:space="0" w:color="auto"/>
            </w:tcBorders>
            <w:shd w:val="clear" w:color="auto" w:fill="DEEAF6"/>
          </w:tcPr>
          <w:p>
            <w:pPr/>
          </w:p>
        </w:tc>
        <w:tc>
          <w:tcPr>
            <w:tcW w:w="113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right="107"/>
              <w:jc w:val="right"/>
              <w:rPr>
                <w:rFonts w:ascii="宋体" w:hAnsi="宋体" w:cs="宋体" w:eastAsia="宋体" w:hint="default"/>
                <w:sz w:val="18"/>
                <w:szCs w:val="18"/>
              </w:rPr>
            </w:pPr>
            <w:r>
              <w:rPr>
                <w:rFonts w:ascii="宋体" w:hAnsi="宋体" w:cs="宋体" w:eastAsia="宋体" w:hint="default"/>
                <w:sz w:val="18"/>
                <w:szCs w:val="18"/>
              </w:rPr>
              <w:t>注②</w:t>
            </w:r>
          </w:p>
        </w:tc>
        <w:tc>
          <w:tcPr>
            <w:tcW w:w="100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right="10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5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86" w:type="dxa"/>
            <w:tcBorders>
              <w:top w:val="single" w:sz="4" w:space="0" w:color="5B9BD4"/>
              <w:left w:val="nil" w:sz="6" w:space="0" w:color="auto"/>
              <w:bottom w:val="single" w:sz="4" w:space="0" w:color="5B9BD4"/>
              <w:right w:val="nil" w:sz="6" w:space="0" w:color="auto"/>
            </w:tcBorders>
          </w:tcPr>
          <w:p>
            <w:pPr>
              <w:pStyle w:val="TableParagraph"/>
              <w:spacing w:line="316" w:lineRule="auto" w:before="6"/>
              <w:ind w:left="108" w:right="197"/>
              <w:jc w:val="left"/>
              <w:rPr>
                <w:rFonts w:ascii="宋体" w:hAnsi="宋体" w:cs="宋体" w:eastAsia="宋体" w:hint="default"/>
                <w:sz w:val="18"/>
                <w:szCs w:val="18"/>
              </w:rPr>
            </w:pPr>
            <w:r>
              <w:rPr>
                <w:rFonts w:ascii="宋体" w:hAnsi="宋体" w:cs="宋体" w:eastAsia="宋体" w:hint="default"/>
                <w:sz w:val="18"/>
                <w:szCs w:val="18"/>
              </w:rPr>
              <w:t>北京酷人通讯 科技有限公司</w:t>
            </w:r>
          </w:p>
        </w:tc>
        <w:tc>
          <w:tcPr>
            <w:tcW w:w="174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400,000,000.00</w:t>
            </w:r>
            <w:r>
              <w:rPr>
                <w:rFonts w:ascii="Arial"/>
                <w:sz w:val="18"/>
              </w:rPr>
            </w:r>
          </w:p>
        </w:tc>
        <w:tc>
          <w:tcPr>
            <w:tcW w:w="1700"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200,000,000.00</w:t>
            </w:r>
            <w:r>
              <w:rPr>
                <w:rFonts w:ascii="Arial"/>
                <w:sz w:val="18"/>
              </w:rPr>
            </w:r>
          </w:p>
        </w:tc>
        <w:tc>
          <w:tcPr>
            <w:tcW w:w="11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32" w:right="0"/>
              <w:jc w:val="center"/>
              <w:rPr>
                <w:rFonts w:ascii="Arial" w:hAnsi="Arial" w:cs="Arial" w:eastAsia="Arial" w:hint="default"/>
                <w:sz w:val="18"/>
                <w:szCs w:val="18"/>
              </w:rPr>
            </w:pPr>
            <w:r>
              <w:rPr>
                <w:rFonts w:ascii="Arial"/>
                <w:sz w:val="18"/>
              </w:rPr>
              <w:t>2015-09-21</w:t>
            </w:r>
          </w:p>
        </w:tc>
        <w:tc>
          <w:tcPr>
            <w:tcW w:w="1134"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7"/>
              <w:jc w:val="right"/>
              <w:rPr>
                <w:rFonts w:ascii="Arial" w:hAnsi="Arial" w:cs="Arial" w:eastAsia="Arial" w:hint="default"/>
                <w:sz w:val="18"/>
                <w:szCs w:val="18"/>
              </w:rPr>
            </w:pPr>
            <w:r>
              <w:rPr>
                <w:rFonts w:ascii="Arial"/>
                <w:spacing w:val="-1"/>
                <w:w w:val="95"/>
                <w:sz w:val="18"/>
              </w:rPr>
              <w:t>2016-09-20</w:t>
            </w:r>
            <w:r>
              <w:rPr>
                <w:rFonts w:ascii="Arial"/>
                <w:sz w:val="18"/>
              </w:rPr>
            </w:r>
          </w:p>
        </w:tc>
        <w:tc>
          <w:tcPr>
            <w:tcW w:w="100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5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86" w:type="dxa"/>
            <w:tcBorders>
              <w:top w:val="single" w:sz="4" w:space="0" w:color="5B9BD4"/>
              <w:left w:val="nil" w:sz="6" w:space="0" w:color="auto"/>
              <w:bottom w:val="single" w:sz="4" w:space="0" w:color="5B9BD4"/>
              <w:right w:val="nil" w:sz="6" w:space="0" w:color="auto"/>
            </w:tcBorders>
          </w:tcPr>
          <w:p>
            <w:pPr>
              <w:pStyle w:val="TableParagraph"/>
              <w:spacing w:line="319" w:lineRule="auto" w:before="5"/>
              <w:ind w:left="108" w:right="197"/>
              <w:jc w:val="left"/>
              <w:rPr>
                <w:rFonts w:ascii="宋体" w:hAnsi="宋体" w:cs="宋体" w:eastAsia="宋体" w:hint="default"/>
                <w:sz w:val="18"/>
                <w:szCs w:val="18"/>
              </w:rPr>
            </w:pPr>
            <w:r>
              <w:rPr>
                <w:rFonts w:ascii="宋体" w:hAnsi="宋体" w:cs="宋体" w:eastAsia="宋体" w:hint="default"/>
                <w:sz w:val="18"/>
                <w:szCs w:val="18"/>
              </w:rPr>
              <w:t>北京酷人通讯 科技有限公司</w:t>
            </w:r>
          </w:p>
        </w:tc>
        <w:tc>
          <w:tcPr>
            <w:tcW w:w="174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100,000,000.00</w:t>
            </w:r>
            <w:r>
              <w:rPr>
                <w:rFonts w:ascii="Arial"/>
                <w:sz w:val="18"/>
              </w:rPr>
            </w:r>
          </w:p>
        </w:tc>
        <w:tc>
          <w:tcPr>
            <w:tcW w:w="1700"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3"/>
              <w:jc w:val="right"/>
              <w:rPr>
                <w:rFonts w:ascii="Arial" w:hAnsi="Arial" w:cs="Arial" w:eastAsia="Arial" w:hint="default"/>
                <w:sz w:val="18"/>
                <w:szCs w:val="18"/>
              </w:rPr>
            </w:pPr>
            <w:r>
              <w:rPr>
                <w:rFonts w:ascii="Arial"/>
                <w:w w:val="95"/>
                <w:sz w:val="18"/>
              </w:rPr>
              <w:t>---</w:t>
            </w:r>
            <w:r>
              <w:rPr>
                <w:rFonts w:ascii="Arial"/>
                <w:sz w:val="18"/>
              </w:rPr>
            </w:r>
          </w:p>
        </w:tc>
        <w:tc>
          <w:tcPr>
            <w:tcW w:w="11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32" w:right="0"/>
              <w:jc w:val="center"/>
              <w:rPr>
                <w:rFonts w:ascii="Arial" w:hAnsi="Arial" w:cs="Arial" w:eastAsia="Arial" w:hint="default"/>
                <w:sz w:val="18"/>
                <w:szCs w:val="18"/>
              </w:rPr>
            </w:pPr>
            <w:r>
              <w:rPr>
                <w:rFonts w:ascii="Arial"/>
                <w:sz w:val="18"/>
              </w:rPr>
              <w:t>2015-04-03</w:t>
            </w:r>
          </w:p>
        </w:tc>
        <w:tc>
          <w:tcPr>
            <w:tcW w:w="1134"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7"/>
              <w:jc w:val="right"/>
              <w:rPr>
                <w:rFonts w:ascii="Arial" w:hAnsi="Arial" w:cs="Arial" w:eastAsia="Arial" w:hint="default"/>
                <w:sz w:val="18"/>
                <w:szCs w:val="18"/>
              </w:rPr>
            </w:pPr>
            <w:r>
              <w:rPr>
                <w:rFonts w:ascii="Arial"/>
                <w:spacing w:val="-1"/>
                <w:w w:val="95"/>
                <w:sz w:val="18"/>
              </w:rPr>
              <w:t>2016-04-02</w:t>
            </w:r>
            <w:r>
              <w:rPr>
                <w:rFonts w:ascii="Arial"/>
                <w:sz w:val="18"/>
              </w:rPr>
            </w:r>
          </w:p>
        </w:tc>
        <w:tc>
          <w:tcPr>
            <w:tcW w:w="100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5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left="108"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86" w:type="dxa"/>
            <w:tcBorders>
              <w:top w:val="single" w:sz="4" w:space="0" w:color="5B9BD4"/>
              <w:left w:val="nil" w:sz="6" w:space="0" w:color="auto"/>
              <w:bottom w:val="single" w:sz="4" w:space="0" w:color="5B9BD4"/>
              <w:right w:val="nil" w:sz="6" w:space="0" w:color="auto"/>
            </w:tcBorders>
          </w:tcPr>
          <w:p>
            <w:pPr>
              <w:pStyle w:val="TableParagraph"/>
              <w:spacing w:line="316" w:lineRule="auto" w:before="5"/>
              <w:ind w:left="108" w:right="197"/>
              <w:jc w:val="left"/>
              <w:rPr>
                <w:rFonts w:ascii="宋体" w:hAnsi="宋体" w:cs="宋体" w:eastAsia="宋体" w:hint="default"/>
                <w:sz w:val="18"/>
                <w:szCs w:val="18"/>
              </w:rPr>
            </w:pPr>
            <w:r>
              <w:rPr>
                <w:rFonts w:ascii="宋体" w:hAnsi="宋体" w:cs="宋体" w:eastAsia="宋体" w:hint="default"/>
                <w:sz w:val="18"/>
                <w:szCs w:val="18"/>
              </w:rPr>
              <w:t>西藏酷爱通信 有限公司</w:t>
            </w:r>
          </w:p>
        </w:tc>
        <w:tc>
          <w:tcPr>
            <w:tcW w:w="174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500,000,000.00</w:t>
            </w:r>
            <w:r>
              <w:rPr>
                <w:rFonts w:ascii="Arial"/>
                <w:sz w:val="18"/>
              </w:rPr>
            </w:r>
          </w:p>
        </w:tc>
        <w:tc>
          <w:tcPr>
            <w:tcW w:w="1700"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500,000,000.00</w:t>
            </w:r>
            <w:r>
              <w:rPr>
                <w:rFonts w:ascii="Arial"/>
                <w:sz w:val="18"/>
              </w:rPr>
            </w:r>
          </w:p>
        </w:tc>
        <w:tc>
          <w:tcPr>
            <w:tcW w:w="1166" w:type="dxa"/>
            <w:tcBorders>
              <w:top w:val="single" w:sz="4" w:space="0" w:color="5B9BD4"/>
              <w:left w:val="nil" w:sz="6" w:space="0" w:color="auto"/>
              <w:bottom w:val="single" w:sz="4" w:space="0" w:color="5B9BD4"/>
              <w:right w:val="nil" w:sz="6" w:space="0" w:color="auto"/>
            </w:tcBorders>
            <w:shd w:val="clear" w:color="auto" w:fill="DEEAF6"/>
          </w:tcPr>
          <w:p>
            <w:pPr/>
          </w:p>
        </w:tc>
        <w:tc>
          <w:tcPr>
            <w:tcW w:w="113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right="107"/>
              <w:jc w:val="right"/>
              <w:rPr>
                <w:rFonts w:ascii="宋体" w:hAnsi="宋体" w:cs="宋体" w:eastAsia="宋体" w:hint="default"/>
                <w:sz w:val="18"/>
                <w:szCs w:val="18"/>
              </w:rPr>
            </w:pPr>
            <w:r>
              <w:rPr>
                <w:rFonts w:ascii="宋体" w:hAnsi="宋体" w:cs="宋体" w:eastAsia="宋体" w:hint="default"/>
                <w:sz w:val="18"/>
                <w:szCs w:val="18"/>
              </w:rPr>
              <w:t>注③</w:t>
            </w:r>
          </w:p>
        </w:tc>
        <w:tc>
          <w:tcPr>
            <w:tcW w:w="100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right="10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5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86" w:type="dxa"/>
            <w:tcBorders>
              <w:top w:val="single" w:sz="4" w:space="0" w:color="5B9BD4"/>
              <w:left w:val="nil" w:sz="6" w:space="0" w:color="auto"/>
              <w:bottom w:val="single" w:sz="4" w:space="0" w:color="5B9BD4"/>
              <w:right w:val="nil" w:sz="6" w:space="0" w:color="auto"/>
            </w:tcBorders>
          </w:tcPr>
          <w:p>
            <w:pPr>
              <w:pStyle w:val="TableParagraph"/>
              <w:spacing w:line="316" w:lineRule="auto" w:before="6"/>
              <w:ind w:left="108" w:right="197"/>
              <w:jc w:val="left"/>
              <w:rPr>
                <w:rFonts w:ascii="宋体" w:hAnsi="宋体" w:cs="宋体" w:eastAsia="宋体" w:hint="default"/>
                <w:sz w:val="18"/>
                <w:szCs w:val="18"/>
              </w:rPr>
            </w:pPr>
            <w:r>
              <w:rPr>
                <w:rFonts w:ascii="宋体" w:hAnsi="宋体" w:cs="宋体" w:eastAsia="宋体" w:hint="default"/>
                <w:sz w:val="18"/>
                <w:szCs w:val="18"/>
              </w:rPr>
              <w:t>西藏酷爱通信 有限公司</w:t>
            </w:r>
          </w:p>
        </w:tc>
        <w:tc>
          <w:tcPr>
            <w:tcW w:w="174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500,000,000.00</w:t>
            </w:r>
            <w:r>
              <w:rPr>
                <w:rFonts w:ascii="Arial"/>
                <w:sz w:val="18"/>
              </w:rPr>
            </w:r>
          </w:p>
        </w:tc>
        <w:tc>
          <w:tcPr>
            <w:tcW w:w="1700"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3"/>
              <w:jc w:val="right"/>
              <w:rPr>
                <w:rFonts w:ascii="Arial" w:hAnsi="Arial" w:cs="Arial" w:eastAsia="Arial" w:hint="default"/>
                <w:sz w:val="18"/>
                <w:szCs w:val="18"/>
              </w:rPr>
            </w:pPr>
            <w:r>
              <w:rPr>
                <w:rFonts w:ascii="Arial"/>
                <w:w w:val="95"/>
                <w:sz w:val="18"/>
              </w:rPr>
              <w:t>---</w:t>
            </w:r>
            <w:r>
              <w:rPr>
                <w:rFonts w:ascii="Arial"/>
                <w:sz w:val="18"/>
              </w:rPr>
            </w:r>
          </w:p>
        </w:tc>
        <w:tc>
          <w:tcPr>
            <w:tcW w:w="1166" w:type="dxa"/>
            <w:tcBorders>
              <w:top w:val="single" w:sz="4" w:space="0" w:color="5B9BD4"/>
              <w:left w:val="nil" w:sz="6" w:space="0" w:color="auto"/>
              <w:bottom w:val="single" w:sz="4" w:space="0" w:color="5B9BD4"/>
              <w:right w:val="nil" w:sz="6" w:space="0" w:color="auto"/>
            </w:tcBorders>
            <w:shd w:val="clear" w:color="auto" w:fill="DEEAF6"/>
          </w:tcPr>
          <w:p>
            <w:pPr/>
          </w:p>
        </w:tc>
        <w:tc>
          <w:tcPr>
            <w:tcW w:w="113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注④</w:t>
            </w:r>
          </w:p>
        </w:tc>
        <w:tc>
          <w:tcPr>
            <w:tcW w:w="100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5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left="108"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86" w:type="dxa"/>
            <w:tcBorders>
              <w:top w:val="single" w:sz="4" w:space="0" w:color="5B9BD4"/>
              <w:left w:val="nil" w:sz="6" w:space="0" w:color="auto"/>
              <w:bottom w:val="single" w:sz="4" w:space="0" w:color="5B9BD4"/>
              <w:right w:val="nil" w:sz="6" w:space="0" w:color="auto"/>
            </w:tcBorders>
          </w:tcPr>
          <w:p>
            <w:pPr>
              <w:pStyle w:val="TableParagraph"/>
              <w:spacing w:line="316" w:lineRule="auto" w:before="5"/>
              <w:ind w:left="108" w:right="17"/>
              <w:jc w:val="left"/>
              <w:rPr>
                <w:rFonts w:ascii="宋体" w:hAnsi="宋体" w:cs="宋体" w:eastAsia="宋体" w:hint="default"/>
                <w:sz w:val="18"/>
                <w:szCs w:val="18"/>
              </w:rPr>
            </w:pPr>
            <w:r>
              <w:rPr>
                <w:rFonts w:ascii="宋体" w:hAnsi="宋体" w:cs="宋体" w:eastAsia="宋体" w:hint="default"/>
                <w:sz w:val="18"/>
                <w:szCs w:val="18"/>
              </w:rPr>
              <w:t>爱施德（香港） 有限公司</w:t>
            </w:r>
          </w:p>
        </w:tc>
        <w:tc>
          <w:tcPr>
            <w:tcW w:w="174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62" w:lineRule="auto" w:before="47"/>
              <w:ind w:left="391" w:right="106" w:firstLine="883"/>
              <w:jc w:val="left"/>
              <w:rPr>
                <w:rFonts w:ascii="Arial" w:hAnsi="Arial" w:cs="Arial" w:eastAsia="Arial" w:hint="default"/>
                <w:sz w:val="18"/>
                <w:szCs w:val="18"/>
              </w:rPr>
            </w:pPr>
            <w:r>
              <w:rPr>
                <w:rFonts w:ascii="Arial"/>
                <w:w w:val="95"/>
                <w:sz w:val="18"/>
              </w:rPr>
              <w:t>HKD</w:t>
            </w:r>
            <w:r>
              <w:rPr>
                <w:rFonts w:ascii="Arial"/>
                <w:w w:val="96"/>
                <w:sz w:val="18"/>
              </w:rPr>
              <w:t> </w:t>
            </w:r>
            <w:r>
              <w:rPr>
                <w:rFonts w:ascii="Arial"/>
                <w:w w:val="95"/>
                <w:sz w:val="18"/>
              </w:rPr>
              <w:t>300,000,000.00</w:t>
            </w:r>
            <w:r>
              <w:rPr>
                <w:rFonts w:ascii="Arial"/>
                <w:sz w:val="18"/>
              </w:rPr>
            </w:r>
          </w:p>
        </w:tc>
        <w:tc>
          <w:tcPr>
            <w:tcW w:w="1700" w:type="dxa"/>
            <w:tcBorders>
              <w:top w:val="single" w:sz="4" w:space="0" w:color="5B9BD4"/>
              <w:left w:val="nil" w:sz="6" w:space="0" w:color="auto"/>
              <w:bottom w:val="single" w:sz="4" w:space="0" w:color="5B9BD4"/>
              <w:right w:val="nil" w:sz="6" w:space="0" w:color="auto"/>
            </w:tcBorders>
          </w:tcPr>
          <w:p>
            <w:pPr>
              <w:pStyle w:val="TableParagraph"/>
              <w:spacing w:line="362" w:lineRule="auto" w:before="47"/>
              <w:ind w:left="346" w:right="104" w:firstLine="883"/>
              <w:jc w:val="left"/>
              <w:rPr>
                <w:rFonts w:ascii="Arial" w:hAnsi="Arial" w:cs="Arial" w:eastAsia="Arial" w:hint="default"/>
                <w:sz w:val="18"/>
                <w:szCs w:val="18"/>
              </w:rPr>
            </w:pPr>
            <w:r>
              <w:rPr>
                <w:rFonts w:ascii="Arial"/>
                <w:w w:val="95"/>
                <w:sz w:val="18"/>
              </w:rPr>
              <w:t>HKD</w:t>
            </w:r>
            <w:r>
              <w:rPr>
                <w:rFonts w:ascii="Arial"/>
                <w:w w:val="96"/>
                <w:sz w:val="18"/>
              </w:rPr>
              <w:t> </w:t>
            </w:r>
            <w:r>
              <w:rPr>
                <w:rFonts w:ascii="Arial"/>
                <w:w w:val="95"/>
                <w:sz w:val="18"/>
              </w:rPr>
              <w:t>300,000,000.00</w:t>
            </w:r>
            <w:r>
              <w:rPr>
                <w:rFonts w:ascii="Arial"/>
                <w:sz w:val="18"/>
              </w:rPr>
            </w:r>
          </w:p>
        </w:tc>
        <w:tc>
          <w:tcPr>
            <w:tcW w:w="11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32" w:right="0"/>
              <w:jc w:val="center"/>
              <w:rPr>
                <w:rFonts w:ascii="Arial" w:hAnsi="Arial" w:cs="Arial" w:eastAsia="Arial" w:hint="default"/>
                <w:sz w:val="18"/>
                <w:szCs w:val="18"/>
              </w:rPr>
            </w:pPr>
            <w:r>
              <w:rPr>
                <w:rFonts w:ascii="Arial"/>
                <w:sz w:val="18"/>
              </w:rPr>
              <w:t>2015-06-12</w:t>
            </w:r>
          </w:p>
        </w:tc>
        <w:tc>
          <w:tcPr>
            <w:tcW w:w="1134"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7"/>
              <w:jc w:val="right"/>
              <w:rPr>
                <w:rFonts w:ascii="Arial" w:hAnsi="Arial" w:cs="Arial" w:eastAsia="Arial" w:hint="default"/>
                <w:sz w:val="18"/>
                <w:szCs w:val="18"/>
              </w:rPr>
            </w:pPr>
            <w:r>
              <w:rPr>
                <w:rFonts w:ascii="Arial"/>
                <w:spacing w:val="-1"/>
                <w:w w:val="95"/>
                <w:sz w:val="18"/>
              </w:rPr>
              <w:t>2016-06-10</w:t>
            </w:r>
            <w:r>
              <w:rPr>
                <w:rFonts w:ascii="Arial"/>
                <w:sz w:val="18"/>
              </w:rPr>
            </w:r>
          </w:p>
        </w:tc>
        <w:tc>
          <w:tcPr>
            <w:tcW w:w="100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right="10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5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left="108"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86" w:type="dxa"/>
            <w:tcBorders>
              <w:top w:val="single" w:sz="4" w:space="0" w:color="5B9BD4"/>
              <w:left w:val="nil" w:sz="6" w:space="0" w:color="auto"/>
              <w:bottom w:val="single" w:sz="4" w:space="0" w:color="5B9BD4"/>
              <w:right w:val="nil" w:sz="6" w:space="0" w:color="auto"/>
            </w:tcBorders>
          </w:tcPr>
          <w:p>
            <w:pPr>
              <w:pStyle w:val="TableParagraph"/>
              <w:spacing w:line="316" w:lineRule="auto" w:before="5"/>
              <w:ind w:left="108" w:right="17"/>
              <w:jc w:val="left"/>
              <w:rPr>
                <w:rFonts w:ascii="宋体" w:hAnsi="宋体" w:cs="宋体" w:eastAsia="宋体" w:hint="default"/>
                <w:sz w:val="18"/>
                <w:szCs w:val="18"/>
              </w:rPr>
            </w:pPr>
            <w:r>
              <w:rPr>
                <w:rFonts w:ascii="宋体" w:hAnsi="宋体" w:cs="宋体" w:eastAsia="宋体" w:hint="default"/>
                <w:sz w:val="18"/>
                <w:szCs w:val="18"/>
              </w:rPr>
              <w:t>爱施德（香港） 有限公司</w:t>
            </w:r>
          </w:p>
        </w:tc>
        <w:tc>
          <w:tcPr>
            <w:tcW w:w="174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62" w:lineRule="auto" w:before="47"/>
              <w:ind w:left="490" w:right="106" w:firstLine="805"/>
              <w:jc w:val="left"/>
              <w:rPr>
                <w:rFonts w:ascii="Arial" w:hAnsi="Arial" w:cs="Arial" w:eastAsia="Arial" w:hint="default"/>
                <w:sz w:val="18"/>
                <w:szCs w:val="18"/>
              </w:rPr>
            </w:pPr>
            <w:r>
              <w:rPr>
                <w:rFonts w:ascii="Arial"/>
                <w:w w:val="90"/>
                <w:sz w:val="18"/>
              </w:rPr>
              <w:t>USD</w:t>
            </w:r>
            <w:r>
              <w:rPr>
                <w:rFonts w:ascii="Arial"/>
                <w:w w:val="89"/>
                <w:sz w:val="18"/>
              </w:rPr>
              <w:t> </w:t>
            </w:r>
            <w:r>
              <w:rPr>
                <w:rFonts w:ascii="Arial"/>
                <w:w w:val="95"/>
                <w:sz w:val="18"/>
              </w:rPr>
              <w:t>80,000,000.00</w:t>
            </w:r>
            <w:r>
              <w:rPr>
                <w:rFonts w:ascii="Arial"/>
                <w:sz w:val="18"/>
              </w:rPr>
            </w:r>
          </w:p>
        </w:tc>
        <w:tc>
          <w:tcPr>
            <w:tcW w:w="1700" w:type="dxa"/>
            <w:tcBorders>
              <w:top w:val="single" w:sz="4" w:space="0" w:color="5B9BD4"/>
              <w:left w:val="nil" w:sz="6" w:space="0" w:color="auto"/>
              <w:bottom w:val="single" w:sz="4" w:space="0" w:color="5B9BD4"/>
              <w:right w:val="nil" w:sz="6" w:space="0" w:color="auto"/>
            </w:tcBorders>
          </w:tcPr>
          <w:p>
            <w:pPr>
              <w:pStyle w:val="TableParagraph"/>
              <w:spacing w:line="362" w:lineRule="auto" w:before="47"/>
              <w:ind w:left="547" w:right="103" w:firstLine="704"/>
              <w:jc w:val="left"/>
              <w:rPr>
                <w:rFonts w:ascii="Arial" w:hAnsi="Arial" w:cs="Arial" w:eastAsia="Arial" w:hint="default"/>
                <w:sz w:val="18"/>
                <w:szCs w:val="18"/>
              </w:rPr>
            </w:pPr>
            <w:r>
              <w:rPr>
                <w:rFonts w:ascii="Arial"/>
                <w:w w:val="90"/>
                <w:sz w:val="18"/>
              </w:rPr>
              <w:t>USD</w:t>
            </w:r>
            <w:r>
              <w:rPr>
                <w:rFonts w:ascii="Arial"/>
                <w:w w:val="89"/>
                <w:sz w:val="18"/>
              </w:rPr>
              <w:t> </w:t>
            </w:r>
            <w:r>
              <w:rPr>
                <w:rFonts w:ascii="Arial"/>
                <w:w w:val="95"/>
                <w:sz w:val="18"/>
              </w:rPr>
              <w:t>2,000,000.00</w:t>
            </w:r>
            <w:r>
              <w:rPr>
                <w:rFonts w:ascii="Arial"/>
                <w:sz w:val="18"/>
              </w:rPr>
            </w:r>
          </w:p>
        </w:tc>
        <w:tc>
          <w:tcPr>
            <w:tcW w:w="11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32" w:right="0"/>
              <w:jc w:val="center"/>
              <w:rPr>
                <w:rFonts w:ascii="Arial" w:hAnsi="Arial" w:cs="Arial" w:eastAsia="Arial" w:hint="default"/>
                <w:sz w:val="18"/>
                <w:szCs w:val="18"/>
              </w:rPr>
            </w:pPr>
            <w:r>
              <w:rPr>
                <w:rFonts w:ascii="Arial"/>
                <w:sz w:val="18"/>
              </w:rPr>
              <w:t>2015-09-30</w:t>
            </w:r>
          </w:p>
        </w:tc>
        <w:tc>
          <w:tcPr>
            <w:tcW w:w="1134"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7"/>
              <w:jc w:val="right"/>
              <w:rPr>
                <w:rFonts w:ascii="Arial" w:hAnsi="Arial" w:cs="Arial" w:eastAsia="Arial" w:hint="default"/>
                <w:sz w:val="18"/>
                <w:szCs w:val="18"/>
              </w:rPr>
            </w:pPr>
            <w:r>
              <w:rPr>
                <w:rFonts w:ascii="Arial"/>
                <w:spacing w:val="-1"/>
                <w:w w:val="95"/>
                <w:sz w:val="18"/>
              </w:rPr>
              <w:t>2016-09-30</w:t>
            </w:r>
            <w:r>
              <w:rPr>
                <w:rFonts w:ascii="Arial"/>
                <w:sz w:val="18"/>
              </w:rPr>
            </w:r>
          </w:p>
        </w:tc>
        <w:tc>
          <w:tcPr>
            <w:tcW w:w="100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right="10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5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86" w:type="dxa"/>
            <w:tcBorders>
              <w:top w:val="single" w:sz="4" w:space="0" w:color="5B9BD4"/>
              <w:left w:val="nil" w:sz="6" w:space="0" w:color="auto"/>
              <w:bottom w:val="single" w:sz="4" w:space="0" w:color="5B9BD4"/>
              <w:right w:val="nil" w:sz="6" w:space="0" w:color="auto"/>
            </w:tcBorders>
          </w:tcPr>
          <w:p>
            <w:pPr>
              <w:pStyle w:val="TableParagraph"/>
              <w:spacing w:line="316" w:lineRule="auto" w:before="6"/>
              <w:ind w:left="108" w:right="17"/>
              <w:jc w:val="left"/>
              <w:rPr>
                <w:rFonts w:ascii="宋体" w:hAnsi="宋体" w:cs="宋体" w:eastAsia="宋体" w:hint="default"/>
                <w:sz w:val="18"/>
                <w:szCs w:val="18"/>
              </w:rPr>
            </w:pPr>
            <w:r>
              <w:rPr>
                <w:rFonts w:ascii="宋体" w:hAnsi="宋体" w:cs="宋体" w:eastAsia="宋体" w:hint="default"/>
                <w:sz w:val="18"/>
                <w:szCs w:val="18"/>
              </w:rPr>
              <w:t>爱施德（香港） 有限公司</w:t>
            </w:r>
          </w:p>
        </w:tc>
        <w:tc>
          <w:tcPr>
            <w:tcW w:w="174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62" w:lineRule="auto" w:before="47"/>
              <w:ind w:left="490" w:right="106" w:firstLine="805"/>
              <w:jc w:val="left"/>
              <w:rPr>
                <w:rFonts w:ascii="Arial" w:hAnsi="Arial" w:cs="Arial" w:eastAsia="Arial" w:hint="default"/>
                <w:sz w:val="18"/>
                <w:szCs w:val="18"/>
              </w:rPr>
            </w:pPr>
            <w:r>
              <w:rPr>
                <w:rFonts w:ascii="Arial"/>
                <w:w w:val="90"/>
                <w:sz w:val="18"/>
              </w:rPr>
              <w:t>USD</w:t>
            </w:r>
            <w:r>
              <w:rPr>
                <w:rFonts w:ascii="Arial"/>
                <w:w w:val="89"/>
                <w:sz w:val="18"/>
              </w:rPr>
              <w:t> </w:t>
            </w:r>
            <w:r>
              <w:rPr>
                <w:rFonts w:ascii="Arial"/>
                <w:w w:val="95"/>
                <w:sz w:val="18"/>
              </w:rPr>
              <w:t>32,000,000.00</w:t>
            </w:r>
            <w:r>
              <w:rPr>
                <w:rFonts w:ascii="Arial"/>
                <w:sz w:val="18"/>
              </w:rPr>
            </w:r>
          </w:p>
        </w:tc>
        <w:tc>
          <w:tcPr>
            <w:tcW w:w="1700"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3"/>
              <w:jc w:val="right"/>
              <w:rPr>
                <w:rFonts w:ascii="Arial" w:hAnsi="Arial" w:cs="Arial" w:eastAsia="Arial" w:hint="default"/>
                <w:sz w:val="18"/>
                <w:szCs w:val="18"/>
              </w:rPr>
            </w:pPr>
            <w:r>
              <w:rPr>
                <w:rFonts w:ascii="Arial"/>
                <w:w w:val="95"/>
                <w:sz w:val="18"/>
              </w:rPr>
              <w:t>---</w:t>
            </w:r>
            <w:r>
              <w:rPr>
                <w:rFonts w:ascii="Arial"/>
                <w:sz w:val="18"/>
              </w:rPr>
            </w:r>
          </w:p>
        </w:tc>
        <w:tc>
          <w:tcPr>
            <w:tcW w:w="11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32" w:right="0"/>
              <w:jc w:val="center"/>
              <w:rPr>
                <w:rFonts w:ascii="Arial" w:hAnsi="Arial" w:cs="Arial" w:eastAsia="Arial" w:hint="default"/>
                <w:sz w:val="18"/>
                <w:szCs w:val="18"/>
              </w:rPr>
            </w:pPr>
            <w:r>
              <w:rPr>
                <w:rFonts w:ascii="Arial"/>
                <w:sz w:val="18"/>
              </w:rPr>
              <w:t>2015-07-09</w:t>
            </w:r>
          </w:p>
        </w:tc>
        <w:tc>
          <w:tcPr>
            <w:tcW w:w="1134"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7"/>
              <w:jc w:val="right"/>
              <w:rPr>
                <w:rFonts w:ascii="Arial" w:hAnsi="Arial" w:cs="Arial" w:eastAsia="Arial" w:hint="default"/>
                <w:sz w:val="18"/>
                <w:szCs w:val="18"/>
              </w:rPr>
            </w:pPr>
            <w:r>
              <w:rPr>
                <w:rFonts w:ascii="Arial"/>
                <w:spacing w:val="-1"/>
                <w:w w:val="95"/>
                <w:sz w:val="18"/>
              </w:rPr>
              <w:t>2016-06-01</w:t>
            </w:r>
            <w:r>
              <w:rPr>
                <w:rFonts w:ascii="Arial"/>
                <w:sz w:val="18"/>
              </w:rPr>
            </w:r>
          </w:p>
        </w:tc>
        <w:tc>
          <w:tcPr>
            <w:tcW w:w="100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5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left="108"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86" w:type="dxa"/>
            <w:tcBorders>
              <w:top w:val="single" w:sz="4" w:space="0" w:color="5B9BD4"/>
              <w:left w:val="nil" w:sz="6" w:space="0" w:color="auto"/>
              <w:bottom w:val="single" w:sz="4" w:space="0" w:color="5B9BD4"/>
              <w:right w:val="nil" w:sz="6" w:space="0" w:color="auto"/>
            </w:tcBorders>
          </w:tcPr>
          <w:p>
            <w:pPr>
              <w:pStyle w:val="TableParagraph"/>
              <w:spacing w:line="316" w:lineRule="auto" w:before="5"/>
              <w:ind w:left="108" w:right="17"/>
              <w:jc w:val="left"/>
              <w:rPr>
                <w:rFonts w:ascii="宋体" w:hAnsi="宋体" w:cs="宋体" w:eastAsia="宋体" w:hint="default"/>
                <w:sz w:val="18"/>
                <w:szCs w:val="18"/>
              </w:rPr>
            </w:pPr>
            <w:r>
              <w:rPr>
                <w:rFonts w:ascii="宋体" w:hAnsi="宋体" w:cs="宋体" w:eastAsia="宋体" w:hint="default"/>
                <w:sz w:val="18"/>
                <w:szCs w:val="18"/>
              </w:rPr>
              <w:t>爱施德（香港） 有限公司</w:t>
            </w:r>
          </w:p>
        </w:tc>
        <w:tc>
          <w:tcPr>
            <w:tcW w:w="174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62" w:lineRule="auto" w:before="47"/>
              <w:ind w:left="391" w:right="106" w:firstLine="883"/>
              <w:jc w:val="left"/>
              <w:rPr>
                <w:rFonts w:ascii="Arial" w:hAnsi="Arial" w:cs="Arial" w:eastAsia="Arial" w:hint="default"/>
                <w:sz w:val="18"/>
                <w:szCs w:val="18"/>
              </w:rPr>
            </w:pPr>
            <w:r>
              <w:rPr>
                <w:rFonts w:ascii="Arial"/>
                <w:w w:val="95"/>
                <w:sz w:val="18"/>
              </w:rPr>
              <w:t>HKD</w:t>
            </w:r>
            <w:r>
              <w:rPr>
                <w:rFonts w:ascii="Arial"/>
                <w:w w:val="96"/>
                <w:sz w:val="18"/>
              </w:rPr>
              <w:t> </w:t>
            </w:r>
            <w:r>
              <w:rPr>
                <w:rFonts w:ascii="Arial"/>
                <w:w w:val="95"/>
                <w:sz w:val="18"/>
              </w:rPr>
              <w:t>420,000,000.00</w:t>
            </w:r>
            <w:r>
              <w:rPr>
                <w:rFonts w:ascii="Arial"/>
                <w:sz w:val="18"/>
              </w:rPr>
            </w:r>
          </w:p>
        </w:tc>
        <w:tc>
          <w:tcPr>
            <w:tcW w:w="1700" w:type="dxa"/>
            <w:tcBorders>
              <w:top w:val="single" w:sz="4" w:space="0" w:color="5B9BD4"/>
              <w:left w:val="nil" w:sz="6" w:space="0" w:color="auto"/>
              <w:bottom w:val="single" w:sz="4" w:space="0" w:color="5B9BD4"/>
              <w:right w:val="nil" w:sz="6" w:space="0" w:color="auto"/>
            </w:tcBorders>
          </w:tcPr>
          <w:p>
            <w:pPr>
              <w:pStyle w:val="TableParagraph"/>
              <w:spacing w:line="362" w:lineRule="auto" w:before="47"/>
              <w:ind w:left="346" w:right="104" w:firstLine="883"/>
              <w:jc w:val="left"/>
              <w:rPr>
                <w:rFonts w:ascii="Arial" w:hAnsi="Arial" w:cs="Arial" w:eastAsia="Arial" w:hint="default"/>
                <w:sz w:val="18"/>
                <w:szCs w:val="18"/>
              </w:rPr>
            </w:pPr>
            <w:r>
              <w:rPr>
                <w:rFonts w:ascii="Arial"/>
                <w:w w:val="95"/>
                <w:sz w:val="18"/>
              </w:rPr>
              <w:t>HKD</w:t>
            </w:r>
            <w:r>
              <w:rPr>
                <w:rFonts w:ascii="Arial"/>
                <w:w w:val="96"/>
                <w:sz w:val="18"/>
              </w:rPr>
              <w:t> </w:t>
            </w:r>
            <w:r>
              <w:rPr>
                <w:rFonts w:ascii="Arial"/>
                <w:w w:val="95"/>
                <w:sz w:val="18"/>
              </w:rPr>
              <w:t>390,000,000.00</w:t>
            </w:r>
            <w:r>
              <w:rPr>
                <w:rFonts w:ascii="Arial"/>
                <w:sz w:val="18"/>
              </w:rPr>
            </w:r>
          </w:p>
        </w:tc>
        <w:tc>
          <w:tcPr>
            <w:tcW w:w="11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32" w:right="0"/>
              <w:jc w:val="center"/>
              <w:rPr>
                <w:rFonts w:ascii="Arial" w:hAnsi="Arial" w:cs="Arial" w:eastAsia="Arial" w:hint="default"/>
                <w:sz w:val="18"/>
                <w:szCs w:val="18"/>
              </w:rPr>
            </w:pPr>
            <w:r>
              <w:rPr>
                <w:rFonts w:ascii="Arial"/>
                <w:sz w:val="18"/>
              </w:rPr>
              <w:t>2015-12-28</w:t>
            </w:r>
          </w:p>
        </w:tc>
        <w:tc>
          <w:tcPr>
            <w:tcW w:w="1134"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7"/>
              <w:jc w:val="right"/>
              <w:rPr>
                <w:rFonts w:ascii="Arial" w:hAnsi="Arial" w:cs="Arial" w:eastAsia="Arial" w:hint="default"/>
                <w:sz w:val="18"/>
                <w:szCs w:val="18"/>
              </w:rPr>
            </w:pPr>
            <w:r>
              <w:rPr>
                <w:rFonts w:ascii="Arial"/>
                <w:spacing w:val="-1"/>
                <w:w w:val="95"/>
                <w:sz w:val="18"/>
              </w:rPr>
              <w:t>2016-12-28</w:t>
            </w:r>
            <w:r>
              <w:rPr>
                <w:rFonts w:ascii="Arial"/>
                <w:sz w:val="18"/>
              </w:rPr>
            </w:r>
          </w:p>
        </w:tc>
        <w:tc>
          <w:tcPr>
            <w:tcW w:w="100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right="107"/>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宋体" w:hAnsi="宋体" w:cs="宋体" w:eastAsia="宋体" w:hint="default"/>
          <w:b/>
          <w:bCs/>
          <w:sz w:val="15"/>
          <w:szCs w:val="15"/>
        </w:rPr>
      </w:pPr>
    </w:p>
    <w:p>
      <w:pPr>
        <w:pStyle w:val="BodyText"/>
        <w:spacing w:line="240" w:lineRule="auto" w:before="18"/>
        <w:ind w:left="634" w:right="1513"/>
        <w:jc w:val="left"/>
      </w:pPr>
      <w:r>
        <w:rPr/>
        <w:t>注：①担保期间为自合同生效之日起至主合同项下债务履行期限届满之日起两年。</w:t>
      </w:r>
    </w:p>
    <w:p>
      <w:pPr>
        <w:spacing w:line="240" w:lineRule="auto" w:before="9"/>
        <w:rPr>
          <w:rFonts w:ascii="宋体" w:hAnsi="宋体" w:cs="宋体" w:eastAsia="宋体" w:hint="default"/>
          <w:sz w:val="26"/>
          <w:szCs w:val="26"/>
        </w:rPr>
      </w:pPr>
    </w:p>
    <w:p>
      <w:pPr>
        <w:pStyle w:val="BodyText"/>
        <w:spacing w:line="393" w:lineRule="auto"/>
        <w:ind w:left="213" w:right="1133" w:firstLine="420"/>
        <w:jc w:val="both"/>
      </w:pPr>
      <w:r>
        <w:rPr/>
        <w:t>②</w:t>
      </w:r>
      <w:r>
        <w:rPr>
          <w:rFonts w:ascii="Arial" w:hAnsi="Arial" w:cs="Arial" w:eastAsia="Arial" w:hint="default"/>
        </w:rPr>
        <w:t>2013</w:t>
      </w:r>
      <w:r>
        <w:rPr/>
        <w:t>年</w:t>
      </w:r>
      <w:r>
        <w:rPr>
          <w:rFonts w:ascii="Arial" w:hAnsi="Arial" w:cs="Arial" w:eastAsia="Arial" w:hint="default"/>
        </w:rPr>
        <w:t>5</w:t>
      </w:r>
      <w:r>
        <w:rPr/>
        <w:t>月</w:t>
      </w:r>
      <w:r>
        <w:rPr>
          <w:rFonts w:ascii="Arial" w:hAnsi="Arial" w:cs="Arial" w:eastAsia="Arial" w:hint="default"/>
        </w:rPr>
        <w:t>23</w:t>
      </w:r>
      <w:r>
        <w:rPr/>
        <w:t>日，经公司第二届董事会第三十一次会议决议，本公司为全资子公司深圳市酷动数码 </w:t>
      </w:r>
      <w:r>
        <w:rPr>
          <w:spacing w:val="13"/>
        </w:rPr>
        <w:t>有限公司向供应商苹果电脑贸易（上海）有限公司申请赊销额度提供担保，担保总额不超过人民币</w:t>
      </w:r>
      <w:r>
        <w:rPr>
          <w:spacing w:val="-75"/>
        </w:rPr>
        <w:t> </w:t>
      </w:r>
      <w:r>
        <w:rPr>
          <w:spacing w:val="-75"/>
        </w:rPr>
      </w:r>
      <w:r>
        <w:rPr>
          <w:rFonts w:ascii="Arial" w:hAnsi="Arial" w:cs="Arial" w:eastAsia="Arial" w:hint="default"/>
        </w:rPr>
        <w:t>20,000.00</w:t>
      </w:r>
      <w:r>
        <w:rPr/>
        <w:t>万元，担保期限为深圳市酷动数码有限公司与苹果电脑贸易（上海）有限公司采购合同项下的</w:t>
      </w:r>
      <w:r>
        <w:rPr>
          <w:spacing w:val="-27"/>
        </w:rPr>
        <w:t> </w:t>
      </w:r>
      <w:r>
        <w:rPr>
          <w:spacing w:val="-27"/>
        </w:rPr>
      </w:r>
      <w:r>
        <w:rPr/>
        <w:t>最后付款到期日起三年。</w:t>
      </w:r>
    </w:p>
    <w:p>
      <w:pPr>
        <w:spacing w:after="0" w:line="393" w:lineRule="auto"/>
        <w:jc w:val="both"/>
        <w:sectPr>
          <w:pgSz w:w="11910" w:h="16840"/>
          <w:pgMar w:header="877" w:footer="979" w:top="1100" w:bottom="1160" w:left="920" w:right="0"/>
        </w:sectPr>
      </w:pPr>
    </w:p>
    <w:p>
      <w:pPr>
        <w:spacing w:line="240" w:lineRule="auto" w:before="7"/>
        <w:rPr>
          <w:rFonts w:ascii="宋体" w:hAnsi="宋体" w:cs="宋体" w:eastAsia="宋体" w:hint="default"/>
          <w:sz w:val="27"/>
          <w:szCs w:val="27"/>
        </w:rPr>
      </w:pPr>
    </w:p>
    <w:p>
      <w:pPr>
        <w:pStyle w:val="BodyText"/>
        <w:spacing w:line="393" w:lineRule="auto" w:before="18"/>
        <w:ind w:left="213" w:right="1129" w:firstLine="420"/>
        <w:jc w:val="both"/>
      </w:pPr>
      <w:r>
        <w:rPr/>
        <w:t>③</w:t>
      </w:r>
      <w:r>
        <w:rPr>
          <w:rFonts w:ascii="Arial" w:hAnsi="Arial" w:cs="Arial" w:eastAsia="Arial" w:hint="default"/>
        </w:rPr>
        <w:t>2015</w:t>
      </w:r>
      <w:r>
        <w:rPr/>
        <w:t>年</w:t>
      </w:r>
      <w:r>
        <w:rPr>
          <w:rFonts w:ascii="Arial" w:hAnsi="Arial" w:cs="Arial" w:eastAsia="Arial" w:hint="default"/>
        </w:rPr>
        <w:t>2</w:t>
      </w:r>
      <w:r>
        <w:rPr/>
        <w:t>月</w:t>
      </w:r>
      <w:r>
        <w:rPr>
          <w:rFonts w:ascii="Arial" w:hAnsi="Arial" w:cs="Arial" w:eastAsia="Arial" w:hint="default"/>
        </w:rPr>
        <w:t>13</w:t>
      </w:r>
      <w:r>
        <w:rPr/>
        <w:t>日，经公司第三届董事会第二十二次（临时）会议决议，本公司为全资子公司西藏酷 </w:t>
      </w:r>
      <w:r>
        <w:rPr>
          <w:spacing w:val="-1"/>
        </w:rPr>
        <w:t>爱通信有限公司向供应商苹果电脑贸易（上海）有限公司申请赊销额度提供担保，担保总额不超过人民币</w:t>
      </w:r>
      <w:r>
        <w:rPr>
          <w:spacing w:val="-83"/>
        </w:rPr>
        <w:t> </w:t>
      </w:r>
      <w:r>
        <w:rPr>
          <w:spacing w:val="-83"/>
        </w:rPr>
      </w:r>
      <w:r>
        <w:rPr>
          <w:rFonts w:ascii="Arial" w:hAnsi="Arial" w:cs="Arial" w:eastAsia="Arial" w:hint="default"/>
        </w:rPr>
        <w:t>50,000.00</w:t>
      </w:r>
      <w:r>
        <w:rPr/>
        <w:t>万元，担保期限为西藏酷爱通信有限公司与苹果电脑贸易（上海）有限公司采购合同项下的最</w:t>
      </w:r>
      <w:r>
        <w:rPr>
          <w:spacing w:val="-22"/>
        </w:rPr>
        <w:t> </w:t>
      </w:r>
      <w:r>
        <w:rPr>
          <w:spacing w:val="-22"/>
        </w:rPr>
      </w:r>
      <w:r>
        <w:rPr/>
        <w:t>后付款到期日起三年。</w:t>
      </w:r>
    </w:p>
    <w:p>
      <w:pPr>
        <w:spacing w:line="240" w:lineRule="auto" w:before="5"/>
        <w:rPr>
          <w:rFonts w:ascii="宋体" w:hAnsi="宋体" w:cs="宋体" w:eastAsia="宋体" w:hint="default"/>
          <w:sz w:val="16"/>
          <w:szCs w:val="16"/>
        </w:rPr>
      </w:pPr>
    </w:p>
    <w:p>
      <w:pPr>
        <w:pStyle w:val="BodyText"/>
        <w:spacing w:line="393" w:lineRule="auto"/>
        <w:ind w:left="213" w:right="1130" w:firstLine="420"/>
        <w:jc w:val="both"/>
      </w:pPr>
      <w:r>
        <w:rPr/>
        <w:t>④</w:t>
      </w:r>
      <w:r>
        <w:rPr>
          <w:rFonts w:ascii="Arial" w:hAnsi="Arial" w:cs="Arial" w:eastAsia="Arial" w:hint="default"/>
        </w:rPr>
        <w:t>2015</w:t>
      </w:r>
      <w:r>
        <w:rPr/>
        <w:t>年</w:t>
      </w:r>
      <w:r>
        <w:rPr>
          <w:rFonts w:ascii="Arial" w:hAnsi="Arial" w:cs="Arial" w:eastAsia="Arial" w:hint="default"/>
        </w:rPr>
        <w:t>9</w:t>
      </w:r>
      <w:r>
        <w:rPr/>
        <w:t>月</w:t>
      </w:r>
      <w:r>
        <w:rPr>
          <w:rFonts w:ascii="Arial" w:hAnsi="Arial" w:cs="Arial" w:eastAsia="Arial" w:hint="default"/>
        </w:rPr>
        <w:t>21</w:t>
      </w:r>
      <w:r>
        <w:rPr/>
        <w:t>日，经公司第三届董事会第三十次（临时）会议决议，本公司为全资子公司西藏酷爱 通信有限公司向供应商苹果电脑贸易（上海）有限公司申请增加赊销额度提供不超过人民币</w:t>
      </w:r>
      <w:r>
        <w:rPr>
          <w:rFonts w:ascii="Arial" w:hAnsi="Arial" w:cs="Arial" w:eastAsia="Arial" w:hint="default"/>
        </w:rPr>
        <w:t>50,000.00</w:t>
      </w:r>
      <w:r>
        <w:rPr/>
        <w:t>万</w:t>
      </w:r>
      <w:r>
        <w:rPr>
          <w:spacing w:val="-27"/>
        </w:rPr>
        <w:t> </w:t>
      </w:r>
      <w:r>
        <w:rPr>
          <w:spacing w:val="-1"/>
        </w:rPr>
        <w:t>元的担保，担保期限为西藏酷爱通信有限公司与苹果电脑贸易（上海）有限公司采购合同项下的最后付款</w:t>
      </w:r>
      <w:r>
        <w:rPr>
          <w:spacing w:val="-83"/>
        </w:rPr>
        <w:t> </w:t>
      </w:r>
      <w:r>
        <w:rPr>
          <w:spacing w:val="-83"/>
        </w:rPr>
      </w:r>
      <w:r>
        <w:rPr/>
        <w:t>到期日到期起三年。</w:t>
      </w:r>
    </w:p>
    <w:p>
      <w:pPr>
        <w:pStyle w:val="Heading5"/>
        <w:spacing w:line="240" w:lineRule="auto" w:before="138"/>
        <w:ind w:right="1513"/>
        <w:jc w:val="left"/>
        <w:rPr>
          <w:b w:val="0"/>
          <w:bCs w:val="0"/>
        </w:rPr>
      </w:pPr>
      <w:bookmarkStart w:name="（3）关联方资金拆借" w:id="405"/>
      <w:bookmarkEnd w:id="405"/>
      <w:r>
        <w:rPr>
          <w:b w:val="0"/>
          <w:bCs w:val="0"/>
        </w:rPr>
      </w:r>
      <w:r>
        <w:rPr/>
        <w:t>（</w:t>
      </w:r>
      <w:r>
        <w:rPr>
          <w:rFonts w:ascii="Trebuchet MS" w:hAnsi="Trebuchet MS" w:cs="Trebuchet MS" w:eastAsia="Trebuchet MS" w:hint="default"/>
        </w:rPr>
        <w:t>3</w:t>
      </w:r>
      <w:r>
        <w:rPr/>
        <w:t>）关联方资金拆借</w:t>
      </w:r>
      <w:r>
        <w:rPr>
          <w:b w:val="0"/>
          <w:bCs w:val="0"/>
        </w:rPr>
      </w:r>
    </w:p>
    <w:p>
      <w:pPr>
        <w:spacing w:line="240" w:lineRule="auto" w:before="5"/>
        <w:rPr>
          <w:rFonts w:ascii="宋体" w:hAnsi="宋体" w:cs="宋体" w:eastAsia="宋体" w:hint="default"/>
          <w:b/>
          <w:bCs/>
          <w:sz w:val="30"/>
          <w:szCs w:val="30"/>
        </w:rPr>
      </w:pPr>
    </w:p>
    <w:p>
      <w:pPr>
        <w:pStyle w:val="BodyText"/>
        <w:spacing w:line="240" w:lineRule="auto"/>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913"/>
        <w:gridCol w:w="1914"/>
        <w:gridCol w:w="1916"/>
        <w:gridCol w:w="1914"/>
        <w:gridCol w:w="1914"/>
      </w:tblGrid>
      <w:tr>
        <w:trPr>
          <w:trHeight w:val="322" w:hRule="exact"/>
        </w:trPr>
        <w:tc>
          <w:tcPr>
            <w:tcW w:w="191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596"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17" w:hRule="exact"/>
        </w:trPr>
        <w:tc>
          <w:tcPr>
            <w:tcW w:w="9571" w:type="dxa"/>
            <w:gridSpan w:val="5"/>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拆入</w:t>
            </w:r>
          </w:p>
        </w:tc>
      </w:tr>
      <w:tr>
        <w:trPr>
          <w:trHeight w:val="4383" w:hRule="exact"/>
        </w:trPr>
        <w:tc>
          <w:tcPr>
            <w:tcW w:w="191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75"/>
              <w:jc w:val="center"/>
              <w:rPr>
                <w:rFonts w:ascii="宋体" w:hAnsi="宋体" w:cs="宋体" w:eastAsia="宋体" w:hint="default"/>
                <w:sz w:val="18"/>
                <w:szCs w:val="18"/>
              </w:rPr>
            </w:pPr>
            <w:r>
              <w:rPr>
                <w:rFonts w:ascii="宋体" w:hAnsi="宋体" w:cs="宋体" w:eastAsia="宋体" w:hint="default"/>
                <w:sz w:val="18"/>
                <w:szCs w:val="18"/>
              </w:rPr>
              <w:t>神州通国际有限公司</w:t>
            </w:r>
          </w:p>
        </w:tc>
        <w:tc>
          <w:tcPr>
            <w:tcW w:w="1914"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658" w:right="0"/>
              <w:jc w:val="left"/>
              <w:rPr>
                <w:rFonts w:ascii="Arial" w:hAnsi="Arial" w:cs="Arial" w:eastAsia="Arial" w:hint="default"/>
                <w:sz w:val="18"/>
                <w:szCs w:val="18"/>
              </w:rPr>
            </w:pPr>
            <w:r>
              <w:rPr>
                <w:rFonts w:ascii="Arial"/>
                <w:sz w:val="18"/>
              </w:rPr>
              <w:t>33,511,200.00</w:t>
            </w:r>
          </w:p>
        </w:tc>
        <w:tc>
          <w:tcPr>
            <w:tcW w:w="191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34" w:right="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06</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24</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914"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33" w:right="0"/>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06</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23</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2" w:lineRule="auto" w:before="10"/>
              <w:ind w:left="118" w:right="107" w:firstLine="67"/>
              <w:jc w:val="both"/>
              <w:rPr>
                <w:rFonts w:ascii="宋体" w:hAnsi="宋体" w:cs="宋体" w:eastAsia="宋体" w:hint="default"/>
                <w:sz w:val="18"/>
                <w:szCs w:val="18"/>
              </w:rPr>
            </w:pPr>
            <w:r>
              <w:rPr>
                <w:rFonts w:ascii="宋体" w:hAnsi="宋体" w:cs="宋体" w:eastAsia="宋体" w:hint="default"/>
                <w:sz w:val="18"/>
                <w:szCs w:val="18"/>
              </w:rPr>
              <w:t>本公司全资子公司爱 施德（香港）有限公 司</w:t>
            </w:r>
            <w:r>
              <w:rPr>
                <w:rFonts w:ascii="宋体" w:hAnsi="宋体" w:cs="宋体" w:eastAsia="宋体" w:hint="default"/>
                <w:spacing w:val="-48"/>
                <w:sz w:val="18"/>
                <w:szCs w:val="18"/>
              </w:rPr>
              <w:t> </w:t>
            </w:r>
            <w:r>
              <w:rPr>
                <w:rFonts w:ascii="Arial" w:hAnsi="Arial" w:cs="Arial" w:eastAsia="Arial" w:hint="default"/>
                <w:sz w:val="18"/>
                <w:szCs w:val="18"/>
              </w:rPr>
              <w:t>2015</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6</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24</w:t>
            </w:r>
            <w:r>
              <w:rPr>
                <w:rFonts w:ascii="Arial" w:hAnsi="Arial" w:cs="Arial" w:eastAsia="Arial" w:hint="default"/>
                <w:spacing w:val="-8"/>
                <w:sz w:val="18"/>
                <w:szCs w:val="18"/>
              </w:rPr>
              <w:t> </w:t>
            </w:r>
            <w:r>
              <w:rPr>
                <w:rFonts w:ascii="宋体" w:hAnsi="宋体" w:cs="宋体" w:eastAsia="宋体" w:hint="default"/>
                <w:sz w:val="18"/>
                <w:szCs w:val="18"/>
              </w:rPr>
              <w:t>日 向神州通国际有限公</w:t>
            </w:r>
          </w:p>
          <w:p>
            <w:pPr>
              <w:pStyle w:val="TableParagraph"/>
              <w:spacing w:line="316" w:lineRule="auto" w:before="23"/>
              <w:ind w:left="107" w:right="72" w:firstLine="798"/>
              <w:jc w:val="right"/>
              <w:rPr>
                <w:rFonts w:ascii="宋体" w:hAnsi="宋体" w:cs="宋体" w:eastAsia="宋体" w:hint="default"/>
                <w:sz w:val="18"/>
                <w:szCs w:val="18"/>
              </w:rPr>
            </w:pPr>
            <w:r>
              <w:rPr>
                <w:rFonts w:ascii="宋体" w:hAnsi="宋体" w:cs="宋体" w:eastAsia="宋体" w:hint="default"/>
                <w:sz w:val="18"/>
                <w:szCs w:val="18"/>
              </w:rPr>
              <w:t>司拆入港币 </w:t>
            </w:r>
            <w:r>
              <w:rPr>
                <w:rFonts w:ascii="Arial" w:hAnsi="Arial" w:cs="Arial" w:eastAsia="Arial" w:hint="default"/>
                <w:sz w:val="18"/>
                <w:szCs w:val="18"/>
              </w:rPr>
              <w:t>40,000,000.00</w:t>
            </w:r>
            <w:r>
              <w:rPr>
                <w:rFonts w:ascii="Arial" w:hAnsi="Arial" w:cs="Arial" w:eastAsia="Arial" w:hint="default"/>
                <w:spacing w:val="-11"/>
                <w:sz w:val="18"/>
                <w:szCs w:val="18"/>
              </w:rPr>
              <w:t> </w:t>
            </w:r>
            <w:r>
              <w:rPr>
                <w:rFonts w:ascii="宋体" w:hAnsi="宋体" w:cs="宋体" w:eastAsia="宋体" w:hint="default"/>
                <w:sz w:val="18"/>
                <w:szCs w:val="18"/>
              </w:rPr>
              <w:t>元整，</w:t>
            </w:r>
          </w:p>
          <w:p>
            <w:pPr>
              <w:pStyle w:val="TableParagraph"/>
              <w:spacing w:line="312" w:lineRule="auto"/>
              <w:ind w:left="143" w:right="107" w:firstLine="32"/>
              <w:jc w:val="right"/>
              <w:rPr>
                <w:rFonts w:ascii="Arial" w:hAnsi="Arial" w:cs="Arial" w:eastAsia="Arial" w:hint="default"/>
                <w:sz w:val="18"/>
                <w:szCs w:val="18"/>
              </w:rPr>
            </w:pPr>
            <w:r>
              <w:rPr>
                <w:rFonts w:ascii="宋体" w:hAnsi="宋体" w:cs="宋体" w:eastAsia="宋体" w:hint="default"/>
                <w:sz w:val="18"/>
                <w:szCs w:val="18"/>
              </w:rPr>
              <w:t>借款合同期限</w:t>
            </w:r>
            <w:r>
              <w:rPr>
                <w:rFonts w:ascii="宋体" w:hAnsi="宋体" w:cs="宋体" w:eastAsia="宋体" w:hint="default"/>
                <w:spacing w:val="-47"/>
                <w:sz w:val="18"/>
                <w:szCs w:val="18"/>
              </w:rPr>
              <w:t> </w:t>
            </w: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年， 借款利率为</w:t>
            </w:r>
            <w:r>
              <w:rPr>
                <w:rFonts w:ascii="宋体" w:hAnsi="宋体" w:cs="宋体" w:eastAsia="宋体" w:hint="default"/>
                <w:spacing w:val="-64"/>
                <w:sz w:val="18"/>
                <w:szCs w:val="18"/>
              </w:rPr>
              <w:t> </w:t>
            </w:r>
            <w:r>
              <w:rPr>
                <w:rFonts w:ascii="Arial" w:hAnsi="Arial" w:cs="Arial" w:eastAsia="Arial" w:hint="default"/>
                <w:sz w:val="18"/>
                <w:szCs w:val="18"/>
              </w:rPr>
              <w:t>1.8%+</w:t>
            </w:r>
            <w:r>
              <w:rPr>
                <w:rFonts w:ascii="宋体" w:hAnsi="宋体" w:cs="宋体" w:eastAsia="宋体" w:hint="default"/>
                <w:sz w:val="18"/>
                <w:szCs w:val="18"/>
              </w:rPr>
              <w:t>恒 生银行同业拆息，每 季度最后一天付息给 神州通国际有限公 司，本期资金拆借利 息为港币</w:t>
            </w:r>
            <w:r>
              <w:rPr>
                <w:rFonts w:ascii="宋体" w:hAnsi="宋体" w:cs="宋体" w:eastAsia="宋体" w:hint="default"/>
                <w:spacing w:val="-50"/>
                <w:sz w:val="18"/>
                <w:szCs w:val="18"/>
              </w:rPr>
              <w:t> </w:t>
            </w:r>
            <w:r>
              <w:rPr>
                <w:rFonts w:ascii="Arial" w:hAnsi="Arial" w:cs="Arial" w:eastAsia="Arial" w:hint="default"/>
                <w:sz w:val="18"/>
                <w:szCs w:val="18"/>
              </w:rPr>
              <w:t>527,545.40</w:t>
            </w:r>
          </w:p>
          <w:p>
            <w:pPr>
              <w:pStyle w:val="TableParagraph"/>
              <w:spacing w:line="240" w:lineRule="auto" w:before="3"/>
              <w:ind w:right="107"/>
              <w:jc w:val="right"/>
              <w:rPr>
                <w:rFonts w:ascii="宋体" w:hAnsi="宋体" w:cs="宋体" w:eastAsia="宋体" w:hint="default"/>
                <w:sz w:val="18"/>
                <w:szCs w:val="18"/>
              </w:rPr>
            </w:pPr>
            <w:r>
              <w:rPr>
                <w:rFonts w:ascii="宋体" w:hAnsi="宋体" w:cs="宋体" w:eastAsia="宋体" w:hint="default"/>
                <w:sz w:val="18"/>
                <w:szCs w:val="18"/>
              </w:rPr>
              <w:t>元。</w:t>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4）关键管理人员报酬" w:id="406"/>
      <w:bookmarkEnd w:id="406"/>
      <w:r>
        <w:rPr>
          <w:b w:val="0"/>
          <w:bCs w:val="0"/>
        </w:rPr>
      </w:r>
      <w:r>
        <w:rPr/>
        <w:t>（</w:t>
      </w:r>
      <w:r>
        <w:rPr>
          <w:rFonts w:ascii="Trebuchet MS" w:hAnsi="Trebuchet MS" w:cs="Trebuchet MS" w:eastAsia="Trebuchet MS" w:hint="default"/>
        </w:rPr>
        <w:t>4</w:t>
      </w:r>
      <w:r>
        <w:rPr/>
        <w:t>）关键管理人员报酬</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5"/>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189"/>
        <w:gridCol w:w="3190"/>
        <w:gridCol w:w="3191"/>
      </w:tblGrid>
      <w:tr>
        <w:trPr>
          <w:trHeight w:val="317" w:hRule="exact"/>
        </w:trPr>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6" w:hRule="exact"/>
        </w:trPr>
        <w:tc>
          <w:tcPr>
            <w:tcW w:w="31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left="1934" w:right="0"/>
              <w:jc w:val="left"/>
              <w:rPr>
                <w:rFonts w:ascii="Arial" w:hAnsi="Arial" w:cs="Arial" w:eastAsia="Arial" w:hint="default"/>
                <w:sz w:val="18"/>
                <w:szCs w:val="18"/>
              </w:rPr>
            </w:pPr>
            <w:r>
              <w:rPr>
                <w:rFonts w:ascii="Arial"/>
                <w:sz w:val="18"/>
              </w:rPr>
              <w:t>21,235,292.49</w:t>
            </w:r>
          </w:p>
        </w:tc>
        <w:tc>
          <w:tcPr>
            <w:tcW w:w="31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2"/>
              <w:ind w:left="1936" w:right="0"/>
              <w:jc w:val="left"/>
              <w:rPr>
                <w:rFonts w:ascii="Arial" w:hAnsi="Arial" w:cs="Arial" w:eastAsia="Arial" w:hint="default"/>
                <w:sz w:val="18"/>
                <w:szCs w:val="18"/>
              </w:rPr>
            </w:pPr>
            <w:r>
              <w:rPr>
                <w:rFonts w:ascii="Arial"/>
                <w:sz w:val="18"/>
              </w:rPr>
              <w:t>21,802,300.00</w:t>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5）其他关联交易" w:id="407"/>
      <w:bookmarkEnd w:id="407"/>
      <w:r>
        <w:rPr>
          <w:b w:val="0"/>
          <w:bCs w:val="0"/>
        </w:rPr>
      </w:r>
      <w:r>
        <w:rPr/>
        <w:t>（</w:t>
      </w:r>
      <w:r>
        <w:rPr>
          <w:rFonts w:ascii="Trebuchet MS" w:hAnsi="Trebuchet MS" w:cs="Trebuchet MS" w:eastAsia="Trebuchet MS" w:hint="default"/>
        </w:rPr>
        <w:t>5</w:t>
      </w:r>
      <w:r>
        <w:rPr/>
        <w:t>）其他关联交易</w:t>
      </w:r>
      <w:r>
        <w:rPr>
          <w:b w:val="0"/>
          <w:bCs w:val="0"/>
        </w:rPr>
      </w:r>
    </w:p>
    <w:p>
      <w:pPr>
        <w:spacing w:line="240" w:lineRule="auto" w:before="6"/>
        <w:rPr>
          <w:rFonts w:ascii="宋体" w:hAnsi="宋体" w:cs="宋体" w:eastAsia="宋体" w:hint="default"/>
          <w:b/>
          <w:bCs/>
          <w:sz w:val="30"/>
          <w:szCs w:val="30"/>
        </w:rPr>
      </w:pPr>
    </w:p>
    <w:p>
      <w:pPr>
        <w:pStyle w:val="BodyText"/>
        <w:spacing w:line="388" w:lineRule="auto"/>
        <w:ind w:left="213" w:right="419" w:firstLine="420"/>
        <w:jc w:val="left"/>
      </w:pPr>
      <w:r>
        <w:rPr/>
        <w:t>公司</w:t>
      </w:r>
      <w:r>
        <w:rPr>
          <w:rFonts w:ascii="Arial" w:hAnsi="Arial" w:cs="Arial" w:eastAsia="Arial" w:hint="default"/>
        </w:rPr>
        <w:t>2015</w:t>
      </w:r>
      <w:r>
        <w:rPr/>
        <w:t>年</w:t>
      </w:r>
      <w:r>
        <w:rPr>
          <w:rFonts w:ascii="Arial" w:hAnsi="Arial" w:cs="Arial" w:eastAsia="Arial" w:hint="default"/>
        </w:rPr>
        <w:t>9</w:t>
      </w:r>
      <w:r>
        <w:rPr/>
        <w:t>月</w:t>
      </w:r>
      <w:r>
        <w:rPr>
          <w:rFonts w:ascii="Arial" w:hAnsi="Arial" w:cs="Arial" w:eastAsia="Arial" w:hint="default"/>
        </w:rPr>
        <w:t>14</w:t>
      </w:r>
      <w:r>
        <w:rPr/>
        <w:t>日召开第三届董事会第二十九次（临时）会议，</w:t>
      </w:r>
      <w:r>
        <w:rPr>
          <w:rFonts w:ascii="Arial" w:hAnsi="Arial" w:cs="Arial" w:eastAsia="Arial" w:hint="default"/>
        </w:rPr>
        <w:t>2015</w:t>
      </w:r>
      <w:r>
        <w:rPr/>
        <w:t>年</w:t>
      </w:r>
      <w:r>
        <w:rPr>
          <w:rFonts w:ascii="Arial" w:hAnsi="Arial" w:cs="Arial" w:eastAsia="Arial" w:hint="default"/>
        </w:rPr>
        <w:t>10</w:t>
      </w:r>
      <w:r>
        <w:rPr/>
        <w:t>月</w:t>
      </w:r>
      <w:r>
        <w:rPr>
          <w:rFonts w:ascii="Arial" w:hAnsi="Arial" w:cs="Arial" w:eastAsia="Arial" w:hint="default"/>
        </w:rPr>
        <w:t>13</w:t>
      </w:r>
      <w:r>
        <w:rPr/>
        <w:t>日召开</w:t>
      </w:r>
      <w:r>
        <w:rPr>
          <w:rFonts w:ascii="Arial" w:hAnsi="Arial" w:cs="Arial" w:eastAsia="Arial" w:hint="default"/>
        </w:rPr>
        <w:t>2015</w:t>
      </w:r>
      <w:r>
        <w:rPr/>
        <w:t>年第三 </w:t>
      </w:r>
      <w:r>
        <w:rPr>
          <w:spacing w:val="-1"/>
        </w:rPr>
        <w:t>次临时股东大会，审议通过了本次非公开发行的方案，方案如下：本次非公开发行股票的发行对象为先锋</w:t>
      </w:r>
    </w:p>
    <w:p>
      <w:pPr>
        <w:spacing w:after="0" w:line="388" w:lineRule="auto"/>
        <w:jc w:val="left"/>
        <w:sectPr>
          <w:pgSz w:w="11910" w:h="16840"/>
          <w:pgMar w:header="877" w:footer="979" w:top="1100" w:bottom="1160" w:left="920" w:right="0"/>
        </w:sectPr>
      </w:pPr>
    </w:p>
    <w:p>
      <w:pPr>
        <w:spacing w:line="240" w:lineRule="auto" w:before="7"/>
        <w:rPr>
          <w:rFonts w:ascii="宋体" w:hAnsi="宋体" w:cs="宋体" w:eastAsia="宋体" w:hint="default"/>
          <w:sz w:val="27"/>
          <w:szCs w:val="27"/>
        </w:rPr>
      </w:pPr>
    </w:p>
    <w:p>
      <w:pPr>
        <w:pStyle w:val="BodyText"/>
        <w:spacing w:line="391" w:lineRule="auto" w:before="18"/>
        <w:ind w:left="213" w:right="1128"/>
        <w:jc w:val="both"/>
      </w:pPr>
      <w:r>
        <w:rPr>
          <w:spacing w:val="-1"/>
        </w:rPr>
        <w:t>创业有限公司、唐进波和新余爱乐投资管理中心（有限合伙）（以下简称“新余爱乐”）；发行对象认购</w:t>
      </w:r>
      <w:r>
        <w:rPr>
          <w:spacing w:val="-84"/>
        </w:rPr>
        <w:t> </w:t>
      </w:r>
      <w:r>
        <w:rPr>
          <w:spacing w:val="-84"/>
        </w:rPr>
      </w:r>
      <w:r>
        <w:rPr>
          <w:spacing w:val="-1"/>
        </w:rPr>
        <w:t>本次发行的股票自发行结束之日起</w:t>
      </w:r>
      <w:r>
        <w:rPr>
          <w:rFonts w:ascii="Arial" w:hAnsi="Arial" w:cs="Arial" w:eastAsia="Arial" w:hint="default"/>
          <w:spacing w:val="-1"/>
        </w:rPr>
        <w:t>36</w:t>
      </w:r>
      <w:r>
        <w:rPr>
          <w:spacing w:val="-1"/>
        </w:rPr>
        <w:t>个月内不得转让；本次非公开发行股票的定价基准日为本次董事会会</w:t>
      </w:r>
      <w:r>
        <w:rPr/>
        <w:t> </w:t>
      </w:r>
      <w:r>
        <w:rPr>
          <w:spacing w:val="-2"/>
        </w:rPr>
        <w:t>议决议公告日，即</w:t>
      </w:r>
      <w:r>
        <w:rPr>
          <w:rFonts w:ascii="Arial" w:hAnsi="Arial" w:cs="Arial" w:eastAsia="Arial" w:hint="default"/>
          <w:spacing w:val="-2"/>
        </w:rPr>
        <w:t>2015</w:t>
      </w:r>
      <w:r>
        <w:rPr>
          <w:spacing w:val="-2"/>
        </w:rPr>
        <w:t>年</w:t>
      </w:r>
      <w:r>
        <w:rPr>
          <w:rFonts w:ascii="Arial" w:hAnsi="Arial" w:cs="Arial" w:eastAsia="Arial" w:hint="default"/>
          <w:spacing w:val="-2"/>
        </w:rPr>
        <w:t>9</w:t>
      </w:r>
      <w:r>
        <w:rPr>
          <w:spacing w:val="-2"/>
        </w:rPr>
        <w:t>月</w:t>
      </w:r>
      <w:r>
        <w:rPr>
          <w:rFonts w:ascii="Arial" w:hAnsi="Arial" w:cs="Arial" w:eastAsia="Arial" w:hint="default"/>
          <w:spacing w:val="-2"/>
        </w:rPr>
        <w:t>16</w:t>
      </w:r>
      <w:r>
        <w:rPr>
          <w:spacing w:val="-2"/>
        </w:rPr>
        <w:t>日；本次非公开发行股票的数量为</w:t>
      </w:r>
      <w:r>
        <w:rPr>
          <w:rFonts w:ascii="Arial" w:hAnsi="Arial" w:cs="Arial" w:eastAsia="Arial" w:hint="default"/>
          <w:spacing w:val="-2"/>
        </w:rPr>
        <w:t>4,135</w:t>
      </w:r>
      <w:r>
        <w:rPr>
          <w:spacing w:val="-2"/>
        </w:rPr>
        <w:t>万股，发行价格为</w:t>
      </w:r>
      <w:r>
        <w:rPr>
          <w:rFonts w:ascii="Arial" w:hAnsi="Arial" w:cs="Arial" w:eastAsia="Arial" w:hint="default"/>
          <w:spacing w:val="-2"/>
        </w:rPr>
        <w:t>9.664</w:t>
      </w:r>
      <w:r>
        <w:rPr>
          <w:spacing w:val="-2"/>
        </w:rPr>
        <w:t>元</w:t>
      </w:r>
      <w:r>
        <w:rPr>
          <w:rFonts w:ascii="Arial" w:hAnsi="Arial" w:cs="Arial" w:eastAsia="Arial" w:hint="default"/>
          <w:spacing w:val="-2"/>
        </w:rPr>
        <w:t>/</w:t>
      </w:r>
      <w:r>
        <w:rPr>
          <w:spacing w:val="-2"/>
        </w:rPr>
        <w:t>股；发</w:t>
      </w:r>
      <w:r>
        <w:rPr>
          <w:spacing w:val="-60"/>
        </w:rPr>
        <w:t> </w:t>
      </w:r>
      <w:r>
        <w:rPr>
          <w:spacing w:val="-60"/>
        </w:rPr>
      </w:r>
      <w:r>
        <w:rPr/>
        <w:t>行对象以现金方式认购；本次发行预计募集资金总额</w:t>
      </w:r>
      <w:r>
        <w:rPr>
          <w:rFonts w:ascii="Arial" w:hAnsi="Arial" w:cs="Arial" w:eastAsia="Arial" w:hint="default"/>
        </w:rPr>
        <w:t>39,960.64</w:t>
      </w:r>
      <w:r>
        <w:rPr/>
        <w:t>万元，扣除发行费用后的募集资金净额将</w:t>
      </w:r>
      <w:r>
        <w:rPr>
          <w:spacing w:val="-25"/>
        </w:rPr>
        <w:t> </w:t>
      </w:r>
      <w:r>
        <w:rPr/>
        <w:t>全部用于补充公司流动资金。</w:t>
      </w:r>
      <w:r>
        <w:rPr>
          <w:rFonts w:ascii="Arial" w:hAnsi="Arial" w:cs="Arial" w:eastAsia="Arial" w:hint="default"/>
        </w:rPr>
        <w:t>2016</w:t>
      </w:r>
      <w:r>
        <w:rPr/>
        <w:t>年</w:t>
      </w:r>
      <w:r>
        <w:rPr>
          <w:rFonts w:ascii="Arial" w:hAnsi="Arial" w:cs="Arial" w:eastAsia="Arial" w:hint="default"/>
        </w:rPr>
        <w:t>1</w:t>
      </w:r>
      <w:r>
        <w:rPr/>
        <w:t>月</w:t>
      </w:r>
      <w:r>
        <w:rPr>
          <w:rFonts w:ascii="Arial" w:hAnsi="Arial" w:cs="Arial" w:eastAsia="Arial" w:hint="default"/>
        </w:rPr>
        <w:t>29</w:t>
      </w:r>
      <w:r>
        <w:rPr/>
        <w:t>日，中国证券监督管理委员会发行审核委员会第二十次会议审 核通过了公司非公开发行股票的申请。</w:t>
      </w:r>
    </w:p>
    <w:p>
      <w:pPr>
        <w:spacing w:line="240" w:lineRule="auto" w:before="8"/>
        <w:rPr>
          <w:rFonts w:ascii="宋体" w:hAnsi="宋体" w:cs="宋体" w:eastAsia="宋体" w:hint="default"/>
          <w:sz w:val="16"/>
          <w:szCs w:val="16"/>
        </w:rPr>
      </w:pPr>
    </w:p>
    <w:p>
      <w:pPr>
        <w:pStyle w:val="BodyText"/>
        <w:spacing w:line="408" w:lineRule="auto"/>
        <w:ind w:left="213" w:right="419" w:firstLine="420"/>
        <w:jc w:val="left"/>
      </w:pPr>
      <w:r>
        <w:rPr>
          <w:spacing w:val="-1"/>
        </w:rPr>
        <w:t>上述发行对象中，新余爱乐的合伙人吴学军、罗筱溪、陈亮、米泽东、杨治、余斌为公司高级管理人</w:t>
      </w:r>
      <w:r>
        <w:rPr/>
        <w:t> 员，新余爱乐为公司的关联方，新余爱乐认购的股份占本次非公开发行股份比例为</w:t>
      </w:r>
      <w:r>
        <w:rPr>
          <w:rFonts w:ascii="Arial" w:hAnsi="Arial" w:cs="Arial" w:eastAsia="Arial" w:hint="default"/>
        </w:rPr>
        <w:t>10.88%</w:t>
      </w:r>
      <w:r>
        <w:rPr/>
        <w:t>。</w:t>
      </w:r>
    </w:p>
    <w:p>
      <w:pPr>
        <w:pStyle w:val="Heading5"/>
        <w:spacing w:line="240" w:lineRule="auto" w:before="93"/>
        <w:ind w:right="1513"/>
        <w:jc w:val="left"/>
        <w:rPr>
          <w:b w:val="0"/>
          <w:bCs w:val="0"/>
        </w:rPr>
      </w:pPr>
      <w:bookmarkStart w:name="6、关联方应收应付款项" w:id="408"/>
      <w:bookmarkEnd w:id="408"/>
      <w:r>
        <w:rPr>
          <w:b w:val="0"/>
          <w:bCs w:val="0"/>
        </w:rPr>
      </w:r>
      <w:r>
        <w:rPr>
          <w:rFonts w:ascii="Trebuchet MS" w:hAnsi="Trebuchet MS" w:cs="Trebuchet MS" w:eastAsia="Trebuchet MS"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spacing w:before="0"/>
        <w:ind w:left="636" w:right="1513" w:firstLine="0"/>
        <w:jc w:val="left"/>
        <w:rPr>
          <w:rFonts w:ascii="宋体" w:hAnsi="宋体" w:cs="宋体" w:eastAsia="宋体" w:hint="default"/>
          <w:sz w:val="21"/>
          <w:szCs w:val="21"/>
        </w:rPr>
      </w:pPr>
      <w:bookmarkStart w:name="（1）应收项目" w:id="409"/>
      <w:bookmarkEnd w:id="409"/>
      <w:r>
        <w:rPr/>
      </w:r>
      <w:r>
        <w:rPr>
          <w:rFonts w:ascii="宋体" w:hAnsi="宋体" w:cs="宋体" w:eastAsia="宋体" w:hint="default"/>
          <w:b/>
          <w:bCs/>
          <w:sz w:val="21"/>
          <w:szCs w:val="21"/>
        </w:rPr>
        <w:t>（</w:t>
      </w:r>
      <w:r>
        <w:rPr>
          <w:rFonts w:ascii="Trebuchet MS" w:hAnsi="Trebuchet MS" w:cs="Trebuchet MS" w:eastAsia="Trebuchet MS" w:hint="default"/>
          <w:b/>
          <w:bCs/>
          <w:sz w:val="21"/>
          <w:szCs w:val="21"/>
        </w:rPr>
        <w:t>1</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5"/>
        <w:rPr>
          <w:rFonts w:ascii="宋体" w:hAnsi="宋体" w:cs="宋体" w:eastAsia="宋体" w:hint="default"/>
          <w:b/>
          <w:bCs/>
          <w:sz w:val="30"/>
          <w:szCs w:val="30"/>
        </w:rPr>
      </w:pPr>
    </w:p>
    <w:p>
      <w:pPr>
        <w:pStyle w:val="BodyText"/>
        <w:spacing w:line="240" w:lineRule="auto"/>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322" w:hRule="exact"/>
        </w:trPr>
        <w:tc>
          <w:tcPr>
            <w:tcW w:w="1595"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6"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17" w:hRule="exact"/>
        </w:trPr>
        <w:tc>
          <w:tcPr>
            <w:tcW w:w="1595" w:type="dxa"/>
            <w:vMerge/>
            <w:tcBorders>
              <w:left w:val="nil" w:sz="6" w:space="0" w:color="auto"/>
              <w:bottom w:val="single" w:sz="4" w:space="0" w:color="5B9BD4"/>
              <w:right w:val="nil" w:sz="6" w:space="0" w:color="auto"/>
            </w:tcBorders>
            <w:shd w:val="clear" w:color="auto" w:fill="DEEAF6"/>
          </w:tcPr>
          <w:p>
            <w:pPr/>
          </w:p>
        </w:tc>
        <w:tc>
          <w:tcPr>
            <w:tcW w:w="1595" w:type="dxa"/>
            <w:vMerge/>
            <w:tcBorders>
              <w:left w:val="nil" w:sz="6" w:space="0" w:color="auto"/>
              <w:bottom w:val="single" w:sz="4" w:space="0" w:color="5B9BD4"/>
              <w:right w:val="nil" w:sz="6" w:space="0" w:color="auto"/>
            </w:tcBorders>
            <w:shd w:val="clear" w:color="auto" w:fill="DEEAF6"/>
          </w:tcPr>
          <w:p>
            <w:pPr/>
          </w:p>
        </w:tc>
        <w:tc>
          <w:tcPr>
            <w:tcW w:w="15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3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3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3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3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39" w:hRule="exact"/>
        </w:trPr>
        <w:tc>
          <w:tcPr>
            <w:tcW w:w="15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5B9BD4"/>
              <w:left w:val="nil" w:sz="6" w:space="0" w:color="auto"/>
              <w:bottom w:val="single" w:sz="4" w:space="0" w:color="5B9BD4"/>
              <w:right w:val="nil" w:sz="6" w:space="0" w:color="auto"/>
            </w:tcBorders>
          </w:tcPr>
          <w:p>
            <w:pPr>
              <w:pStyle w:val="TableParagraph"/>
              <w:spacing w:line="316" w:lineRule="auto" w:before="10"/>
              <w:ind w:left="226" w:right="107"/>
              <w:jc w:val="left"/>
              <w:rPr>
                <w:rFonts w:ascii="宋体" w:hAnsi="宋体" w:cs="宋体" w:eastAsia="宋体" w:hint="default"/>
                <w:sz w:val="18"/>
                <w:szCs w:val="18"/>
              </w:rPr>
            </w:pPr>
            <w:r>
              <w:rPr>
                <w:rFonts w:ascii="宋体" w:hAnsi="宋体" w:cs="宋体" w:eastAsia="宋体" w:hint="default"/>
                <w:sz w:val="18"/>
                <w:szCs w:val="18"/>
              </w:rPr>
              <w:t>深圳市神州通油 茶营销有限公司</w:t>
            </w:r>
          </w:p>
        </w:tc>
        <w:tc>
          <w:tcPr>
            <w:tcW w:w="15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87" w:right="0"/>
              <w:jc w:val="left"/>
              <w:rPr>
                <w:rFonts w:ascii="Arial" w:hAnsi="Arial" w:cs="Arial" w:eastAsia="Arial" w:hint="default"/>
                <w:sz w:val="18"/>
                <w:szCs w:val="18"/>
              </w:rPr>
            </w:pPr>
            <w:r>
              <w:rPr>
                <w:rFonts w:ascii="Arial"/>
                <w:sz w:val="18"/>
              </w:rPr>
              <w:t>1,711.40</w:t>
            </w:r>
          </w:p>
        </w:tc>
        <w:tc>
          <w:tcPr>
            <w:tcW w:w="1594" w:type="dxa"/>
            <w:tcBorders>
              <w:top w:val="single" w:sz="4" w:space="0" w:color="5B9BD4"/>
              <w:left w:val="nil" w:sz="6" w:space="0" w:color="auto"/>
              <w:bottom w:val="single" w:sz="4" w:space="0" w:color="5B9BD4"/>
              <w:right w:val="nil" w:sz="6" w:space="0" w:color="auto"/>
            </w:tcBorders>
          </w:tcPr>
          <w:p>
            <w:pPr/>
          </w:p>
        </w:tc>
        <w:tc>
          <w:tcPr>
            <w:tcW w:w="1594" w:type="dxa"/>
            <w:tcBorders>
              <w:top w:val="single" w:sz="4" w:space="0" w:color="5B9BD4"/>
              <w:left w:val="nil" w:sz="6" w:space="0" w:color="auto"/>
              <w:bottom w:val="single" w:sz="4" w:space="0" w:color="5B9BD4"/>
              <w:right w:val="nil" w:sz="6" w:space="0" w:color="auto"/>
            </w:tcBorders>
            <w:shd w:val="clear" w:color="auto" w:fill="DEEAF6"/>
          </w:tcPr>
          <w:p>
            <w:pPr/>
          </w:p>
        </w:tc>
        <w:tc>
          <w:tcPr>
            <w:tcW w:w="1595" w:type="dxa"/>
            <w:tcBorders>
              <w:top w:val="single" w:sz="4" w:space="0" w:color="5B9BD4"/>
              <w:left w:val="nil" w:sz="6" w:space="0" w:color="auto"/>
              <w:bottom w:val="single" w:sz="4" w:space="0" w:color="5B9BD4"/>
              <w:right w:val="nil" w:sz="6" w:space="0" w:color="auto"/>
            </w:tcBorders>
          </w:tcPr>
          <w:p>
            <w:pP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2）应付项目" w:id="410"/>
      <w:bookmarkEnd w:id="410"/>
      <w:r>
        <w:rPr>
          <w:b w:val="0"/>
          <w:bCs w:val="0"/>
        </w:rPr>
      </w:r>
      <w:r>
        <w:rPr/>
        <w:t>（</w:t>
      </w:r>
      <w:r>
        <w:rPr>
          <w:rFonts w:ascii="Trebuchet MS" w:hAnsi="Trebuchet MS" w:cs="Trebuchet MS" w:eastAsia="Trebuchet MS" w:hint="default"/>
        </w:rPr>
        <w:t>2</w:t>
      </w:r>
      <w:r>
        <w:rPr/>
        <w:t>）应付项目</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2392"/>
        <w:gridCol w:w="2393"/>
        <w:gridCol w:w="2392"/>
        <w:gridCol w:w="2392"/>
      </w:tblGrid>
      <w:tr>
        <w:trPr>
          <w:trHeight w:val="317" w:hRule="exact"/>
        </w:trPr>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65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65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8" w:hRule="exact"/>
        </w:trPr>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5B9BD4"/>
              <w:left w:val="nil" w:sz="6" w:space="0" w:color="auto"/>
              <w:bottom w:val="single" w:sz="4" w:space="0" w:color="5B9BD4"/>
              <w:right w:val="nil" w:sz="6" w:space="0" w:color="auto"/>
            </w:tcBorders>
          </w:tcPr>
          <w:p>
            <w:pPr>
              <w:pStyle w:val="TableParagraph"/>
              <w:spacing w:line="240" w:lineRule="auto" w:before="10"/>
              <w:ind w:left="663" w:right="0"/>
              <w:jc w:val="left"/>
              <w:rPr>
                <w:rFonts w:ascii="宋体" w:hAnsi="宋体" w:cs="宋体" w:eastAsia="宋体" w:hint="default"/>
                <w:sz w:val="18"/>
                <w:szCs w:val="18"/>
              </w:rPr>
            </w:pPr>
            <w:r>
              <w:rPr>
                <w:rFonts w:ascii="宋体" w:hAnsi="宋体" w:cs="宋体" w:eastAsia="宋体" w:hint="default"/>
                <w:sz w:val="18"/>
                <w:szCs w:val="18"/>
              </w:rPr>
              <w:t>神州通国际有限公司</w:t>
            </w:r>
          </w:p>
        </w:tc>
        <w:tc>
          <w:tcPr>
            <w:tcW w:w="23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2"/>
              <w:ind w:left="1136" w:right="0"/>
              <w:jc w:val="left"/>
              <w:rPr>
                <w:rFonts w:ascii="Arial" w:hAnsi="Arial" w:cs="Arial" w:eastAsia="Arial" w:hint="default"/>
                <w:sz w:val="18"/>
                <w:szCs w:val="18"/>
              </w:rPr>
            </w:pPr>
            <w:r>
              <w:rPr>
                <w:rFonts w:ascii="Arial"/>
                <w:sz w:val="18"/>
              </w:rPr>
              <w:t>33,700,148.10</w:t>
            </w:r>
          </w:p>
        </w:tc>
        <w:tc>
          <w:tcPr>
            <w:tcW w:w="2392" w:type="dxa"/>
            <w:tcBorders>
              <w:top w:val="single" w:sz="4" w:space="0" w:color="5B9BD4"/>
              <w:left w:val="nil" w:sz="6" w:space="0" w:color="auto"/>
              <w:bottom w:val="single" w:sz="4" w:space="0" w:color="5B9BD4"/>
              <w:right w:val="nil" w:sz="6" w:space="0" w:color="auto"/>
            </w:tcBorders>
          </w:tcPr>
          <w:p>
            <w:pPr/>
          </w:p>
        </w:tc>
      </w:tr>
    </w:tbl>
    <w:p>
      <w:pPr>
        <w:spacing w:line="240" w:lineRule="auto" w:before="2"/>
        <w:rPr>
          <w:rFonts w:ascii="宋体" w:hAnsi="宋体" w:cs="宋体" w:eastAsia="宋体" w:hint="default"/>
          <w:sz w:val="7"/>
          <w:szCs w:val="7"/>
        </w:rPr>
      </w:pPr>
    </w:p>
    <w:p>
      <w:pPr>
        <w:pStyle w:val="Heading2"/>
        <w:spacing w:line="240" w:lineRule="auto" w:before="26"/>
        <w:ind w:left="214" w:right="0"/>
        <w:jc w:val="both"/>
        <w:rPr>
          <w:rFonts w:ascii="宋体" w:hAnsi="宋体" w:cs="宋体" w:eastAsia="宋体" w:hint="default"/>
          <w:b w:val="0"/>
          <w:bCs w:val="0"/>
        </w:rPr>
      </w:pPr>
      <w:bookmarkStart w:name="十二、股份支付" w:id="411"/>
      <w:bookmarkEnd w:id="411"/>
      <w:r>
        <w:rPr>
          <w:b w:val="0"/>
          <w:bCs w:val="0"/>
        </w:rPr>
      </w:r>
      <w:bookmarkStart w:name="_bookmark85" w:id="412"/>
      <w:bookmarkEnd w:id="412"/>
      <w:r>
        <w:rPr>
          <w:b w:val="0"/>
          <w:bCs w:val="0"/>
        </w:rPr>
      </w:r>
      <w:r>
        <w:rPr>
          <w:rFonts w:ascii="宋体" w:hAnsi="宋体" w:cs="宋体" w:eastAsia="宋体" w:hint="default"/>
        </w:rPr>
        <w:t>十二、股份支付</w:t>
      </w:r>
      <w:r>
        <w:rPr>
          <w:rFonts w:ascii="宋体" w:hAnsi="宋体" w:cs="宋体" w:eastAsia="宋体" w:hint="default"/>
          <w:b w:val="0"/>
          <w:bCs w:val="0"/>
        </w:rPr>
      </w:r>
    </w:p>
    <w:p>
      <w:pPr>
        <w:spacing w:line="240" w:lineRule="auto" w:before="3"/>
        <w:rPr>
          <w:rFonts w:ascii="宋体" w:hAnsi="宋体" w:cs="宋体" w:eastAsia="宋体" w:hint="default"/>
          <w:b/>
          <w:bCs/>
          <w:sz w:val="24"/>
          <w:szCs w:val="24"/>
        </w:rPr>
      </w:pPr>
    </w:p>
    <w:p>
      <w:pPr>
        <w:pStyle w:val="Heading5"/>
        <w:spacing w:line="240" w:lineRule="auto" w:before="0"/>
        <w:ind w:right="1513"/>
        <w:jc w:val="left"/>
        <w:rPr>
          <w:b w:val="0"/>
          <w:bCs w:val="0"/>
        </w:rPr>
      </w:pPr>
      <w:bookmarkStart w:name="1、本期未发生股份支付修改、终止情况的。" w:id="413"/>
      <w:bookmarkEnd w:id="413"/>
      <w:r>
        <w:rPr>
          <w:b w:val="0"/>
          <w:bCs w:val="0"/>
        </w:rPr>
      </w:r>
      <w:r>
        <w:rPr>
          <w:rFonts w:ascii="Trebuchet MS" w:hAnsi="Trebuchet MS" w:cs="Trebuchet MS" w:eastAsia="Trebuchet MS" w:hint="default"/>
        </w:rPr>
        <w:t>1</w:t>
      </w:r>
      <w:r>
        <w:rPr/>
        <w:t>、本期未发生股份支付修改、终止情况的。</w:t>
      </w:r>
      <w:r>
        <w:rPr>
          <w:b w:val="0"/>
          <w:bCs w:val="0"/>
        </w:rPr>
      </w:r>
    </w:p>
    <w:p>
      <w:pPr>
        <w:pStyle w:val="BodyText"/>
        <w:spacing w:line="690" w:lineRule="exact" w:before="14"/>
        <w:ind w:left="635" w:right="419" w:firstLine="1"/>
        <w:jc w:val="left"/>
      </w:pPr>
      <w:bookmarkStart w:name="2、其他" w:id="414"/>
      <w:bookmarkEnd w:id="414"/>
      <w:r>
        <w:rPr/>
      </w:r>
      <w:r>
        <w:rPr>
          <w:rFonts w:ascii="Trebuchet MS" w:hAnsi="Trebuchet MS" w:cs="Trebuchet MS" w:eastAsia="Trebuchet MS" w:hint="default"/>
          <w:b/>
          <w:bCs/>
        </w:rPr>
        <w:t>2</w:t>
      </w:r>
      <w:r>
        <w:rPr>
          <w:rFonts w:ascii="宋体" w:hAnsi="宋体" w:cs="宋体" w:eastAsia="宋体" w:hint="default"/>
          <w:b/>
          <w:bCs/>
        </w:rPr>
        <w:t>、其他</w:t>
      </w:r>
      <w:r>
        <w:rPr>
          <w:rFonts w:ascii="宋体" w:hAnsi="宋体" w:cs="宋体" w:eastAsia="宋体" w:hint="default"/>
          <w:b/>
          <w:bCs/>
          <w:w w:val="99"/>
        </w:rPr>
        <w:t> </w:t>
      </w:r>
      <w:r>
        <w:rPr>
          <w:spacing w:val="-2"/>
        </w:rPr>
        <w:t>根据公司</w:t>
      </w:r>
      <w:r>
        <w:rPr>
          <w:rFonts w:ascii="Arial" w:hAnsi="Arial" w:cs="Arial" w:eastAsia="Arial" w:hint="default"/>
          <w:spacing w:val="-2"/>
        </w:rPr>
        <w:t>2011</w:t>
      </w:r>
      <w:r>
        <w:rPr>
          <w:spacing w:val="-2"/>
        </w:rPr>
        <w:t>年度第一次临时股东大会决议审议通过的《深圳市爱施德股份有限公司股票期权与限制</w:t>
      </w:r>
    </w:p>
    <w:p>
      <w:pPr>
        <w:pStyle w:val="BodyText"/>
        <w:spacing w:line="388" w:lineRule="auto" w:before="84"/>
        <w:ind w:left="215" w:right="1128"/>
        <w:jc w:val="both"/>
      </w:pPr>
      <w:r>
        <w:rPr>
          <w:spacing w:val="-2"/>
        </w:rPr>
        <w:t>性股票激励计划》，</w:t>
      </w:r>
      <w:r>
        <w:rPr>
          <w:rFonts w:ascii="Arial" w:hAnsi="Arial" w:cs="Arial" w:eastAsia="Arial" w:hint="default"/>
          <w:spacing w:val="-2"/>
        </w:rPr>
        <w:t>2011</w:t>
      </w:r>
      <w:r>
        <w:rPr>
          <w:spacing w:val="-2"/>
        </w:rPr>
        <w:t>年</w:t>
      </w:r>
      <w:r>
        <w:rPr>
          <w:rFonts w:ascii="Arial" w:hAnsi="Arial" w:cs="Arial" w:eastAsia="Arial" w:hint="default"/>
          <w:spacing w:val="-2"/>
        </w:rPr>
        <w:t>11</w:t>
      </w:r>
      <w:r>
        <w:rPr>
          <w:spacing w:val="-2"/>
        </w:rPr>
        <w:t>月</w:t>
      </w:r>
      <w:r>
        <w:rPr>
          <w:rFonts w:ascii="Arial" w:hAnsi="Arial" w:cs="Arial" w:eastAsia="Arial" w:hint="default"/>
          <w:spacing w:val="-2"/>
        </w:rPr>
        <w:t>10</w:t>
      </w:r>
      <w:r>
        <w:rPr>
          <w:spacing w:val="-2"/>
        </w:rPr>
        <w:t>日，公司向激励对象授予</w:t>
      </w:r>
      <w:r>
        <w:rPr>
          <w:rFonts w:ascii="Arial" w:hAnsi="Arial" w:cs="Arial" w:eastAsia="Arial" w:hint="default"/>
          <w:spacing w:val="-2"/>
        </w:rPr>
        <w:t>2,510.50</w:t>
      </w:r>
      <w:r>
        <w:rPr>
          <w:spacing w:val="-2"/>
        </w:rPr>
        <w:t>万份股票期权，每一份股票期权的行</w:t>
      </w:r>
      <w:r>
        <w:rPr>
          <w:spacing w:val="-95"/>
        </w:rPr>
        <w:t> </w:t>
      </w:r>
      <w:r>
        <w:rPr>
          <w:spacing w:val="-95"/>
        </w:rPr>
      </w:r>
      <w:r>
        <w:rPr/>
        <w:t>权价格为</w:t>
      </w:r>
      <w:r>
        <w:rPr>
          <w:rFonts w:ascii="Arial" w:hAnsi="Arial" w:cs="Arial" w:eastAsia="Arial" w:hint="default"/>
        </w:rPr>
        <w:t>18.185</w:t>
      </w:r>
      <w:r>
        <w:rPr/>
        <w:t>元。在满足行权条件的情况下，激励对象拥有在有效期内以行权价格购买</w:t>
      </w:r>
      <w:r>
        <w:rPr>
          <w:rFonts w:ascii="Arial" w:hAnsi="Arial" w:cs="Arial" w:eastAsia="Arial" w:hint="default"/>
        </w:rPr>
        <w:t>1</w:t>
      </w:r>
      <w:r>
        <w:rPr/>
        <w:t>股公司股票的</w:t>
      </w:r>
      <w:r>
        <w:rPr>
          <w:spacing w:val="-53"/>
        </w:rPr>
        <w:t> </w:t>
      </w:r>
      <w:r>
        <w:rPr>
          <w:spacing w:val="-53"/>
        </w:rPr>
      </w:r>
      <w:r>
        <w:rPr>
          <w:w w:val="95"/>
        </w:rPr>
        <w:t>权利。股票期权的权利中的</w:t>
      </w:r>
      <w:r>
        <w:rPr>
          <w:rFonts w:ascii="Arial" w:hAnsi="Arial" w:cs="Arial" w:eastAsia="Arial" w:hint="default"/>
          <w:w w:val="95"/>
        </w:rPr>
        <w:t>20%</w:t>
      </w:r>
      <w:r>
        <w:rPr>
          <w:w w:val="95"/>
        </w:rPr>
        <w:t>在授予日起两年后可行权，</w:t>
      </w:r>
      <w:r>
        <w:rPr>
          <w:rFonts w:ascii="Arial" w:hAnsi="Arial" w:cs="Arial" w:eastAsia="Arial" w:hint="default"/>
          <w:w w:val="95"/>
        </w:rPr>
        <w:t>30%</w:t>
      </w:r>
      <w:r>
        <w:rPr>
          <w:w w:val="95"/>
        </w:rPr>
        <w:t>在授予日起三年后可行权，</w:t>
      </w:r>
      <w:r>
        <w:rPr>
          <w:rFonts w:ascii="Arial" w:hAnsi="Arial" w:cs="Arial" w:eastAsia="Arial" w:hint="default"/>
          <w:w w:val="95"/>
        </w:rPr>
        <w:t>50%</w:t>
      </w:r>
      <w:r>
        <w:rPr>
          <w:w w:val="95"/>
        </w:rPr>
        <w:t>在授予日</w:t>
      </w:r>
      <w:r>
        <w:rPr>
          <w:spacing w:val="52"/>
          <w:w w:val="95"/>
        </w:rPr>
        <w:t> </w:t>
      </w:r>
      <w:r>
        <w:rPr/>
        <w:t>起四年后可行权，并自可行权日起一年内可以行权以认购本公司股份。</w:t>
      </w:r>
    </w:p>
    <w:p>
      <w:pPr>
        <w:spacing w:line="240" w:lineRule="auto" w:before="10"/>
        <w:rPr>
          <w:rFonts w:ascii="宋体" w:hAnsi="宋体" w:cs="宋体" w:eastAsia="宋体" w:hint="default"/>
          <w:sz w:val="16"/>
          <w:szCs w:val="16"/>
        </w:rPr>
      </w:pPr>
    </w:p>
    <w:p>
      <w:pPr>
        <w:pStyle w:val="BodyText"/>
        <w:spacing w:line="240" w:lineRule="auto"/>
        <w:ind w:left="635" w:right="419"/>
        <w:jc w:val="left"/>
      </w:pPr>
      <w:r>
        <w:rPr/>
        <w:t>根据公司</w:t>
      </w:r>
      <w:r>
        <w:rPr>
          <w:rFonts w:ascii="Arial" w:hAnsi="Arial" w:cs="Arial" w:eastAsia="Arial" w:hint="default"/>
        </w:rPr>
        <w:t>2012</w:t>
      </w:r>
      <w:r>
        <w:rPr/>
        <w:t>年度第一次临时股东大会决议审议通过的《深圳市爱施德股份有限公司第二期股票期权</w:t>
      </w:r>
    </w:p>
    <w:p>
      <w:pPr>
        <w:spacing w:after="0" w:line="240" w:lineRule="auto"/>
        <w:jc w:val="left"/>
        <w:sectPr>
          <w:pgSz w:w="11910" w:h="16840"/>
          <w:pgMar w:header="877" w:footer="979" w:top="1100" w:bottom="1160" w:left="920" w:right="0"/>
        </w:sectPr>
      </w:pPr>
    </w:p>
    <w:p>
      <w:pPr>
        <w:spacing w:line="240" w:lineRule="auto" w:before="7"/>
        <w:rPr>
          <w:rFonts w:ascii="宋体" w:hAnsi="宋体" w:cs="宋体" w:eastAsia="宋体" w:hint="default"/>
          <w:sz w:val="27"/>
          <w:szCs w:val="27"/>
        </w:rPr>
      </w:pPr>
    </w:p>
    <w:p>
      <w:pPr>
        <w:pStyle w:val="BodyText"/>
        <w:spacing w:line="388" w:lineRule="auto" w:before="18"/>
        <w:ind w:left="215" w:right="1130"/>
        <w:jc w:val="both"/>
      </w:pPr>
      <w:r>
        <w:rPr/>
        <w:t>激励计划》，</w:t>
      </w:r>
      <w:r>
        <w:rPr>
          <w:rFonts w:ascii="Arial" w:hAnsi="Arial" w:cs="Arial" w:eastAsia="Arial" w:hint="default"/>
        </w:rPr>
        <w:t>2012</w:t>
      </w:r>
      <w:r>
        <w:rPr/>
        <w:t>年</w:t>
      </w:r>
      <w:r>
        <w:rPr>
          <w:rFonts w:ascii="Arial" w:hAnsi="Arial" w:cs="Arial" w:eastAsia="Arial" w:hint="default"/>
        </w:rPr>
        <w:t>4</w:t>
      </w:r>
      <w:r>
        <w:rPr/>
        <w:t>月</w:t>
      </w:r>
      <w:r>
        <w:rPr>
          <w:rFonts w:ascii="Arial" w:hAnsi="Arial" w:cs="Arial" w:eastAsia="Arial" w:hint="default"/>
        </w:rPr>
        <w:t>23</w:t>
      </w:r>
      <w:r>
        <w:rPr/>
        <w:t>日，公司向激励对象授予</w:t>
      </w:r>
      <w:r>
        <w:rPr>
          <w:rFonts w:ascii="Arial" w:hAnsi="Arial" w:cs="Arial" w:eastAsia="Arial" w:hint="default"/>
        </w:rPr>
        <w:t>2,765.33</w:t>
      </w:r>
      <w:r>
        <w:rPr/>
        <w:t>万份股票期权，每一份股票期权的行权价格</w:t>
      </w:r>
      <w:r>
        <w:rPr>
          <w:spacing w:val="-85"/>
        </w:rPr>
        <w:t> </w:t>
      </w:r>
      <w:r>
        <w:rPr>
          <w:spacing w:val="-85"/>
        </w:rPr>
      </w:r>
      <w:r>
        <w:rPr>
          <w:spacing w:val="-1"/>
        </w:rPr>
        <w:t>为</w:t>
      </w:r>
      <w:r>
        <w:rPr>
          <w:rFonts w:ascii="Arial" w:hAnsi="Arial" w:cs="Arial" w:eastAsia="Arial" w:hint="default"/>
          <w:spacing w:val="-1"/>
        </w:rPr>
        <w:t>13.00</w:t>
      </w:r>
      <w:r>
        <w:rPr>
          <w:spacing w:val="-1"/>
        </w:rPr>
        <w:t>元。在满足行权条件的情况下，激励对象拥有在有效期内以行权价格购买</w:t>
      </w:r>
      <w:r>
        <w:rPr>
          <w:rFonts w:ascii="Arial" w:hAnsi="Arial" w:cs="Arial" w:eastAsia="Arial" w:hint="default"/>
          <w:spacing w:val="-1"/>
        </w:rPr>
        <w:t>1</w:t>
      </w:r>
      <w:r>
        <w:rPr>
          <w:spacing w:val="-1"/>
        </w:rPr>
        <w:t>股公司股票的权利。股</w:t>
      </w:r>
      <w:r>
        <w:rPr>
          <w:spacing w:val="-92"/>
        </w:rPr>
        <w:t> </w:t>
      </w:r>
      <w:r>
        <w:rPr>
          <w:spacing w:val="-92"/>
        </w:rPr>
      </w:r>
      <w:r>
        <w:rPr>
          <w:w w:val="95"/>
        </w:rPr>
        <w:t>票期权的权利中的</w:t>
      </w:r>
      <w:r>
        <w:rPr>
          <w:rFonts w:ascii="Arial" w:hAnsi="Arial" w:cs="Arial" w:eastAsia="Arial" w:hint="default"/>
          <w:w w:val="95"/>
        </w:rPr>
        <w:t>50%</w:t>
      </w:r>
      <w:r>
        <w:rPr>
          <w:w w:val="95"/>
        </w:rPr>
        <w:t>在授予日起两年后可行权，</w:t>
      </w:r>
      <w:r>
        <w:rPr>
          <w:rFonts w:ascii="Arial" w:hAnsi="Arial" w:cs="Arial" w:eastAsia="Arial" w:hint="default"/>
          <w:w w:val="95"/>
        </w:rPr>
        <w:t>50%</w:t>
      </w:r>
      <w:r>
        <w:rPr>
          <w:w w:val="95"/>
        </w:rPr>
        <w:t>在授予日起三年后可行权并自可行权日起一年内可</w:t>
      </w:r>
      <w:r>
        <w:rPr>
          <w:spacing w:val="56"/>
          <w:w w:val="95"/>
        </w:rPr>
        <w:t> </w:t>
      </w:r>
      <w:r>
        <w:rPr>
          <w:spacing w:val="56"/>
          <w:w w:val="95"/>
        </w:rPr>
      </w:r>
      <w:r>
        <w:rPr/>
        <w:t>以行权以认购本公司股份。</w:t>
      </w:r>
    </w:p>
    <w:p>
      <w:pPr>
        <w:spacing w:line="240" w:lineRule="auto" w:before="10"/>
        <w:rPr>
          <w:rFonts w:ascii="宋体" w:hAnsi="宋体" w:cs="宋体" w:eastAsia="宋体" w:hint="default"/>
          <w:sz w:val="16"/>
          <w:szCs w:val="16"/>
        </w:rPr>
      </w:pPr>
    </w:p>
    <w:p>
      <w:pPr>
        <w:pStyle w:val="BodyText"/>
        <w:spacing w:line="388" w:lineRule="auto"/>
        <w:ind w:left="215" w:right="1130" w:firstLine="420"/>
        <w:jc w:val="both"/>
      </w:pPr>
      <w:r>
        <w:rPr>
          <w:spacing w:val="-2"/>
        </w:rPr>
        <w:t>根据公司</w:t>
      </w:r>
      <w:r>
        <w:rPr>
          <w:rFonts w:ascii="Arial" w:hAnsi="Arial" w:cs="Arial" w:eastAsia="Arial" w:hint="default"/>
          <w:spacing w:val="-2"/>
        </w:rPr>
        <w:t>2014</w:t>
      </w:r>
      <w:r>
        <w:rPr>
          <w:spacing w:val="-2"/>
        </w:rPr>
        <w:t>年度第四次临时股东大会决议审议通过的《深圳市爱施德股份有限公司第三期股票期权</w:t>
      </w:r>
      <w:r>
        <w:rPr/>
        <w:t> </w:t>
      </w:r>
      <w:r>
        <w:rPr>
          <w:spacing w:val="-2"/>
        </w:rPr>
        <w:t>激励计划（草案）》，</w:t>
      </w:r>
      <w:r>
        <w:rPr>
          <w:rFonts w:ascii="Arial" w:hAnsi="Arial" w:cs="Arial" w:eastAsia="Arial" w:hint="default"/>
          <w:spacing w:val="-2"/>
        </w:rPr>
        <w:t>2014</w:t>
      </w:r>
      <w:r>
        <w:rPr>
          <w:spacing w:val="-2"/>
        </w:rPr>
        <w:t>年</w:t>
      </w:r>
      <w:r>
        <w:rPr>
          <w:rFonts w:ascii="Arial" w:hAnsi="Arial" w:cs="Arial" w:eastAsia="Arial" w:hint="default"/>
          <w:spacing w:val="-2"/>
        </w:rPr>
        <w:t>10</w:t>
      </w:r>
      <w:r>
        <w:rPr>
          <w:spacing w:val="-2"/>
        </w:rPr>
        <w:t>月</w:t>
      </w:r>
      <w:r>
        <w:rPr>
          <w:rFonts w:ascii="Arial" w:hAnsi="Arial" w:cs="Arial" w:eastAsia="Arial" w:hint="default"/>
          <w:spacing w:val="-2"/>
        </w:rPr>
        <w:t>31</w:t>
      </w:r>
      <w:r>
        <w:rPr>
          <w:spacing w:val="-2"/>
        </w:rPr>
        <w:t>日，公司向激励对象授予</w:t>
      </w:r>
      <w:r>
        <w:rPr>
          <w:rFonts w:ascii="Arial" w:hAnsi="Arial" w:cs="Arial" w:eastAsia="Arial" w:hint="default"/>
          <w:spacing w:val="-2"/>
        </w:rPr>
        <w:t>1,868.00</w:t>
      </w:r>
      <w:r>
        <w:rPr>
          <w:spacing w:val="-2"/>
        </w:rPr>
        <w:t>万份股票期权，其中预留股票期权</w:t>
      </w:r>
      <w:r>
        <w:rPr>
          <w:spacing w:val="-95"/>
        </w:rPr>
        <w:t> </w:t>
      </w:r>
      <w:r>
        <w:rPr>
          <w:spacing w:val="-95"/>
        </w:rPr>
      </w:r>
      <w:r>
        <w:rPr>
          <w:rFonts w:ascii="Arial" w:hAnsi="Arial" w:cs="Arial" w:eastAsia="Arial" w:hint="default"/>
        </w:rPr>
        <w:t>192.00</w:t>
      </w:r>
      <w:r>
        <w:rPr/>
        <w:t>万份，每一份股票期权的行权价格为</w:t>
      </w:r>
      <w:r>
        <w:rPr>
          <w:rFonts w:ascii="Arial" w:hAnsi="Arial" w:cs="Arial" w:eastAsia="Arial" w:hint="default"/>
        </w:rPr>
        <w:t>14.01</w:t>
      </w:r>
      <w:r>
        <w:rPr/>
        <w:t>元。在满足行权条件的情况下，激励对象拥有在有效期</w:t>
      </w:r>
      <w:r>
        <w:rPr>
          <w:spacing w:val="-48"/>
        </w:rPr>
        <w:t> </w:t>
      </w:r>
      <w:r>
        <w:rPr>
          <w:spacing w:val="-48"/>
        </w:rPr>
      </w:r>
      <w:r>
        <w:rPr>
          <w:spacing w:val="-2"/>
          <w:w w:val="95"/>
        </w:rPr>
        <w:t>内以行权价格购买</w:t>
      </w:r>
      <w:r>
        <w:rPr>
          <w:rFonts w:ascii="Arial" w:hAnsi="Arial" w:cs="Arial" w:eastAsia="Arial" w:hint="default"/>
          <w:spacing w:val="-2"/>
          <w:w w:val="95"/>
        </w:rPr>
        <w:t>1</w:t>
      </w:r>
      <w:r>
        <w:rPr>
          <w:spacing w:val="-2"/>
          <w:w w:val="95"/>
        </w:rPr>
        <w:t>股公司股票的权利。股票期权的权利中的</w:t>
      </w:r>
      <w:r>
        <w:rPr>
          <w:rFonts w:ascii="Arial" w:hAnsi="Arial" w:cs="Arial" w:eastAsia="Arial" w:hint="default"/>
          <w:spacing w:val="-2"/>
          <w:w w:val="95"/>
        </w:rPr>
        <w:t>50%</w:t>
      </w:r>
      <w:r>
        <w:rPr>
          <w:spacing w:val="-2"/>
          <w:w w:val="95"/>
        </w:rPr>
        <w:t>在授予日起两年后可行权，</w:t>
      </w:r>
      <w:r>
        <w:rPr>
          <w:rFonts w:ascii="Arial" w:hAnsi="Arial" w:cs="Arial" w:eastAsia="Arial" w:hint="default"/>
          <w:spacing w:val="-2"/>
          <w:w w:val="95"/>
        </w:rPr>
        <w:t>50%</w:t>
      </w:r>
      <w:r>
        <w:rPr>
          <w:spacing w:val="-2"/>
          <w:w w:val="95"/>
        </w:rPr>
        <w:t>在授予日</w:t>
      </w:r>
      <w:r>
        <w:rPr>
          <w:spacing w:val="44"/>
          <w:w w:val="95"/>
        </w:rPr>
        <w:t> </w:t>
      </w:r>
      <w:r>
        <w:rPr/>
        <w:t>起三年后可行权并自可行权日起一年内可以行权以认购本公司股份。</w:t>
      </w:r>
    </w:p>
    <w:p>
      <w:pPr>
        <w:spacing w:line="240" w:lineRule="auto" w:before="10"/>
        <w:rPr>
          <w:rFonts w:ascii="宋体" w:hAnsi="宋体" w:cs="宋体" w:eastAsia="宋体" w:hint="default"/>
          <w:sz w:val="16"/>
          <w:szCs w:val="16"/>
        </w:rPr>
      </w:pPr>
    </w:p>
    <w:p>
      <w:pPr>
        <w:pStyle w:val="BodyText"/>
        <w:spacing w:line="400" w:lineRule="auto"/>
        <w:ind w:left="215" w:right="1132" w:firstLine="420"/>
        <w:jc w:val="both"/>
      </w:pPr>
      <w:r>
        <w:rPr>
          <w:spacing w:val="-2"/>
        </w:rPr>
        <w:t>根据《企业会计准则第</w:t>
      </w:r>
      <w:r>
        <w:rPr>
          <w:rFonts w:ascii="Arial" w:hAnsi="Arial" w:cs="Arial" w:eastAsia="Arial" w:hint="default"/>
          <w:spacing w:val="-2"/>
        </w:rPr>
        <w:t>11</w:t>
      </w:r>
      <w:r>
        <w:rPr>
          <w:spacing w:val="-2"/>
        </w:rPr>
        <w:t>号——股份支付》的有关规定，公司将在等待期的每个资产负债表日，根据</w:t>
      </w:r>
      <w:r>
        <w:rPr/>
        <w:t> </w:t>
      </w:r>
      <w:r>
        <w:rPr>
          <w:spacing w:val="-1"/>
        </w:rPr>
        <w:t>最新取得的可行权人数变动、业绩指标完成情况等后续信息，修正预计可行权（解锁）的股票期权（限制</w:t>
      </w:r>
      <w:r>
        <w:rPr>
          <w:spacing w:val="-84"/>
        </w:rPr>
        <w:t> </w:t>
      </w:r>
      <w:r>
        <w:rPr>
          <w:spacing w:val="-84"/>
        </w:rPr>
      </w:r>
      <w:r>
        <w:rPr>
          <w:spacing w:val="-1"/>
        </w:rPr>
        <w:t>性股票）数量，并按照股票期权（限制性股票）授权日的公允价值，将当期取得的服务计入相关成本或费</w:t>
      </w:r>
      <w:r>
        <w:rPr>
          <w:spacing w:val="-84"/>
        </w:rPr>
        <w:t> </w:t>
      </w:r>
      <w:r>
        <w:rPr>
          <w:spacing w:val="-84"/>
        </w:rPr>
      </w:r>
      <w:r>
        <w:rPr/>
        <w:t>用和资本公积。</w:t>
      </w:r>
    </w:p>
    <w:p>
      <w:pPr>
        <w:spacing w:line="240" w:lineRule="auto" w:before="12"/>
        <w:rPr>
          <w:rFonts w:ascii="宋体" w:hAnsi="宋体" w:cs="宋体" w:eastAsia="宋体" w:hint="default"/>
          <w:sz w:val="15"/>
          <w:szCs w:val="15"/>
        </w:rPr>
      </w:pPr>
    </w:p>
    <w:p>
      <w:pPr>
        <w:pStyle w:val="BodyText"/>
        <w:spacing w:line="408" w:lineRule="auto"/>
        <w:ind w:left="215" w:right="1133" w:firstLine="420"/>
        <w:jc w:val="both"/>
      </w:pPr>
      <w:r>
        <w:rPr>
          <w:spacing w:val="-1"/>
        </w:rPr>
        <w:t>资产负债表日，公司对《深圳市爱施德股份有限公司股票期权与限制性股票激励计划》、《深圳市爱</w:t>
      </w:r>
      <w:r>
        <w:rPr/>
        <w:t> </w:t>
      </w:r>
      <w:r>
        <w:rPr>
          <w:spacing w:val="-5"/>
        </w:rPr>
        <w:t>施德股份有限公司第二期股票期权激励计划》、《深圳市爱施德股份有限公司第三期股票期权激励计划（草</w:t>
      </w:r>
      <w:r>
        <w:rPr/>
        <w:t> </w:t>
      </w:r>
      <w:r>
        <w:rPr>
          <w:spacing w:val="-1"/>
        </w:rPr>
        <w:t>案）》作出最佳估计，修正预计可行权的权益工具数量。根据最新取得的可行权人数变动及业绩指标完成</w:t>
      </w:r>
      <w:r>
        <w:rPr>
          <w:spacing w:val="-87"/>
        </w:rPr>
        <w:t> </w:t>
      </w:r>
      <w:r>
        <w:rPr>
          <w:spacing w:val="-87"/>
        </w:rPr>
      </w:r>
      <w:r>
        <w:rPr/>
        <w:t>情况，本报告期无因股份支付计提成本。</w:t>
      </w:r>
    </w:p>
    <w:p>
      <w:pPr>
        <w:pStyle w:val="Heading2"/>
        <w:spacing w:line="240" w:lineRule="auto" w:before="107"/>
        <w:ind w:left="214" w:right="0"/>
        <w:jc w:val="both"/>
        <w:rPr>
          <w:rFonts w:ascii="宋体" w:hAnsi="宋体" w:cs="宋体" w:eastAsia="宋体" w:hint="default"/>
          <w:b w:val="0"/>
          <w:bCs w:val="0"/>
        </w:rPr>
      </w:pPr>
      <w:bookmarkStart w:name="十三、承诺及或有事项" w:id="415"/>
      <w:bookmarkEnd w:id="415"/>
      <w:r>
        <w:rPr>
          <w:b w:val="0"/>
          <w:bCs w:val="0"/>
        </w:rPr>
      </w:r>
      <w:bookmarkStart w:name="_bookmark86" w:id="416"/>
      <w:bookmarkEnd w:id="416"/>
      <w:r>
        <w:rPr>
          <w:b w:val="0"/>
          <w:bCs w:val="0"/>
        </w:rPr>
      </w:r>
      <w:r>
        <w:rPr>
          <w:rFonts w:ascii="宋体" w:hAnsi="宋体" w:cs="宋体" w:eastAsia="宋体" w:hint="default"/>
        </w:rPr>
        <w:t>十三、承诺及或有事项</w:t>
      </w:r>
      <w:r>
        <w:rPr>
          <w:rFonts w:ascii="宋体" w:hAnsi="宋体" w:cs="宋体" w:eastAsia="宋体" w:hint="default"/>
          <w:b w:val="0"/>
          <w:bCs w:val="0"/>
        </w:rPr>
      </w:r>
    </w:p>
    <w:p>
      <w:pPr>
        <w:spacing w:line="240" w:lineRule="auto" w:before="3"/>
        <w:rPr>
          <w:rFonts w:ascii="宋体" w:hAnsi="宋体" w:cs="宋体" w:eastAsia="宋体" w:hint="default"/>
          <w:b/>
          <w:bCs/>
          <w:sz w:val="24"/>
          <w:szCs w:val="24"/>
        </w:rPr>
      </w:pPr>
    </w:p>
    <w:p>
      <w:pPr>
        <w:pStyle w:val="Heading5"/>
        <w:spacing w:line="240" w:lineRule="auto" w:before="0"/>
        <w:ind w:left="194" w:right="8313"/>
        <w:jc w:val="center"/>
        <w:rPr>
          <w:b w:val="0"/>
          <w:bCs w:val="0"/>
        </w:rPr>
      </w:pPr>
      <w:bookmarkStart w:name="1、重要承诺事项" w:id="417"/>
      <w:bookmarkEnd w:id="417"/>
      <w:r>
        <w:rPr>
          <w:b w:val="0"/>
          <w:bCs w:val="0"/>
        </w:rPr>
      </w:r>
      <w:r>
        <w:rPr>
          <w:rFonts w:ascii="Trebuchet MS" w:hAnsi="Trebuchet MS" w:cs="Trebuchet MS" w:eastAsia="Trebuchet MS" w:hint="default"/>
        </w:rPr>
        <w:t>1</w:t>
      </w:r>
      <w:r>
        <w:rPr/>
        <w:t>、重要承诺事项</w:t>
      </w:r>
      <w:r>
        <w:rPr>
          <w:b w:val="0"/>
          <w:bCs w:val="0"/>
        </w:rPr>
      </w:r>
    </w:p>
    <w:p>
      <w:pPr>
        <w:spacing w:line="240" w:lineRule="auto" w:before="5"/>
        <w:rPr>
          <w:rFonts w:ascii="宋体" w:hAnsi="宋体" w:cs="宋体" w:eastAsia="宋体" w:hint="default"/>
          <w:b/>
          <w:bCs/>
          <w:sz w:val="30"/>
          <w:szCs w:val="30"/>
        </w:rPr>
      </w:pPr>
    </w:p>
    <w:p>
      <w:pPr>
        <w:pStyle w:val="BodyText"/>
        <w:spacing w:line="240" w:lineRule="auto"/>
        <w:ind w:left="873" w:right="1513"/>
        <w:jc w:val="left"/>
      </w:pPr>
      <w:r>
        <w:rPr/>
        <w:t>（</w:t>
      </w:r>
      <w:r>
        <w:rPr>
          <w:rFonts w:ascii="Arial" w:hAnsi="Arial" w:cs="Arial" w:eastAsia="Arial" w:hint="default"/>
        </w:rPr>
        <w:t>1</w:t>
      </w:r>
      <w:r>
        <w:rPr/>
        <w:t>）资本承诺</w:t>
      </w:r>
    </w:p>
    <w:p>
      <w:pPr>
        <w:spacing w:line="240" w:lineRule="auto" w:before="2"/>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4272"/>
        <w:gridCol w:w="2375"/>
        <w:gridCol w:w="2568"/>
      </w:tblGrid>
      <w:tr>
        <w:trPr>
          <w:trHeight w:val="322" w:hRule="exact"/>
        </w:trPr>
        <w:tc>
          <w:tcPr>
            <w:tcW w:w="9215" w:type="dxa"/>
            <w:gridSpan w:val="3"/>
            <w:tcBorders>
              <w:top w:val="single" w:sz="4" w:space="0" w:color="5B9BD4"/>
              <w:left w:val="nil" w:sz="6" w:space="0" w:color="auto"/>
              <w:bottom w:val="single" w:sz="4" w:space="0" w:color="5B9BD4"/>
              <w:right w:val="nil" w:sz="6" w:space="0" w:color="auto"/>
            </w:tcBorders>
            <w:shd w:val="clear" w:color="auto" w:fill="DEEAF6"/>
          </w:tcPr>
          <w:p>
            <w:pPr>
              <w:pStyle w:val="TableParagraph"/>
              <w:tabs>
                <w:tab w:pos="5098" w:val="left" w:leader="none"/>
                <w:tab w:pos="7569" w:val="left" w:leader="none"/>
              </w:tabs>
              <w:spacing w:line="240" w:lineRule="auto" w:before="5"/>
              <w:ind w:left="1865"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8"/>
                <w:sz w:val="18"/>
                <w:szCs w:val="18"/>
              </w:rPr>
              <w:t> </w:t>
            </w:r>
            <w:r>
              <w:rPr>
                <w:rFonts w:ascii="宋体" w:hAnsi="宋体" w:cs="宋体" w:eastAsia="宋体" w:hint="default"/>
                <w:sz w:val="18"/>
                <w:szCs w:val="18"/>
              </w:rPr>
              <w:t>目</w:t>
              <w:tab/>
              <w:t>年末余额</w:t>
              <w:tab/>
              <w:t>年初余额</w:t>
            </w:r>
          </w:p>
        </w:tc>
      </w:tr>
      <w:tr>
        <w:trPr>
          <w:trHeight w:val="322" w:hRule="exact"/>
        </w:trPr>
        <w:tc>
          <w:tcPr>
            <w:tcW w:w="42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已签约但尚未于财务报表中确认的</w:t>
            </w:r>
          </w:p>
        </w:tc>
        <w:tc>
          <w:tcPr>
            <w:tcW w:w="2375" w:type="dxa"/>
            <w:tcBorders>
              <w:top w:val="single" w:sz="4" w:space="0" w:color="5B9BD4"/>
              <w:left w:val="nil" w:sz="6" w:space="0" w:color="auto"/>
              <w:bottom w:val="single" w:sz="4" w:space="0" w:color="5B9BD4"/>
              <w:right w:val="nil" w:sz="6" w:space="0" w:color="auto"/>
            </w:tcBorders>
          </w:tcPr>
          <w:p>
            <w:pPr/>
          </w:p>
        </w:tc>
        <w:tc>
          <w:tcPr>
            <w:tcW w:w="2568"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42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—对外投资承诺</w:t>
            </w:r>
          </w:p>
        </w:tc>
        <w:tc>
          <w:tcPr>
            <w:tcW w:w="2375"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234,211,267.00</w:t>
            </w:r>
            <w:r>
              <w:rPr>
                <w:rFonts w:ascii="Arial"/>
                <w:sz w:val="18"/>
              </w:rPr>
            </w:r>
          </w:p>
        </w:tc>
        <w:tc>
          <w:tcPr>
            <w:tcW w:w="25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w:t>
            </w:r>
            <w:r>
              <w:rPr>
                <w:rFonts w:ascii="Arial"/>
                <w:sz w:val="18"/>
              </w:rPr>
            </w:r>
          </w:p>
        </w:tc>
      </w:tr>
      <w:tr>
        <w:trPr>
          <w:trHeight w:val="323" w:hRule="exact"/>
        </w:trPr>
        <w:tc>
          <w:tcPr>
            <w:tcW w:w="427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8"/>
                <w:sz w:val="18"/>
                <w:szCs w:val="18"/>
              </w:rPr>
              <w:t> </w:t>
            </w:r>
            <w:r>
              <w:rPr>
                <w:rFonts w:ascii="宋体" w:hAnsi="宋体" w:cs="宋体" w:eastAsia="宋体" w:hint="default"/>
                <w:sz w:val="18"/>
                <w:szCs w:val="18"/>
              </w:rPr>
              <w:t>计</w:t>
            </w:r>
          </w:p>
        </w:tc>
        <w:tc>
          <w:tcPr>
            <w:tcW w:w="2375"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8"/>
              <w:jc w:val="right"/>
              <w:rPr>
                <w:rFonts w:ascii="Trebuchet MS" w:hAnsi="Trebuchet MS" w:cs="Trebuchet MS" w:eastAsia="Trebuchet MS" w:hint="default"/>
                <w:sz w:val="18"/>
                <w:szCs w:val="18"/>
              </w:rPr>
            </w:pPr>
            <w:r>
              <w:rPr>
                <w:rFonts w:ascii="Trebuchet MS"/>
                <w:b/>
                <w:w w:val="90"/>
                <w:sz w:val="18"/>
              </w:rPr>
              <w:t>234,211,267.00</w:t>
            </w:r>
            <w:r>
              <w:rPr>
                <w:rFonts w:ascii="Trebuchet MS"/>
                <w:sz w:val="18"/>
              </w:rPr>
            </w:r>
          </w:p>
        </w:tc>
        <w:tc>
          <w:tcPr>
            <w:tcW w:w="25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Trebuchet MS" w:hAnsi="Trebuchet MS" w:cs="Trebuchet MS" w:eastAsia="Trebuchet MS" w:hint="default"/>
                <w:sz w:val="18"/>
                <w:szCs w:val="18"/>
              </w:rPr>
            </w:pPr>
            <w:r>
              <w:rPr>
                <w:rFonts w:ascii="Trebuchet MS"/>
                <w:b/>
                <w:w w:val="90"/>
                <w:sz w:val="18"/>
              </w:rPr>
              <w:t>---</w:t>
            </w:r>
            <w:r>
              <w:rPr>
                <w:rFonts w:ascii="Trebuchet MS"/>
                <w:sz w:val="18"/>
              </w:rPr>
            </w:r>
          </w:p>
        </w:tc>
      </w:tr>
    </w:tbl>
    <w:p>
      <w:pPr>
        <w:spacing w:line="240" w:lineRule="auto" w:before="0"/>
        <w:rPr>
          <w:rFonts w:ascii="宋体" w:hAnsi="宋体" w:cs="宋体" w:eastAsia="宋体" w:hint="default"/>
          <w:sz w:val="15"/>
          <w:szCs w:val="15"/>
        </w:rPr>
      </w:pPr>
    </w:p>
    <w:p>
      <w:pPr>
        <w:pStyle w:val="BodyText"/>
        <w:spacing w:line="388" w:lineRule="auto" w:before="18"/>
        <w:ind w:left="213" w:right="1128" w:firstLine="420"/>
        <w:jc w:val="both"/>
      </w:pPr>
      <w:r>
        <w:rPr/>
        <w:t>注：①</w:t>
      </w:r>
      <w:r>
        <w:rPr>
          <w:rFonts w:ascii="Arial" w:hAnsi="Arial" w:cs="Arial" w:eastAsia="Arial" w:hint="default"/>
        </w:rPr>
        <w:t>2015</w:t>
      </w:r>
      <w:r>
        <w:rPr/>
        <w:t>年</w:t>
      </w:r>
      <w:r>
        <w:rPr>
          <w:rFonts w:ascii="Arial" w:hAnsi="Arial" w:cs="Arial" w:eastAsia="Arial" w:hint="default"/>
        </w:rPr>
        <w:t>9</w:t>
      </w:r>
      <w:r>
        <w:rPr/>
        <w:t>月，公司同意作为发起人之一与张礼庆共同设立“国鑫基金管理有限公司”，拟以货 币出资</w:t>
      </w:r>
      <w:r>
        <w:rPr>
          <w:rFonts w:ascii="Arial" w:hAnsi="Arial" w:cs="Arial" w:eastAsia="Arial" w:hint="default"/>
        </w:rPr>
        <w:t>4,000</w:t>
      </w:r>
      <w:r>
        <w:rPr/>
        <w:t>万元人民币，持股比例</w:t>
      </w:r>
      <w:r>
        <w:rPr>
          <w:rFonts w:ascii="Arial" w:hAnsi="Arial" w:cs="Arial" w:eastAsia="Arial" w:hint="default"/>
        </w:rPr>
        <w:t>40%</w:t>
      </w:r>
      <w:r>
        <w:rPr/>
        <w:t>，占注册资本总额的</w:t>
      </w:r>
      <w:r>
        <w:rPr>
          <w:rFonts w:ascii="Arial" w:hAnsi="Arial" w:cs="Arial" w:eastAsia="Arial" w:hint="default"/>
        </w:rPr>
        <w:t>40%</w:t>
      </w:r>
      <w:r>
        <w:rPr/>
        <w:t>。国鑫基金管理有限公司已于</w:t>
      </w:r>
      <w:r>
        <w:rPr>
          <w:rFonts w:ascii="Arial" w:hAnsi="Arial" w:cs="Arial" w:eastAsia="Arial" w:hint="default"/>
        </w:rPr>
        <w:t>2015</w:t>
      </w:r>
      <w:r>
        <w:rPr/>
        <w:t>年</w:t>
      </w:r>
      <w:r>
        <w:rPr>
          <w:rFonts w:ascii="Arial" w:hAnsi="Arial" w:cs="Arial" w:eastAsia="Arial" w:hint="default"/>
        </w:rPr>
        <w:t>12</w:t>
      </w:r>
      <w:r>
        <w:rPr>
          <w:rFonts w:ascii="Arial" w:hAnsi="Arial" w:cs="Arial" w:eastAsia="Arial" w:hint="default"/>
          <w:spacing w:val="-56"/>
        </w:rPr>
        <w:t> </w:t>
      </w:r>
      <w:r>
        <w:rPr>
          <w:spacing w:val="-1"/>
        </w:rPr>
        <w:t>月</w:t>
      </w:r>
      <w:r>
        <w:rPr>
          <w:rFonts w:ascii="Arial" w:hAnsi="Arial" w:cs="Arial" w:eastAsia="Arial" w:hint="default"/>
          <w:spacing w:val="-1"/>
        </w:rPr>
        <w:t>28</w:t>
      </w:r>
      <w:r>
        <w:rPr>
          <w:spacing w:val="-1"/>
        </w:rPr>
        <w:t>日向中国证券监督管理委员会提交了《公募基金管理公司设立、公募基金管理人资格审批》的申请材</w:t>
      </w:r>
      <w:r>
        <w:rPr/>
        <w:t> 料，申请材料已经接受。截止</w:t>
      </w:r>
      <w:r>
        <w:rPr>
          <w:rFonts w:ascii="Arial" w:hAnsi="Arial" w:cs="Arial" w:eastAsia="Arial" w:hint="default"/>
        </w:rPr>
        <w:t>2015</w:t>
      </w:r>
      <w:r>
        <w:rPr/>
        <w:t>年</w:t>
      </w:r>
      <w:r>
        <w:rPr>
          <w:rFonts w:ascii="Arial" w:hAnsi="Arial" w:cs="Arial" w:eastAsia="Arial" w:hint="default"/>
        </w:rPr>
        <w:t>12</w:t>
      </w:r>
      <w:r>
        <w:rPr/>
        <w:t>月</w:t>
      </w:r>
      <w:r>
        <w:rPr>
          <w:rFonts w:ascii="Arial" w:hAnsi="Arial" w:cs="Arial" w:eastAsia="Arial" w:hint="default"/>
        </w:rPr>
        <w:t>31</w:t>
      </w:r>
      <w:r>
        <w:rPr/>
        <w:t>日，公司已缴纳筹备经费</w:t>
      </w:r>
      <w:r>
        <w:rPr>
          <w:rFonts w:ascii="Arial" w:hAnsi="Arial" w:cs="Arial" w:eastAsia="Arial" w:hint="default"/>
        </w:rPr>
        <w:t>800</w:t>
      </w:r>
      <w:r>
        <w:rPr/>
        <w:t>万元。</w:t>
      </w:r>
    </w:p>
    <w:p>
      <w:pPr>
        <w:spacing w:after="0" w:line="388" w:lineRule="auto"/>
        <w:jc w:val="both"/>
        <w:sectPr>
          <w:pgSz w:w="11910" w:h="16840"/>
          <w:pgMar w:header="877" w:footer="979" w:top="1100" w:bottom="1160" w:left="920" w:right="0"/>
        </w:sectPr>
      </w:pPr>
    </w:p>
    <w:p>
      <w:pPr>
        <w:spacing w:line="240" w:lineRule="auto" w:before="7"/>
        <w:rPr>
          <w:rFonts w:ascii="宋体" w:hAnsi="宋体" w:cs="宋体" w:eastAsia="宋体" w:hint="default"/>
          <w:sz w:val="27"/>
          <w:szCs w:val="27"/>
        </w:rPr>
      </w:pPr>
    </w:p>
    <w:p>
      <w:pPr>
        <w:pStyle w:val="BodyText"/>
        <w:spacing w:line="393" w:lineRule="auto" w:before="18"/>
        <w:ind w:left="213" w:right="1024" w:firstLine="420"/>
        <w:jc w:val="left"/>
      </w:pPr>
      <w:r>
        <w:rPr/>
        <w:t>②</w:t>
      </w:r>
      <w:r>
        <w:rPr>
          <w:rFonts w:ascii="Arial" w:hAnsi="Arial" w:cs="Arial" w:eastAsia="Arial" w:hint="default"/>
        </w:rPr>
        <w:t>2015</w:t>
      </w:r>
      <w:r>
        <w:rPr/>
        <w:t>年</w:t>
      </w:r>
      <w:r>
        <w:rPr>
          <w:rFonts w:ascii="Arial" w:hAnsi="Arial" w:cs="Arial" w:eastAsia="Arial" w:hint="default"/>
        </w:rPr>
        <w:t>9</w:t>
      </w:r>
      <w:r>
        <w:rPr/>
        <w:t>月</w:t>
      </w:r>
      <w:r>
        <w:rPr>
          <w:rFonts w:ascii="Arial" w:hAnsi="Arial" w:cs="Arial" w:eastAsia="Arial" w:hint="default"/>
        </w:rPr>
        <w:t>16</w:t>
      </w:r>
      <w:r>
        <w:rPr/>
        <w:t>日，本公司全资子公司西藏酷爱通信有限公司作为发起人与其他方签订了《关于共同 </w:t>
      </w:r>
      <w:r>
        <w:rPr>
          <w:spacing w:val="-3"/>
        </w:rPr>
        <w:t>发行设立华贵人寿保险股份有限公司的发起人协议》，同意共同投资筹建设立华贵人寿保险股份有限公司，</w:t>
      </w:r>
      <w:r>
        <w:rPr>
          <w:spacing w:val="-92"/>
        </w:rPr>
        <w:t> </w:t>
      </w:r>
      <w:r>
        <w:rPr>
          <w:spacing w:val="-92"/>
        </w:rPr>
      </w:r>
      <w:r>
        <w:rPr/>
        <w:t>以货币出资</w:t>
      </w:r>
      <w:r>
        <w:rPr>
          <w:rFonts w:ascii="Arial" w:hAnsi="Arial" w:cs="Arial" w:eastAsia="Arial" w:hint="default"/>
        </w:rPr>
        <w:t>1</w:t>
      </w:r>
      <w:r>
        <w:rPr/>
        <w:t>亿元人民币，占总出资额的</w:t>
      </w:r>
      <w:r>
        <w:rPr>
          <w:rFonts w:ascii="Arial" w:hAnsi="Arial" w:cs="Arial" w:eastAsia="Arial" w:hint="default"/>
        </w:rPr>
        <w:t>10%</w:t>
      </w:r>
      <w:r>
        <w:rPr/>
        <w:t>。截止</w:t>
      </w:r>
      <w:r>
        <w:rPr>
          <w:rFonts w:ascii="Arial" w:hAnsi="Arial" w:cs="Arial" w:eastAsia="Arial" w:hint="default"/>
        </w:rPr>
        <w:t>2015</w:t>
      </w:r>
      <w:r>
        <w:rPr/>
        <w:t>年</w:t>
      </w:r>
      <w:r>
        <w:rPr>
          <w:rFonts w:ascii="Arial" w:hAnsi="Arial" w:cs="Arial" w:eastAsia="Arial" w:hint="default"/>
        </w:rPr>
        <w:t>12</w:t>
      </w:r>
      <w:r>
        <w:rPr/>
        <w:t>月</w:t>
      </w:r>
      <w:r>
        <w:rPr>
          <w:rFonts w:ascii="Arial" w:hAnsi="Arial" w:cs="Arial" w:eastAsia="Arial" w:hint="default"/>
        </w:rPr>
        <w:t>31</w:t>
      </w:r>
      <w:r>
        <w:rPr/>
        <w:t>日，西藏酷爱通信有限公司已缴纳筹备 经费及保证金</w:t>
      </w:r>
      <w:r>
        <w:rPr>
          <w:rFonts w:ascii="Arial" w:hAnsi="Arial" w:cs="Arial" w:eastAsia="Arial" w:hint="default"/>
        </w:rPr>
        <w:t>500</w:t>
      </w:r>
      <w:r>
        <w:rPr/>
        <w:t>万元。</w:t>
      </w:r>
    </w:p>
    <w:p>
      <w:pPr>
        <w:spacing w:line="240" w:lineRule="auto" w:before="1"/>
        <w:rPr>
          <w:rFonts w:ascii="宋体" w:hAnsi="宋体" w:cs="宋体" w:eastAsia="宋体" w:hint="default"/>
          <w:sz w:val="14"/>
          <w:szCs w:val="14"/>
        </w:rPr>
      </w:pPr>
    </w:p>
    <w:p>
      <w:pPr>
        <w:pStyle w:val="BodyText"/>
        <w:spacing w:line="393" w:lineRule="auto"/>
        <w:ind w:left="214" w:right="1133" w:firstLine="420"/>
        <w:jc w:val="both"/>
      </w:pPr>
      <w:r>
        <w:rPr/>
        <w:t>③</w:t>
      </w:r>
      <w:r>
        <w:rPr>
          <w:rFonts w:ascii="Arial" w:hAnsi="Arial" w:cs="Arial" w:eastAsia="Arial" w:hint="default"/>
        </w:rPr>
        <w:t>2015</w:t>
      </w:r>
      <w:r>
        <w:rPr/>
        <w:t>年</w:t>
      </w:r>
      <w:r>
        <w:rPr>
          <w:rFonts w:ascii="Arial" w:hAnsi="Arial" w:cs="Arial" w:eastAsia="Arial" w:hint="default"/>
        </w:rPr>
        <w:t>12</w:t>
      </w:r>
      <w:r>
        <w:rPr/>
        <w:t>月</w:t>
      </w:r>
      <w:r>
        <w:rPr>
          <w:rFonts w:ascii="Arial" w:hAnsi="Arial" w:cs="Arial" w:eastAsia="Arial" w:hint="default"/>
        </w:rPr>
        <w:t>7</w:t>
      </w:r>
      <w:r>
        <w:rPr/>
        <w:t>日，本公司全资子公司瑞成汇达公司与海南先锋网信小额贷款有限公司及其原股东凤 </w:t>
      </w:r>
      <w:r>
        <w:rPr>
          <w:spacing w:val="-1"/>
        </w:rPr>
        <w:t>凰资产管理有限公司、万峻（杭州）创业投资管理有限公司签署了《关于海南先锋网信小额贷款有限公司</w:t>
      </w:r>
      <w:r>
        <w:rPr>
          <w:spacing w:val="-86"/>
        </w:rPr>
        <w:t> </w:t>
      </w:r>
      <w:r>
        <w:rPr>
          <w:spacing w:val="-86"/>
        </w:rPr>
      </w:r>
      <w:r>
        <w:rPr/>
        <w:t>的增资协议书》，同意以货币出资</w:t>
      </w:r>
      <w:r>
        <w:rPr>
          <w:rFonts w:ascii="Arial" w:hAnsi="Arial" w:cs="Arial" w:eastAsia="Arial" w:hint="default"/>
        </w:rPr>
        <w:t>11,221.13</w:t>
      </w:r>
      <w:r>
        <w:rPr/>
        <w:t>万元人民币向海南先锋网信小额贷款有限公司增资并获得其</w:t>
      </w:r>
      <w:r>
        <w:rPr>
          <w:spacing w:val="-27"/>
        </w:rPr>
        <w:t> </w:t>
      </w:r>
      <w:r>
        <w:rPr>
          <w:spacing w:val="-27"/>
        </w:rPr>
      </w:r>
      <w:r>
        <w:rPr>
          <w:rFonts w:ascii="Arial" w:hAnsi="Arial" w:cs="Arial" w:eastAsia="Arial" w:hint="default"/>
        </w:rPr>
        <w:t>51%</w:t>
      </w:r>
      <w:r>
        <w:rPr/>
        <w:t>的股权。截止</w:t>
      </w:r>
      <w:r>
        <w:rPr>
          <w:rFonts w:ascii="Arial" w:hAnsi="Arial" w:cs="Arial" w:eastAsia="Arial" w:hint="default"/>
        </w:rPr>
        <w:t>2015</w:t>
      </w:r>
      <w:r>
        <w:rPr/>
        <w:t>年</w:t>
      </w:r>
      <w:r>
        <w:rPr>
          <w:rFonts w:ascii="Arial" w:hAnsi="Arial" w:cs="Arial" w:eastAsia="Arial" w:hint="default"/>
        </w:rPr>
        <w:t>12</w:t>
      </w:r>
      <w:r>
        <w:rPr/>
        <w:t>月</w:t>
      </w:r>
      <w:r>
        <w:rPr>
          <w:rFonts w:ascii="Arial" w:hAnsi="Arial" w:cs="Arial" w:eastAsia="Arial" w:hint="default"/>
        </w:rPr>
        <w:t>31</w:t>
      </w:r>
      <w:r>
        <w:rPr/>
        <w:t>日，瑞成汇达公司已支付首期投资款</w:t>
      </w:r>
      <w:r>
        <w:rPr>
          <w:rFonts w:ascii="Arial" w:hAnsi="Arial" w:cs="Arial" w:eastAsia="Arial" w:hint="default"/>
        </w:rPr>
        <w:t>500</w:t>
      </w:r>
      <w:r>
        <w:rPr/>
        <w:t>万元。</w:t>
      </w:r>
    </w:p>
    <w:p>
      <w:pPr>
        <w:spacing w:line="240" w:lineRule="auto" w:before="1"/>
        <w:rPr>
          <w:rFonts w:ascii="宋体" w:hAnsi="宋体" w:cs="宋体" w:eastAsia="宋体" w:hint="default"/>
          <w:sz w:val="14"/>
          <w:szCs w:val="14"/>
        </w:rPr>
      </w:pPr>
    </w:p>
    <w:p>
      <w:pPr>
        <w:pStyle w:val="BodyText"/>
        <w:spacing w:line="516" w:lineRule="auto"/>
        <w:ind w:left="633" w:right="3403"/>
        <w:jc w:val="left"/>
      </w:pPr>
      <w:r>
        <w:rPr/>
        <w:pict>
          <v:shape style="position:absolute;margin-left:51.060001pt;margin-top:51.683655pt;width:461.5pt;height:113.2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4"/>
                    <w:gridCol w:w="2268"/>
                    <w:gridCol w:w="2693"/>
                  </w:tblGrid>
                  <w:tr>
                    <w:trPr>
                      <w:trHeight w:val="322" w:hRule="exact"/>
                    </w:trPr>
                    <w:tc>
                      <w:tcPr>
                        <w:tcW w:w="9215" w:type="dxa"/>
                        <w:gridSpan w:val="3"/>
                        <w:tcBorders>
                          <w:top w:val="single" w:sz="4" w:space="0" w:color="5B9BD4"/>
                          <w:left w:val="nil" w:sz="6" w:space="0" w:color="auto"/>
                          <w:bottom w:val="single" w:sz="4" w:space="0" w:color="5B9BD4"/>
                          <w:right w:val="nil" w:sz="6" w:space="0" w:color="auto"/>
                        </w:tcBorders>
                        <w:shd w:val="clear" w:color="auto" w:fill="DEEAF6"/>
                      </w:tcPr>
                      <w:p>
                        <w:pPr>
                          <w:pStyle w:val="TableParagraph"/>
                          <w:tabs>
                            <w:tab w:pos="5027" w:val="left" w:leader="none"/>
                            <w:tab w:pos="7508" w:val="left" w:leader="none"/>
                          </w:tabs>
                          <w:spacing w:line="240" w:lineRule="auto" w:before="5"/>
                          <w:ind w:left="1856"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8"/>
                            <w:sz w:val="18"/>
                            <w:szCs w:val="18"/>
                          </w:rPr>
                          <w:t> </w:t>
                        </w:r>
                        <w:r>
                          <w:rPr>
                            <w:rFonts w:ascii="宋体" w:hAnsi="宋体" w:cs="宋体" w:eastAsia="宋体" w:hint="default"/>
                            <w:sz w:val="18"/>
                            <w:szCs w:val="18"/>
                          </w:rPr>
                          <w:t>目</w:t>
                          <w:tab/>
                          <w:t>年末余额</w:t>
                          <w:tab/>
                          <w:t>年初余额</w:t>
                        </w:r>
                      </w:p>
                    </w:tc>
                  </w:tr>
                  <w:tr>
                    <w:trPr>
                      <w:trHeight w:val="322" w:hRule="exact"/>
                    </w:trPr>
                    <w:tc>
                      <w:tcPr>
                        <w:tcW w:w="425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不可撤销经营租赁的最低租赁付款额：</w:t>
                        </w:r>
                      </w:p>
                    </w:tc>
                    <w:tc>
                      <w:tcPr>
                        <w:tcW w:w="2268" w:type="dxa"/>
                        <w:tcBorders>
                          <w:top w:val="single" w:sz="4" w:space="0" w:color="5B9BD4"/>
                          <w:left w:val="nil" w:sz="6" w:space="0" w:color="auto"/>
                          <w:bottom w:val="single" w:sz="4" w:space="0" w:color="5B9BD4"/>
                          <w:right w:val="nil" w:sz="6" w:space="0" w:color="auto"/>
                        </w:tcBorders>
                      </w:tcPr>
                      <w:p>
                        <w:pPr/>
                      </w:p>
                    </w:tc>
                    <w:tc>
                      <w:tcPr>
                        <w:tcW w:w="2693"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425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年以内（含</w:t>
                        </w:r>
                        <w:r>
                          <w:rPr>
                            <w:rFonts w:ascii="Arial" w:hAnsi="Arial" w:cs="Arial" w:eastAsia="Arial" w:hint="default"/>
                            <w:sz w:val="18"/>
                            <w:szCs w:val="18"/>
                          </w:rPr>
                          <w:t>1</w:t>
                        </w:r>
                        <w:r>
                          <w:rPr>
                            <w:rFonts w:ascii="宋体" w:hAnsi="宋体" w:cs="宋体" w:eastAsia="宋体" w:hint="default"/>
                            <w:sz w:val="18"/>
                            <w:szCs w:val="18"/>
                          </w:rPr>
                          <w:t>年）</w:t>
                        </w:r>
                      </w:p>
                    </w:tc>
                    <w:tc>
                      <w:tcPr>
                        <w:tcW w:w="2268"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47,161,957.77</w:t>
                        </w:r>
                        <w:r>
                          <w:rPr>
                            <w:rFonts w:ascii="Arial"/>
                            <w:sz w:val="18"/>
                          </w:rPr>
                        </w:r>
                      </w:p>
                    </w:tc>
                    <w:tc>
                      <w:tcPr>
                        <w:tcW w:w="269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76,304,323.68</w:t>
                        </w:r>
                        <w:r>
                          <w:rPr>
                            <w:rFonts w:ascii="Arial"/>
                            <w:sz w:val="18"/>
                          </w:rPr>
                        </w:r>
                      </w:p>
                    </w:tc>
                  </w:tr>
                  <w:tr>
                    <w:trPr>
                      <w:trHeight w:val="322" w:hRule="exact"/>
                    </w:trPr>
                    <w:tc>
                      <w:tcPr>
                        <w:tcW w:w="425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1-2</w:t>
                        </w:r>
                        <w:r>
                          <w:rPr>
                            <w:rFonts w:ascii="宋体" w:hAnsi="宋体" w:cs="宋体" w:eastAsia="宋体" w:hint="default"/>
                            <w:sz w:val="18"/>
                            <w:szCs w:val="18"/>
                          </w:rPr>
                          <w:t>年（含</w:t>
                        </w:r>
                        <w:r>
                          <w:rPr>
                            <w:rFonts w:ascii="Arial" w:hAnsi="Arial" w:cs="Arial" w:eastAsia="Arial" w:hint="default"/>
                            <w:sz w:val="18"/>
                            <w:szCs w:val="18"/>
                          </w:rPr>
                          <w:t>2</w:t>
                        </w:r>
                        <w:r>
                          <w:rPr>
                            <w:rFonts w:ascii="宋体" w:hAnsi="宋体" w:cs="宋体" w:eastAsia="宋体" w:hint="default"/>
                            <w:sz w:val="18"/>
                            <w:szCs w:val="18"/>
                          </w:rPr>
                          <w:t>年）</w:t>
                        </w:r>
                      </w:p>
                    </w:tc>
                    <w:tc>
                      <w:tcPr>
                        <w:tcW w:w="2268"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24,181,518.08</w:t>
                        </w:r>
                        <w:r>
                          <w:rPr>
                            <w:rFonts w:ascii="Arial"/>
                            <w:sz w:val="18"/>
                          </w:rPr>
                        </w:r>
                      </w:p>
                    </w:tc>
                    <w:tc>
                      <w:tcPr>
                        <w:tcW w:w="269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43,848,121.89</w:t>
                        </w:r>
                        <w:r>
                          <w:rPr>
                            <w:rFonts w:ascii="Arial"/>
                            <w:sz w:val="18"/>
                          </w:rPr>
                        </w:r>
                      </w:p>
                    </w:tc>
                  </w:tr>
                  <w:tr>
                    <w:trPr>
                      <w:trHeight w:val="322" w:hRule="exact"/>
                    </w:trPr>
                    <w:tc>
                      <w:tcPr>
                        <w:tcW w:w="425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Arial" w:hAnsi="Arial" w:cs="Arial" w:eastAsia="Arial" w:hint="default"/>
                            <w:sz w:val="18"/>
                            <w:szCs w:val="18"/>
                          </w:rPr>
                          <w:t>2-3</w:t>
                        </w:r>
                        <w:r>
                          <w:rPr>
                            <w:rFonts w:ascii="宋体" w:hAnsi="宋体" w:cs="宋体" w:eastAsia="宋体" w:hint="default"/>
                            <w:sz w:val="18"/>
                            <w:szCs w:val="18"/>
                          </w:rPr>
                          <w:t>年（含</w:t>
                        </w:r>
                        <w:r>
                          <w:rPr>
                            <w:rFonts w:ascii="Arial" w:hAnsi="Arial" w:cs="Arial" w:eastAsia="Arial" w:hint="default"/>
                            <w:sz w:val="18"/>
                            <w:szCs w:val="18"/>
                          </w:rPr>
                          <w:t>3</w:t>
                        </w:r>
                        <w:r>
                          <w:rPr>
                            <w:rFonts w:ascii="宋体" w:hAnsi="宋体" w:cs="宋体" w:eastAsia="宋体" w:hint="default"/>
                            <w:sz w:val="18"/>
                            <w:szCs w:val="18"/>
                          </w:rPr>
                          <w:t>年）</w:t>
                        </w:r>
                      </w:p>
                    </w:tc>
                    <w:tc>
                      <w:tcPr>
                        <w:tcW w:w="2268"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8,721,748.50</w:t>
                        </w:r>
                        <w:r>
                          <w:rPr>
                            <w:rFonts w:ascii="Arial"/>
                            <w:sz w:val="18"/>
                          </w:rPr>
                        </w:r>
                      </w:p>
                    </w:tc>
                    <w:tc>
                      <w:tcPr>
                        <w:tcW w:w="269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20,623,054.63</w:t>
                        </w:r>
                        <w:r>
                          <w:rPr>
                            <w:rFonts w:ascii="Arial"/>
                            <w:sz w:val="18"/>
                          </w:rPr>
                        </w:r>
                      </w:p>
                    </w:tc>
                  </w:tr>
                  <w:tr>
                    <w:trPr>
                      <w:trHeight w:val="322" w:hRule="exact"/>
                    </w:trPr>
                    <w:tc>
                      <w:tcPr>
                        <w:tcW w:w="425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年以上</w:t>
                        </w:r>
                      </w:p>
                    </w:tc>
                    <w:tc>
                      <w:tcPr>
                        <w:tcW w:w="2268"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25,153,850.78</w:t>
                        </w:r>
                        <w:r>
                          <w:rPr>
                            <w:rFonts w:ascii="Arial"/>
                            <w:sz w:val="18"/>
                          </w:rPr>
                        </w:r>
                      </w:p>
                    </w:tc>
                    <w:tc>
                      <w:tcPr>
                        <w:tcW w:w="269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656,778.52</w:t>
                        </w:r>
                        <w:r>
                          <w:rPr>
                            <w:rFonts w:ascii="Arial"/>
                            <w:sz w:val="18"/>
                          </w:rPr>
                        </w:r>
                      </w:p>
                    </w:tc>
                  </w:tr>
                  <w:tr>
                    <w:trPr>
                      <w:trHeight w:val="323" w:hRule="exact"/>
                    </w:trPr>
                    <w:tc>
                      <w:tcPr>
                        <w:tcW w:w="425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268"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Trebuchet MS" w:hAnsi="Trebuchet MS" w:cs="Trebuchet MS" w:eastAsia="Trebuchet MS" w:hint="default"/>
                            <w:sz w:val="18"/>
                            <w:szCs w:val="18"/>
                          </w:rPr>
                        </w:pPr>
                        <w:r>
                          <w:rPr>
                            <w:rFonts w:ascii="Trebuchet MS"/>
                            <w:b/>
                            <w:w w:val="90"/>
                            <w:sz w:val="18"/>
                          </w:rPr>
                          <w:t>105,219,075.13</w:t>
                        </w:r>
                        <w:r>
                          <w:rPr>
                            <w:rFonts w:ascii="Trebuchet MS"/>
                            <w:sz w:val="18"/>
                          </w:rPr>
                        </w:r>
                      </w:p>
                    </w:tc>
                    <w:tc>
                      <w:tcPr>
                        <w:tcW w:w="269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Trebuchet MS" w:hAnsi="Trebuchet MS" w:cs="Trebuchet MS" w:eastAsia="Trebuchet MS" w:hint="default"/>
                            <w:sz w:val="18"/>
                            <w:szCs w:val="18"/>
                          </w:rPr>
                        </w:pPr>
                        <w:r>
                          <w:rPr>
                            <w:rFonts w:ascii="Trebuchet MS"/>
                            <w:b/>
                            <w:w w:val="90"/>
                            <w:sz w:val="18"/>
                          </w:rPr>
                          <w:t>141,432,278.72</w:t>
                        </w:r>
                        <w:r>
                          <w:rPr>
                            <w:rFonts w:ascii="Trebuchet MS"/>
                            <w:sz w:val="18"/>
                          </w:rPr>
                        </w:r>
                      </w:p>
                    </w:tc>
                  </w:tr>
                </w:tbl>
                <w:p>
                  <w:pPr/>
                </w:p>
              </w:txbxContent>
            </v:textbox>
            <w10:wrap type="none"/>
          </v:shape>
        </w:pict>
      </w:r>
      <w:r>
        <w:rPr/>
        <w:t>（</w:t>
      </w:r>
      <w:r>
        <w:rPr>
          <w:rFonts w:ascii="Arial" w:hAnsi="Arial" w:cs="Arial" w:eastAsia="Arial" w:hint="default"/>
        </w:rPr>
        <w:t>2</w:t>
      </w:r>
      <w:r>
        <w:rPr/>
        <w:t>）经营租赁承诺 至资产负债表日止，本公司对外签订的不可撤销的经营租赁合约情况如下：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516" w:lineRule="auto" w:before="18"/>
        <w:ind w:left="634" w:right="5922" w:firstLine="482"/>
        <w:jc w:val="left"/>
      </w:pPr>
      <w:r>
        <w:rPr/>
        <w:pict>
          <v:shape style="position:absolute;margin-left:51.060001pt;margin-top:52.583672pt;width:453.5pt;height:177.6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87"/>
                    <w:gridCol w:w="1559"/>
                    <w:gridCol w:w="2410"/>
                    <w:gridCol w:w="1399"/>
                  </w:tblGrid>
                  <w:tr>
                    <w:trPr>
                      <w:trHeight w:val="317" w:hRule="exact"/>
                    </w:trPr>
                    <w:tc>
                      <w:tcPr>
                        <w:tcW w:w="368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55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509" w:right="0"/>
                          <w:jc w:val="left"/>
                          <w:rPr>
                            <w:rFonts w:ascii="宋体" w:hAnsi="宋体" w:cs="宋体" w:eastAsia="宋体" w:hint="default"/>
                            <w:sz w:val="18"/>
                            <w:szCs w:val="18"/>
                          </w:rPr>
                        </w:pPr>
                        <w:r>
                          <w:rPr>
                            <w:rFonts w:ascii="宋体" w:hAnsi="宋体" w:cs="宋体" w:eastAsia="宋体" w:hint="default"/>
                            <w:sz w:val="18"/>
                            <w:szCs w:val="18"/>
                          </w:rPr>
                          <w:t>认缴方</w:t>
                        </w:r>
                      </w:p>
                    </w:tc>
                    <w:tc>
                      <w:tcPr>
                        <w:tcW w:w="241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304" w:right="0"/>
                          <w:jc w:val="left"/>
                          <w:rPr>
                            <w:rFonts w:ascii="宋体" w:hAnsi="宋体" w:cs="宋体" w:eastAsia="宋体" w:hint="default"/>
                            <w:sz w:val="18"/>
                            <w:szCs w:val="18"/>
                          </w:rPr>
                        </w:pPr>
                        <w:r>
                          <w:rPr>
                            <w:rFonts w:ascii="宋体" w:hAnsi="宋体" w:cs="宋体" w:eastAsia="宋体" w:hint="default"/>
                            <w:sz w:val="18"/>
                            <w:szCs w:val="18"/>
                          </w:rPr>
                          <w:t>已认缴但未出资的金额</w:t>
                        </w:r>
                      </w:p>
                    </w:tc>
                    <w:tc>
                      <w:tcPr>
                        <w:tcW w:w="139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249" w:right="0"/>
                          <w:jc w:val="left"/>
                          <w:rPr>
                            <w:rFonts w:ascii="宋体" w:hAnsi="宋体" w:cs="宋体" w:eastAsia="宋体" w:hint="default"/>
                            <w:sz w:val="18"/>
                            <w:szCs w:val="18"/>
                          </w:rPr>
                        </w:pPr>
                        <w:r>
                          <w:rPr>
                            <w:rFonts w:ascii="宋体" w:hAnsi="宋体" w:cs="宋体" w:eastAsia="宋体" w:hint="default"/>
                            <w:sz w:val="18"/>
                            <w:szCs w:val="18"/>
                          </w:rPr>
                          <w:t>拟出资方式</w:t>
                        </w:r>
                      </w:p>
                    </w:tc>
                  </w:tr>
                  <w:tr>
                    <w:trPr>
                      <w:trHeight w:val="327" w:hRule="exact"/>
                    </w:trPr>
                    <w:tc>
                      <w:tcPr>
                        <w:tcW w:w="368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江西爱施德通信科技有限公司</w:t>
                        </w:r>
                      </w:p>
                    </w:tc>
                    <w:tc>
                      <w:tcPr>
                        <w:tcW w:w="1559" w:type="dxa"/>
                        <w:tcBorders>
                          <w:top w:val="single" w:sz="4" w:space="0" w:color="5B9BD4"/>
                          <w:left w:val="nil" w:sz="6" w:space="0" w:color="auto"/>
                          <w:bottom w:val="single" w:sz="4" w:space="0" w:color="5B9BD4"/>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hAnsi="宋体" w:cs="宋体" w:eastAsia="宋体" w:hint="default"/>
                            <w:sz w:val="18"/>
                            <w:szCs w:val="18"/>
                          </w:rPr>
                          <w:t>本公司</w:t>
                        </w:r>
                      </w:p>
                    </w:tc>
                    <w:tc>
                      <w:tcPr>
                        <w:tcW w:w="241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right="107"/>
                          <w:jc w:val="right"/>
                          <w:rPr>
                            <w:rFonts w:ascii="宋体" w:hAnsi="宋体" w:cs="宋体" w:eastAsia="宋体" w:hint="default"/>
                            <w:sz w:val="18"/>
                            <w:szCs w:val="18"/>
                          </w:rPr>
                        </w:pPr>
                        <w:r>
                          <w:rPr>
                            <w:rFonts w:ascii="宋体" w:hAnsi="宋体" w:cs="宋体" w:eastAsia="宋体" w:hint="default"/>
                            <w:spacing w:val="-1"/>
                            <w:sz w:val="18"/>
                            <w:szCs w:val="18"/>
                          </w:rPr>
                          <w:t>人民币</w:t>
                        </w:r>
                        <w:r>
                          <w:rPr>
                            <w:rFonts w:ascii="Arial" w:hAnsi="Arial" w:cs="Arial" w:eastAsia="Arial" w:hint="default"/>
                            <w:spacing w:val="-1"/>
                            <w:sz w:val="18"/>
                            <w:szCs w:val="18"/>
                          </w:rPr>
                          <w:t>200</w:t>
                        </w:r>
                        <w:r>
                          <w:rPr>
                            <w:rFonts w:ascii="宋体" w:hAnsi="宋体" w:cs="宋体" w:eastAsia="宋体" w:hint="default"/>
                            <w:spacing w:val="-1"/>
                            <w:sz w:val="18"/>
                            <w:szCs w:val="18"/>
                          </w:rPr>
                          <w:t>万元</w:t>
                        </w:r>
                      </w:p>
                    </w:tc>
                    <w:tc>
                      <w:tcPr>
                        <w:tcW w:w="1399" w:type="dxa"/>
                        <w:tcBorders>
                          <w:top w:val="single" w:sz="4" w:space="0" w:color="5B9BD4"/>
                          <w:left w:val="nil" w:sz="6" w:space="0" w:color="auto"/>
                          <w:bottom w:val="single" w:sz="4" w:space="0" w:color="5B9BD4"/>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hAnsi="宋体" w:cs="宋体" w:eastAsia="宋体" w:hint="default"/>
                            <w:sz w:val="18"/>
                            <w:szCs w:val="18"/>
                          </w:rPr>
                          <w:t>货币资金</w:t>
                        </w:r>
                      </w:p>
                    </w:tc>
                  </w:tr>
                  <w:tr>
                    <w:trPr>
                      <w:trHeight w:val="322" w:hRule="exact"/>
                    </w:trPr>
                    <w:tc>
                      <w:tcPr>
                        <w:tcW w:w="368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深圳市优友金融服务有限公司</w:t>
                        </w:r>
                      </w:p>
                    </w:tc>
                    <w:tc>
                      <w:tcPr>
                        <w:tcW w:w="1559" w:type="dxa"/>
                        <w:tcBorders>
                          <w:top w:val="single" w:sz="4" w:space="0" w:color="5B9BD4"/>
                          <w:left w:val="nil" w:sz="6" w:space="0" w:color="auto"/>
                          <w:bottom w:val="single" w:sz="4" w:space="0" w:color="5B9BD4"/>
                          <w:right w:val="nil" w:sz="6" w:space="0" w:color="auto"/>
                        </w:tcBorders>
                      </w:tcPr>
                      <w:p>
                        <w:pPr>
                          <w:pStyle w:val="TableParagraph"/>
                          <w:spacing w:line="240" w:lineRule="auto" w:before="6"/>
                          <w:ind w:right="107"/>
                          <w:jc w:val="right"/>
                          <w:rPr>
                            <w:rFonts w:ascii="宋体" w:hAnsi="宋体" w:cs="宋体" w:eastAsia="宋体" w:hint="default"/>
                            <w:sz w:val="18"/>
                            <w:szCs w:val="18"/>
                          </w:rPr>
                        </w:pPr>
                        <w:r>
                          <w:rPr>
                            <w:rFonts w:ascii="宋体" w:hAnsi="宋体" w:cs="宋体" w:eastAsia="宋体" w:hint="default"/>
                            <w:sz w:val="18"/>
                            <w:szCs w:val="18"/>
                          </w:rPr>
                          <w:t>本公司</w:t>
                        </w:r>
                      </w:p>
                    </w:tc>
                    <w:tc>
                      <w:tcPr>
                        <w:tcW w:w="241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107"/>
                          <w:jc w:val="right"/>
                          <w:rPr>
                            <w:rFonts w:ascii="宋体" w:hAnsi="宋体" w:cs="宋体" w:eastAsia="宋体" w:hint="default"/>
                            <w:sz w:val="18"/>
                            <w:szCs w:val="18"/>
                          </w:rPr>
                        </w:pPr>
                        <w:r>
                          <w:rPr>
                            <w:rFonts w:ascii="宋体" w:hAnsi="宋体" w:cs="宋体" w:eastAsia="宋体" w:hint="default"/>
                            <w:spacing w:val="-1"/>
                            <w:sz w:val="18"/>
                            <w:szCs w:val="18"/>
                          </w:rPr>
                          <w:t>人民币</w:t>
                        </w:r>
                        <w:r>
                          <w:rPr>
                            <w:rFonts w:ascii="Arial" w:hAnsi="Arial" w:cs="Arial" w:eastAsia="Arial" w:hint="default"/>
                            <w:spacing w:val="-1"/>
                            <w:sz w:val="18"/>
                            <w:szCs w:val="18"/>
                          </w:rPr>
                          <w:t>459</w:t>
                        </w:r>
                        <w:r>
                          <w:rPr>
                            <w:rFonts w:ascii="宋体" w:hAnsi="宋体" w:cs="宋体" w:eastAsia="宋体" w:hint="default"/>
                            <w:spacing w:val="-1"/>
                            <w:sz w:val="18"/>
                            <w:szCs w:val="18"/>
                          </w:rPr>
                          <w:t>万元</w:t>
                        </w:r>
                      </w:p>
                    </w:tc>
                    <w:tc>
                      <w:tcPr>
                        <w:tcW w:w="1399" w:type="dxa"/>
                        <w:tcBorders>
                          <w:top w:val="single" w:sz="4" w:space="0" w:color="5B9BD4"/>
                          <w:left w:val="nil" w:sz="6" w:space="0" w:color="auto"/>
                          <w:bottom w:val="single" w:sz="4" w:space="0" w:color="5B9BD4"/>
                          <w:right w:val="nil" w:sz="6" w:space="0" w:color="auto"/>
                        </w:tcBorders>
                      </w:tcPr>
                      <w:p>
                        <w:pPr>
                          <w:pStyle w:val="TableParagraph"/>
                          <w:spacing w:line="240" w:lineRule="auto" w:before="6"/>
                          <w:ind w:right="107"/>
                          <w:jc w:val="right"/>
                          <w:rPr>
                            <w:rFonts w:ascii="宋体" w:hAnsi="宋体" w:cs="宋体" w:eastAsia="宋体" w:hint="default"/>
                            <w:sz w:val="18"/>
                            <w:szCs w:val="18"/>
                          </w:rPr>
                        </w:pPr>
                        <w:r>
                          <w:rPr>
                            <w:rFonts w:ascii="宋体" w:hAnsi="宋体" w:cs="宋体" w:eastAsia="宋体" w:hint="default"/>
                            <w:sz w:val="18"/>
                            <w:szCs w:val="18"/>
                          </w:rPr>
                          <w:t>货币资金</w:t>
                        </w:r>
                      </w:p>
                    </w:tc>
                  </w:tr>
                  <w:tr>
                    <w:trPr>
                      <w:trHeight w:val="322" w:hRule="exact"/>
                    </w:trPr>
                    <w:tc>
                      <w:tcPr>
                        <w:tcW w:w="368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长春市酷爱通讯科技有限公司</w:t>
                        </w:r>
                      </w:p>
                    </w:tc>
                    <w:tc>
                      <w:tcPr>
                        <w:tcW w:w="1559"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107"/>
                          <w:jc w:val="right"/>
                          <w:rPr>
                            <w:rFonts w:ascii="宋体" w:hAnsi="宋体" w:cs="宋体" w:eastAsia="宋体" w:hint="default"/>
                            <w:sz w:val="18"/>
                            <w:szCs w:val="18"/>
                          </w:rPr>
                        </w:pPr>
                        <w:r>
                          <w:rPr>
                            <w:rFonts w:ascii="宋体" w:hAnsi="宋体" w:cs="宋体" w:eastAsia="宋体" w:hint="default"/>
                            <w:sz w:val="18"/>
                            <w:szCs w:val="18"/>
                          </w:rPr>
                          <w:t>本公司</w:t>
                        </w:r>
                      </w:p>
                    </w:tc>
                    <w:tc>
                      <w:tcPr>
                        <w:tcW w:w="241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07"/>
                          <w:jc w:val="right"/>
                          <w:rPr>
                            <w:rFonts w:ascii="宋体" w:hAnsi="宋体" w:cs="宋体" w:eastAsia="宋体" w:hint="default"/>
                            <w:sz w:val="18"/>
                            <w:szCs w:val="18"/>
                          </w:rPr>
                        </w:pPr>
                        <w:r>
                          <w:rPr>
                            <w:rFonts w:ascii="宋体" w:hAnsi="宋体" w:cs="宋体" w:eastAsia="宋体" w:hint="default"/>
                            <w:spacing w:val="-1"/>
                            <w:sz w:val="18"/>
                            <w:szCs w:val="18"/>
                          </w:rPr>
                          <w:t>人民币</w:t>
                        </w:r>
                        <w:r>
                          <w:rPr>
                            <w:rFonts w:ascii="Arial" w:hAnsi="Arial" w:cs="Arial" w:eastAsia="Arial" w:hint="default"/>
                            <w:spacing w:val="-1"/>
                            <w:sz w:val="18"/>
                            <w:szCs w:val="18"/>
                          </w:rPr>
                          <w:t>100</w:t>
                        </w:r>
                        <w:r>
                          <w:rPr>
                            <w:rFonts w:ascii="宋体" w:hAnsi="宋体" w:cs="宋体" w:eastAsia="宋体" w:hint="default"/>
                            <w:spacing w:val="-1"/>
                            <w:sz w:val="18"/>
                            <w:szCs w:val="18"/>
                          </w:rPr>
                          <w:t>万元</w:t>
                        </w:r>
                      </w:p>
                    </w:tc>
                    <w:tc>
                      <w:tcPr>
                        <w:tcW w:w="1399"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107"/>
                          <w:jc w:val="right"/>
                          <w:rPr>
                            <w:rFonts w:ascii="宋体" w:hAnsi="宋体" w:cs="宋体" w:eastAsia="宋体" w:hint="default"/>
                            <w:sz w:val="18"/>
                            <w:szCs w:val="18"/>
                          </w:rPr>
                        </w:pPr>
                        <w:r>
                          <w:rPr>
                            <w:rFonts w:ascii="宋体" w:hAnsi="宋体" w:cs="宋体" w:eastAsia="宋体" w:hint="default"/>
                            <w:sz w:val="18"/>
                            <w:szCs w:val="18"/>
                          </w:rPr>
                          <w:t>货币资金</w:t>
                        </w:r>
                      </w:p>
                    </w:tc>
                  </w:tr>
                  <w:tr>
                    <w:trPr>
                      <w:trHeight w:val="322" w:hRule="exact"/>
                    </w:trPr>
                    <w:tc>
                      <w:tcPr>
                        <w:tcW w:w="368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武汉市酷爱星通讯科技有限责任公司</w:t>
                        </w:r>
                      </w:p>
                    </w:tc>
                    <w:tc>
                      <w:tcPr>
                        <w:tcW w:w="1559"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107"/>
                          <w:jc w:val="right"/>
                          <w:rPr>
                            <w:rFonts w:ascii="宋体" w:hAnsi="宋体" w:cs="宋体" w:eastAsia="宋体" w:hint="default"/>
                            <w:sz w:val="18"/>
                            <w:szCs w:val="18"/>
                          </w:rPr>
                        </w:pPr>
                        <w:r>
                          <w:rPr>
                            <w:rFonts w:ascii="宋体" w:hAnsi="宋体" w:cs="宋体" w:eastAsia="宋体" w:hint="default"/>
                            <w:sz w:val="18"/>
                            <w:szCs w:val="18"/>
                          </w:rPr>
                          <w:t>本公司</w:t>
                        </w:r>
                      </w:p>
                    </w:tc>
                    <w:tc>
                      <w:tcPr>
                        <w:tcW w:w="241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07"/>
                          <w:jc w:val="right"/>
                          <w:rPr>
                            <w:rFonts w:ascii="宋体" w:hAnsi="宋体" w:cs="宋体" w:eastAsia="宋体" w:hint="default"/>
                            <w:sz w:val="18"/>
                            <w:szCs w:val="18"/>
                          </w:rPr>
                        </w:pPr>
                        <w:r>
                          <w:rPr>
                            <w:rFonts w:ascii="宋体" w:hAnsi="宋体" w:cs="宋体" w:eastAsia="宋体" w:hint="default"/>
                            <w:spacing w:val="-1"/>
                            <w:sz w:val="18"/>
                            <w:szCs w:val="18"/>
                          </w:rPr>
                          <w:t>人民币</w:t>
                        </w:r>
                        <w:r>
                          <w:rPr>
                            <w:rFonts w:ascii="Arial" w:hAnsi="Arial" w:cs="Arial" w:eastAsia="Arial" w:hint="default"/>
                            <w:spacing w:val="-1"/>
                            <w:sz w:val="18"/>
                            <w:szCs w:val="18"/>
                          </w:rPr>
                          <w:t>100</w:t>
                        </w:r>
                        <w:r>
                          <w:rPr>
                            <w:rFonts w:ascii="宋体" w:hAnsi="宋体" w:cs="宋体" w:eastAsia="宋体" w:hint="default"/>
                            <w:spacing w:val="-1"/>
                            <w:sz w:val="18"/>
                            <w:szCs w:val="18"/>
                          </w:rPr>
                          <w:t>万元</w:t>
                        </w:r>
                      </w:p>
                    </w:tc>
                    <w:tc>
                      <w:tcPr>
                        <w:tcW w:w="1399"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107"/>
                          <w:jc w:val="right"/>
                          <w:rPr>
                            <w:rFonts w:ascii="宋体" w:hAnsi="宋体" w:cs="宋体" w:eastAsia="宋体" w:hint="default"/>
                            <w:sz w:val="18"/>
                            <w:szCs w:val="18"/>
                          </w:rPr>
                        </w:pPr>
                        <w:r>
                          <w:rPr>
                            <w:rFonts w:ascii="宋体" w:hAnsi="宋体" w:cs="宋体" w:eastAsia="宋体" w:hint="default"/>
                            <w:sz w:val="18"/>
                            <w:szCs w:val="18"/>
                          </w:rPr>
                          <w:t>货币资金</w:t>
                        </w:r>
                      </w:p>
                    </w:tc>
                  </w:tr>
                  <w:tr>
                    <w:trPr>
                      <w:trHeight w:val="322" w:hRule="exact"/>
                    </w:trPr>
                    <w:tc>
                      <w:tcPr>
                        <w:tcW w:w="368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壹号电子商务有限公司</w:t>
                        </w:r>
                      </w:p>
                    </w:tc>
                    <w:tc>
                      <w:tcPr>
                        <w:tcW w:w="1559" w:type="dxa"/>
                        <w:tcBorders>
                          <w:top w:val="single" w:sz="4" w:space="0" w:color="5B9BD4"/>
                          <w:left w:val="nil" w:sz="6" w:space="0" w:color="auto"/>
                          <w:bottom w:val="single" w:sz="4" w:space="0" w:color="5B9BD4"/>
                          <w:right w:val="nil" w:sz="6" w:space="0" w:color="auto"/>
                        </w:tcBorders>
                      </w:tcPr>
                      <w:p>
                        <w:pPr>
                          <w:pStyle w:val="TableParagraph"/>
                          <w:spacing w:line="240" w:lineRule="auto" w:before="6"/>
                          <w:ind w:right="107"/>
                          <w:jc w:val="right"/>
                          <w:rPr>
                            <w:rFonts w:ascii="宋体" w:hAnsi="宋体" w:cs="宋体" w:eastAsia="宋体" w:hint="default"/>
                            <w:sz w:val="18"/>
                            <w:szCs w:val="18"/>
                          </w:rPr>
                        </w:pPr>
                        <w:r>
                          <w:rPr>
                            <w:rFonts w:ascii="宋体" w:hAnsi="宋体" w:cs="宋体" w:eastAsia="宋体" w:hint="default"/>
                            <w:sz w:val="18"/>
                            <w:szCs w:val="18"/>
                          </w:rPr>
                          <w:t>本公司</w:t>
                        </w:r>
                      </w:p>
                    </w:tc>
                    <w:tc>
                      <w:tcPr>
                        <w:tcW w:w="241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107"/>
                          <w:jc w:val="right"/>
                          <w:rPr>
                            <w:rFonts w:ascii="宋体" w:hAnsi="宋体" w:cs="宋体" w:eastAsia="宋体" w:hint="default"/>
                            <w:sz w:val="18"/>
                            <w:szCs w:val="18"/>
                          </w:rPr>
                        </w:pPr>
                        <w:r>
                          <w:rPr>
                            <w:rFonts w:ascii="宋体" w:hAnsi="宋体" w:cs="宋体" w:eastAsia="宋体" w:hint="default"/>
                            <w:w w:val="95"/>
                            <w:sz w:val="18"/>
                            <w:szCs w:val="18"/>
                          </w:rPr>
                          <w:t>人民币</w:t>
                        </w:r>
                        <w:r>
                          <w:rPr>
                            <w:rFonts w:ascii="Arial" w:hAnsi="Arial" w:cs="Arial" w:eastAsia="Arial" w:hint="default"/>
                            <w:w w:val="95"/>
                            <w:sz w:val="18"/>
                            <w:szCs w:val="18"/>
                          </w:rPr>
                          <w:t>4,600</w:t>
                        </w:r>
                        <w:r>
                          <w:rPr>
                            <w:rFonts w:ascii="宋体" w:hAnsi="宋体" w:cs="宋体" w:eastAsia="宋体" w:hint="default"/>
                            <w:w w:val="95"/>
                            <w:sz w:val="18"/>
                            <w:szCs w:val="18"/>
                          </w:rPr>
                          <w:t>万元</w:t>
                        </w:r>
                      </w:p>
                    </w:tc>
                    <w:tc>
                      <w:tcPr>
                        <w:tcW w:w="1399" w:type="dxa"/>
                        <w:tcBorders>
                          <w:top w:val="single" w:sz="4" w:space="0" w:color="5B9BD4"/>
                          <w:left w:val="nil" w:sz="6" w:space="0" w:color="auto"/>
                          <w:bottom w:val="single" w:sz="4" w:space="0" w:color="5B9BD4"/>
                          <w:right w:val="nil" w:sz="6" w:space="0" w:color="auto"/>
                        </w:tcBorders>
                      </w:tcPr>
                      <w:p>
                        <w:pPr>
                          <w:pStyle w:val="TableParagraph"/>
                          <w:spacing w:line="240" w:lineRule="auto" w:before="6"/>
                          <w:ind w:right="107"/>
                          <w:jc w:val="right"/>
                          <w:rPr>
                            <w:rFonts w:ascii="宋体" w:hAnsi="宋体" w:cs="宋体" w:eastAsia="宋体" w:hint="default"/>
                            <w:sz w:val="18"/>
                            <w:szCs w:val="18"/>
                          </w:rPr>
                        </w:pPr>
                        <w:r>
                          <w:rPr>
                            <w:rFonts w:ascii="宋体" w:hAnsi="宋体" w:cs="宋体" w:eastAsia="宋体" w:hint="default"/>
                            <w:sz w:val="18"/>
                            <w:szCs w:val="18"/>
                          </w:rPr>
                          <w:t>货币资金</w:t>
                        </w:r>
                      </w:p>
                    </w:tc>
                  </w:tr>
                  <w:tr>
                    <w:trPr>
                      <w:trHeight w:val="322" w:hRule="exact"/>
                    </w:trPr>
                    <w:tc>
                      <w:tcPr>
                        <w:tcW w:w="368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深圳市酷爱星通讯科技有限责任公司</w:t>
                        </w:r>
                      </w:p>
                    </w:tc>
                    <w:tc>
                      <w:tcPr>
                        <w:tcW w:w="1559"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107"/>
                          <w:jc w:val="right"/>
                          <w:rPr>
                            <w:rFonts w:ascii="宋体" w:hAnsi="宋体" w:cs="宋体" w:eastAsia="宋体" w:hint="default"/>
                            <w:sz w:val="18"/>
                            <w:szCs w:val="18"/>
                          </w:rPr>
                        </w:pPr>
                        <w:r>
                          <w:rPr>
                            <w:rFonts w:ascii="宋体" w:hAnsi="宋体" w:cs="宋体" w:eastAsia="宋体" w:hint="default"/>
                            <w:sz w:val="18"/>
                            <w:szCs w:val="18"/>
                          </w:rPr>
                          <w:t>本公司</w:t>
                        </w:r>
                      </w:p>
                    </w:tc>
                    <w:tc>
                      <w:tcPr>
                        <w:tcW w:w="241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07"/>
                          <w:jc w:val="right"/>
                          <w:rPr>
                            <w:rFonts w:ascii="宋体" w:hAnsi="宋体" w:cs="宋体" w:eastAsia="宋体" w:hint="default"/>
                            <w:sz w:val="18"/>
                            <w:szCs w:val="18"/>
                          </w:rPr>
                        </w:pPr>
                        <w:r>
                          <w:rPr>
                            <w:rFonts w:ascii="宋体" w:hAnsi="宋体" w:cs="宋体" w:eastAsia="宋体" w:hint="default"/>
                            <w:w w:val="95"/>
                            <w:sz w:val="18"/>
                            <w:szCs w:val="18"/>
                          </w:rPr>
                          <w:t>人民币</w:t>
                        </w:r>
                        <w:r>
                          <w:rPr>
                            <w:rFonts w:ascii="Arial" w:hAnsi="Arial" w:cs="Arial" w:eastAsia="Arial" w:hint="default"/>
                            <w:w w:val="95"/>
                            <w:sz w:val="18"/>
                            <w:szCs w:val="18"/>
                          </w:rPr>
                          <w:t>5,000</w:t>
                        </w:r>
                        <w:r>
                          <w:rPr>
                            <w:rFonts w:ascii="宋体" w:hAnsi="宋体" w:cs="宋体" w:eastAsia="宋体" w:hint="default"/>
                            <w:w w:val="95"/>
                            <w:sz w:val="18"/>
                            <w:szCs w:val="18"/>
                          </w:rPr>
                          <w:t>万元</w:t>
                        </w:r>
                      </w:p>
                    </w:tc>
                    <w:tc>
                      <w:tcPr>
                        <w:tcW w:w="1399"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107"/>
                          <w:jc w:val="right"/>
                          <w:rPr>
                            <w:rFonts w:ascii="宋体" w:hAnsi="宋体" w:cs="宋体" w:eastAsia="宋体" w:hint="default"/>
                            <w:sz w:val="18"/>
                            <w:szCs w:val="18"/>
                          </w:rPr>
                        </w:pPr>
                        <w:r>
                          <w:rPr>
                            <w:rFonts w:ascii="宋体" w:hAnsi="宋体" w:cs="宋体" w:eastAsia="宋体" w:hint="default"/>
                            <w:sz w:val="18"/>
                            <w:szCs w:val="18"/>
                          </w:rPr>
                          <w:t>货币资金</w:t>
                        </w:r>
                      </w:p>
                    </w:tc>
                  </w:tr>
                  <w:tr>
                    <w:trPr>
                      <w:trHeight w:val="322" w:hRule="exact"/>
                    </w:trPr>
                    <w:tc>
                      <w:tcPr>
                        <w:tcW w:w="368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西安市爱星通通信器材有限公司</w:t>
                        </w:r>
                      </w:p>
                    </w:tc>
                    <w:tc>
                      <w:tcPr>
                        <w:tcW w:w="1559"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107"/>
                          <w:jc w:val="right"/>
                          <w:rPr>
                            <w:rFonts w:ascii="宋体" w:hAnsi="宋体" w:cs="宋体" w:eastAsia="宋体" w:hint="default"/>
                            <w:sz w:val="18"/>
                            <w:szCs w:val="18"/>
                          </w:rPr>
                        </w:pPr>
                        <w:r>
                          <w:rPr>
                            <w:rFonts w:ascii="宋体" w:hAnsi="宋体" w:cs="宋体" w:eastAsia="宋体" w:hint="default"/>
                            <w:sz w:val="18"/>
                            <w:szCs w:val="18"/>
                          </w:rPr>
                          <w:t>本公司</w:t>
                        </w:r>
                      </w:p>
                    </w:tc>
                    <w:tc>
                      <w:tcPr>
                        <w:tcW w:w="241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07"/>
                          <w:jc w:val="right"/>
                          <w:rPr>
                            <w:rFonts w:ascii="宋体" w:hAnsi="宋体" w:cs="宋体" w:eastAsia="宋体" w:hint="default"/>
                            <w:sz w:val="18"/>
                            <w:szCs w:val="18"/>
                          </w:rPr>
                        </w:pPr>
                        <w:r>
                          <w:rPr>
                            <w:rFonts w:ascii="宋体" w:hAnsi="宋体" w:cs="宋体" w:eastAsia="宋体" w:hint="default"/>
                            <w:spacing w:val="-1"/>
                            <w:sz w:val="18"/>
                            <w:szCs w:val="18"/>
                          </w:rPr>
                          <w:t>人民币</w:t>
                        </w:r>
                        <w:r>
                          <w:rPr>
                            <w:rFonts w:ascii="Arial" w:hAnsi="Arial" w:cs="Arial" w:eastAsia="Arial" w:hint="default"/>
                            <w:spacing w:val="-1"/>
                            <w:sz w:val="18"/>
                            <w:szCs w:val="18"/>
                          </w:rPr>
                          <w:t>100</w:t>
                        </w:r>
                        <w:r>
                          <w:rPr>
                            <w:rFonts w:ascii="宋体" w:hAnsi="宋体" w:cs="宋体" w:eastAsia="宋体" w:hint="default"/>
                            <w:spacing w:val="-1"/>
                            <w:sz w:val="18"/>
                            <w:szCs w:val="18"/>
                          </w:rPr>
                          <w:t>万元</w:t>
                        </w:r>
                      </w:p>
                    </w:tc>
                    <w:tc>
                      <w:tcPr>
                        <w:tcW w:w="1399"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107"/>
                          <w:jc w:val="right"/>
                          <w:rPr>
                            <w:rFonts w:ascii="宋体" w:hAnsi="宋体" w:cs="宋体" w:eastAsia="宋体" w:hint="default"/>
                            <w:sz w:val="18"/>
                            <w:szCs w:val="18"/>
                          </w:rPr>
                        </w:pPr>
                        <w:r>
                          <w:rPr>
                            <w:rFonts w:ascii="宋体" w:hAnsi="宋体" w:cs="宋体" w:eastAsia="宋体" w:hint="default"/>
                            <w:sz w:val="18"/>
                            <w:szCs w:val="18"/>
                          </w:rPr>
                          <w:t>货币资金</w:t>
                        </w:r>
                      </w:p>
                    </w:tc>
                  </w:tr>
                  <w:tr>
                    <w:trPr>
                      <w:trHeight w:val="322" w:hRule="exact"/>
                    </w:trPr>
                    <w:tc>
                      <w:tcPr>
                        <w:tcW w:w="368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爱施德（香港）有限公司</w:t>
                        </w:r>
                      </w:p>
                    </w:tc>
                    <w:tc>
                      <w:tcPr>
                        <w:tcW w:w="1559" w:type="dxa"/>
                        <w:tcBorders>
                          <w:top w:val="single" w:sz="4" w:space="0" w:color="5B9BD4"/>
                          <w:left w:val="nil" w:sz="6" w:space="0" w:color="auto"/>
                          <w:bottom w:val="single" w:sz="4" w:space="0" w:color="5B9BD4"/>
                          <w:right w:val="nil" w:sz="6" w:space="0" w:color="auto"/>
                        </w:tcBorders>
                      </w:tcPr>
                      <w:p>
                        <w:pPr>
                          <w:pStyle w:val="TableParagraph"/>
                          <w:spacing w:line="240" w:lineRule="auto" w:before="6"/>
                          <w:ind w:right="107"/>
                          <w:jc w:val="right"/>
                          <w:rPr>
                            <w:rFonts w:ascii="宋体" w:hAnsi="宋体" w:cs="宋体" w:eastAsia="宋体" w:hint="default"/>
                            <w:sz w:val="18"/>
                            <w:szCs w:val="18"/>
                          </w:rPr>
                        </w:pPr>
                        <w:r>
                          <w:rPr>
                            <w:rFonts w:ascii="宋体" w:hAnsi="宋体" w:cs="宋体" w:eastAsia="宋体" w:hint="default"/>
                            <w:sz w:val="18"/>
                            <w:szCs w:val="18"/>
                          </w:rPr>
                          <w:t>本公司</w:t>
                        </w:r>
                      </w:p>
                    </w:tc>
                    <w:tc>
                      <w:tcPr>
                        <w:tcW w:w="241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107"/>
                          <w:jc w:val="right"/>
                          <w:rPr>
                            <w:rFonts w:ascii="宋体" w:hAnsi="宋体" w:cs="宋体" w:eastAsia="宋体" w:hint="default"/>
                            <w:sz w:val="18"/>
                            <w:szCs w:val="18"/>
                          </w:rPr>
                        </w:pPr>
                        <w:r>
                          <w:rPr>
                            <w:rFonts w:ascii="宋体" w:hAnsi="宋体" w:cs="宋体" w:eastAsia="宋体" w:hint="default"/>
                            <w:spacing w:val="-1"/>
                            <w:sz w:val="18"/>
                            <w:szCs w:val="18"/>
                          </w:rPr>
                          <w:t>港币</w:t>
                        </w:r>
                        <w:r>
                          <w:rPr>
                            <w:rFonts w:ascii="Arial" w:hAnsi="Arial" w:cs="Arial" w:eastAsia="Arial" w:hint="default"/>
                            <w:spacing w:val="-1"/>
                            <w:sz w:val="18"/>
                            <w:szCs w:val="18"/>
                          </w:rPr>
                          <w:t>480</w:t>
                        </w:r>
                        <w:r>
                          <w:rPr>
                            <w:rFonts w:ascii="宋体" w:hAnsi="宋体" w:cs="宋体" w:eastAsia="宋体" w:hint="default"/>
                            <w:spacing w:val="-1"/>
                            <w:sz w:val="18"/>
                            <w:szCs w:val="18"/>
                          </w:rPr>
                          <w:t>万元</w:t>
                        </w:r>
                      </w:p>
                    </w:tc>
                    <w:tc>
                      <w:tcPr>
                        <w:tcW w:w="1399" w:type="dxa"/>
                        <w:tcBorders>
                          <w:top w:val="single" w:sz="4" w:space="0" w:color="5B9BD4"/>
                          <w:left w:val="nil" w:sz="6" w:space="0" w:color="auto"/>
                          <w:bottom w:val="single" w:sz="4" w:space="0" w:color="5B9BD4"/>
                          <w:right w:val="nil" w:sz="6" w:space="0" w:color="auto"/>
                        </w:tcBorders>
                      </w:tcPr>
                      <w:p>
                        <w:pPr>
                          <w:pStyle w:val="TableParagraph"/>
                          <w:spacing w:line="240" w:lineRule="auto" w:before="6"/>
                          <w:ind w:right="107"/>
                          <w:jc w:val="right"/>
                          <w:rPr>
                            <w:rFonts w:ascii="宋体" w:hAnsi="宋体" w:cs="宋体" w:eastAsia="宋体" w:hint="default"/>
                            <w:sz w:val="18"/>
                            <w:szCs w:val="18"/>
                          </w:rPr>
                        </w:pPr>
                        <w:r>
                          <w:rPr>
                            <w:rFonts w:ascii="宋体" w:hAnsi="宋体" w:cs="宋体" w:eastAsia="宋体" w:hint="default"/>
                            <w:sz w:val="18"/>
                            <w:szCs w:val="18"/>
                          </w:rPr>
                          <w:t>货币资金</w:t>
                        </w:r>
                      </w:p>
                    </w:tc>
                  </w:tr>
                  <w:tr>
                    <w:trPr>
                      <w:trHeight w:val="322" w:hRule="exact"/>
                    </w:trPr>
                    <w:tc>
                      <w:tcPr>
                        <w:tcW w:w="368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深圳市网爱金融服务有限公司</w:t>
                        </w:r>
                      </w:p>
                    </w:tc>
                    <w:tc>
                      <w:tcPr>
                        <w:tcW w:w="1559"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107"/>
                          <w:jc w:val="right"/>
                          <w:rPr>
                            <w:rFonts w:ascii="宋体" w:hAnsi="宋体" w:cs="宋体" w:eastAsia="宋体" w:hint="default"/>
                            <w:sz w:val="18"/>
                            <w:szCs w:val="18"/>
                          </w:rPr>
                        </w:pPr>
                        <w:r>
                          <w:rPr>
                            <w:rFonts w:ascii="宋体" w:hAnsi="宋体" w:cs="宋体" w:eastAsia="宋体" w:hint="default"/>
                            <w:sz w:val="18"/>
                            <w:szCs w:val="18"/>
                          </w:rPr>
                          <w:t>瑞成汇达公司</w:t>
                        </w:r>
                      </w:p>
                    </w:tc>
                    <w:tc>
                      <w:tcPr>
                        <w:tcW w:w="241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07"/>
                          <w:jc w:val="right"/>
                          <w:rPr>
                            <w:rFonts w:ascii="宋体" w:hAnsi="宋体" w:cs="宋体" w:eastAsia="宋体" w:hint="default"/>
                            <w:sz w:val="18"/>
                            <w:szCs w:val="18"/>
                          </w:rPr>
                        </w:pPr>
                        <w:r>
                          <w:rPr>
                            <w:rFonts w:ascii="宋体" w:hAnsi="宋体" w:cs="宋体" w:eastAsia="宋体" w:hint="default"/>
                            <w:spacing w:val="-1"/>
                            <w:sz w:val="18"/>
                            <w:szCs w:val="18"/>
                          </w:rPr>
                          <w:t>人民币</w:t>
                        </w:r>
                        <w:r>
                          <w:rPr>
                            <w:rFonts w:ascii="Arial" w:hAnsi="Arial" w:cs="Arial" w:eastAsia="Arial" w:hint="default"/>
                            <w:spacing w:val="-1"/>
                            <w:sz w:val="18"/>
                            <w:szCs w:val="18"/>
                          </w:rPr>
                          <w:t>408</w:t>
                        </w:r>
                        <w:r>
                          <w:rPr>
                            <w:rFonts w:ascii="宋体" w:hAnsi="宋体" w:cs="宋体" w:eastAsia="宋体" w:hint="default"/>
                            <w:spacing w:val="-1"/>
                            <w:sz w:val="18"/>
                            <w:szCs w:val="18"/>
                          </w:rPr>
                          <w:t>万元</w:t>
                        </w:r>
                      </w:p>
                    </w:tc>
                    <w:tc>
                      <w:tcPr>
                        <w:tcW w:w="1399"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107"/>
                          <w:jc w:val="right"/>
                          <w:rPr>
                            <w:rFonts w:ascii="宋体" w:hAnsi="宋体" w:cs="宋体" w:eastAsia="宋体" w:hint="default"/>
                            <w:sz w:val="18"/>
                            <w:szCs w:val="18"/>
                          </w:rPr>
                        </w:pPr>
                        <w:r>
                          <w:rPr>
                            <w:rFonts w:ascii="宋体" w:hAnsi="宋体" w:cs="宋体" w:eastAsia="宋体" w:hint="default"/>
                            <w:sz w:val="18"/>
                            <w:szCs w:val="18"/>
                          </w:rPr>
                          <w:t>货币资金</w:t>
                        </w:r>
                      </w:p>
                    </w:tc>
                  </w:tr>
                  <w:tr>
                    <w:trPr>
                      <w:trHeight w:val="323" w:hRule="exact"/>
                    </w:trPr>
                    <w:tc>
                      <w:tcPr>
                        <w:tcW w:w="368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深圳由你购电子商务有限公司</w:t>
                        </w:r>
                      </w:p>
                    </w:tc>
                    <w:tc>
                      <w:tcPr>
                        <w:tcW w:w="1559"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107"/>
                          <w:jc w:val="right"/>
                          <w:rPr>
                            <w:rFonts w:ascii="宋体" w:hAnsi="宋体" w:cs="宋体" w:eastAsia="宋体" w:hint="default"/>
                            <w:sz w:val="18"/>
                            <w:szCs w:val="18"/>
                          </w:rPr>
                        </w:pPr>
                        <w:r>
                          <w:rPr>
                            <w:rFonts w:ascii="宋体" w:hAnsi="宋体" w:cs="宋体" w:eastAsia="宋体" w:hint="default"/>
                            <w:sz w:val="18"/>
                            <w:szCs w:val="18"/>
                          </w:rPr>
                          <w:t>瑞成汇达公司</w:t>
                        </w:r>
                      </w:p>
                    </w:tc>
                    <w:tc>
                      <w:tcPr>
                        <w:tcW w:w="241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07"/>
                          <w:jc w:val="right"/>
                          <w:rPr>
                            <w:rFonts w:ascii="宋体" w:hAnsi="宋体" w:cs="宋体" w:eastAsia="宋体" w:hint="default"/>
                            <w:sz w:val="18"/>
                            <w:szCs w:val="18"/>
                          </w:rPr>
                        </w:pPr>
                        <w:r>
                          <w:rPr>
                            <w:rFonts w:ascii="宋体" w:hAnsi="宋体" w:cs="宋体" w:eastAsia="宋体" w:hint="default"/>
                            <w:spacing w:val="-1"/>
                            <w:sz w:val="18"/>
                            <w:szCs w:val="18"/>
                          </w:rPr>
                          <w:t>人民币</w:t>
                        </w:r>
                        <w:r>
                          <w:rPr>
                            <w:rFonts w:ascii="Arial" w:hAnsi="Arial" w:cs="Arial" w:eastAsia="Arial" w:hint="default"/>
                            <w:spacing w:val="-1"/>
                            <w:sz w:val="18"/>
                            <w:szCs w:val="18"/>
                          </w:rPr>
                          <w:t>255</w:t>
                        </w:r>
                        <w:r>
                          <w:rPr>
                            <w:rFonts w:ascii="宋体" w:hAnsi="宋体" w:cs="宋体" w:eastAsia="宋体" w:hint="default"/>
                            <w:spacing w:val="-1"/>
                            <w:sz w:val="18"/>
                            <w:szCs w:val="18"/>
                          </w:rPr>
                          <w:t>万元</w:t>
                        </w:r>
                      </w:p>
                    </w:tc>
                    <w:tc>
                      <w:tcPr>
                        <w:tcW w:w="1399"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107"/>
                          <w:jc w:val="right"/>
                          <w:rPr>
                            <w:rFonts w:ascii="宋体" w:hAnsi="宋体" w:cs="宋体" w:eastAsia="宋体" w:hint="default"/>
                            <w:sz w:val="18"/>
                            <w:szCs w:val="18"/>
                          </w:rPr>
                        </w:pPr>
                        <w:r>
                          <w:rPr>
                            <w:rFonts w:ascii="宋体" w:hAnsi="宋体" w:cs="宋体" w:eastAsia="宋体" w:hint="default"/>
                            <w:sz w:val="18"/>
                            <w:szCs w:val="18"/>
                          </w:rPr>
                          <w:t>货币资金</w:t>
                        </w:r>
                      </w:p>
                    </w:tc>
                  </w:tr>
                </w:tbl>
                <w:p>
                  <w:pPr/>
                </w:p>
              </w:txbxContent>
            </v:textbox>
            <w10:wrap type="none"/>
          </v:shape>
        </w:pict>
      </w:r>
      <w:r>
        <w:rPr/>
        <w:t>（</w:t>
      </w:r>
      <w:r>
        <w:rPr>
          <w:rFonts w:ascii="Arial" w:hAnsi="Arial" w:cs="Arial" w:eastAsia="Arial" w:hint="default"/>
        </w:rPr>
        <w:t>3</w:t>
      </w:r>
      <w:r>
        <w:rPr/>
        <w:t>）其他承诺事项 至资产负债表日止，已认缴但未出资情况如下：</w:t>
      </w:r>
    </w:p>
    <w:p>
      <w:pPr>
        <w:spacing w:after="0" w:line="516" w:lineRule="auto"/>
        <w:jc w:val="left"/>
        <w:sectPr>
          <w:pgSz w:w="11910" w:h="16840"/>
          <w:pgMar w:header="877" w:footer="979" w:top="1100" w:bottom="1160" w:left="920" w:right="0"/>
        </w:sectPr>
      </w:pPr>
    </w:p>
    <w:p>
      <w:pPr>
        <w:spacing w:line="240" w:lineRule="auto" w:before="5"/>
        <w:rPr>
          <w:rFonts w:ascii="宋体" w:hAnsi="宋体" w:cs="宋体" w:eastAsia="宋体" w:hint="default"/>
          <w:sz w:val="20"/>
          <w:szCs w:val="20"/>
        </w:rPr>
      </w:pPr>
    </w:p>
    <w:p>
      <w:pPr>
        <w:pStyle w:val="Heading5"/>
        <w:spacing w:line="240" w:lineRule="auto"/>
        <w:ind w:left="576" w:right="0"/>
        <w:jc w:val="left"/>
        <w:rPr>
          <w:b w:val="0"/>
          <w:bCs w:val="0"/>
        </w:rPr>
      </w:pPr>
      <w:bookmarkStart w:name="2、或有事项" w:id="418"/>
      <w:bookmarkEnd w:id="418"/>
      <w:r>
        <w:rPr>
          <w:b w:val="0"/>
          <w:bCs w:val="0"/>
        </w:rPr>
      </w:r>
      <w:r>
        <w:rPr>
          <w:rFonts w:ascii="Trebuchet MS" w:hAnsi="Trebuchet MS" w:cs="Trebuchet MS" w:eastAsia="Trebuchet MS" w:hint="default"/>
        </w:rPr>
        <w:t>2</w:t>
      </w:r>
      <w:r>
        <w:rPr/>
        <w:t>、或有事项</w:t>
      </w:r>
      <w:r>
        <w:rPr>
          <w:b w:val="0"/>
          <w:bCs w:val="0"/>
        </w:rPr>
      </w:r>
    </w:p>
    <w:p>
      <w:pPr>
        <w:spacing w:line="240" w:lineRule="auto" w:before="7"/>
        <w:rPr>
          <w:rFonts w:ascii="宋体" w:hAnsi="宋体" w:cs="宋体" w:eastAsia="宋体" w:hint="default"/>
          <w:b/>
          <w:bCs/>
          <w:sz w:val="24"/>
          <w:szCs w:val="24"/>
        </w:rPr>
      </w:pPr>
    </w:p>
    <w:p>
      <w:pPr>
        <w:spacing w:before="0"/>
        <w:ind w:left="576" w:right="0" w:firstLine="0"/>
        <w:jc w:val="left"/>
        <w:rPr>
          <w:rFonts w:ascii="宋体" w:hAnsi="宋体" w:cs="宋体" w:eastAsia="宋体" w:hint="default"/>
          <w:sz w:val="21"/>
          <w:szCs w:val="21"/>
        </w:rPr>
      </w:pPr>
      <w:bookmarkStart w:name="（1）资产负债表日存在的重要或有事项" w:id="419"/>
      <w:bookmarkEnd w:id="419"/>
      <w:r>
        <w:rPr/>
      </w:r>
      <w:r>
        <w:rPr>
          <w:rFonts w:ascii="宋体" w:hAnsi="宋体" w:cs="宋体" w:eastAsia="宋体" w:hint="default"/>
          <w:b/>
          <w:bCs/>
          <w:sz w:val="21"/>
          <w:szCs w:val="21"/>
        </w:rPr>
        <w:t>（</w:t>
      </w:r>
      <w:r>
        <w:rPr>
          <w:rFonts w:ascii="Trebuchet MS" w:hAnsi="Trebuchet MS" w:cs="Trebuchet MS" w:eastAsia="Trebuchet MS"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sz w:val="21"/>
          <w:szCs w:val="21"/>
        </w:rPr>
      </w:r>
    </w:p>
    <w:p>
      <w:pPr>
        <w:spacing w:line="240" w:lineRule="auto" w:before="6"/>
        <w:rPr>
          <w:rFonts w:ascii="宋体" w:hAnsi="宋体" w:cs="宋体" w:eastAsia="宋体" w:hint="default"/>
          <w:b/>
          <w:bCs/>
          <w:sz w:val="30"/>
          <w:szCs w:val="30"/>
        </w:rPr>
      </w:pPr>
    </w:p>
    <w:p>
      <w:pPr>
        <w:pStyle w:val="BodyText"/>
        <w:spacing w:line="523" w:lineRule="auto"/>
        <w:ind w:left="573" w:right="4966"/>
        <w:jc w:val="left"/>
      </w:pPr>
      <w:r>
        <w:rPr>
          <w:rFonts w:ascii="Arial" w:hAnsi="Arial" w:cs="Arial" w:eastAsia="Arial" w:hint="default"/>
        </w:rPr>
        <w:t>1</w:t>
      </w:r>
      <w:r>
        <w:rPr/>
        <w:t>）未决诉讼仲裁形成的或有负债及其财务影响 参见“附注七、28</w:t>
      </w:r>
      <w:r>
        <w:rPr>
          <w:spacing w:val="-53"/>
        </w:rPr>
        <w:t> </w:t>
      </w:r>
      <w:r>
        <w:rPr/>
        <w:t>”部分。</w:t>
      </w:r>
      <w:r>
        <w:rPr>
          <w:spacing w:val="-84"/>
        </w:rPr>
        <w:t> </w:t>
      </w:r>
      <w:r>
        <w:rPr>
          <w:spacing w:val="-84"/>
        </w:rPr>
      </w:r>
      <w:r>
        <w:rPr>
          <w:rFonts w:ascii="Arial" w:hAnsi="Arial" w:cs="Arial" w:eastAsia="Arial" w:hint="default"/>
        </w:rPr>
        <w:t>2</w:t>
      </w:r>
      <w:r>
        <w:rPr/>
        <w:t>）为其他单位提供债务担保形成的或有负债及其财务影响 参见“附注十一、</w:t>
      </w:r>
      <w:r>
        <w:rPr>
          <w:rFonts w:ascii="Arial" w:hAnsi="Arial" w:cs="Arial" w:eastAsia="Arial" w:hint="default"/>
        </w:rPr>
        <w:t>5</w:t>
      </w:r>
      <w:r>
        <w:rPr/>
        <w:t>、（</w:t>
      </w:r>
      <w:r>
        <w:rPr>
          <w:rFonts w:ascii="Arial" w:hAnsi="Arial" w:cs="Arial" w:eastAsia="Arial" w:hint="default"/>
        </w:rPr>
        <w:t>2</w:t>
      </w:r>
      <w:r>
        <w:rPr/>
        <w:t>）”部分。 </w:t>
      </w:r>
      <w:r>
        <w:rPr>
          <w:rFonts w:ascii="Arial" w:hAnsi="Arial" w:cs="Arial" w:eastAsia="Arial" w:hint="default"/>
        </w:rPr>
        <w:t>3</w:t>
      </w:r>
      <w:r>
        <w:rPr/>
        <w:t>）其他或有负债及其财务影响</w:t>
      </w:r>
    </w:p>
    <w:p>
      <w:pPr>
        <w:pStyle w:val="BodyText"/>
        <w:spacing w:line="544" w:lineRule="auto" w:before="57"/>
        <w:ind w:left="573" w:right="1009"/>
        <w:jc w:val="left"/>
      </w:pPr>
      <w:r>
        <w:rPr/>
        <w:t>①开具保函 </w:t>
      </w:r>
      <w:r>
        <w:rPr>
          <w:spacing w:val="-2"/>
        </w:rPr>
        <w:t>截至</w:t>
      </w:r>
      <w:r>
        <w:rPr>
          <w:rFonts w:ascii="Arial" w:hAnsi="Arial" w:cs="Arial" w:eastAsia="Arial" w:hint="default"/>
          <w:spacing w:val="-2"/>
        </w:rPr>
        <w:t>2015</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日，本公司共开具保函</w:t>
      </w:r>
      <w:r>
        <w:rPr>
          <w:rFonts w:ascii="Arial" w:hAnsi="Arial" w:cs="Arial" w:eastAsia="Arial" w:hint="default"/>
          <w:spacing w:val="-2"/>
        </w:rPr>
        <w:t>3,381,816,596.30</w:t>
      </w:r>
      <w:r>
        <w:rPr>
          <w:spacing w:val="-2"/>
        </w:rPr>
        <w:t>元，存入保函保证金</w:t>
      </w:r>
      <w:r>
        <w:rPr>
          <w:rFonts w:ascii="Arial" w:hAnsi="Arial" w:cs="Arial" w:eastAsia="Arial" w:hint="default"/>
          <w:spacing w:val="-2"/>
        </w:rPr>
        <w:t>1,512,476,510.75</w:t>
      </w:r>
      <w:r>
        <w:rPr>
          <w:spacing w:val="-2"/>
        </w:rPr>
        <w:t>元。</w:t>
      </w:r>
    </w:p>
    <w:p>
      <w:pPr>
        <w:pStyle w:val="BodyText"/>
        <w:spacing w:line="240" w:lineRule="auto" w:before="36"/>
        <w:ind w:left="573" w:right="0"/>
        <w:jc w:val="left"/>
      </w:pPr>
      <w:r>
        <w:rPr/>
        <w:t>②质押借款</w:t>
      </w:r>
    </w:p>
    <w:p>
      <w:pPr>
        <w:spacing w:line="240" w:lineRule="auto" w:before="9"/>
        <w:rPr>
          <w:rFonts w:ascii="宋体" w:hAnsi="宋体" w:cs="宋体" w:eastAsia="宋体" w:hint="default"/>
          <w:sz w:val="26"/>
          <w:szCs w:val="26"/>
        </w:rPr>
      </w:pPr>
    </w:p>
    <w:p>
      <w:pPr>
        <w:pStyle w:val="BodyText"/>
        <w:spacing w:line="388" w:lineRule="auto"/>
        <w:ind w:right="1027" w:firstLine="420"/>
        <w:jc w:val="both"/>
      </w:pPr>
      <w:r>
        <w:rPr/>
        <w:t>本公司将交易产生的应收票据</w:t>
      </w:r>
      <w:r>
        <w:rPr>
          <w:rFonts w:ascii="Arial" w:hAnsi="Arial" w:cs="Arial" w:eastAsia="Arial" w:hint="default"/>
        </w:rPr>
        <w:t>982,927,167.19</w:t>
      </w:r>
      <w:r>
        <w:rPr/>
        <w:t>元质押给浙商银行股份有限公司深圳分行，取得短期借 款</w:t>
      </w:r>
      <w:r>
        <w:rPr>
          <w:rFonts w:ascii="Arial" w:hAnsi="Arial" w:cs="Arial" w:eastAsia="Arial" w:hint="default"/>
        </w:rPr>
        <w:t>2,012,969,789.22</w:t>
      </w:r>
      <w:r>
        <w:rPr/>
        <w:t>元，截至</w:t>
      </w:r>
      <w:r>
        <w:rPr>
          <w:rFonts w:ascii="Arial" w:hAnsi="Arial" w:cs="Arial" w:eastAsia="Arial" w:hint="default"/>
        </w:rPr>
        <w:t>2015</w:t>
      </w:r>
      <w:r>
        <w:rPr/>
        <w:t>年</w:t>
      </w:r>
      <w:r>
        <w:rPr>
          <w:rFonts w:ascii="Arial" w:hAnsi="Arial" w:cs="Arial" w:eastAsia="Arial" w:hint="default"/>
        </w:rPr>
        <w:t>12</w:t>
      </w:r>
      <w:r>
        <w:rPr/>
        <w:t>月</w:t>
      </w:r>
      <w:r>
        <w:rPr>
          <w:rFonts w:ascii="Arial" w:hAnsi="Arial" w:cs="Arial" w:eastAsia="Arial" w:hint="default"/>
        </w:rPr>
        <w:t>31</w:t>
      </w:r>
      <w:r>
        <w:rPr/>
        <w:t>日，该短期借款已经偿清，应收票据中</w:t>
      </w:r>
      <w:r>
        <w:rPr>
          <w:rFonts w:ascii="Arial" w:hAnsi="Arial" w:cs="Arial" w:eastAsia="Arial" w:hint="default"/>
        </w:rPr>
        <w:t>144,676,258.00</w:t>
      </w:r>
      <w:r>
        <w:rPr/>
        <w:t>元已经 </w:t>
      </w:r>
      <w:r>
        <w:rPr>
          <w:spacing w:val="-3"/>
        </w:rPr>
        <w:t>解除质押状态但由银行托管，等待票据到期自动退回企业银行账户，其余应收票据均已退回企业银行账户。</w:t>
      </w:r>
    </w:p>
    <w:p>
      <w:pPr>
        <w:pStyle w:val="Heading2"/>
        <w:spacing w:line="240" w:lineRule="auto" w:before="124"/>
        <w:ind w:left="154" w:right="0"/>
        <w:jc w:val="left"/>
        <w:rPr>
          <w:rFonts w:ascii="宋体" w:hAnsi="宋体" w:cs="宋体" w:eastAsia="宋体" w:hint="default"/>
          <w:b w:val="0"/>
          <w:bCs w:val="0"/>
        </w:rPr>
      </w:pPr>
      <w:bookmarkStart w:name="十四、资产负债表日后事项" w:id="420"/>
      <w:bookmarkEnd w:id="420"/>
      <w:r>
        <w:rPr>
          <w:b w:val="0"/>
          <w:bCs w:val="0"/>
        </w:rPr>
      </w:r>
      <w:bookmarkStart w:name="_bookmark87" w:id="421"/>
      <w:bookmarkEnd w:id="421"/>
      <w:r>
        <w:rPr>
          <w:b w:val="0"/>
          <w:bCs w:val="0"/>
        </w:rPr>
      </w:r>
      <w:r>
        <w:rPr>
          <w:rFonts w:ascii="宋体" w:hAnsi="宋体" w:cs="宋体" w:eastAsia="宋体" w:hint="default"/>
        </w:rPr>
        <w:t>十四、资产负债表日后事项</w:t>
      </w:r>
      <w:r>
        <w:rPr>
          <w:rFonts w:ascii="宋体" w:hAnsi="宋体" w:cs="宋体" w:eastAsia="宋体" w:hint="default"/>
          <w:b w:val="0"/>
          <w:bCs w:val="0"/>
        </w:rPr>
      </w:r>
    </w:p>
    <w:p>
      <w:pPr>
        <w:spacing w:line="240" w:lineRule="auto" w:before="3"/>
        <w:rPr>
          <w:rFonts w:ascii="宋体" w:hAnsi="宋体" w:cs="宋体" w:eastAsia="宋体" w:hint="default"/>
          <w:b/>
          <w:bCs/>
          <w:sz w:val="24"/>
          <w:szCs w:val="24"/>
        </w:rPr>
      </w:pPr>
    </w:p>
    <w:p>
      <w:pPr>
        <w:pStyle w:val="Heading5"/>
        <w:spacing w:line="240" w:lineRule="auto" w:before="0"/>
        <w:ind w:left="576" w:right="0"/>
        <w:jc w:val="left"/>
        <w:rPr>
          <w:b w:val="0"/>
          <w:bCs w:val="0"/>
        </w:rPr>
      </w:pPr>
      <w:bookmarkStart w:name="1、其他资产负债表日后事项说明" w:id="422"/>
      <w:bookmarkEnd w:id="422"/>
      <w:r>
        <w:rPr>
          <w:b w:val="0"/>
          <w:bCs w:val="0"/>
        </w:rPr>
      </w:r>
      <w:r>
        <w:rPr>
          <w:rFonts w:ascii="Trebuchet MS" w:hAnsi="Trebuchet MS" w:cs="Trebuchet MS" w:eastAsia="Trebuchet MS" w:hint="default"/>
        </w:rPr>
        <w:t>1</w:t>
      </w:r>
      <w:r>
        <w:rPr/>
        <w:t>、其他资产负债表日后事项说明</w:t>
      </w:r>
      <w:r>
        <w:rPr>
          <w:b w:val="0"/>
          <w:bCs w:val="0"/>
        </w:rPr>
      </w:r>
    </w:p>
    <w:p>
      <w:pPr>
        <w:spacing w:line="240" w:lineRule="auto" w:before="5"/>
        <w:rPr>
          <w:rFonts w:ascii="宋体" w:hAnsi="宋体" w:cs="宋体" w:eastAsia="宋体" w:hint="default"/>
          <w:b/>
          <w:bCs/>
          <w:sz w:val="30"/>
          <w:szCs w:val="30"/>
        </w:rPr>
      </w:pPr>
    </w:p>
    <w:p>
      <w:pPr>
        <w:pStyle w:val="BodyText"/>
        <w:spacing w:line="240" w:lineRule="auto"/>
        <w:ind w:left="1056" w:right="0"/>
        <w:jc w:val="left"/>
      </w:pPr>
      <w:r>
        <w:rPr>
          <w:rFonts w:ascii="Arial" w:hAnsi="Arial" w:cs="Arial" w:eastAsia="Arial" w:hint="default"/>
        </w:rPr>
        <w:t>1</w:t>
      </w:r>
      <w:r>
        <w:rPr/>
        <w:t>、限制性股票回购注销完成</w:t>
      </w:r>
    </w:p>
    <w:p>
      <w:pPr>
        <w:spacing w:line="240" w:lineRule="auto" w:before="7"/>
        <w:rPr>
          <w:rFonts w:ascii="宋体" w:hAnsi="宋体" w:cs="宋体" w:eastAsia="宋体" w:hint="default"/>
          <w:sz w:val="25"/>
          <w:szCs w:val="25"/>
        </w:rPr>
      </w:pPr>
    </w:p>
    <w:p>
      <w:pPr>
        <w:pStyle w:val="BodyText"/>
        <w:spacing w:line="388" w:lineRule="auto"/>
        <w:ind w:right="0" w:firstLine="420"/>
        <w:jc w:val="left"/>
      </w:pPr>
      <w:r>
        <w:rPr>
          <w:rFonts w:ascii="Arial" w:hAnsi="Arial" w:cs="Arial" w:eastAsia="Arial" w:hint="default"/>
        </w:rPr>
        <w:t>2016</w:t>
      </w:r>
      <w:r>
        <w:rPr/>
        <w:t>年</w:t>
      </w:r>
      <w:r>
        <w:rPr>
          <w:rFonts w:ascii="Arial" w:hAnsi="Arial" w:cs="Arial" w:eastAsia="Arial" w:hint="default"/>
        </w:rPr>
        <w:t>1</w:t>
      </w:r>
      <w:r>
        <w:rPr/>
        <w:t>月</w:t>
      </w:r>
      <w:r>
        <w:rPr>
          <w:rFonts w:ascii="Arial" w:hAnsi="Arial" w:cs="Arial" w:eastAsia="Arial" w:hint="default"/>
        </w:rPr>
        <w:t>26</w:t>
      </w:r>
      <w:r>
        <w:rPr/>
        <w:t>日，公司在中国证券登记结算有限责任公司深圳分公司完成了首期股票期权与限制性股 票激励计划已授予的限制性股票共计</w:t>
      </w:r>
      <w:r>
        <w:rPr>
          <w:rFonts w:ascii="Arial" w:hAnsi="Arial" w:cs="Arial" w:eastAsia="Arial" w:hint="default"/>
        </w:rPr>
        <w:t>1,250</w:t>
      </w:r>
      <w:r>
        <w:rPr/>
        <w:t>万股的回购注销手续。公司本次回购注销限制性股票完成后，</w:t>
      </w:r>
      <w:r>
        <w:rPr>
          <w:spacing w:val="-33"/>
        </w:rPr>
        <w:t> </w:t>
      </w:r>
      <w:r>
        <w:rPr>
          <w:spacing w:val="-33"/>
        </w:rPr>
      </w:r>
      <w:r>
        <w:rPr>
          <w:w w:val="95"/>
        </w:rPr>
        <w:t>公司首期股票期权与限制性股票激励计划已结束，公司股份总数由</w:t>
      </w:r>
      <w:r>
        <w:rPr>
          <w:rFonts w:ascii="Arial" w:hAnsi="Arial" w:cs="Arial" w:eastAsia="Arial" w:hint="default"/>
          <w:w w:val="95"/>
        </w:rPr>
        <w:t>1,003,884,839</w:t>
      </w:r>
      <w:r>
        <w:rPr>
          <w:w w:val="95"/>
        </w:rPr>
        <w:t>股变更为</w:t>
      </w:r>
      <w:r>
        <w:rPr>
          <w:rFonts w:ascii="Arial" w:hAnsi="Arial" w:cs="Arial" w:eastAsia="Arial" w:hint="default"/>
          <w:w w:val="95"/>
        </w:rPr>
        <w:t>991,384,839</w:t>
      </w:r>
      <w:r>
        <w:rPr>
          <w:w w:val="95"/>
        </w:rPr>
        <w:t>股。</w:t>
      </w:r>
    </w:p>
    <w:p>
      <w:pPr>
        <w:spacing w:line="240" w:lineRule="auto" w:before="6"/>
        <w:rPr>
          <w:rFonts w:ascii="宋体" w:hAnsi="宋体" w:cs="宋体" w:eastAsia="宋体" w:hint="default"/>
          <w:sz w:val="14"/>
          <w:szCs w:val="14"/>
        </w:rPr>
      </w:pPr>
    </w:p>
    <w:p>
      <w:pPr>
        <w:pStyle w:val="BodyText"/>
        <w:spacing w:line="240" w:lineRule="auto"/>
        <w:ind w:left="1056" w:right="0"/>
        <w:jc w:val="left"/>
      </w:pPr>
      <w:r>
        <w:rPr>
          <w:rFonts w:ascii="Arial" w:hAnsi="Arial" w:cs="Arial" w:eastAsia="Arial" w:hint="default"/>
        </w:rPr>
        <w:t>2</w:t>
      </w:r>
      <w:r>
        <w:rPr/>
        <w:t>、控股股东、持股</w:t>
      </w:r>
      <w:r>
        <w:rPr>
          <w:rFonts w:ascii="Arial" w:hAnsi="Arial" w:cs="Arial" w:eastAsia="Arial" w:hint="default"/>
        </w:rPr>
        <w:t>5%</w:t>
      </w:r>
      <w:r>
        <w:rPr/>
        <w:t>以上的主要股东及实际控制人减持股份情况</w:t>
      </w:r>
    </w:p>
    <w:p>
      <w:pPr>
        <w:spacing w:line="240" w:lineRule="auto" w:before="7"/>
        <w:rPr>
          <w:rFonts w:ascii="宋体" w:hAnsi="宋体" w:cs="宋体" w:eastAsia="宋体" w:hint="default"/>
          <w:sz w:val="25"/>
          <w:szCs w:val="25"/>
        </w:rPr>
      </w:pPr>
    </w:p>
    <w:p>
      <w:pPr>
        <w:pStyle w:val="BodyText"/>
        <w:spacing w:line="388" w:lineRule="auto"/>
        <w:ind w:right="1130" w:firstLine="420"/>
        <w:jc w:val="both"/>
      </w:pPr>
      <w:r>
        <w:rPr>
          <w:w w:val="95"/>
        </w:rPr>
        <w:t>本公司之持股</w:t>
      </w:r>
      <w:r>
        <w:rPr>
          <w:spacing w:val="51"/>
          <w:w w:val="95"/>
        </w:rPr>
        <w:t> </w:t>
      </w:r>
      <w:r>
        <w:rPr>
          <w:rFonts w:ascii="Arial" w:hAnsi="Arial" w:cs="Arial" w:eastAsia="Arial" w:hint="default"/>
          <w:w w:val="95"/>
        </w:rPr>
        <w:t>5%</w:t>
      </w:r>
      <w:r>
        <w:rPr>
          <w:w w:val="95"/>
        </w:rPr>
        <w:t>以上股东新余全球星投资管理有限公司，于</w:t>
      </w:r>
      <w:r>
        <w:rPr>
          <w:rFonts w:ascii="Arial" w:hAnsi="Arial" w:cs="Arial" w:eastAsia="Arial" w:hint="default"/>
          <w:w w:val="95"/>
        </w:rPr>
        <w:t>2016</w:t>
      </w:r>
      <w:r>
        <w:rPr>
          <w:w w:val="95"/>
        </w:rPr>
        <w:t>年</w:t>
      </w:r>
      <w:r>
        <w:rPr>
          <w:rFonts w:ascii="Arial" w:hAnsi="Arial" w:cs="Arial" w:eastAsia="Arial" w:hint="default"/>
          <w:w w:val="95"/>
        </w:rPr>
        <w:t>3</w:t>
      </w:r>
      <w:r>
        <w:rPr>
          <w:w w:val="95"/>
        </w:rPr>
        <w:t>月</w:t>
      </w:r>
      <w:r>
        <w:rPr>
          <w:rFonts w:ascii="Arial" w:hAnsi="Arial" w:cs="Arial" w:eastAsia="Arial" w:hint="default"/>
          <w:w w:val="95"/>
        </w:rPr>
        <w:t>7</w:t>
      </w:r>
      <w:r>
        <w:rPr>
          <w:w w:val="95"/>
        </w:rPr>
        <w:t>日通过深圳证券交易系统以</w:t>
      </w:r>
      <w:r>
        <w:rPr/>
        <w:t> </w:t>
      </w:r>
      <w:r>
        <w:rPr>
          <w:spacing w:val="4"/>
        </w:rPr>
        <w:t>大宗交易方式减持其持有的公司无限售流通股</w:t>
      </w:r>
      <w:r>
        <w:rPr>
          <w:rFonts w:ascii="Arial" w:hAnsi="Arial" w:cs="Arial" w:eastAsia="Arial" w:hint="default"/>
          <w:spacing w:val="4"/>
        </w:rPr>
        <w:t>6,000,000</w:t>
      </w:r>
      <w:r>
        <w:rPr>
          <w:spacing w:val="4"/>
        </w:rPr>
        <w:t>股，于</w:t>
      </w:r>
      <w:r>
        <w:rPr>
          <w:rFonts w:ascii="Arial" w:hAnsi="Arial" w:cs="Arial" w:eastAsia="Arial" w:hint="default"/>
          <w:spacing w:val="4"/>
        </w:rPr>
        <w:t>3</w:t>
      </w:r>
      <w:r>
        <w:rPr>
          <w:spacing w:val="4"/>
        </w:rPr>
        <w:t>月</w:t>
      </w:r>
      <w:r>
        <w:rPr>
          <w:rFonts w:ascii="Arial" w:hAnsi="Arial" w:cs="Arial" w:eastAsia="Arial" w:hint="default"/>
          <w:spacing w:val="4"/>
        </w:rPr>
        <w:t>8</w:t>
      </w:r>
      <w:r>
        <w:rPr>
          <w:spacing w:val="4"/>
        </w:rPr>
        <w:t>日减持其持有的公司无限售流通股</w:t>
      </w:r>
      <w:r>
        <w:rPr>
          <w:spacing w:val="-61"/>
        </w:rPr>
        <w:t> </w:t>
      </w:r>
      <w:r>
        <w:rPr>
          <w:spacing w:val="-61"/>
        </w:rPr>
      </w:r>
      <w:r>
        <w:rPr>
          <w:rFonts w:ascii="Arial" w:hAnsi="Arial" w:cs="Arial" w:eastAsia="Arial" w:hint="default"/>
        </w:rPr>
        <w:t>7,000,000</w:t>
      </w:r>
      <w:r>
        <w:rPr/>
        <w:t>股，于</w:t>
      </w:r>
      <w:r>
        <w:rPr>
          <w:rFonts w:ascii="Arial" w:hAnsi="Arial" w:cs="Arial" w:eastAsia="Arial" w:hint="default"/>
        </w:rPr>
        <w:t>3</w:t>
      </w:r>
      <w:r>
        <w:rPr/>
        <w:t>月</w:t>
      </w:r>
      <w:r>
        <w:rPr>
          <w:rFonts w:ascii="Arial" w:hAnsi="Arial" w:cs="Arial" w:eastAsia="Arial" w:hint="default"/>
        </w:rPr>
        <w:t>14</w:t>
      </w:r>
      <w:r>
        <w:rPr/>
        <w:t>日减持其持有的公司无限售流通股</w:t>
      </w:r>
      <w:r>
        <w:rPr>
          <w:rFonts w:ascii="Arial" w:hAnsi="Arial" w:cs="Arial" w:eastAsia="Arial" w:hint="default"/>
        </w:rPr>
        <w:t>10,500,000</w:t>
      </w:r>
      <w:r>
        <w:rPr/>
        <w:t>股，于</w:t>
      </w:r>
      <w:r>
        <w:rPr>
          <w:rFonts w:ascii="Arial" w:hAnsi="Arial" w:cs="Arial" w:eastAsia="Arial" w:hint="default"/>
        </w:rPr>
        <w:t>3</w:t>
      </w:r>
      <w:r>
        <w:rPr/>
        <w:t>月</w:t>
      </w:r>
      <w:r>
        <w:rPr>
          <w:rFonts w:ascii="Arial" w:hAnsi="Arial" w:cs="Arial" w:eastAsia="Arial" w:hint="default"/>
        </w:rPr>
        <w:t>15</w:t>
      </w:r>
      <w:r>
        <w:rPr/>
        <w:t>日减持其持有的公司无</w:t>
      </w:r>
      <w:r>
        <w:rPr>
          <w:spacing w:val="-90"/>
        </w:rPr>
        <w:t> </w:t>
      </w:r>
      <w:r>
        <w:rPr>
          <w:spacing w:val="-90"/>
        </w:rPr>
      </w:r>
      <w:r>
        <w:rPr/>
        <w:t>限售流通股</w:t>
      </w:r>
      <w:r>
        <w:rPr>
          <w:rFonts w:ascii="Arial" w:hAnsi="Arial" w:cs="Arial" w:eastAsia="Arial" w:hint="default"/>
        </w:rPr>
        <w:t>19,500,000</w:t>
      </w:r>
      <w:r>
        <w:rPr/>
        <w:t>股，经上述减持后，合计持有本公司股份</w:t>
      </w:r>
      <w:r>
        <w:rPr>
          <w:rFonts w:ascii="Arial" w:hAnsi="Arial" w:cs="Arial" w:eastAsia="Arial" w:hint="default"/>
        </w:rPr>
        <w:t>49,800,000</w:t>
      </w:r>
      <w:r>
        <w:rPr/>
        <w:t>股，占总股本</w:t>
      </w:r>
      <w:r>
        <w:rPr>
          <w:rFonts w:ascii="Arial" w:hAnsi="Arial" w:cs="Arial" w:eastAsia="Arial" w:hint="default"/>
        </w:rPr>
        <w:t>5.02%</w:t>
      </w:r>
      <w:r>
        <w:rPr/>
        <w:t>。</w:t>
      </w:r>
    </w:p>
    <w:p>
      <w:pPr>
        <w:spacing w:after="0" w:line="388" w:lineRule="auto"/>
        <w:jc w:val="both"/>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240" w:lineRule="auto" w:before="18"/>
        <w:ind w:left="573" w:right="0"/>
        <w:jc w:val="left"/>
      </w:pPr>
      <w:r>
        <w:rPr>
          <w:rFonts w:ascii="Arial" w:hAnsi="Arial" w:cs="Arial" w:eastAsia="Arial" w:hint="default"/>
        </w:rPr>
        <w:t>3</w:t>
      </w:r>
      <w:r>
        <w:rPr/>
        <w:t>、为全资子公司提供担保情况</w:t>
      </w:r>
    </w:p>
    <w:p>
      <w:pPr>
        <w:spacing w:line="240" w:lineRule="auto" w:before="7"/>
        <w:rPr>
          <w:rFonts w:ascii="宋体" w:hAnsi="宋体" w:cs="宋体" w:eastAsia="宋体" w:hint="default"/>
          <w:sz w:val="25"/>
          <w:szCs w:val="25"/>
        </w:rPr>
      </w:pPr>
    </w:p>
    <w:p>
      <w:pPr>
        <w:pStyle w:val="BodyText"/>
        <w:spacing w:line="388" w:lineRule="auto"/>
        <w:ind w:right="1131" w:firstLine="420"/>
        <w:jc w:val="both"/>
      </w:pPr>
      <w:r>
        <w:rPr/>
        <w:t>根据公司</w:t>
      </w:r>
      <w:r>
        <w:rPr>
          <w:rFonts w:ascii="Arial" w:hAnsi="Arial" w:cs="Arial" w:eastAsia="Arial" w:hint="default"/>
        </w:rPr>
        <w:t>2016</w:t>
      </w:r>
      <w:r>
        <w:rPr/>
        <w:t>年</w:t>
      </w:r>
      <w:r>
        <w:rPr>
          <w:rFonts w:ascii="Arial" w:hAnsi="Arial" w:cs="Arial" w:eastAsia="Arial" w:hint="default"/>
        </w:rPr>
        <w:t>1</w:t>
      </w:r>
      <w:r>
        <w:rPr/>
        <w:t>月</w:t>
      </w:r>
      <w:r>
        <w:rPr>
          <w:rFonts w:ascii="Arial" w:hAnsi="Arial" w:cs="Arial" w:eastAsia="Arial" w:hint="default"/>
        </w:rPr>
        <w:t>15</w:t>
      </w:r>
      <w:r>
        <w:rPr/>
        <w:t>日召开的第三届董事会第三十四次（临时）会议，审议通过了公司为全资子公 </w:t>
      </w:r>
      <w:r>
        <w:rPr>
          <w:spacing w:val="-1"/>
        </w:rPr>
        <w:t>司西藏酷爱通信有限公司申请银行综合授信提供共计人民币</w:t>
      </w:r>
      <w:r>
        <w:rPr>
          <w:rFonts w:ascii="Arial" w:hAnsi="Arial" w:cs="Arial" w:eastAsia="Arial" w:hint="default"/>
          <w:spacing w:val="-1"/>
        </w:rPr>
        <w:t>14</w:t>
      </w:r>
      <w:r>
        <w:rPr>
          <w:spacing w:val="-1"/>
        </w:rPr>
        <w:t>亿元的担保；为全资子公司深圳市酷动数码</w:t>
      </w:r>
      <w:r>
        <w:rPr/>
        <w:t> </w:t>
      </w:r>
      <w:r>
        <w:rPr>
          <w:spacing w:val="-3"/>
          <w:w w:val="99"/>
        </w:rPr>
        <w:t>有限公司申请银行综合授信提供共计人民币</w:t>
      </w:r>
      <w:r>
        <w:rPr>
          <w:rFonts w:ascii="Arial" w:hAnsi="Arial" w:cs="Arial" w:eastAsia="Arial" w:hint="default"/>
          <w:spacing w:val="-3"/>
          <w:w w:val="99"/>
        </w:rPr>
        <w:t>6.6</w:t>
      </w:r>
      <w:r>
        <w:rPr>
          <w:spacing w:val="-3"/>
          <w:w w:val="99"/>
        </w:rPr>
        <w:t>亿元的担保；按出资比例为控股子公司彩梦科技公司申请银</w:t>
      </w:r>
      <w:r>
        <w:rPr>
          <w:spacing w:val="-65"/>
          <w:w w:val="99"/>
        </w:rPr>
        <w:t> </w:t>
      </w:r>
      <w:r>
        <w:rPr>
          <w:spacing w:val="-65"/>
          <w:w w:val="99"/>
        </w:rPr>
      </w:r>
      <w:r>
        <w:rPr/>
        <w:t>行综合授信提供共计人民币</w:t>
      </w:r>
      <w:r>
        <w:rPr>
          <w:rFonts w:ascii="Arial" w:hAnsi="Arial" w:cs="Arial" w:eastAsia="Arial" w:hint="default"/>
        </w:rPr>
        <w:t>7,000</w:t>
      </w:r>
      <w:r>
        <w:rPr/>
        <w:t>万元的担保；为全资子公司北京酷人通讯科技有限公司申请银行综合授</w:t>
      </w:r>
      <w:r>
        <w:rPr>
          <w:spacing w:val="-34"/>
        </w:rPr>
        <w:t> </w:t>
      </w:r>
      <w:r>
        <w:rPr>
          <w:spacing w:val="-34"/>
        </w:rPr>
      </w:r>
      <w:r>
        <w:rPr/>
        <w:t>信提供共计人民币</w:t>
      </w:r>
      <w:r>
        <w:rPr>
          <w:rFonts w:ascii="Arial" w:hAnsi="Arial" w:cs="Arial" w:eastAsia="Arial" w:hint="default"/>
        </w:rPr>
        <w:t>19.5</w:t>
      </w:r>
      <w:r>
        <w:rPr/>
        <w:t>亿元的担保。</w:t>
      </w:r>
    </w:p>
    <w:p>
      <w:pPr>
        <w:spacing w:line="240" w:lineRule="auto" w:before="6"/>
        <w:rPr>
          <w:rFonts w:ascii="宋体" w:hAnsi="宋体" w:cs="宋体" w:eastAsia="宋体" w:hint="default"/>
          <w:sz w:val="14"/>
          <w:szCs w:val="14"/>
        </w:rPr>
      </w:pPr>
    </w:p>
    <w:p>
      <w:pPr>
        <w:pStyle w:val="BodyText"/>
        <w:spacing w:line="388" w:lineRule="auto"/>
        <w:ind w:right="1021" w:firstLine="420"/>
        <w:jc w:val="left"/>
      </w:pPr>
      <w:r>
        <w:rPr>
          <w:rFonts w:ascii="Arial" w:hAnsi="Arial" w:cs="Arial" w:eastAsia="Arial" w:hint="default"/>
          <w:spacing w:val="-1"/>
        </w:rPr>
        <w:t>4</w:t>
      </w:r>
      <w:r>
        <w:rPr>
          <w:spacing w:val="-1"/>
        </w:rPr>
        <w:t>、瑞成汇达公司拟将所持北京暴风魔镜科技有限公司股权作价出资入股北京中芯铭弈科技有限公司，</w:t>
      </w:r>
      <w:r>
        <w:rPr/>
        <w:t> 并以现金增资入股</w:t>
      </w:r>
    </w:p>
    <w:p>
      <w:pPr>
        <w:spacing w:line="240" w:lineRule="auto" w:before="10"/>
        <w:rPr>
          <w:rFonts w:ascii="宋体" w:hAnsi="宋体" w:cs="宋体" w:eastAsia="宋体" w:hint="default"/>
          <w:sz w:val="16"/>
          <w:szCs w:val="16"/>
        </w:rPr>
      </w:pPr>
    </w:p>
    <w:p>
      <w:pPr>
        <w:pStyle w:val="BodyText"/>
        <w:spacing w:line="393" w:lineRule="auto"/>
        <w:ind w:right="0" w:firstLine="420"/>
        <w:jc w:val="left"/>
      </w:pPr>
      <w:r>
        <w:rPr>
          <w:rFonts w:ascii="Arial" w:hAnsi="Arial" w:cs="Arial" w:eastAsia="Arial" w:hint="default"/>
        </w:rPr>
        <w:t>2016</w:t>
      </w:r>
      <w:r>
        <w:rPr/>
        <w:t>年</w:t>
      </w:r>
      <w:r>
        <w:rPr>
          <w:rFonts w:ascii="Arial" w:hAnsi="Arial" w:cs="Arial" w:eastAsia="Arial" w:hint="default"/>
        </w:rPr>
        <w:t>1</w:t>
      </w:r>
      <w:r>
        <w:rPr/>
        <w:t>月</w:t>
      </w:r>
      <w:r>
        <w:rPr>
          <w:rFonts w:ascii="Arial" w:hAnsi="Arial" w:cs="Arial" w:eastAsia="Arial" w:hint="default"/>
        </w:rPr>
        <w:t>15</w:t>
      </w:r>
      <w:r>
        <w:rPr/>
        <w:t>日，公司全资子公司瑞成汇达公司与天音通信有限公司、北京暴风科技股份有限公司、 暴风控股（天津）有限公司、华谊兄弟（天津）互动娱乐有限公司、深圳市光启松禾超材料创业投资合伙 企业（有限责任）、北京和玉晟景股权投资合伙企业（有限合伙）和黄晓杰等相关各方签订《北京中芯铭 </w:t>
      </w:r>
      <w:r>
        <w:rPr>
          <w:w w:val="95"/>
        </w:rPr>
        <w:t>弈科技有限公司增资扩股协议》，共同将所持北京暴风魔镜科技有限公司</w:t>
      </w:r>
      <w:r>
        <w:rPr>
          <w:rFonts w:ascii="Arial" w:hAnsi="Arial" w:cs="Arial" w:eastAsia="Arial" w:hint="default"/>
          <w:w w:val="95"/>
        </w:rPr>
        <w:t>50.65%</w:t>
      </w:r>
      <w:r>
        <w:rPr>
          <w:w w:val="95"/>
        </w:rPr>
        <w:t>股权进行整体评估，作价</w:t>
      </w:r>
      <w:r>
        <w:rPr>
          <w:spacing w:val="80"/>
          <w:w w:val="95"/>
        </w:rPr>
        <w:t> </w:t>
      </w:r>
      <w:r>
        <w:rPr>
          <w:spacing w:val="80"/>
          <w:w w:val="95"/>
        </w:rPr>
      </w:r>
      <w:r>
        <w:rPr>
          <w:rFonts w:ascii="Arial" w:hAnsi="Arial" w:cs="Arial" w:eastAsia="Arial" w:hint="default"/>
        </w:rPr>
        <w:t>15,946.21</w:t>
      </w:r>
      <w:r>
        <w:rPr/>
        <w:t>万元增资入股北京中芯铭弈科技有限公司（以下简称“中芯铭弈”），同时天津信锦企业管理</w:t>
      </w:r>
      <w:r>
        <w:rPr>
          <w:spacing w:val="-18"/>
        </w:rPr>
        <w:t> </w:t>
      </w:r>
      <w:r>
        <w:rPr>
          <w:spacing w:val="-18"/>
        </w:rPr>
      </w:r>
      <w:r>
        <w:rPr/>
        <w:t>咨询中心（有限合伙）以现金方式出资</w:t>
      </w:r>
      <w:r>
        <w:rPr>
          <w:rFonts w:ascii="Arial" w:hAnsi="Arial" w:cs="Arial" w:eastAsia="Arial" w:hint="default"/>
        </w:rPr>
        <w:t>1,657.0068</w:t>
      </w:r>
      <w:r>
        <w:rPr/>
        <w:t>万元人民币增资入股中芯铭弈。本次增资入股完成后，</w:t>
      </w:r>
      <w:r>
        <w:rPr>
          <w:spacing w:val="-32"/>
        </w:rPr>
        <w:t> </w:t>
      </w:r>
      <w:r>
        <w:rPr>
          <w:spacing w:val="-32"/>
        </w:rPr>
      </w:r>
      <w:r>
        <w:rPr/>
        <w:t>瑞成汇达公司持有中芯铭弈</w:t>
      </w:r>
      <w:r>
        <w:rPr>
          <w:rFonts w:ascii="Arial" w:hAnsi="Arial" w:cs="Arial" w:eastAsia="Arial" w:hint="default"/>
        </w:rPr>
        <w:t>2.8215%</w:t>
      </w:r>
      <w:r>
        <w:rPr/>
        <w:t>的股权，并将通过相关协议约定及股东权利安排的方式，通过中芯铭 弈实际享有暴风魔镜</w:t>
      </w:r>
      <w:r>
        <w:rPr>
          <w:rFonts w:ascii="Arial" w:hAnsi="Arial" w:cs="Arial" w:eastAsia="Arial" w:hint="default"/>
        </w:rPr>
        <w:t>2.8215%</w:t>
      </w:r>
      <w:r>
        <w:rPr/>
        <w:t>的权益。</w:t>
      </w:r>
    </w:p>
    <w:p>
      <w:pPr>
        <w:spacing w:line="240" w:lineRule="auto" w:before="1"/>
        <w:rPr>
          <w:rFonts w:ascii="宋体" w:hAnsi="宋体" w:cs="宋体" w:eastAsia="宋体" w:hint="default"/>
          <w:sz w:val="14"/>
          <w:szCs w:val="14"/>
        </w:rPr>
      </w:pPr>
    </w:p>
    <w:p>
      <w:pPr>
        <w:pStyle w:val="BodyText"/>
        <w:spacing w:line="393" w:lineRule="auto"/>
        <w:ind w:right="1129" w:firstLine="420"/>
        <w:jc w:val="both"/>
      </w:pPr>
      <w:r>
        <w:rPr/>
        <w:t>同时，瑞成汇达公司与天音通信有限公司、中信资本</w:t>
      </w:r>
      <w:r>
        <w:rPr>
          <w:rFonts w:ascii="Arial" w:hAnsi="Arial" w:cs="Arial" w:eastAsia="Arial" w:hint="default"/>
        </w:rPr>
        <w:t>(</w:t>
      </w:r>
      <w:r>
        <w:rPr/>
        <w:t>深圳</w:t>
      </w:r>
      <w:r>
        <w:rPr>
          <w:rFonts w:ascii="Arial" w:hAnsi="Arial" w:cs="Arial" w:eastAsia="Arial" w:hint="default"/>
        </w:rPr>
        <w:t>)</w:t>
      </w:r>
      <w:r>
        <w:rPr/>
        <w:t>资产管理有限公司、华谊兄弟（天津）互 </w:t>
      </w:r>
      <w:r>
        <w:rPr>
          <w:spacing w:val="-1"/>
        </w:rPr>
        <w:t>动娱乐有限公司、深圳市光启松禾超材料创业投资合伙企业（有限责任）和北京暴风科技股份有限公司等</w:t>
      </w:r>
      <w:r>
        <w:rPr>
          <w:spacing w:val="-83"/>
        </w:rPr>
        <w:t> </w:t>
      </w:r>
      <w:r>
        <w:rPr>
          <w:spacing w:val="-83"/>
        </w:rPr>
      </w:r>
      <w:r>
        <w:rPr/>
        <w:t>相关各方签订《北京中芯铭弈科技有限公司投资协议》，同意认购中芯铭弈新增加的</w:t>
      </w:r>
      <w:r>
        <w:rPr>
          <w:rFonts w:ascii="Arial" w:hAnsi="Arial" w:cs="Arial" w:eastAsia="Arial" w:hint="default"/>
        </w:rPr>
        <w:t>30.4437</w:t>
      </w:r>
      <w:r>
        <w:rPr/>
        <w:t>万元注册资</w:t>
      </w:r>
      <w:r>
        <w:rPr>
          <w:spacing w:val="-51"/>
        </w:rPr>
        <w:t> </w:t>
      </w:r>
      <w:r>
        <w:rPr/>
        <w:t>本。瑞成汇达公司以自有资金增资人民币</w:t>
      </w:r>
      <w:r>
        <w:rPr>
          <w:rFonts w:ascii="Arial" w:hAnsi="Arial" w:cs="Arial" w:eastAsia="Arial" w:hint="default"/>
        </w:rPr>
        <w:t>648.9</w:t>
      </w:r>
      <w:r>
        <w:rPr/>
        <w:t>万元，其中新增注册资本</w:t>
      </w:r>
      <w:r>
        <w:rPr>
          <w:rFonts w:ascii="Arial" w:hAnsi="Arial" w:cs="Arial" w:eastAsia="Arial" w:hint="default"/>
        </w:rPr>
        <w:t>1.1535</w:t>
      </w:r>
      <w:r>
        <w:rPr/>
        <w:t>万元，</w:t>
      </w:r>
      <w:r>
        <w:rPr>
          <w:rFonts w:ascii="Arial" w:hAnsi="Arial" w:cs="Arial" w:eastAsia="Arial" w:hint="default"/>
        </w:rPr>
        <w:t>647.7465</w:t>
      </w:r>
      <w:r>
        <w:rPr/>
        <w:t>万元溢价</w:t>
      </w:r>
    </w:p>
    <w:p>
      <w:pPr>
        <w:pStyle w:val="BodyText"/>
        <w:spacing w:line="408" w:lineRule="auto" w:before="28"/>
        <w:ind w:right="0"/>
        <w:jc w:val="left"/>
      </w:pPr>
      <w:r>
        <w:rPr>
          <w:spacing w:val="-1"/>
        </w:rPr>
        <w:t>款转入中芯铭弈资本公积。本次增资的先决条件是北京暴风魔镜科技有限公司股权作价出资入股中芯铭弈。</w:t>
      </w:r>
      <w:r>
        <w:rPr>
          <w:spacing w:val="-80"/>
        </w:rPr>
        <w:t> </w:t>
      </w:r>
      <w:r>
        <w:rPr>
          <w:spacing w:val="-80"/>
        </w:rPr>
      </w:r>
      <w:r>
        <w:rPr/>
        <w:t>本次交易完成后，瑞成汇达公司将持有中芯铭弈</w:t>
      </w:r>
      <w:r>
        <w:rPr>
          <w:spacing w:val="-28"/>
        </w:rPr>
        <w:t> </w:t>
      </w:r>
      <w:r>
        <w:rPr>
          <w:rFonts w:ascii="Arial" w:hAnsi="Arial" w:cs="Arial" w:eastAsia="Arial" w:hint="default"/>
        </w:rPr>
        <w:t>2.9423%</w:t>
      </w:r>
      <w:r>
        <w:rPr/>
        <w:t>股权。</w:t>
      </w:r>
    </w:p>
    <w:p>
      <w:pPr>
        <w:pStyle w:val="BodyText"/>
        <w:spacing w:line="240" w:lineRule="auto" w:before="170"/>
        <w:ind w:left="574" w:right="0"/>
        <w:jc w:val="left"/>
      </w:pPr>
      <w:r>
        <w:rPr>
          <w:rFonts w:ascii="Arial" w:hAnsi="Arial" w:cs="Arial" w:eastAsia="Arial" w:hint="default"/>
        </w:rPr>
        <w:t>5</w:t>
      </w:r>
      <w:r>
        <w:rPr/>
        <w:t>、瑞成汇达公司拟投资深圳前海松禾暴风虚拟现实产业投资合伙企业</w:t>
      </w:r>
    </w:p>
    <w:p>
      <w:pPr>
        <w:spacing w:line="240" w:lineRule="auto" w:before="7"/>
        <w:rPr>
          <w:rFonts w:ascii="宋体" w:hAnsi="宋体" w:cs="宋体" w:eastAsia="宋体" w:hint="default"/>
          <w:sz w:val="25"/>
          <w:szCs w:val="25"/>
        </w:rPr>
      </w:pPr>
    </w:p>
    <w:p>
      <w:pPr>
        <w:pStyle w:val="BodyText"/>
        <w:spacing w:line="393" w:lineRule="auto"/>
        <w:ind w:right="0" w:firstLine="420"/>
        <w:jc w:val="left"/>
      </w:pPr>
      <w:r>
        <w:rPr/>
        <w:t>公司于</w:t>
      </w:r>
      <w:r>
        <w:rPr>
          <w:rFonts w:ascii="Arial" w:hAnsi="Arial" w:cs="Arial" w:eastAsia="Arial" w:hint="default"/>
        </w:rPr>
        <w:t>2016</w:t>
      </w:r>
      <w:r>
        <w:rPr/>
        <w:t>年</w:t>
      </w:r>
      <w:r>
        <w:rPr>
          <w:rFonts w:ascii="Arial" w:hAnsi="Arial" w:cs="Arial" w:eastAsia="Arial" w:hint="default"/>
        </w:rPr>
        <w:t>3</w:t>
      </w:r>
      <w:r>
        <w:rPr/>
        <w:t>月</w:t>
      </w:r>
      <w:r>
        <w:rPr>
          <w:rFonts w:ascii="Arial" w:hAnsi="Arial" w:cs="Arial" w:eastAsia="Arial" w:hint="default"/>
        </w:rPr>
        <w:t>23</w:t>
      </w:r>
      <w:r>
        <w:rPr/>
        <w:t>日召开第三届董事会第三十六次（临时）会议，审议通过了《关于全资子公司北 京瑞成汇达科技有限公司投资深圳前海松禾暴风虚拟现实产业投资合伙企业的议案》，同意公司通过全资 子公司瑞成汇达公司以自有资金</w:t>
      </w:r>
      <w:r>
        <w:rPr>
          <w:rFonts w:ascii="Arial" w:hAnsi="Arial" w:cs="Arial" w:eastAsia="Arial" w:hint="default"/>
        </w:rPr>
        <w:t>2,000</w:t>
      </w:r>
      <w:r>
        <w:rPr/>
        <w:t>万元人民币投资深圳前海松禾暴风虚拟现实产业投资合伙企业。本</w:t>
      </w:r>
      <w:r>
        <w:rPr>
          <w:spacing w:val="-34"/>
        </w:rPr>
        <w:t> </w:t>
      </w:r>
      <w:r>
        <w:rPr>
          <w:spacing w:val="-34"/>
        </w:rPr>
      </w:r>
      <w:r>
        <w:rPr>
          <w:w w:val="95"/>
        </w:rPr>
        <w:t>次投资后，瑞成汇达公司作为有限合伙人之一，占其认缴出资总额的</w:t>
      </w:r>
      <w:r>
        <w:rPr>
          <w:rFonts w:ascii="Arial" w:hAnsi="Arial" w:cs="Arial" w:eastAsia="Arial" w:hint="default"/>
          <w:w w:val="95"/>
        </w:rPr>
        <w:t>12.0482%</w:t>
      </w:r>
      <w:r>
        <w:rPr>
          <w:w w:val="95"/>
        </w:rPr>
        <w:t>。目前对于本次投资合作，</w:t>
      </w:r>
      <w:r>
        <w:rPr>
          <w:spacing w:val="64"/>
          <w:w w:val="95"/>
        </w:rPr>
        <w:t> </w:t>
      </w:r>
      <w:r>
        <w:rPr>
          <w:spacing w:val="64"/>
          <w:w w:val="95"/>
        </w:rPr>
      </w:r>
      <w:r>
        <w:rPr/>
        <w:t>各方尚在沟通协商中。</w:t>
      </w:r>
    </w:p>
    <w:p>
      <w:pPr>
        <w:spacing w:after="0" w:line="393"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240" w:lineRule="auto" w:before="18"/>
        <w:ind w:left="573" w:right="0"/>
        <w:jc w:val="left"/>
      </w:pPr>
      <w:r>
        <w:rPr>
          <w:rFonts w:ascii="Arial" w:hAnsi="Arial" w:cs="Arial" w:eastAsia="Arial" w:hint="default"/>
        </w:rPr>
        <w:t>6</w:t>
      </w:r>
      <w:r>
        <w:rPr/>
        <w:t>、利润分配情况说明</w:t>
      </w:r>
    </w:p>
    <w:p>
      <w:pPr>
        <w:spacing w:line="240" w:lineRule="auto" w:before="7"/>
        <w:rPr>
          <w:rFonts w:ascii="宋体" w:hAnsi="宋体" w:cs="宋体" w:eastAsia="宋体" w:hint="default"/>
          <w:sz w:val="25"/>
          <w:szCs w:val="25"/>
        </w:rPr>
      </w:pPr>
    </w:p>
    <w:p>
      <w:pPr>
        <w:pStyle w:val="BodyText"/>
        <w:spacing w:line="388" w:lineRule="auto"/>
        <w:ind w:right="1029" w:firstLine="420"/>
        <w:jc w:val="both"/>
      </w:pPr>
      <w:r>
        <w:rPr>
          <w:rFonts w:ascii="Arial" w:hAnsi="Arial" w:cs="Arial" w:eastAsia="Arial" w:hint="default"/>
        </w:rPr>
        <w:t>2016</w:t>
      </w:r>
      <w:r>
        <w:rPr/>
        <w:t>年</w:t>
      </w:r>
      <w:r>
        <w:rPr>
          <w:rFonts w:ascii="Arial" w:hAnsi="Arial" w:cs="Arial" w:eastAsia="Arial" w:hint="default"/>
        </w:rPr>
        <w:t>4</w:t>
      </w:r>
      <w:r>
        <w:rPr/>
        <w:t>月</w:t>
      </w:r>
      <w:r>
        <w:rPr>
          <w:rFonts w:ascii="Arial" w:hAnsi="Arial" w:cs="Arial" w:eastAsia="Arial" w:hint="default"/>
        </w:rPr>
        <w:t>15</w:t>
      </w:r>
      <w:r>
        <w:rPr/>
        <w:t>日，本公司召开第三届董事会第三十七次（定期）会议，批准</w:t>
      </w:r>
      <w:r>
        <w:rPr>
          <w:rFonts w:ascii="Arial" w:hAnsi="Arial" w:cs="Arial" w:eastAsia="Arial" w:hint="default"/>
        </w:rPr>
        <w:t>2015</w:t>
      </w:r>
      <w:r>
        <w:rPr/>
        <w:t>年度利润分配预案。 利润预案为：</w:t>
      </w:r>
      <w:r>
        <w:rPr>
          <w:rFonts w:ascii="Arial" w:hAnsi="Arial" w:cs="Arial" w:eastAsia="Arial" w:hint="default"/>
        </w:rPr>
        <w:t>2015</w:t>
      </w:r>
      <w:r>
        <w:rPr/>
        <w:t>年度不派发现金红利，不送红股，不以资本公积金转增股本。</w:t>
      </w:r>
    </w:p>
    <w:p>
      <w:pPr>
        <w:pStyle w:val="Heading2"/>
        <w:spacing w:line="240" w:lineRule="auto" w:before="93"/>
        <w:ind w:right="0"/>
        <w:jc w:val="both"/>
        <w:rPr>
          <w:rFonts w:ascii="宋体" w:hAnsi="宋体" w:cs="宋体" w:eastAsia="宋体" w:hint="default"/>
          <w:b w:val="0"/>
          <w:bCs w:val="0"/>
        </w:rPr>
      </w:pPr>
      <w:bookmarkStart w:name="十五、其他重要事项" w:id="423"/>
      <w:bookmarkEnd w:id="423"/>
      <w:r>
        <w:rPr>
          <w:b w:val="0"/>
          <w:bCs w:val="0"/>
        </w:rPr>
      </w:r>
      <w:bookmarkStart w:name="_bookmark88" w:id="424"/>
      <w:bookmarkEnd w:id="424"/>
      <w:r>
        <w:rPr>
          <w:b w:val="0"/>
          <w:bCs w:val="0"/>
        </w:rPr>
      </w:r>
      <w:r>
        <w:rPr>
          <w:rFonts w:ascii="宋体" w:hAnsi="宋体" w:cs="宋体" w:eastAsia="宋体" w:hint="default"/>
        </w:rPr>
        <w:t>十五、其他重要事项</w:t>
      </w:r>
      <w:r>
        <w:rPr>
          <w:rFonts w:ascii="宋体" w:hAnsi="宋体" w:cs="宋体" w:eastAsia="宋体" w:hint="default"/>
          <w:b w:val="0"/>
          <w:bCs w:val="0"/>
        </w:rPr>
      </w:r>
    </w:p>
    <w:p>
      <w:pPr>
        <w:pStyle w:val="BodyText"/>
        <w:spacing w:line="620" w:lineRule="atLeast" w:before="64"/>
        <w:ind w:left="574" w:right="1114"/>
        <w:jc w:val="left"/>
      </w:pPr>
      <w:r>
        <w:rPr>
          <w:rFonts w:ascii="Arial" w:hAnsi="Arial" w:cs="Arial" w:eastAsia="Arial" w:hint="default"/>
        </w:rPr>
        <w:t>1</w:t>
      </w:r>
      <w:r>
        <w:rPr/>
        <w:t>、</w:t>
      </w:r>
      <w:r>
        <w:rPr>
          <w:rFonts w:ascii="Arial" w:hAnsi="Arial" w:cs="Arial" w:eastAsia="Arial" w:hint="default"/>
        </w:rPr>
        <w:t>2015</w:t>
      </w:r>
      <w:r>
        <w:rPr/>
        <w:t>年公司债券（第一期）公开发行情况 中国证券监督管理委员会于</w:t>
      </w:r>
      <w:r>
        <w:rPr>
          <w:rFonts w:ascii="Arial" w:hAnsi="Arial" w:cs="Arial" w:eastAsia="Arial" w:hint="default"/>
        </w:rPr>
        <w:t>2015</w:t>
      </w:r>
      <w:r>
        <w:rPr/>
        <w:t>年</w:t>
      </w:r>
      <w:r>
        <w:rPr>
          <w:rFonts w:ascii="Arial" w:hAnsi="Arial" w:cs="Arial" w:eastAsia="Arial" w:hint="default"/>
        </w:rPr>
        <w:t>9</w:t>
      </w:r>
      <w:r>
        <w:rPr/>
        <w:t>月</w:t>
      </w:r>
      <w:r>
        <w:rPr>
          <w:rFonts w:ascii="Arial" w:hAnsi="Arial" w:cs="Arial" w:eastAsia="Arial" w:hint="default"/>
        </w:rPr>
        <w:t>22</w:t>
      </w:r>
      <w:r>
        <w:rPr/>
        <w:t>日出具《关于核准深圳市爱施德股份有限公司公开发行公司</w:t>
      </w:r>
    </w:p>
    <w:p>
      <w:pPr>
        <w:pStyle w:val="BodyText"/>
        <w:spacing w:line="391" w:lineRule="auto" w:before="178"/>
        <w:ind w:left="154" w:right="1128"/>
        <w:jc w:val="both"/>
      </w:pPr>
      <w:r>
        <w:rPr/>
        <w:t>债券的批复》（证监许可</w:t>
      </w:r>
      <w:r>
        <w:rPr>
          <w:rFonts w:ascii="Arial" w:hAnsi="Arial" w:cs="Arial" w:eastAsia="Arial" w:hint="default"/>
        </w:rPr>
        <w:t>[2015]</w:t>
      </w:r>
      <w:r>
        <w:rPr>
          <w:rFonts w:ascii="Arial" w:hAnsi="Arial" w:cs="Arial" w:eastAsia="Arial" w:hint="default"/>
          <w:spacing w:val="-5"/>
        </w:rPr>
        <w:t> </w:t>
      </w:r>
      <w:r>
        <w:rPr>
          <w:rFonts w:ascii="Arial" w:hAnsi="Arial" w:cs="Arial" w:eastAsia="Arial" w:hint="default"/>
        </w:rPr>
        <w:t>2135</w:t>
      </w:r>
      <w:r>
        <w:rPr/>
        <w:t>号），核准公司向社会公开发行面值不超过</w:t>
      </w:r>
      <w:r>
        <w:rPr>
          <w:rFonts w:ascii="Arial" w:hAnsi="Arial" w:cs="Arial" w:eastAsia="Arial" w:hint="default"/>
        </w:rPr>
        <w:t>120,000</w:t>
      </w:r>
      <w:r>
        <w:rPr/>
        <w:t>万元人民币的公 </w:t>
      </w:r>
      <w:r>
        <w:rPr>
          <w:spacing w:val="-1"/>
        </w:rPr>
        <w:t>司债券。公司采用分期发行方式，本期债券为三年期品种，附第二年末发行人上调票面利率选择权和投资</w:t>
      </w:r>
      <w:r>
        <w:rPr>
          <w:spacing w:val="-83"/>
        </w:rPr>
        <w:t> </w:t>
      </w:r>
      <w:r>
        <w:rPr>
          <w:spacing w:val="-83"/>
        </w:rPr>
      </w:r>
      <w:r>
        <w:rPr/>
        <w:t>者回售选择权，基本发行规模为</w:t>
      </w:r>
      <w:r>
        <w:rPr>
          <w:rFonts w:ascii="Arial" w:hAnsi="Arial" w:cs="Arial" w:eastAsia="Arial" w:hint="default"/>
        </w:rPr>
        <w:t>60,000</w:t>
      </w:r>
      <w:r>
        <w:rPr/>
        <w:t>万元，每张面值</w:t>
      </w:r>
      <w:r>
        <w:rPr>
          <w:rFonts w:ascii="Arial" w:hAnsi="Arial" w:cs="Arial" w:eastAsia="Arial" w:hint="default"/>
        </w:rPr>
        <w:t>100</w:t>
      </w:r>
      <w:r>
        <w:rPr/>
        <w:t>元，共计</w:t>
      </w:r>
      <w:r>
        <w:rPr>
          <w:rFonts w:ascii="Arial" w:hAnsi="Arial" w:cs="Arial" w:eastAsia="Arial" w:hint="default"/>
        </w:rPr>
        <w:t>600</w:t>
      </w:r>
      <w:r>
        <w:rPr/>
        <w:t>万张，发行价格为</w:t>
      </w:r>
      <w:r>
        <w:rPr>
          <w:rFonts w:ascii="Arial" w:hAnsi="Arial" w:cs="Arial" w:eastAsia="Arial" w:hint="default"/>
        </w:rPr>
        <w:t>100</w:t>
      </w:r>
      <w:r>
        <w:rPr/>
        <w:t>元</w:t>
      </w:r>
      <w:r>
        <w:rPr>
          <w:rFonts w:ascii="Arial" w:hAnsi="Arial" w:cs="Arial" w:eastAsia="Arial" w:hint="default"/>
        </w:rPr>
        <w:t>/</w:t>
      </w:r>
      <w:r>
        <w:rPr/>
        <w:t>张，票</w:t>
      </w:r>
      <w:r>
        <w:rPr>
          <w:spacing w:val="6"/>
        </w:rPr>
        <w:t> </w:t>
      </w:r>
      <w:r>
        <w:rPr/>
        <w:t>面利率为</w:t>
      </w:r>
      <w:r>
        <w:rPr>
          <w:rFonts w:ascii="Arial" w:hAnsi="Arial" w:cs="Arial" w:eastAsia="Arial" w:hint="default"/>
        </w:rPr>
        <w:t>5.95%</w:t>
      </w:r>
      <w:r>
        <w:rPr/>
        <w:t>，并在深圳证券交易所上市交易。本期发行公司债券的募集资金主要用于偿还到期债务和</w:t>
      </w:r>
      <w:r>
        <w:rPr>
          <w:spacing w:val="-98"/>
        </w:rPr>
        <w:t> </w:t>
      </w:r>
      <w:r>
        <w:rPr>
          <w:spacing w:val="-98"/>
        </w:rPr>
      </w:r>
      <w:r>
        <w:rPr/>
        <w:t>补充流动资金。截至</w:t>
      </w:r>
      <w:r>
        <w:rPr>
          <w:rFonts w:ascii="Arial" w:hAnsi="Arial" w:cs="Arial" w:eastAsia="Arial" w:hint="default"/>
        </w:rPr>
        <w:t>2015</w:t>
      </w:r>
      <w:r>
        <w:rPr/>
        <w:t>年</w:t>
      </w:r>
      <w:r>
        <w:rPr>
          <w:rFonts w:ascii="Arial" w:hAnsi="Arial" w:cs="Arial" w:eastAsia="Arial" w:hint="default"/>
        </w:rPr>
        <w:t>11</w:t>
      </w:r>
      <w:r>
        <w:rPr/>
        <w:t>月</w:t>
      </w:r>
      <w:r>
        <w:rPr>
          <w:rFonts w:ascii="Arial" w:hAnsi="Arial" w:cs="Arial" w:eastAsia="Arial" w:hint="default"/>
        </w:rPr>
        <w:t>17</w:t>
      </w:r>
      <w:r>
        <w:rPr/>
        <w:t>日止，公司已完成发行公司债券</w:t>
      </w:r>
      <w:r>
        <w:rPr>
          <w:rFonts w:ascii="Arial" w:hAnsi="Arial" w:cs="Arial" w:eastAsia="Arial" w:hint="default"/>
        </w:rPr>
        <w:t>60,000</w:t>
      </w:r>
      <w:r>
        <w:rPr/>
        <w:t>万元人民币，其中扣除承销费</w:t>
      </w:r>
      <w:r>
        <w:rPr>
          <w:spacing w:val="-32"/>
        </w:rPr>
        <w:t> </w:t>
      </w:r>
      <w:r>
        <w:rPr>
          <w:spacing w:val="-32"/>
        </w:rPr>
      </w:r>
      <w:r>
        <w:rPr/>
        <w:t>用</w:t>
      </w:r>
      <w:r>
        <w:rPr>
          <w:rFonts w:ascii="Arial" w:hAnsi="Arial" w:cs="Arial" w:eastAsia="Arial" w:hint="default"/>
        </w:rPr>
        <w:t>480</w:t>
      </w:r>
      <w:r>
        <w:rPr/>
        <w:t>万元。</w:t>
      </w:r>
    </w:p>
    <w:p>
      <w:pPr>
        <w:spacing w:line="240" w:lineRule="auto" w:before="3"/>
        <w:rPr>
          <w:rFonts w:ascii="宋体" w:hAnsi="宋体" w:cs="宋体" w:eastAsia="宋体" w:hint="default"/>
          <w:sz w:val="14"/>
          <w:szCs w:val="14"/>
        </w:rPr>
      </w:pPr>
    </w:p>
    <w:p>
      <w:pPr>
        <w:pStyle w:val="BodyText"/>
        <w:spacing w:line="240" w:lineRule="auto"/>
        <w:ind w:left="574" w:right="0"/>
        <w:jc w:val="left"/>
      </w:pPr>
      <w:r>
        <w:rPr>
          <w:rFonts w:ascii="Arial" w:hAnsi="Arial" w:cs="Arial" w:eastAsia="Arial" w:hint="default"/>
        </w:rPr>
        <w:t>2</w:t>
      </w:r>
      <w:r>
        <w:rPr/>
        <w:t>、全资子公司爱施德（香港）有限公司购入中国信贷可转换债券，并受让取得中国信贷股权</w:t>
      </w:r>
    </w:p>
    <w:p>
      <w:pPr>
        <w:spacing w:line="240" w:lineRule="auto" w:before="7"/>
        <w:rPr>
          <w:rFonts w:ascii="宋体" w:hAnsi="宋体" w:cs="宋体" w:eastAsia="宋体" w:hint="default"/>
          <w:sz w:val="25"/>
          <w:szCs w:val="25"/>
        </w:rPr>
      </w:pPr>
    </w:p>
    <w:p>
      <w:pPr>
        <w:pStyle w:val="BodyText"/>
        <w:spacing w:line="388" w:lineRule="auto"/>
        <w:ind w:right="1128" w:firstLine="420"/>
        <w:jc w:val="both"/>
      </w:pPr>
      <w:r>
        <w:rPr/>
        <w:t>公司</w:t>
      </w:r>
      <w:r>
        <w:rPr>
          <w:rFonts w:ascii="Arial" w:hAnsi="Arial" w:cs="Arial" w:eastAsia="Arial" w:hint="default"/>
        </w:rPr>
        <w:t>2015</w:t>
      </w:r>
      <w:r>
        <w:rPr/>
        <w:t>年</w:t>
      </w:r>
      <w:r>
        <w:rPr>
          <w:rFonts w:ascii="Arial" w:hAnsi="Arial" w:cs="Arial" w:eastAsia="Arial" w:hint="default"/>
        </w:rPr>
        <w:t>5</w:t>
      </w:r>
      <w:r>
        <w:rPr/>
        <w:t>月</w:t>
      </w:r>
      <w:r>
        <w:rPr>
          <w:rFonts w:ascii="Arial" w:hAnsi="Arial" w:cs="Arial" w:eastAsia="Arial" w:hint="default"/>
        </w:rPr>
        <w:t>9</w:t>
      </w:r>
      <w:r>
        <w:rPr/>
        <w:t>日召开第三届董事会第二十六次（临时）会议和</w:t>
      </w:r>
      <w:r>
        <w:rPr>
          <w:rFonts w:ascii="Arial" w:hAnsi="Arial" w:cs="Arial" w:eastAsia="Arial" w:hint="default"/>
        </w:rPr>
        <w:t>2015</w:t>
      </w:r>
      <w:r>
        <w:rPr/>
        <w:t>年</w:t>
      </w:r>
      <w:r>
        <w:rPr>
          <w:rFonts w:ascii="Arial" w:hAnsi="Arial" w:cs="Arial" w:eastAsia="Arial" w:hint="default"/>
        </w:rPr>
        <w:t>5</w:t>
      </w:r>
      <w:r>
        <w:rPr/>
        <w:t>月</w:t>
      </w:r>
      <w:r>
        <w:rPr>
          <w:rFonts w:ascii="Arial" w:hAnsi="Arial" w:cs="Arial" w:eastAsia="Arial" w:hint="default"/>
        </w:rPr>
        <w:t>27</w:t>
      </w:r>
      <w:r>
        <w:rPr/>
        <w:t>日召开的</w:t>
      </w:r>
      <w:r>
        <w:rPr>
          <w:rFonts w:ascii="Arial" w:hAnsi="Arial" w:cs="Arial" w:eastAsia="Arial" w:hint="default"/>
        </w:rPr>
        <w:t>2015</w:t>
      </w:r>
      <w:r>
        <w:rPr/>
        <w:t>年第二</w:t>
      </w:r>
      <w:r>
        <w:rPr>
          <w:spacing w:val="3"/>
        </w:rPr>
        <w:t> </w:t>
      </w:r>
      <w:r>
        <w:rPr/>
        <w:t>次临时股东大会审议通过，同意公司全资子公司爱施德（香港）有限公司认购</w:t>
      </w:r>
      <w:r>
        <w:rPr>
          <w:rFonts w:ascii="Arial" w:hAnsi="Arial" w:cs="Arial" w:eastAsia="Arial" w:hint="default"/>
        </w:rPr>
        <w:t>3</w:t>
      </w:r>
      <w:r>
        <w:rPr/>
        <w:t>亿港币中国信贷控股有限</w:t>
      </w:r>
      <w:r>
        <w:rPr>
          <w:spacing w:val="-38"/>
        </w:rPr>
        <w:t> </w:t>
      </w:r>
      <w:r>
        <w:rPr>
          <w:spacing w:val="-38"/>
        </w:rPr>
      </w:r>
      <w:r>
        <w:rPr>
          <w:w w:val="95"/>
        </w:rPr>
        <w:t>公司（以下简称“中国信贷公司”）可转换债券，本次可转换债券票面利息</w:t>
      </w:r>
      <w:r>
        <w:rPr>
          <w:rFonts w:ascii="Arial" w:hAnsi="Arial" w:cs="Arial" w:eastAsia="Arial" w:hint="default"/>
          <w:w w:val="95"/>
        </w:rPr>
        <w:t>6.00%</w:t>
      </w:r>
      <w:r>
        <w:rPr>
          <w:w w:val="95"/>
        </w:rPr>
        <w:t>，综合收益</w:t>
      </w:r>
      <w:r>
        <w:rPr>
          <w:rFonts w:ascii="Arial" w:hAnsi="Arial" w:cs="Arial" w:eastAsia="Arial" w:hint="default"/>
          <w:w w:val="95"/>
        </w:rPr>
        <w:t>10.00%</w:t>
      </w:r>
      <w:r>
        <w:rPr>
          <w:w w:val="95"/>
        </w:rPr>
        <w:t>（包</w:t>
      </w:r>
      <w:r>
        <w:rPr>
          <w:spacing w:val="14"/>
          <w:w w:val="95"/>
        </w:rPr>
        <w:t> </w:t>
      </w:r>
      <w:r>
        <w:rPr>
          <w:spacing w:val="-2"/>
        </w:rPr>
        <w:t>括票面利息），换股溢价</w:t>
      </w:r>
      <w:r>
        <w:rPr>
          <w:rFonts w:ascii="Arial" w:hAnsi="Arial" w:cs="Arial" w:eastAsia="Arial" w:hint="default"/>
          <w:spacing w:val="-2"/>
        </w:rPr>
        <w:t>30.00%</w:t>
      </w:r>
      <w:r>
        <w:rPr>
          <w:spacing w:val="-2"/>
        </w:rPr>
        <w:t>，期限三年。中国信贷公司已于</w:t>
      </w:r>
      <w:r>
        <w:rPr>
          <w:rFonts w:ascii="Arial" w:hAnsi="Arial" w:cs="Arial" w:eastAsia="Arial" w:hint="default"/>
          <w:spacing w:val="-2"/>
        </w:rPr>
        <w:t>2015</w:t>
      </w:r>
      <w:r>
        <w:rPr>
          <w:spacing w:val="-2"/>
        </w:rPr>
        <w:t>年</w:t>
      </w:r>
      <w:r>
        <w:rPr>
          <w:rFonts w:ascii="Arial" w:hAnsi="Arial" w:cs="Arial" w:eastAsia="Arial" w:hint="default"/>
          <w:spacing w:val="-2"/>
        </w:rPr>
        <w:t>6</w:t>
      </w:r>
      <w:r>
        <w:rPr>
          <w:spacing w:val="-2"/>
        </w:rPr>
        <w:t>月</w:t>
      </w:r>
      <w:r>
        <w:rPr>
          <w:rFonts w:ascii="Arial" w:hAnsi="Arial" w:cs="Arial" w:eastAsia="Arial" w:hint="default"/>
          <w:spacing w:val="-2"/>
        </w:rPr>
        <w:t>15</w:t>
      </w:r>
      <w:r>
        <w:rPr>
          <w:spacing w:val="-2"/>
        </w:rPr>
        <w:t>日向爱施德（香港）有限公</w:t>
      </w:r>
      <w:r>
        <w:rPr>
          <w:spacing w:val="-87"/>
        </w:rPr>
        <w:t> </w:t>
      </w:r>
      <w:r>
        <w:rPr>
          <w:spacing w:val="-87"/>
        </w:rPr>
      </w:r>
      <w:r>
        <w:rPr/>
        <w:t>司发行了</w:t>
      </w:r>
      <w:r>
        <w:rPr>
          <w:rFonts w:ascii="Arial" w:hAnsi="Arial" w:cs="Arial" w:eastAsia="Arial" w:hint="default"/>
        </w:rPr>
        <w:t>3</w:t>
      </w:r>
      <w:r>
        <w:rPr/>
        <w:t>亿港币可转换债券，爱施德（香港）有限公司已依据协议约定支付了本次认购可转换债券的全</w:t>
      </w:r>
      <w:r>
        <w:rPr>
          <w:spacing w:val="-46"/>
        </w:rPr>
        <w:t> </w:t>
      </w:r>
      <w:r>
        <w:rPr>
          <w:spacing w:val="-46"/>
        </w:rPr>
      </w:r>
      <w:r>
        <w:rPr/>
        <w:t>部价款，双方于当天完成交割。</w:t>
      </w:r>
    </w:p>
    <w:p>
      <w:pPr>
        <w:spacing w:line="240" w:lineRule="auto" w:before="10"/>
        <w:rPr>
          <w:rFonts w:ascii="宋体" w:hAnsi="宋体" w:cs="宋体" w:eastAsia="宋体" w:hint="default"/>
          <w:sz w:val="16"/>
          <w:szCs w:val="16"/>
        </w:rPr>
      </w:pPr>
    </w:p>
    <w:p>
      <w:pPr>
        <w:pStyle w:val="BodyText"/>
        <w:spacing w:line="388" w:lineRule="auto"/>
        <w:ind w:right="1129" w:firstLine="420"/>
        <w:jc w:val="both"/>
      </w:pPr>
      <w:r>
        <w:rPr/>
        <w:t>公司</w:t>
      </w:r>
      <w:r>
        <w:rPr>
          <w:rFonts w:ascii="Arial" w:hAnsi="Arial" w:cs="Arial" w:eastAsia="Arial" w:hint="default"/>
        </w:rPr>
        <w:t>2015</w:t>
      </w:r>
      <w:r>
        <w:rPr/>
        <w:t>年</w:t>
      </w:r>
      <w:r>
        <w:rPr>
          <w:rFonts w:ascii="Arial" w:hAnsi="Arial" w:cs="Arial" w:eastAsia="Arial" w:hint="default"/>
        </w:rPr>
        <w:t>12</w:t>
      </w:r>
      <w:r>
        <w:rPr/>
        <w:t>月</w:t>
      </w:r>
      <w:r>
        <w:rPr>
          <w:rFonts w:ascii="Arial" w:hAnsi="Arial" w:cs="Arial" w:eastAsia="Arial" w:hint="default"/>
        </w:rPr>
        <w:t>11</w:t>
      </w:r>
      <w:r>
        <w:rPr/>
        <w:t>日召开第三届董事会第三十三次（临时）会议和</w:t>
      </w:r>
      <w:r>
        <w:rPr>
          <w:rFonts w:ascii="Arial" w:hAnsi="Arial" w:cs="Arial" w:eastAsia="Arial" w:hint="default"/>
        </w:rPr>
        <w:t>2015</w:t>
      </w:r>
      <w:r>
        <w:rPr>
          <w:rFonts w:ascii="Arial" w:hAnsi="Arial" w:cs="Arial" w:eastAsia="Arial" w:hint="default"/>
          <w:spacing w:val="31"/>
        </w:rPr>
        <w:t> </w:t>
      </w:r>
      <w:r>
        <w:rPr/>
        <w:t>年</w:t>
      </w:r>
      <w:r>
        <w:rPr>
          <w:rFonts w:ascii="Arial" w:hAnsi="Arial" w:cs="Arial" w:eastAsia="Arial" w:hint="default"/>
        </w:rPr>
        <w:t>12</w:t>
      </w:r>
      <w:r>
        <w:rPr/>
        <w:t>月</w:t>
      </w:r>
      <w:r>
        <w:rPr>
          <w:rFonts w:ascii="Arial" w:hAnsi="Arial" w:cs="Arial" w:eastAsia="Arial" w:hint="default"/>
        </w:rPr>
        <w:t>28</w:t>
      </w:r>
      <w:r>
        <w:rPr/>
        <w:t>日召开的</w:t>
      </w:r>
      <w:r>
        <w:rPr>
          <w:rFonts w:ascii="Arial" w:hAnsi="Arial" w:cs="Arial" w:eastAsia="Arial" w:hint="default"/>
        </w:rPr>
        <w:t>2015</w:t>
      </w:r>
      <w:r>
        <w:rPr/>
        <w:t>年 第四次临时股东大会审议通过，同意公司全资子公司爱施德（香港）有限公司以自筹资金</w:t>
      </w:r>
      <w:r>
        <w:rPr>
          <w:rFonts w:ascii="Arial" w:hAnsi="Arial" w:cs="Arial" w:eastAsia="Arial" w:hint="default"/>
        </w:rPr>
        <w:t>3.9</w:t>
      </w:r>
      <w:r>
        <w:rPr/>
        <w:t>亿港币受让</w:t>
      </w:r>
      <w:r>
        <w:rPr>
          <w:spacing w:val="-18"/>
        </w:rPr>
        <w:t> </w:t>
      </w:r>
      <w:r>
        <w:rPr>
          <w:spacing w:val="-18"/>
        </w:rPr>
      </w:r>
      <w:r>
        <w:rPr>
          <w:rFonts w:ascii="Arial" w:hAnsi="Arial" w:cs="Arial" w:eastAsia="Arial" w:hint="default"/>
        </w:rPr>
        <w:t>Silver</w:t>
      </w:r>
      <w:r>
        <w:rPr>
          <w:rFonts w:ascii="Arial" w:hAnsi="Arial" w:cs="Arial" w:eastAsia="Arial" w:hint="default"/>
          <w:spacing w:val="25"/>
        </w:rPr>
        <w:t> </w:t>
      </w:r>
      <w:r>
        <w:rPr>
          <w:rFonts w:ascii="Arial" w:hAnsi="Arial" w:cs="Arial" w:eastAsia="Arial" w:hint="default"/>
        </w:rPr>
        <w:t>Paragon</w:t>
      </w:r>
      <w:r>
        <w:rPr>
          <w:rFonts w:ascii="Arial" w:hAnsi="Arial" w:cs="Arial" w:eastAsia="Arial" w:hint="default"/>
          <w:spacing w:val="25"/>
        </w:rPr>
        <w:t> </w:t>
      </w:r>
      <w:r>
        <w:rPr>
          <w:rFonts w:ascii="Arial" w:hAnsi="Arial" w:cs="Arial" w:eastAsia="Arial" w:hint="default"/>
        </w:rPr>
        <w:t>Limited</w:t>
      </w:r>
      <w:r>
        <w:rPr/>
        <w:t>持有的中国信贷公司股权</w:t>
      </w:r>
      <w:r>
        <w:rPr>
          <w:spacing w:val="47"/>
        </w:rPr>
        <w:t> </w:t>
      </w:r>
      <w:r>
        <w:rPr>
          <w:rFonts w:ascii="Arial" w:hAnsi="Arial" w:cs="Arial" w:eastAsia="Arial" w:hint="default"/>
        </w:rPr>
        <w:t>1.5</w:t>
      </w:r>
      <w:r>
        <w:rPr>
          <w:rFonts w:ascii="Arial" w:hAnsi="Arial" w:cs="Arial" w:eastAsia="Arial" w:hint="default"/>
          <w:spacing w:val="34"/>
        </w:rPr>
        <w:t> </w:t>
      </w:r>
      <w:r>
        <w:rPr/>
        <w:t>亿股。爱施德（香港）有限公司与</w:t>
      </w:r>
      <w:r>
        <w:rPr>
          <w:rFonts w:ascii="Arial" w:hAnsi="Arial" w:cs="Arial" w:eastAsia="Arial" w:hint="default"/>
        </w:rPr>
        <w:t>Silver</w:t>
      </w:r>
      <w:r>
        <w:rPr>
          <w:rFonts w:ascii="Arial" w:hAnsi="Arial" w:cs="Arial" w:eastAsia="Arial" w:hint="default"/>
          <w:spacing w:val="24"/>
        </w:rPr>
        <w:t> </w:t>
      </w:r>
      <w:r>
        <w:rPr>
          <w:rFonts w:ascii="Arial" w:hAnsi="Arial" w:cs="Arial" w:eastAsia="Arial" w:hint="default"/>
        </w:rPr>
        <w:t>Paragon</w:t>
      </w:r>
      <w:r>
        <w:rPr>
          <w:rFonts w:ascii="Arial" w:hAnsi="Arial" w:cs="Arial" w:eastAsia="Arial" w:hint="default"/>
          <w:spacing w:val="-51"/>
        </w:rPr>
        <w:t> </w:t>
      </w:r>
      <w:r>
        <w:rPr>
          <w:rFonts w:ascii="Arial" w:hAnsi="Arial" w:cs="Arial" w:eastAsia="Arial" w:hint="default"/>
          <w:spacing w:val="-51"/>
        </w:rPr>
      </w:r>
      <w:r>
        <w:rPr>
          <w:rFonts w:ascii="Arial" w:hAnsi="Arial" w:cs="Arial" w:eastAsia="Arial" w:hint="default"/>
          <w:spacing w:val="-6"/>
          <w:w w:val="100"/>
        </w:rPr>
        <w:t>Limited</w:t>
      </w:r>
      <w:r>
        <w:rPr>
          <w:spacing w:val="-6"/>
          <w:w w:val="100"/>
        </w:rPr>
        <w:t>已于</w:t>
      </w:r>
      <w:r>
        <w:rPr>
          <w:rFonts w:ascii="Arial" w:hAnsi="Arial" w:cs="Arial" w:eastAsia="Arial" w:hint="default"/>
          <w:spacing w:val="-6"/>
          <w:w w:val="100"/>
        </w:rPr>
        <w:t>2015</w:t>
      </w:r>
      <w:r>
        <w:rPr>
          <w:spacing w:val="-6"/>
          <w:w w:val="100"/>
        </w:rPr>
        <w:t>年</w:t>
      </w:r>
      <w:r>
        <w:rPr>
          <w:rFonts w:ascii="Arial" w:hAnsi="Arial" w:cs="Arial" w:eastAsia="Arial" w:hint="default"/>
          <w:spacing w:val="-6"/>
          <w:w w:val="100"/>
        </w:rPr>
        <w:t>12</w:t>
      </w:r>
      <w:r>
        <w:rPr>
          <w:spacing w:val="-6"/>
          <w:w w:val="100"/>
        </w:rPr>
        <w:t>月</w:t>
      </w:r>
      <w:r>
        <w:rPr>
          <w:rFonts w:ascii="Arial" w:hAnsi="Arial" w:cs="Arial" w:eastAsia="Arial" w:hint="default"/>
          <w:spacing w:val="-6"/>
          <w:w w:val="100"/>
        </w:rPr>
        <w:t>29</w:t>
      </w:r>
      <w:r>
        <w:rPr>
          <w:spacing w:val="-6"/>
          <w:w w:val="100"/>
        </w:rPr>
        <w:t>日完成股权交割，自此爱施德（香港）有限公司持有中国信贷公司股权</w:t>
      </w:r>
      <w:r>
        <w:rPr>
          <w:rFonts w:ascii="Arial" w:hAnsi="Arial" w:cs="Arial" w:eastAsia="Arial" w:hint="default"/>
          <w:spacing w:val="-6"/>
          <w:w w:val="100"/>
        </w:rPr>
        <w:t>1.5</w:t>
      </w:r>
      <w:r>
        <w:rPr>
          <w:spacing w:val="-6"/>
          <w:w w:val="100"/>
        </w:rPr>
        <w:t>亿股，</w:t>
      </w:r>
      <w:r>
        <w:rPr/>
        <w:t> 占中国信贷公司总股本的</w:t>
      </w:r>
      <w:r>
        <w:rPr>
          <w:rFonts w:ascii="Arial" w:hAnsi="Arial" w:cs="Arial" w:eastAsia="Arial" w:hint="default"/>
        </w:rPr>
        <w:t>3.87%</w:t>
      </w:r>
      <w:r>
        <w:rPr/>
        <w:t>。</w:t>
      </w:r>
    </w:p>
    <w:p>
      <w:pPr>
        <w:spacing w:line="240" w:lineRule="auto" w:before="6"/>
        <w:rPr>
          <w:rFonts w:ascii="宋体" w:hAnsi="宋体" w:cs="宋体" w:eastAsia="宋体" w:hint="default"/>
          <w:sz w:val="14"/>
          <w:szCs w:val="14"/>
        </w:rPr>
      </w:pPr>
    </w:p>
    <w:p>
      <w:pPr>
        <w:pStyle w:val="BodyText"/>
        <w:spacing w:line="240" w:lineRule="auto"/>
        <w:ind w:left="573" w:right="0"/>
        <w:jc w:val="left"/>
      </w:pPr>
      <w:r>
        <w:rPr>
          <w:rFonts w:ascii="Arial" w:hAnsi="Arial" w:cs="Arial" w:eastAsia="Arial" w:hint="default"/>
        </w:rPr>
        <w:t>3</w:t>
      </w:r>
      <w:r>
        <w:rPr/>
        <w:t>、全资子公司瑞成汇达公司投资暨转让华康保险代理有限公司及上海耕虹投资管理中心股权</w:t>
      </w:r>
    </w:p>
    <w:p>
      <w:pPr>
        <w:spacing w:line="240" w:lineRule="auto" w:before="7"/>
        <w:rPr>
          <w:rFonts w:ascii="宋体" w:hAnsi="宋体" w:cs="宋体" w:eastAsia="宋体" w:hint="default"/>
          <w:sz w:val="25"/>
          <w:szCs w:val="25"/>
        </w:rPr>
      </w:pPr>
    </w:p>
    <w:p>
      <w:pPr>
        <w:pStyle w:val="BodyText"/>
        <w:spacing w:line="388" w:lineRule="auto"/>
        <w:ind w:right="0" w:firstLine="420"/>
        <w:jc w:val="left"/>
      </w:pPr>
      <w:r>
        <w:rPr>
          <w:rFonts w:ascii="Arial" w:hAnsi="Arial" w:cs="Arial" w:eastAsia="Arial" w:hint="default"/>
        </w:rPr>
        <w:t>2015</w:t>
      </w:r>
      <w:r>
        <w:rPr/>
        <w:t>年</w:t>
      </w:r>
      <w:r>
        <w:rPr>
          <w:rFonts w:ascii="Arial" w:hAnsi="Arial" w:cs="Arial" w:eastAsia="Arial" w:hint="default"/>
        </w:rPr>
        <w:t>9</w:t>
      </w:r>
      <w:r>
        <w:rPr/>
        <w:t>月</w:t>
      </w:r>
      <w:r>
        <w:rPr>
          <w:rFonts w:ascii="Arial" w:hAnsi="Arial" w:cs="Arial" w:eastAsia="Arial" w:hint="default"/>
        </w:rPr>
        <w:t>24</w:t>
      </w:r>
      <w:r>
        <w:rPr/>
        <w:t>日，公司召开第三届董事会战略委员会 </w:t>
      </w:r>
      <w:r>
        <w:rPr>
          <w:rFonts w:ascii="Arial" w:hAnsi="Arial" w:cs="Arial" w:eastAsia="Arial" w:hint="default"/>
        </w:rPr>
        <w:t>2015</w:t>
      </w:r>
      <w:r>
        <w:rPr>
          <w:rFonts w:ascii="Arial" w:hAnsi="Arial" w:cs="Arial" w:eastAsia="Arial" w:hint="default"/>
          <w:spacing w:val="15"/>
        </w:rPr>
        <w:t> </w:t>
      </w:r>
      <w:r>
        <w:rPr/>
        <w:t>年第八次会议审议同意公司全资子公司瑞 成汇达公司通过两种方式直接或间接获得华康保险代理有限公司（以下简称“华康保代”）的部分权益。</w:t>
      </w:r>
    </w:p>
    <w:p>
      <w:pPr>
        <w:spacing w:after="0" w:line="388" w:lineRule="auto"/>
        <w:jc w:val="left"/>
        <w:sectPr>
          <w:pgSz w:w="11910" w:h="16840"/>
          <w:pgMar w:header="877" w:footer="979" w:top="1100" w:bottom="1160" w:left="980" w:right="0"/>
        </w:sectPr>
      </w:pPr>
    </w:p>
    <w:p>
      <w:pPr>
        <w:spacing w:line="240" w:lineRule="auto" w:before="7"/>
        <w:rPr>
          <w:rFonts w:ascii="宋体" w:hAnsi="宋体" w:cs="宋体" w:eastAsia="宋体" w:hint="default"/>
          <w:sz w:val="27"/>
          <w:szCs w:val="27"/>
        </w:rPr>
      </w:pPr>
    </w:p>
    <w:p>
      <w:pPr>
        <w:pStyle w:val="BodyText"/>
        <w:spacing w:line="393" w:lineRule="auto" w:before="18"/>
        <w:ind w:right="1130"/>
        <w:jc w:val="both"/>
      </w:pPr>
      <w:r>
        <w:rPr>
          <w:rFonts w:ascii="Arial" w:hAnsi="Arial" w:cs="Arial" w:eastAsia="Arial" w:hint="default"/>
        </w:rPr>
        <w:t>2015</w:t>
      </w:r>
      <w:r>
        <w:rPr/>
        <w:t>年</w:t>
      </w:r>
      <w:r>
        <w:rPr>
          <w:rFonts w:ascii="Arial" w:hAnsi="Arial" w:cs="Arial" w:eastAsia="Arial" w:hint="default"/>
        </w:rPr>
        <w:t>10</w:t>
      </w:r>
      <w:r>
        <w:rPr/>
        <w:t>月</w:t>
      </w:r>
      <w:r>
        <w:rPr>
          <w:rFonts w:ascii="Arial" w:hAnsi="Arial" w:cs="Arial" w:eastAsia="Arial" w:hint="default"/>
        </w:rPr>
        <w:t>19</w:t>
      </w:r>
      <w:r>
        <w:rPr/>
        <w:t>日，公司召开第三届董事会战略委员会</w:t>
      </w:r>
      <w:r>
        <w:rPr>
          <w:rFonts w:ascii="Arial" w:hAnsi="Arial" w:cs="Arial" w:eastAsia="Arial" w:hint="default"/>
        </w:rPr>
        <w:t>2015</w:t>
      </w:r>
      <w:r>
        <w:rPr/>
        <w:t>年第十次会议审议通过了《关于全资子公司北</w:t>
      </w:r>
      <w:r>
        <w:rPr>
          <w:spacing w:val="-68"/>
        </w:rPr>
        <w:t> </w:t>
      </w:r>
      <w:r>
        <w:rPr>
          <w:spacing w:val="-1"/>
        </w:rPr>
        <w:t>京瑞成汇达科技有限公司转让华康保险代理有限公司及上海耕虹投资管理中心股权的议案》。为避免出现</w:t>
      </w:r>
      <w:r>
        <w:rPr>
          <w:spacing w:val="-81"/>
        </w:rPr>
        <w:t> </w:t>
      </w:r>
      <w:r>
        <w:rPr>
          <w:spacing w:val="-81"/>
        </w:rPr>
      </w:r>
      <w:r>
        <w:rPr>
          <w:spacing w:val="-1"/>
        </w:rPr>
        <w:t>在筹建人寿保险过程中与华康保代形成关联关系的可能性，确保人寿保险获批筹建符合中国保险监督管理</w:t>
      </w:r>
      <w:r>
        <w:rPr>
          <w:spacing w:val="-81"/>
        </w:rPr>
        <w:t> </w:t>
      </w:r>
      <w:r>
        <w:rPr>
          <w:spacing w:val="-81"/>
        </w:rPr>
      </w:r>
      <w:r>
        <w:rPr>
          <w:spacing w:val="-2"/>
          <w:w w:val="99"/>
        </w:rPr>
        <w:t>委员会的相关规定，同意瑞成汇达公司以现金人民币</w:t>
      </w:r>
      <w:r>
        <w:rPr>
          <w:rFonts w:ascii="Arial" w:hAnsi="Arial" w:cs="Arial" w:eastAsia="Arial" w:hint="default"/>
          <w:spacing w:val="-2"/>
          <w:w w:val="99"/>
        </w:rPr>
        <w:t>120</w:t>
      </w:r>
      <w:r>
        <w:rPr>
          <w:spacing w:val="-2"/>
          <w:w w:val="99"/>
        </w:rPr>
        <w:t>万元的价格将所持有的华康保代</w:t>
      </w:r>
      <w:r>
        <w:rPr>
          <w:rFonts w:ascii="Arial" w:hAnsi="Arial" w:cs="Arial" w:eastAsia="Arial" w:hint="default"/>
          <w:spacing w:val="-2"/>
          <w:w w:val="99"/>
        </w:rPr>
        <w:t>1.07%</w:t>
      </w:r>
      <w:r>
        <w:rPr>
          <w:spacing w:val="-2"/>
          <w:w w:val="99"/>
        </w:rPr>
        <w:t>的股权转让</w:t>
      </w:r>
      <w:r>
        <w:rPr>
          <w:spacing w:val="-89"/>
          <w:w w:val="99"/>
        </w:rPr>
        <w:t> </w:t>
      </w:r>
      <w:r>
        <w:rPr/>
        <w:t>给深圳市弘达财富管理有限公司；以现金人民币</w:t>
      </w:r>
      <w:r>
        <w:rPr>
          <w:spacing w:val="-22"/>
        </w:rPr>
        <w:t> </w:t>
      </w:r>
      <w:r>
        <w:rPr>
          <w:rFonts w:ascii="Arial" w:hAnsi="Arial" w:cs="Arial" w:eastAsia="Arial" w:hint="default"/>
        </w:rPr>
        <w:t>9,000</w:t>
      </w:r>
      <w:r>
        <w:rPr/>
        <w:t>万元的价格将所持有的上海耕虹投资管理中心（有 </w:t>
      </w:r>
      <w:r>
        <w:rPr>
          <w:spacing w:val="-3"/>
        </w:rPr>
        <w:t>限合伙）</w:t>
      </w:r>
      <w:r>
        <w:rPr>
          <w:rFonts w:ascii="Arial" w:hAnsi="Arial" w:cs="Arial" w:eastAsia="Arial" w:hint="default"/>
          <w:spacing w:val="-3"/>
        </w:rPr>
        <w:t>29.9999%</w:t>
      </w:r>
      <w:r>
        <w:rPr>
          <w:spacing w:val="-3"/>
        </w:rPr>
        <w:t>的股权转让给深圳市弘达财富管理有限公司。上述转让全部完成后，瑞成汇达公司不再</w:t>
      </w:r>
      <w:r>
        <w:rPr>
          <w:spacing w:val="-86"/>
        </w:rPr>
        <w:t> </w:t>
      </w:r>
      <w:r>
        <w:rPr>
          <w:spacing w:val="-86"/>
        </w:rPr>
      </w:r>
      <w:r>
        <w:rPr/>
        <w:t>直接或间接持有华康保代股权。</w:t>
      </w:r>
    </w:p>
    <w:p>
      <w:pPr>
        <w:spacing w:line="240" w:lineRule="auto" w:before="5"/>
        <w:rPr>
          <w:rFonts w:ascii="宋体" w:hAnsi="宋体" w:cs="宋体" w:eastAsia="宋体" w:hint="default"/>
          <w:sz w:val="16"/>
          <w:szCs w:val="16"/>
        </w:rPr>
      </w:pPr>
    </w:p>
    <w:p>
      <w:pPr>
        <w:pStyle w:val="BodyText"/>
        <w:spacing w:line="240" w:lineRule="auto"/>
        <w:ind w:left="573" w:right="0"/>
        <w:jc w:val="left"/>
      </w:pPr>
      <w:r>
        <w:rPr>
          <w:rFonts w:ascii="Arial" w:hAnsi="Arial" w:cs="Arial" w:eastAsia="Arial" w:hint="default"/>
        </w:rPr>
        <w:t>4</w:t>
      </w:r>
      <w:r>
        <w:rPr/>
        <w:t>、非公开发行股票</w:t>
      </w:r>
    </w:p>
    <w:p>
      <w:pPr>
        <w:spacing w:line="240" w:lineRule="auto" w:before="7"/>
        <w:rPr>
          <w:rFonts w:ascii="宋体" w:hAnsi="宋体" w:cs="宋体" w:eastAsia="宋体" w:hint="default"/>
          <w:sz w:val="25"/>
          <w:szCs w:val="25"/>
        </w:rPr>
      </w:pPr>
    </w:p>
    <w:p>
      <w:pPr>
        <w:pStyle w:val="BodyText"/>
        <w:spacing w:line="393" w:lineRule="auto"/>
        <w:ind w:right="1128" w:firstLine="420"/>
        <w:jc w:val="both"/>
      </w:pPr>
      <w:r>
        <w:rPr/>
        <w:t>公司</w:t>
      </w:r>
      <w:r>
        <w:rPr>
          <w:rFonts w:ascii="Arial" w:hAnsi="Arial" w:cs="Arial" w:eastAsia="Arial" w:hint="default"/>
        </w:rPr>
        <w:t>2015</w:t>
      </w:r>
      <w:r>
        <w:rPr/>
        <w:t>年</w:t>
      </w:r>
      <w:r>
        <w:rPr>
          <w:rFonts w:ascii="Arial" w:hAnsi="Arial" w:cs="Arial" w:eastAsia="Arial" w:hint="default"/>
        </w:rPr>
        <w:t>9</w:t>
      </w:r>
      <w:r>
        <w:rPr/>
        <w:t>月</w:t>
      </w:r>
      <w:r>
        <w:rPr>
          <w:rFonts w:ascii="Arial" w:hAnsi="Arial" w:cs="Arial" w:eastAsia="Arial" w:hint="default"/>
        </w:rPr>
        <w:t>14</w:t>
      </w:r>
      <w:r>
        <w:rPr/>
        <w:t>日召开第三届董事会第二十九次（临时）会议，</w:t>
      </w:r>
      <w:r>
        <w:rPr>
          <w:rFonts w:ascii="Arial" w:hAnsi="Arial" w:cs="Arial" w:eastAsia="Arial" w:hint="default"/>
        </w:rPr>
        <w:t>2015</w:t>
      </w:r>
      <w:r>
        <w:rPr/>
        <w:t>年</w:t>
      </w:r>
      <w:r>
        <w:rPr>
          <w:rFonts w:ascii="Arial" w:hAnsi="Arial" w:cs="Arial" w:eastAsia="Arial" w:hint="default"/>
        </w:rPr>
        <w:t>10</w:t>
      </w:r>
      <w:r>
        <w:rPr/>
        <w:t>月</w:t>
      </w:r>
      <w:r>
        <w:rPr>
          <w:rFonts w:ascii="Arial" w:hAnsi="Arial" w:cs="Arial" w:eastAsia="Arial" w:hint="default"/>
        </w:rPr>
        <w:t>13</w:t>
      </w:r>
      <w:r>
        <w:rPr/>
        <w:t>日召开</w:t>
      </w:r>
      <w:r>
        <w:rPr>
          <w:rFonts w:ascii="Arial" w:hAnsi="Arial" w:cs="Arial" w:eastAsia="Arial" w:hint="default"/>
        </w:rPr>
        <w:t>2015</w:t>
      </w:r>
      <w:r>
        <w:rPr/>
        <w:t>年第三 </w:t>
      </w:r>
      <w:r>
        <w:rPr>
          <w:spacing w:val="-1"/>
        </w:rPr>
        <w:t>次临时股东大会，审议通过了本次非公开发行的方案，方案如下：本次非公开发行股票的发行对象为先锋</w:t>
      </w:r>
      <w:r>
        <w:rPr>
          <w:spacing w:val="-83"/>
        </w:rPr>
        <w:t> </w:t>
      </w:r>
      <w:r>
        <w:rPr>
          <w:spacing w:val="-83"/>
        </w:rPr>
      </w:r>
      <w:r>
        <w:rPr>
          <w:spacing w:val="-1"/>
        </w:rPr>
        <w:t>创业有限公司、唐进波和新余爱乐投资管理中心（有限合伙）（以下简称“新余爱乐”）；发行对象认购</w:t>
      </w:r>
      <w:r>
        <w:rPr>
          <w:spacing w:val="-84"/>
        </w:rPr>
        <w:t> </w:t>
      </w:r>
      <w:r>
        <w:rPr>
          <w:spacing w:val="-84"/>
        </w:rPr>
      </w:r>
      <w:r>
        <w:rPr>
          <w:spacing w:val="-1"/>
        </w:rPr>
        <w:t>本次发行的股票自发行结束之日起</w:t>
      </w:r>
      <w:r>
        <w:rPr>
          <w:rFonts w:ascii="Arial" w:hAnsi="Arial" w:cs="Arial" w:eastAsia="Arial" w:hint="default"/>
          <w:spacing w:val="-1"/>
        </w:rPr>
        <w:t>36</w:t>
      </w:r>
      <w:r>
        <w:rPr>
          <w:spacing w:val="-1"/>
        </w:rPr>
        <w:t>个月内不得转让；本次非公开发行股票的定价基准日为本次董事会会</w:t>
      </w:r>
      <w:r>
        <w:rPr/>
        <w:t> </w:t>
      </w:r>
      <w:r>
        <w:rPr>
          <w:spacing w:val="-2"/>
        </w:rPr>
        <w:t>议决议公告日，即</w:t>
      </w:r>
      <w:r>
        <w:rPr>
          <w:rFonts w:ascii="Arial" w:hAnsi="Arial" w:cs="Arial" w:eastAsia="Arial" w:hint="default"/>
          <w:spacing w:val="-2"/>
        </w:rPr>
        <w:t>2015</w:t>
      </w:r>
      <w:r>
        <w:rPr>
          <w:spacing w:val="-2"/>
        </w:rPr>
        <w:t>年</w:t>
      </w:r>
      <w:r>
        <w:rPr>
          <w:rFonts w:ascii="Arial" w:hAnsi="Arial" w:cs="Arial" w:eastAsia="Arial" w:hint="default"/>
          <w:spacing w:val="-2"/>
        </w:rPr>
        <w:t>9</w:t>
      </w:r>
      <w:r>
        <w:rPr>
          <w:spacing w:val="-2"/>
        </w:rPr>
        <w:t>月</w:t>
      </w:r>
      <w:r>
        <w:rPr>
          <w:rFonts w:ascii="Arial" w:hAnsi="Arial" w:cs="Arial" w:eastAsia="Arial" w:hint="default"/>
          <w:spacing w:val="-2"/>
        </w:rPr>
        <w:t>16</w:t>
      </w:r>
      <w:r>
        <w:rPr>
          <w:spacing w:val="-2"/>
        </w:rPr>
        <w:t>日；本次非公开发行股票的数量为</w:t>
      </w:r>
      <w:r>
        <w:rPr>
          <w:rFonts w:ascii="Arial" w:hAnsi="Arial" w:cs="Arial" w:eastAsia="Arial" w:hint="default"/>
          <w:spacing w:val="-2"/>
        </w:rPr>
        <w:t>4,135</w:t>
      </w:r>
      <w:r>
        <w:rPr>
          <w:spacing w:val="-2"/>
        </w:rPr>
        <w:t>万股，发行价格为</w:t>
      </w:r>
      <w:r>
        <w:rPr>
          <w:rFonts w:ascii="Arial" w:hAnsi="Arial" w:cs="Arial" w:eastAsia="Arial" w:hint="default"/>
          <w:spacing w:val="-2"/>
        </w:rPr>
        <w:t>9.664</w:t>
      </w:r>
      <w:r>
        <w:rPr>
          <w:spacing w:val="-2"/>
        </w:rPr>
        <w:t>元</w:t>
      </w:r>
      <w:r>
        <w:rPr>
          <w:rFonts w:ascii="Arial" w:hAnsi="Arial" w:cs="Arial" w:eastAsia="Arial" w:hint="default"/>
          <w:spacing w:val="-2"/>
        </w:rPr>
        <w:t>/</w:t>
      </w:r>
      <w:r>
        <w:rPr>
          <w:spacing w:val="-2"/>
        </w:rPr>
        <w:t>股；发</w:t>
      </w:r>
      <w:r>
        <w:rPr>
          <w:spacing w:val="-60"/>
        </w:rPr>
        <w:t> </w:t>
      </w:r>
      <w:r>
        <w:rPr>
          <w:spacing w:val="-60"/>
        </w:rPr>
      </w:r>
      <w:r>
        <w:rPr/>
        <w:t>行对象以现金方式认购；本次发行预计募集资金总额</w:t>
      </w:r>
      <w:r>
        <w:rPr>
          <w:rFonts w:ascii="Arial" w:hAnsi="Arial" w:cs="Arial" w:eastAsia="Arial" w:hint="default"/>
        </w:rPr>
        <w:t>39,960.64</w:t>
      </w:r>
      <w:r>
        <w:rPr/>
        <w:t>万元，扣除发行费用后的募集资金净额将</w:t>
      </w:r>
      <w:r>
        <w:rPr>
          <w:spacing w:val="-25"/>
        </w:rPr>
        <w:t> </w:t>
      </w:r>
      <w:r>
        <w:rPr/>
        <w:t>全部用于补充公司流动资金。</w:t>
      </w:r>
      <w:r>
        <w:rPr>
          <w:rFonts w:ascii="Arial" w:hAnsi="Arial" w:cs="Arial" w:eastAsia="Arial" w:hint="default"/>
        </w:rPr>
        <w:t>2016</w:t>
      </w:r>
      <w:r>
        <w:rPr/>
        <w:t>年</w:t>
      </w:r>
      <w:r>
        <w:rPr>
          <w:rFonts w:ascii="Arial" w:hAnsi="Arial" w:cs="Arial" w:eastAsia="Arial" w:hint="default"/>
        </w:rPr>
        <w:t>1</w:t>
      </w:r>
      <w:r>
        <w:rPr/>
        <w:t>月</w:t>
      </w:r>
      <w:r>
        <w:rPr>
          <w:rFonts w:ascii="Arial" w:hAnsi="Arial" w:cs="Arial" w:eastAsia="Arial" w:hint="default"/>
        </w:rPr>
        <w:t>29</w:t>
      </w:r>
      <w:r>
        <w:rPr/>
        <w:t>日，中国证券监督管理委员会发行审核委员会第二十次会议审 核通过了公司非公开发行股票的申请。</w:t>
      </w:r>
    </w:p>
    <w:p>
      <w:pPr>
        <w:spacing w:line="240" w:lineRule="auto" w:before="5"/>
        <w:rPr>
          <w:rFonts w:ascii="宋体" w:hAnsi="宋体" w:cs="宋体" w:eastAsia="宋体" w:hint="default"/>
          <w:sz w:val="16"/>
          <w:szCs w:val="16"/>
        </w:rPr>
      </w:pPr>
    </w:p>
    <w:p>
      <w:pPr>
        <w:pStyle w:val="BodyText"/>
        <w:spacing w:line="408" w:lineRule="auto"/>
        <w:ind w:right="1131" w:firstLine="420"/>
        <w:jc w:val="both"/>
      </w:pPr>
      <w:r>
        <w:rPr>
          <w:spacing w:val="-1"/>
        </w:rPr>
        <w:t>上述发行对象中，新余爱乐的合伙人吴学军、罗筱溪、陈亮、米泽东、杨治、余斌为公司高级管理人</w:t>
      </w:r>
      <w:r>
        <w:rPr/>
        <w:t> 员，新余爱乐为公司的关联方，新余爱乐认购的股份占本次非公开发行股份比例为</w:t>
      </w:r>
      <w:r>
        <w:rPr>
          <w:rFonts w:ascii="Arial" w:hAnsi="Arial" w:cs="Arial" w:eastAsia="Arial" w:hint="default"/>
        </w:rPr>
        <w:t>10.88%</w:t>
      </w:r>
      <w:r>
        <w:rPr/>
        <w:t>。</w:t>
      </w:r>
    </w:p>
    <w:p>
      <w:pPr>
        <w:pStyle w:val="BodyText"/>
        <w:spacing w:line="240" w:lineRule="auto" w:before="170"/>
        <w:ind w:left="573" w:right="0"/>
        <w:jc w:val="left"/>
      </w:pPr>
      <w:r>
        <w:rPr>
          <w:rFonts w:ascii="Arial" w:hAnsi="Arial" w:cs="Arial" w:eastAsia="Arial" w:hint="default"/>
        </w:rPr>
        <w:t>5</w:t>
      </w:r>
      <w:r>
        <w:rPr/>
        <w:t>、拟为全资子公司爱施德（香港）有限公司提供向境外银行申请融资提供担保</w:t>
      </w:r>
    </w:p>
    <w:p>
      <w:pPr>
        <w:spacing w:line="240" w:lineRule="auto" w:before="7"/>
        <w:rPr>
          <w:rFonts w:ascii="宋体" w:hAnsi="宋体" w:cs="宋体" w:eastAsia="宋体" w:hint="default"/>
          <w:sz w:val="25"/>
          <w:szCs w:val="25"/>
        </w:rPr>
      </w:pPr>
    </w:p>
    <w:p>
      <w:pPr>
        <w:pStyle w:val="BodyText"/>
        <w:spacing w:line="240" w:lineRule="auto"/>
        <w:ind w:left="574" w:right="0"/>
        <w:jc w:val="left"/>
      </w:pPr>
      <w:r>
        <w:rPr/>
        <w:t>公司于</w:t>
      </w:r>
      <w:r>
        <w:rPr>
          <w:rFonts w:ascii="Arial" w:hAnsi="Arial" w:cs="Arial" w:eastAsia="Arial" w:hint="default"/>
        </w:rPr>
        <w:t>2015</w:t>
      </w:r>
      <w:r>
        <w:rPr/>
        <w:t>年</w:t>
      </w:r>
      <w:r>
        <w:rPr>
          <w:rFonts w:ascii="Arial" w:hAnsi="Arial" w:cs="Arial" w:eastAsia="Arial" w:hint="default"/>
        </w:rPr>
        <w:t>12</w:t>
      </w:r>
      <w:r>
        <w:rPr/>
        <w:t>月</w:t>
      </w:r>
      <w:r>
        <w:rPr>
          <w:rFonts w:ascii="Arial" w:hAnsi="Arial" w:cs="Arial" w:eastAsia="Arial" w:hint="default"/>
        </w:rPr>
        <w:t>28</w:t>
      </w:r>
      <w:r>
        <w:rPr/>
        <w:t>日召开</w:t>
      </w:r>
      <w:r>
        <w:rPr>
          <w:rFonts w:ascii="Arial" w:hAnsi="Arial" w:cs="Arial" w:eastAsia="Arial" w:hint="default"/>
        </w:rPr>
        <w:t>2015 </w:t>
      </w:r>
      <w:r>
        <w:rPr>
          <w:rFonts w:ascii="Arial" w:hAnsi="Arial" w:cs="Arial" w:eastAsia="Arial" w:hint="default"/>
          <w:spacing w:val="32"/>
        </w:rPr>
        <w:t> </w:t>
      </w:r>
      <w:r>
        <w:rPr>
          <w:spacing w:val="3"/>
        </w:rPr>
        <w:t>年第四次临时股东大会，决议通过了公司拟为全资子公司爱施德</w:t>
      </w:r>
    </w:p>
    <w:p>
      <w:pPr>
        <w:pStyle w:val="BodyText"/>
        <w:spacing w:line="388" w:lineRule="auto" w:before="178"/>
        <w:ind w:left="154" w:right="1130"/>
        <w:jc w:val="both"/>
      </w:pPr>
      <w:r>
        <w:rPr>
          <w:spacing w:val="-1"/>
        </w:rPr>
        <w:t>（香港）有限公司向境外银行申请融资额度不超过折合人民币</w:t>
      </w:r>
      <w:r>
        <w:rPr>
          <w:rFonts w:ascii="Arial" w:hAnsi="Arial" w:cs="Arial" w:eastAsia="Arial" w:hint="default"/>
          <w:spacing w:val="-1"/>
        </w:rPr>
        <w:t>18</w:t>
      </w:r>
      <w:r>
        <w:rPr>
          <w:spacing w:val="-1"/>
        </w:rPr>
        <w:t>亿元（或等值美元，汇率按融资当天美元</w:t>
      </w:r>
      <w:r>
        <w:rPr/>
        <w:t> 挂牌汇率折算）提供担保。</w:t>
      </w:r>
    </w:p>
    <w:p>
      <w:pPr>
        <w:spacing w:line="240" w:lineRule="auto" w:before="10"/>
        <w:rPr>
          <w:rFonts w:ascii="宋体" w:hAnsi="宋体" w:cs="宋体" w:eastAsia="宋体" w:hint="default"/>
          <w:sz w:val="16"/>
          <w:szCs w:val="16"/>
        </w:rPr>
      </w:pPr>
    </w:p>
    <w:p>
      <w:pPr>
        <w:pStyle w:val="BodyText"/>
        <w:spacing w:line="388" w:lineRule="auto"/>
        <w:ind w:left="154" w:right="1132" w:firstLine="420"/>
        <w:jc w:val="both"/>
      </w:pPr>
      <w:r>
        <w:rPr>
          <w:rFonts w:ascii="Arial" w:hAnsi="Arial" w:cs="Arial" w:eastAsia="Arial" w:hint="default"/>
          <w:spacing w:val="-1"/>
        </w:rPr>
        <w:t>6</w:t>
      </w:r>
      <w:r>
        <w:rPr>
          <w:spacing w:val="-1"/>
        </w:rPr>
        <w:t>、截至资产负债表日，深圳市神州通投资集团有限公司共持有公司股份</w:t>
      </w:r>
      <w:r>
        <w:rPr>
          <w:rFonts w:ascii="Arial" w:hAnsi="Arial" w:cs="Arial" w:eastAsia="Arial" w:hint="default"/>
          <w:spacing w:val="-1"/>
        </w:rPr>
        <w:t>562,203,586</w:t>
      </w:r>
      <w:r>
        <w:rPr>
          <w:spacing w:val="-1"/>
        </w:rPr>
        <w:t>股，占公司股份</w:t>
      </w:r>
      <w:r>
        <w:rPr/>
        <w:t> </w:t>
      </w:r>
      <w:r>
        <w:rPr>
          <w:spacing w:val="6"/>
          <w:w w:val="95"/>
        </w:rPr>
        <w:t>总数的</w:t>
      </w:r>
      <w:r>
        <w:rPr>
          <w:rFonts w:ascii="Arial" w:hAnsi="Arial" w:cs="Arial" w:eastAsia="Arial" w:hint="default"/>
          <w:spacing w:val="6"/>
          <w:w w:val="95"/>
        </w:rPr>
        <w:t>56.0028%</w:t>
      </w:r>
      <w:r>
        <w:rPr>
          <w:spacing w:val="6"/>
          <w:w w:val="95"/>
        </w:rPr>
        <w:t>。截至本报告批准报出日，深圳市神州通投资集团有限公司共质押其持有的公司股份</w:t>
      </w:r>
      <w:r>
        <w:rPr>
          <w:spacing w:val="26"/>
          <w:w w:val="95"/>
        </w:rPr>
        <w:t> </w:t>
      </w:r>
      <w:r>
        <w:rPr>
          <w:spacing w:val="26"/>
          <w:w w:val="95"/>
        </w:rPr>
      </w:r>
      <w:r>
        <w:rPr>
          <w:rFonts w:ascii="Arial" w:hAnsi="Arial" w:cs="Arial" w:eastAsia="Arial" w:hint="default"/>
        </w:rPr>
        <w:t>262,560,000</w:t>
      </w:r>
      <w:r>
        <w:rPr/>
        <w:t>股，占公司股份总数的</w:t>
      </w:r>
      <w:r>
        <w:rPr>
          <w:rFonts w:ascii="Arial" w:hAnsi="Arial" w:cs="Arial" w:eastAsia="Arial" w:hint="default"/>
        </w:rPr>
        <w:t>26.48%</w:t>
      </w:r>
      <w:r>
        <w:rPr/>
        <w:t>。</w:t>
      </w:r>
    </w:p>
    <w:p>
      <w:pPr>
        <w:spacing w:after="0" w:line="388" w:lineRule="auto"/>
        <w:jc w:val="both"/>
        <w:sectPr>
          <w:pgSz w:w="11910" w:h="16840"/>
          <w:pgMar w:header="877"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left="213" w:right="1513"/>
        <w:jc w:val="left"/>
        <w:rPr>
          <w:rFonts w:ascii="宋体" w:hAnsi="宋体" w:cs="宋体" w:eastAsia="宋体" w:hint="default"/>
          <w:b w:val="0"/>
          <w:bCs w:val="0"/>
        </w:rPr>
      </w:pPr>
      <w:bookmarkStart w:name="十六、母公司财务报表主要项目注释" w:id="425"/>
      <w:bookmarkEnd w:id="425"/>
      <w:r>
        <w:rPr>
          <w:b w:val="0"/>
          <w:bCs w:val="0"/>
        </w:rPr>
      </w:r>
      <w:bookmarkStart w:name="_bookmark89" w:id="426"/>
      <w:bookmarkEnd w:id="426"/>
      <w:r>
        <w:rPr>
          <w:b w:val="0"/>
          <w:bCs w:val="0"/>
        </w:rPr>
      </w:r>
      <w:r>
        <w:rPr>
          <w:rFonts w:ascii="宋体" w:hAnsi="宋体" w:cs="宋体" w:eastAsia="宋体" w:hint="default"/>
        </w:rPr>
        <w:t>十六、母公司财务报表主要项目注释</w:t>
      </w:r>
      <w:r>
        <w:rPr>
          <w:rFonts w:ascii="宋体" w:hAnsi="宋体" w:cs="宋体" w:eastAsia="宋体" w:hint="default"/>
          <w:b w:val="0"/>
          <w:bCs w:val="0"/>
        </w:rPr>
      </w:r>
    </w:p>
    <w:p>
      <w:pPr>
        <w:spacing w:line="240" w:lineRule="auto" w:before="3"/>
        <w:rPr>
          <w:rFonts w:ascii="宋体" w:hAnsi="宋体" w:cs="宋体" w:eastAsia="宋体" w:hint="default"/>
          <w:b/>
          <w:bCs/>
          <w:sz w:val="24"/>
          <w:szCs w:val="24"/>
        </w:rPr>
      </w:pPr>
    </w:p>
    <w:p>
      <w:pPr>
        <w:pStyle w:val="Heading5"/>
        <w:spacing w:line="240" w:lineRule="auto" w:before="0"/>
        <w:ind w:right="1513"/>
        <w:jc w:val="left"/>
        <w:rPr>
          <w:b w:val="0"/>
          <w:bCs w:val="0"/>
        </w:rPr>
      </w:pPr>
      <w:bookmarkStart w:name="1、应收账款" w:id="427"/>
      <w:bookmarkEnd w:id="427"/>
      <w:r>
        <w:rPr>
          <w:b w:val="0"/>
          <w:bCs w:val="0"/>
        </w:rPr>
      </w:r>
      <w:r>
        <w:rPr>
          <w:rFonts w:ascii="Trebuchet MS" w:hAnsi="Trebuchet MS" w:cs="Trebuchet MS" w:eastAsia="Trebuchet MS" w:hint="default"/>
        </w:rPr>
        <w:t>1</w:t>
      </w:r>
      <w:r>
        <w:rPr/>
        <w:t>、应收账款</w:t>
      </w:r>
      <w:r>
        <w:rPr>
          <w:b w:val="0"/>
          <w:bCs w:val="0"/>
        </w:rPr>
      </w:r>
    </w:p>
    <w:p>
      <w:pPr>
        <w:spacing w:line="240" w:lineRule="auto" w:before="8"/>
        <w:rPr>
          <w:rFonts w:ascii="宋体" w:hAnsi="宋体" w:cs="宋体" w:eastAsia="宋体" w:hint="default"/>
          <w:b/>
          <w:bCs/>
          <w:sz w:val="24"/>
          <w:szCs w:val="24"/>
        </w:rPr>
      </w:pPr>
    </w:p>
    <w:p>
      <w:pPr>
        <w:spacing w:before="0"/>
        <w:ind w:left="636" w:right="1513" w:firstLine="0"/>
        <w:jc w:val="left"/>
        <w:rPr>
          <w:rFonts w:ascii="宋体" w:hAnsi="宋体" w:cs="宋体" w:eastAsia="宋体" w:hint="default"/>
          <w:sz w:val="21"/>
          <w:szCs w:val="21"/>
        </w:rPr>
      </w:pPr>
      <w:bookmarkStart w:name="（1）应收账款分类披露" w:id="428"/>
      <w:bookmarkEnd w:id="428"/>
      <w:r>
        <w:rPr/>
      </w:r>
      <w:r>
        <w:rPr>
          <w:rFonts w:ascii="宋体" w:hAnsi="宋体" w:cs="宋体" w:eastAsia="宋体" w:hint="default"/>
          <w:b/>
          <w:bCs/>
          <w:sz w:val="21"/>
          <w:szCs w:val="21"/>
        </w:rPr>
        <w:t>（</w:t>
      </w:r>
      <w:r>
        <w:rPr>
          <w:rFonts w:ascii="Trebuchet MS" w:hAnsi="Trebuchet MS" w:cs="Trebuchet MS" w:eastAsia="Trebuchet MS"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5"/>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527"/>
        <w:gridCol w:w="870"/>
        <w:gridCol w:w="689"/>
        <w:gridCol w:w="851"/>
        <w:gridCol w:w="708"/>
        <w:gridCol w:w="992"/>
        <w:gridCol w:w="992"/>
        <w:gridCol w:w="568"/>
        <w:gridCol w:w="850"/>
        <w:gridCol w:w="588"/>
        <w:gridCol w:w="932"/>
      </w:tblGrid>
      <w:tr>
        <w:trPr>
          <w:trHeight w:val="322" w:hRule="exact"/>
        </w:trPr>
        <w:tc>
          <w:tcPr>
            <w:tcW w:w="1527"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870" w:type="dxa"/>
            <w:tcBorders>
              <w:top w:val="single" w:sz="4" w:space="0" w:color="5B9BD4"/>
              <w:left w:val="nil" w:sz="6" w:space="0" w:color="auto"/>
              <w:bottom w:val="single" w:sz="4" w:space="0" w:color="5B9BD4"/>
              <w:right w:val="nil" w:sz="6" w:space="0" w:color="auto"/>
            </w:tcBorders>
            <w:shd w:val="clear" w:color="auto" w:fill="DEEAF6"/>
          </w:tcPr>
          <w:p>
            <w:pPr/>
          </w:p>
        </w:tc>
        <w:tc>
          <w:tcPr>
            <w:tcW w:w="689" w:type="dxa"/>
            <w:tcBorders>
              <w:top w:val="single" w:sz="4" w:space="0" w:color="5B9BD4"/>
              <w:left w:val="nil" w:sz="6" w:space="0" w:color="auto"/>
              <w:bottom w:val="single" w:sz="4" w:space="0" w:color="5B9BD4"/>
              <w:right w:val="nil" w:sz="6" w:space="0" w:color="auto"/>
            </w:tcBorders>
            <w:shd w:val="clear" w:color="auto" w:fill="DEEAF6"/>
          </w:tcPr>
          <w:p>
            <w:pPr/>
          </w:p>
        </w:tc>
        <w:tc>
          <w:tcPr>
            <w:tcW w:w="85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36" w:right="-6"/>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08" w:type="dxa"/>
            <w:tcBorders>
              <w:top w:val="single" w:sz="4" w:space="0" w:color="5B9BD4"/>
              <w:left w:val="nil" w:sz="6" w:space="0" w:color="auto"/>
              <w:bottom w:val="single" w:sz="4" w:space="0" w:color="5B9BD4"/>
              <w:right w:val="nil" w:sz="6" w:space="0" w:color="auto"/>
            </w:tcBorders>
            <w:shd w:val="clear" w:color="auto" w:fill="DEEAF6"/>
          </w:tcPr>
          <w:p>
            <w:pPr/>
          </w:p>
        </w:tc>
        <w:tc>
          <w:tcPr>
            <w:tcW w:w="992" w:type="dxa"/>
            <w:tcBorders>
              <w:top w:val="single" w:sz="4" w:space="0" w:color="5B9BD4"/>
              <w:left w:val="nil" w:sz="6" w:space="0" w:color="auto"/>
              <w:bottom w:val="single" w:sz="4" w:space="0" w:color="5B9BD4"/>
              <w:right w:val="nil" w:sz="6" w:space="0" w:color="auto"/>
            </w:tcBorders>
            <w:shd w:val="clear" w:color="auto" w:fill="DEEAF6"/>
          </w:tcPr>
          <w:p>
            <w:pPr/>
          </w:p>
        </w:tc>
        <w:tc>
          <w:tcPr>
            <w:tcW w:w="992" w:type="dxa"/>
            <w:tcBorders>
              <w:top w:val="single" w:sz="4" w:space="0" w:color="5B9BD4"/>
              <w:left w:val="nil" w:sz="6" w:space="0" w:color="auto"/>
              <w:bottom w:val="single" w:sz="4" w:space="0" w:color="5B9BD4"/>
              <w:right w:val="nil" w:sz="6" w:space="0" w:color="auto"/>
            </w:tcBorders>
            <w:shd w:val="clear" w:color="auto" w:fill="DEEAF6"/>
          </w:tcPr>
          <w:p>
            <w:pPr/>
          </w:p>
        </w:tc>
        <w:tc>
          <w:tcPr>
            <w:tcW w:w="568" w:type="dxa"/>
            <w:tcBorders>
              <w:top w:val="single" w:sz="4" w:space="0" w:color="5B9BD4"/>
              <w:left w:val="nil" w:sz="6" w:space="0" w:color="auto"/>
              <w:bottom w:val="single" w:sz="4" w:space="0" w:color="5B9BD4"/>
              <w:right w:val="nil" w:sz="6" w:space="0" w:color="auto"/>
            </w:tcBorders>
            <w:shd w:val="clear" w:color="auto" w:fill="DEEAF6"/>
          </w:tcPr>
          <w:p>
            <w:pPr/>
          </w:p>
        </w:tc>
        <w:tc>
          <w:tcPr>
            <w:tcW w:w="85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38"/>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588" w:type="dxa"/>
            <w:tcBorders>
              <w:top w:val="single" w:sz="4" w:space="0" w:color="5B9BD4"/>
              <w:left w:val="nil" w:sz="6" w:space="0" w:color="auto"/>
              <w:bottom w:val="single" w:sz="4" w:space="0" w:color="5B9BD4"/>
              <w:right w:val="nil" w:sz="6" w:space="0" w:color="auto"/>
            </w:tcBorders>
            <w:shd w:val="clear" w:color="auto" w:fill="DEEAF6"/>
          </w:tcPr>
          <w:p>
            <w:pPr/>
          </w:p>
        </w:tc>
        <w:tc>
          <w:tcPr>
            <w:tcW w:w="93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251" w:hRule="exact"/>
        </w:trPr>
        <w:tc>
          <w:tcPr>
            <w:tcW w:w="1527" w:type="dxa"/>
            <w:vMerge/>
            <w:tcBorders>
              <w:left w:val="nil" w:sz="6" w:space="0" w:color="auto"/>
              <w:right w:val="nil" w:sz="6" w:space="0" w:color="auto"/>
            </w:tcBorders>
            <w:shd w:val="clear" w:color="auto" w:fill="DEEAF6"/>
          </w:tcPr>
          <w:p>
            <w:pPr/>
          </w:p>
        </w:tc>
        <w:tc>
          <w:tcPr>
            <w:tcW w:w="1559" w:type="dxa"/>
            <w:gridSpan w:val="2"/>
            <w:tcBorders>
              <w:top w:val="single" w:sz="4" w:space="0" w:color="5B9BD4"/>
              <w:left w:val="nil" w:sz="6" w:space="0" w:color="auto"/>
              <w:bottom w:val="nil" w:sz="6" w:space="0" w:color="auto"/>
              <w:right w:val="nil" w:sz="6" w:space="0" w:color="auto"/>
            </w:tcBorders>
            <w:shd w:val="clear" w:color="auto" w:fill="DEEAF6"/>
          </w:tcPr>
          <w:p>
            <w:pPr>
              <w:pStyle w:val="TableParagraph"/>
              <w:spacing w:line="240" w:lineRule="auto" w:before="5"/>
              <w:ind w:left="4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59" w:type="dxa"/>
            <w:gridSpan w:val="2"/>
            <w:tcBorders>
              <w:top w:val="single" w:sz="4" w:space="0" w:color="5B9BD4"/>
              <w:left w:val="nil" w:sz="6" w:space="0" w:color="auto"/>
              <w:bottom w:val="nil" w:sz="6" w:space="0" w:color="auto"/>
              <w:right w:val="nil" w:sz="6" w:space="0" w:color="auto"/>
            </w:tcBorders>
            <w:shd w:val="clear" w:color="auto" w:fill="DEEAF6"/>
          </w:tcPr>
          <w:p>
            <w:pPr>
              <w:pStyle w:val="TableParagraph"/>
              <w:spacing w:line="240" w:lineRule="auto" w:before="5"/>
              <w:ind w:left="4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92" w:type="dxa"/>
            <w:tcBorders>
              <w:top w:val="single" w:sz="4" w:space="0" w:color="5B9BD4"/>
              <w:left w:val="nil" w:sz="6" w:space="0" w:color="auto"/>
              <w:bottom w:val="nil" w:sz="6" w:space="0" w:color="auto"/>
              <w:right w:val="nil" w:sz="6" w:space="0" w:color="auto"/>
            </w:tcBorders>
            <w:shd w:val="clear" w:color="auto" w:fill="DEEAF6"/>
          </w:tcPr>
          <w:p>
            <w:pPr/>
          </w:p>
        </w:tc>
        <w:tc>
          <w:tcPr>
            <w:tcW w:w="1560" w:type="dxa"/>
            <w:gridSpan w:val="2"/>
            <w:tcBorders>
              <w:top w:val="single" w:sz="4" w:space="0" w:color="5B9BD4"/>
              <w:left w:val="nil" w:sz="6" w:space="0" w:color="auto"/>
              <w:bottom w:val="nil" w:sz="6" w:space="0" w:color="auto"/>
              <w:right w:val="nil" w:sz="6" w:space="0" w:color="auto"/>
            </w:tcBorders>
            <w:shd w:val="clear" w:color="auto" w:fill="DEEAF6"/>
          </w:tcPr>
          <w:p>
            <w:pPr>
              <w:pStyle w:val="TableParagraph"/>
              <w:spacing w:line="240" w:lineRule="auto" w:before="5"/>
              <w:ind w:left="4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38" w:type="dxa"/>
            <w:gridSpan w:val="2"/>
            <w:tcBorders>
              <w:top w:val="single" w:sz="4" w:space="0" w:color="5B9BD4"/>
              <w:left w:val="nil" w:sz="6" w:space="0" w:color="auto"/>
              <w:bottom w:val="nil" w:sz="6" w:space="0" w:color="auto"/>
              <w:right w:val="nil" w:sz="6" w:space="0" w:color="auto"/>
            </w:tcBorders>
            <w:shd w:val="clear" w:color="auto" w:fill="DEEAF6"/>
          </w:tcPr>
          <w:p>
            <w:pPr>
              <w:pStyle w:val="TableParagraph"/>
              <w:spacing w:line="240" w:lineRule="auto" w:before="5"/>
              <w:ind w:left="35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5B9BD4"/>
              <w:left w:val="nil" w:sz="6" w:space="0" w:color="auto"/>
              <w:bottom w:val="nil" w:sz="6" w:space="0" w:color="auto"/>
              <w:right w:val="nil" w:sz="6" w:space="0" w:color="auto"/>
            </w:tcBorders>
            <w:shd w:val="clear" w:color="auto" w:fill="DEEAF6"/>
          </w:tcPr>
          <w:p>
            <w:pPr/>
          </w:p>
        </w:tc>
      </w:tr>
      <w:tr>
        <w:trPr>
          <w:trHeight w:val="70" w:hRule="exact"/>
        </w:trPr>
        <w:tc>
          <w:tcPr>
            <w:tcW w:w="1527" w:type="dxa"/>
            <w:vMerge/>
            <w:tcBorders>
              <w:left w:val="nil" w:sz="6" w:space="0" w:color="auto"/>
              <w:right w:val="nil" w:sz="6" w:space="0" w:color="auto"/>
            </w:tcBorders>
            <w:shd w:val="clear" w:color="auto" w:fill="DEEAF6"/>
          </w:tcPr>
          <w:p>
            <w:pPr/>
          </w:p>
        </w:tc>
        <w:tc>
          <w:tcPr>
            <w:tcW w:w="1559" w:type="dxa"/>
            <w:gridSpan w:val="2"/>
            <w:tcBorders>
              <w:top w:val="nil" w:sz="6" w:space="0" w:color="auto"/>
              <w:left w:val="nil" w:sz="6" w:space="0" w:color="auto"/>
              <w:bottom w:val="single" w:sz="4" w:space="0" w:color="5B9BD4"/>
              <w:right w:val="nil" w:sz="6" w:space="0" w:color="auto"/>
            </w:tcBorders>
            <w:shd w:val="clear" w:color="auto" w:fill="DEEAF6"/>
          </w:tcPr>
          <w:p>
            <w:pPr/>
          </w:p>
        </w:tc>
        <w:tc>
          <w:tcPr>
            <w:tcW w:w="1559" w:type="dxa"/>
            <w:gridSpan w:val="2"/>
            <w:tcBorders>
              <w:top w:val="nil" w:sz="6" w:space="0" w:color="auto"/>
              <w:left w:val="nil" w:sz="6" w:space="0" w:color="auto"/>
              <w:bottom w:val="single" w:sz="4" w:space="0" w:color="5B9BD4"/>
              <w:right w:val="nil" w:sz="6" w:space="0" w:color="auto"/>
            </w:tcBorders>
            <w:shd w:val="clear" w:color="auto" w:fill="DEEAF6"/>
          </w:tcPr>
          <w:p>
            <w:pPr/>
          </w:p>
        </w:tc>
        <w:tc>
          <w:tcPr>
            <w:tcW w:w="992" w:type="dxa"/>
            <w:tcBorders>
              <w:top w:val="nil" w:sz="6" w:space="0" w:color="auto"/>
              <w:left w:val="nil" w:sz="6" w:space="0" w:color="auto"/>
              <w:bottom w:val="nil" w:sz="6" w:space="0" w:color="auto"/>
              <w:right w:val="nil" w:sz="6" w:space="0" w:color="auto"/>
            </w:tcBorders>
            <w:shd w:val="clear" w:color="auto" w:fill="DEEAF6"/>
          </w:tcPr>
          <w:p>
            <w:pPr/>
          </w:p>
        </w:tc>
        <w:tc>
          <w:tcPr>
            <w:tcW w:w="992" w:type="dxa"/>
            <w:tcBorders>
              <w:top w:val="nil" w:sz="6" w:space="0" w:color="auto"/>
              <w:left w:val="nil" w:sz="6" w:space="0" w:color="auto"/>
              <w:bottom w:val="single" w:sz="4" w:space="0" w:color="5B9BD4"/>
              <w:right w:val="nil" w:sz="6" w:space="0" w:color="auto"/>
            </w:tcBorders>
            <w:shd w:val="clear" w:color="auto" w:fill="DEEAF6"/>
          </w:tcPr>
          <w:p>
            <w:pPr/>
          </w:p>
        </w:tc>
        <w:tc>
          <w:tcPr>
            <w:tcW w:w="568" w:type="dxa"/>
            <w:tcBorders>
              <w:top w:val="nil" w:sz="6" w:space="0" w:color="auto"/>
              <w:left w:val="nil" w:sz="6" w:space="0" w:color="auto"/>
              <w:bottom w:val="single" w:sz="4" w:space="0" w:color="5B9BD4"/>
              <w:right w:val="nil" w:sz="6" w:space="0" w:color="auto"/>
            </w:tcBorders>
            <w:shd w:val="clear" w:color="auto" w:fill="DEEAF6"/>
          </w:tcPr>
          <w:p>
            <w:pPr/>
          </w:p>
        </w:tc>
        <w:tc>
          <w:tcPr>
            <w:tcW w:w="850" w:type="dxa"/>
            <w:tcBorders>
              <w:top w:val="nil" w:sz="6" w:space="0" w:color="auto"/>
              <w:left w:val="nil" w:sz="6" w:space="0" w:color="auto"/>
              <w:bottom w:val="single" w:sz="4" w:space="0" w:color="5B9BD4"/>
              <w:right w:val="nil" w:sz="6" w:space="0" w:color="auto"/>
            </w:tcBorders>
            <w:shd w:val="clear" w:color="auto" w:fill="DEEAF6"/>
          </w:tcPr>
          <w:p>
            <w:pPr/>
          </w:p>
        </w:tc>
        <w:tc>
          <w:tcPr>
            <w:tcW w:w="588" w:type="dxa"/>
            <w:tcBorders>
              <w:top w:val="nil" w:sz="6" w:space="0" w:color="auto"/>
              <w:left w:val="nil" w:sz="6" w:space="0" w:color="auto"/>
              <w:bottom w:val="single" w:sz="4" w:space="0" w:color="5B9BD4"/>
              <w:right w:val="nil" w:sz="6" w:space="0" w:color="auto"/>
            </w:tcBorders>
            <w:shd w:val="clear" w:color="auto" w:fill="DEEAF6"/>
          </w:tcPr>
          <w:p>
            <w:pPr/>
          </w:p>
        </w:tc>
        <w:tc>
          <w:tcPr>
            <w:tcW w:w="932" w:type="dxa"/>
            <w:vMerge w:val="restart"/>
            <w:tcBorders>
              <w:top w:val="nil" w:sz="6" w:space="0" w:color="auto"/>
              <w:left w:val="nil" w:sz="6" w:space="0" w:color="auto"/>
              <w:right w:val="nil" w:sz="6" w:space="0" w:color="auto"/>
            </w:tcBorders>
            <w:shd w:val="clear" w:color="auto" w:fill="DEEAF6"/>
          </w:tcPr>
          <w:p>
            <w:pPr>
              <w:pStyle w:val="TableParagraph"/>
              <w:spacing w:line="156" w:lineRule="exact"/>
              <w:ind w:right="1"/>
              <w:jc w:val="center"/>
              <w:rPr>
                <w:rFonts w:ascii="宋体" w:hAnsi="宋体" w:cs="宋体" w:eastAsia="宋体" w:hint="default"/>
                <w:sz w:val="18"/>
                <w:szCs w:val="18"/>
              </w:rPr>
            </w:pPr>
            <w:r>
              <w:rPr>
                <w:rFonts w:ascii="宋体" w:hAnsi="宋体" w:cs="宋体" w:eastAsia="宋体" w:hint="default"/>
                <w:sz w:val="18"/>
                <w:szCs w:val="18"/>
              </w:rPr>
              <w:t>账面价</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值</w:t>
            </w:r>
          </w:p>
        </w:tc>
      </w:tr>
      <w:tr>
        <w:trPr>
          <w:trHeight w:val="247" w:hRule="exact"/>
        </w:trPr>
        <w:tc>
          <w:tcPr>
            <w:tcW w:w="1527" w:type="dxa"/>
            <w:vMerge/>
            <w:tcBorders>
              <w:left w:val="nil" w:sz="6" w:space="0" w:color="auto"/>
              <w:right w:val="nil" w:sz="6" w:space="0" w:color="auto"/>
            </w:tcBorders>
            <w:shd w:val="clear" w:color="auto" w:fill="DEEAF6"/>
          </w:tcPr>
          <w:p>
            <w:pPr/>
          </w:p>
        </w:tc>
        <w:tc>
          <w:tcPr>
            <w:tcW w:w="870" w:type="dxa"/>
            <w:tcBorders>
              <w:top w:val="single" w:sz="4" w:space="0" w:color="5B9BD4"/>
              <w:left w:val="nil" w:sz="6" w:space="0" w:color="auto"/>
              <w:bottom w:val="nil" w:sz="6" w:space="0" w:color="auto"/>
              <w:right w:val="nil" w:sz="6" w:space="0" w:color="auto"/>
            </w:tcBorders>
            <w:shd w:val="clear" w:color="auto" w:fill="DEEAF6"/>
          </w:tcPr>
          <w:p>
            <w:pPr/>
          </w:p>
        </w:tc>
        <w:tc>
          <w:tcPr>
            <w:tcW w:w="689" w:type="dxa"/>
            <w:tcBorders>
              <w:top w:val="single" w:sz="4" w:space="0" w:color="5B9BD4"/>
              <w:left w:val="nil" w:sz="6" w:space="0" w:color="auto"/>
              <w:bottom w:val="nil" w:sz="6" w:space="0" w:color="auto"/>
              <w:right w:val="nil" w:sz="6" w:space="0" w:color="auto"/>
            </w:tcBorders>
            <w:shd w:val="clear" w:color="auto" w:fill="DEEAF6"/>
          </w:tcPr>
          <w:p>
            <w:pPr/>
          </w:p>
        </w:tc>
        <w:tc>
          <w:tcPr>
            <w:tcW w:w="851" w:type="dxa"/>
            <w:tcBorders>
              <w:top w:val="single" w:sz="4" w:space="0" w:color="5B9BD4"/>
              <w:left w:val="nil" w:sz="6" w:space="0" w:color="auto"/>
              <w:bottom w:val="nil" w:sz="6" w:space="0" w:color="auto"/>
              <w:right w:val="nil" w:sz="6" w:space="0" w:color="auto"/>
            </w:tcBorders>
            <w:shd w:val="clear" w:color="auto" w:fill="DEEAF6"/>
          </w:tcPr>
          <w:p>
            <w:pPr/>
          </w:p>
        </w:tc>
        <w:tc>
          <w:tcPr>
            <w:tcW w:w="708"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5"/>
              <w:ind w:left="173" w:right="173"/>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992"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5"/>
              <w:ind w:right="133"/>
              <w:jc w:val="right"/>
              <w:rPr>
                <w:rFonts w:ascii="宋体" w:hAnsi="宋体" w:cs="宋体" w:eastAsia="宋体" w:hint="default"/>
                <w:sz w:val="18"/>
                <w:szCs w:val="18"/>
              </w:rPr>
            </w:pPr>
            <w:r>
              <w:rPr>
                <w:rFonts w:ascii="宋体" w:hAnsi="宋体" w:cs="宋体" w:eastAsia="宋体" w:hint="default"/>
                <w:sz w:val="18"/>
                <w:szCs w:val="18"/>
              </w:rPr>
              <w:t>账面价值</w:t>
            </w:r>
          </w:p>
        </w:tc>
        <w:tc>
          <w:tcPr>
            <w:tcW w:w="992" w:type="dxa"/>
            <w:tcBorders>
              <w:top w:val="single" w:sz="4" w:space="0" w:color="5B9BD4"/>
              <w:left w:val="nil" w:sz="6" w:space="0" w:color="auto"/>
              <w:bottom w:val="nil" w:sz="6" w:space="0" w:color="auto"/>
              <w:right w:val="nil" w:sz="6" w:space="0" w:color="auto"/>
            </w:tcBorders>
            <w:shd w:val="clear" w:color="auto" w:fill="DEEAF6"/>
          </w:tcPr>
          <w:p>
            <w:pPr/>
          </w:p>
        </w:tc>
        <w:tc>
          <w:tcPr>
            <w:tcW w:w="568"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5"/>
              <w:ind w:left="193" w:right="192"/>
              <w:jc w:val="center"/>
              <w:rPr>
                <w:rFonts w:ascii="宋体" w:hAnsi="宋体" w:cs="宋体" w:eastAsia="宋体" w:hint="default"/>
                <w:sz w:val="18"/>
                <w:szCs w:val="18"/>
              </w:rPr>
            </w:pPr>
            <w:r>
              <w:rPr>
                <w:rFonts w:ascii="宋体" w:hAnsi="宋体" w:cs="宋体" w:eastAsia="宋体" w:hint="default"/>
                <w:sz w:val="18"/>
                <w:szCs w:val="18"/>
              </w:rPr>
              <w:t>比 例</w:t>
            </w:r>
          </w:p>
        </w:tc>
        <w:tc>
          <w:tcPr>
            <w:tcW w:w="850" w:type="dxa"/>
            <w:tcBorders>
              <w:top w:val="single" w:sz="4" w:space="0" w:color="5B9BD4"/>
              <w:left w:val="nil" w:sz="6" w:space="0" w:color="auto"/>
              <w:bottom w:val="nil" w:sz="6" w:space="0" w:color="auto"/>
              <w:right w:val="nil" w:sz="6" w:space="0" w:color="auto"/>
            </w:tcBorders>
            <w:shd w:val="clear" w:color="auto" w:fill="DEEAF6"/>
          </w:tcPr>
          <w:p>
            <w:pPr/>
          </w:p>
        </w:tc>
        <w:tc>
          <w:tcPr>
            <w:tcW w:w="588"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5"/>
              <w:ind w:left="113" w:right="113"/>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932" w:type="dxa"/>
            <w:vMerge/>
            <w:tcBorders>
              <w:left w:val="nil" w:sz="6" w:space="0" w:color="auto"/>
              <w:right w:val="nil" w:sz="6" w:space="0" w:color="auto"/>
            </w:tcBorders>
            <w:shd w:val="clear" w:color="auto" w:fill="DEEAF6"/>
          </w:tcPr>
          <w:p>
            <w:pPr/>
          </w:p>
        </w:tc>
      </w:tr>
      <w:tr>
        <w:trPr>
          <w:trHeight w:val="382" w:hRule="exact"/>
        </w:trPr>
        <w:tc>
          <w:tcPr>
            <w:tcW w:w="1527" w:type="dxa"/>
            <w:vMerge/>
            <w:tcBorders>
              <w:left w:val="nil" w:sz="6" w:space="0" w:color="auto"/>
              <w:bottom w:val="single" w:sz="4" w:space="0" w:color="5B9BD4"/>
              <w:right w:val="nil" w:sz="6" w:space="0" w:color="auto"/>
            </w:tcBorders>
            <w:shd w:val="clear" w:color="auto" w:fill="DEEAF6"/>
          </w:tcPr>
          <w:p>
            <w:pPr/>
          </w:p>
        </w:tc>
        <w:tc>
          <w:tcPr>
            <w:tcW w:w="870"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156" w:lineRule="exact"/>
              <w:ind w:left="25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89"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156" w:lineRule="exact"/>
              <w:ind w:left="16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1"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156" w:lineRule="exact"/>
              <w:ind w:left="2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tcBorders>
              <w:left w:val="nil" w:sz="6" w:space="0" w:color="auto"/>
              <w:bottom w:val="single" w:sz="4" w:space="0" w:color="5B9BD4"/>
              <w:right w:val="nil" w:sz="6" w:space="0" w:color="auto"/>
            </w:tcBorders>
            <w:shd w:val="clear" w:color="auto" w:fill="DEEAF6"/>
          </w:tcPr>
          <w:p>
            <w:pPr/>
          </w:p>
        </w:tc>
        <w:tc>
          <w:tcPr>
            <w:tcW w:w="992" w:type="dxa"/>
            <w:tcBorders>
              <w:top w:val="nil" w:sz="6" w:space="0" w:color="auto"/>
              <w:left w:val="nil" w:sz="6" w:space="0" w:color="auto"/>
              <w:bottom w:val="single" w:sz="4" w:space="0" w:color="5B9BD4"/>
              <w:right w:val="nil" w:sz="6" w:space="0" w:color="auto"/>
            </w:tcBorders>
            <w:shd w:val="clear" w:color="auto" w:fill="DEEAF6"/>
          </w:tcPr>
          <w:p>
            <w:pPr/>
          </w:p>
        </w:tc>
        <w:tc>
          <w:tcPr>
            <w:tcW w:w="992"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156" w:lineRule="exact"/>
              <w:ind w:left="3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8" w:type="dxa"/>
            <w:vMerge/>
            <w:tcBorders>
              <w:left w:val="nil" w:sz="6" w:space="0" w:color="auto"/>
              <w:bottom w:val="single" w:sz="4" w:space="0" w:color="5B9BD4"/>
              <w:right w:val="nil" w:sz="6" w:space="0" w:color="auto"/>
            </w:tcBorders>
            <w:shd w:val="clear" w:color="auto" w:fill="DEEAF6"/>
          </w:tcPr>
          <w:p>
            <w:pPr/>
          </w:p>
        </w:tc>
        <w:tc>
          <w:tcPr>
            <w:tcW w:w="850"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156"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88" w:type="dxa"/>
            <w:vMerge/>
            <w:tcBorders>
              <w:left w:val="nil" w:sz="6" w:space="0" w:color="auto"/>
              <w:bottom w:val="single" w:sz="4" w:space="0" w:color="5B9BD4"/>
              <w:right w:val="nil" w:sz="6" w:space="0" w:color="auto"/>
            </w:tcBorders>
            <w:shd w:val="clear" w:color="auto" w:fill="DEEAF6"/>
          </w:tcPr>
          <w:p>
            <w:pPr/>
          </w:p>
        </w:tc>
        <w:tc>
          <w:tcPr>
            <w:tcW w:w="932" w:type="dxa"/>
            <w:vMerge/>
            <w:tcBorders>
              <w:left w:val="nil" w:sz="6" w:space="0" w:color="auto"/>
              <w:bottom w:val="single" w:sz="4" w:space="0" w:color="5B9BD4"/>
              <w:right w:val="nil" w:sz="6" w:space="0" w:color="auto"/>
            </w:tcBorders>
            <w:shd w:val="clear" w:color="auto" w:fill="DEEAF6"/>
          </w:tcPr>
          <w:p>
            <w:pPr/>
          </w:p>
        </w:tc>
      </w:tr>
      <w:tr>
        <w:trPr>
          <w:trHeight w:val="952" w:hRule="exact"/>
        </w:trPr>
        <w:tc>
          <w:tcPr>
            <w:tcW w:w="152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11"/>
              <w:ind w:left="108" w:right="156"/>
              <w:jc w:val="both"/>
              <w:rPr>
                <w:rFonts w:ascii="宋体" w:hAnsi="宋体" w:cs="宋体" w:eastAsia="宋体" w:hint="default"/>
                <w:sz w:val="18"/>
                <w:szCs w:val="18"/>
              </w:rPr>
            </w:pPr>
            <w:r>
              <w:rPr>
                <w:rFonts w:ascii="宋体" w:hAnsi="宋体" w:cs="宋体" w:eastAsia="宋体" w:hint="default"/>
                <w:sz w:val="18"/>
                <w:szCs w:val="18"/>
              </w:rPr>
              <w:t>单项金额重大并 单独计提坏账准 备的应收账款</w:t>
            </w:r>
          </w:p>
        </w:tc>
        <w:tc>
          <w:tcPr>
            <w:tcW w:w="870" w:type="dxa"/>
            <w:tcBorders>
              <w:top w:val="single" w:sz="4" w:space="0" w:color="5B9BD4"/>
              <w:left w:val="nil" w:sz="6" w:space="0" w:color="auto"/>
              <w:bottom w:val="single" w:sz="4" w:space="0" w:color="5B9BD4"/>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64" w:right="0"/>
              <w:jc w:val="left"/>
              <w:rPr>
                <w:rFonts w:ascii="Arial" w:hAnsi="Arial" w:cs="Arial" w:eastAsia="Arial" w:hint="default"/>
                <w:sz w:val="18"/>
                <w:szCs w:val="18"/>
              </w:rPr>
            </w:pPr>
            <w:r>
              <w:rPr>
                <w:rFonts w:ascii="Arial"/>
                <w:sz w:val="18"/>
              </w:rPr>
              <w:t>31,458,</w:t>
            </w:r>
          </w:p>
          <w:p>
            <w:pPr>
              <w:pStyle w:val="TableParagraph"/>
              <w:spacing w:line="240" w:lineRule="auto" w:before="105"/>
              <w:ind w:left="214" w:right="0"/>
              <w:jc w:val="left"/>
              <w:rPr>
                <w:rFonts w:ascii="Arial" w:hAnsi="Arial" w:cs="Arial" w:eastAsia="Arial" w:hint="default"/>
                <w:sz w:val="18"/>
                <w:szCs w:val="18"/>
              </w:rPr>
            </w:pPr>
            <w:r>
              <w:rPr>
                <w:rFonts w:ascii="Arial"/>
                <w:sz w:val="18"/>
              </w:rPr>
              <w:t>896.22</w:t>
            </w:r>
          </w:p>
        </w:tc>
        <w:tc>
          <w:tcPr>
            <w:tcW w:w="6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0" w:right="0"/>
              <w:jc w:val="left"/>
              <w:rPr>
                <w:rFonts w:ascii="Arial" w:hAnsi="Arial" w:cs="Arial" w:eastAsia="Arial" w:hint="default"/>
                <w:sz w:val="18"/>
                <w:szCs w:val="18"/>
              </w:rPr>
            </w:pPr>
            <w:r>
              <w:rPr>
                <w:rFonts w:ascii="Arial"/>
                <w:sz w:val="18"/>
              </w:rPr>
              <w:t>3.20</w:t>
            </w:r>
          </w:p>
          <w:p>
            <w:pPr>
              <w:pStyle w:val="TableParagraph"/>
              <w:spacing w:line="240" w:lineRule="auto" w:before="105"/>
              <w:ind w:left="440" w:right="0"/>
              <w:jc w:val="left"/>
              <w:rPr>
                <w:rFonts w:ascii="Arial" w:hAnsi="Arial" w:cs="Arial" w:eastAsia="Arial" w:hint="default"/>
                <w:sz w:val="18"/>
                <w:szCs w:val="18"/>
              </w:rPr>
            </w:pPr>
            <w:r>
              <w:rPr>
                <w:rFonts w:ascii="Arial"/>
                <w:w w:val="87"/>
                <w:sz w:val="18"/>
              </w:rPr>
              <w:t>%</w:t>
            </w:r>
            <w:r>
              <w:rPr>
                <w:rFonts w:ascii="Arial"/>
                <w:sz w:val="18"/>
              </w:rPr>
            </w:r>
          </w:p>
        </w:tc>
        <w:tc>
          <w:tcPr>
            <w:tcW w:w="851" w:type="dxa"/>
            <w:tcBorders>
              <w:top w:val="single" w:sz="4" w:space="0" w:color="5B9BD4"/>
              <w:left w:val="nil" w:sz="6" w:space="0" w:color="auto"/>
              <w:bottom w:val="single" w:sz="4" w:space="0" w:color="5B9BD4"/>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43" w:right="0"/>
              <w:jc w:val="left"/>
              <w:rPr>
                <w:rFonts w:ascii="Arial" w:hAnsi="Arial" w:cs="Arial" w:eastAsia="Arial" w:hint="default"/>
                <w:sz w:val="18"/>
                <w:szCs w:val="18"/>
              </w:rPr>
            </w:pPr>
            <w:r>
              <w:rPr>
                <w:rFonts w:ascii="Arial"/>
                <w:sz w:val="18"/>
              </w:rPr>
              <w:t>31,458,</w:t>
            </w:r>
          </w:p>
          <w:p>
            <w:pPr>
              <w:pStyle w:val="TableParagraph"/>
              <w:spacing w:line="240" w:lineRule="auto" w:before="105"/>
              <w:ind w:left="194" w:right="0"/>
              <w:jc w:val="left"/>
              <w:rPr>
                <w:rFonts w:ascii="Arial" w:hAnsi="Arial" w:cs="Arial" w:eastAsia="Arial" w:hint="default"/>
                <w:sz w:val="18"/>
                <w:szCs w:val="18"/>
              </w:rPr>
            </w:pPr>
            <w:r>
              <w:rPr>
                <w:rFonts w:ascii="Arial"/>
                <w:sz w:val="18"/>
              </w:rPr>
              <w:t>896.22</w:t>
            </w:r>
          </w:p>
        </w:tc>
        <w:tc>
          <w:tcPr>
            <w:tcW w:w="70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51" w:right="0"/>
              <w:jc w:val="left"/>
              <w:rPr>
                <w:rFonts w:ascii="Arial" w:hAnsi="Arial" w:cs="Arial" w:eastAsia="Arial" w:hint="default"/>
                <w:sz w:val="18"/>
                <w:szCs w:val="18"/>
              </w:rPr>
            </w:pPr>
            <w:r>
              <w:rPr>
                <w:rFonts w:ascii="Arial"/>
                <w:sz w:val="18"/>
              </w:rPr>
              <w:t>100.0</w:t>
            </w:r>
          </w:p>
          <w:p>
            <w:pPr>
              <w:pStyle w:val="TableParagraph"/>
              <w:spacing w:line="240" w:lineRule="auto" w:before="105"/>
              <w:ind w:left="361" w:right="0"/>
              <w:jc w:val="left"/>
              <w:rPr>
                <w:rFonts w:ascii="Arial" w:hAnsi="Arial" w:cs="Arial" w:eastAsia="Arial" w:hint="default"/>
                <w:sz w:val="18"/>
                <w:szCs w:val="18"/>
              </w:rPr>
            </w:pPr>
            <w:r>
              <w:rPr>
                <w:rFonts w:ascii="Arial"/>
                <w:sz w:val="18"/>
              </w:rPr>
              <w:t>0%</w:t>
            </w:r>
          </w:p>
        </w:tc>
        <w:tc>
          <w:tcPr>
            <w:tcW w:w="992"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4"/>
              <w:jc w:val="right"/>
              <w:rPr>
                <w:rFonts w:ascii="Arial" w:hAnsi="Arial" w:cs="Arial" w:eastAsia="Arial" w:hint="default"/>
                <w:sz w:val="18"/>
                <w:szCs w:val="18"/>
              </w:rPr>
            </w:pPr>
            <w:r>
              <w:rPr>
                <w:rFonts w:ascii="Arial"/>
                <w:w w:val="95"/>
                <w:sz w:val="18"/>
              </w:rPr>
              <w:t>0.00</w:t>
            </w:r>
            <w:r>
              <w:rPr>
                <w:rFonts w:ascii="Arial"/>
                <w:sz w:val="18"/>
              </w:rPr>
            </w:r>
          </w:p>
        </w:tc>
        <w:tc>
          <w:tcPr>
            <w:tcW w:w="992" w:type="dxa"/>
            <w:tcBorders>
              <w:top w:val="single" w:sz="4" w:space="0" w:color="5B9BD4"/>
              <w:left w:val="nil" w:sz="6" w:space="0" w:color="auto"/>
              <w:bottom w:val="single" w:sz="4" w:space="0" w:color="5B9BD4"/>
              <w:right w:val="nil" w:sz="6" w:space="0" w:color="auto"/>
            </w:tcBorders>
            <w:shd w:val="clear" w:color="auto" w:fill="DEEAF6"/>
          </w:tcPr>
          <w:p>
            <w:pPr/>
          </w:p>
        </w:tc>
        <w:tc>
          <w:tcPr>
            <w:tcW w:w="568" w:type="dxa"/>
            <w:tcBorders>
              <w:top w:val="single" w:sz="4" w:space="0" w:color="5B9BD4"/>
              <w:left w:val="nil" w:sz="6" w:space="0" w:color="auto"/>
              <w:bottom w:val="single" w:sz="4" w:space="0" w:color="5B9BD4"/>
              <w:right w:val="nil" w:sz="6" w:space="0" w:color="auto"/>
            </w:tcBorders>
          </w:tcPr>
          <w:p>
            <w:pPr/>
          </w:p>
        </w:tc>
        <w:tc>
          <w:tcPr>
            <w:tcW w:w="850" w:type="dxa"/>
            <w:tcBorders>
              <w:top w:val="single" w:sz="4" w:space="0" w:color="5B9BD4"/>
              <w:left w:val="nil" w:sz="6" w:space="0" w:color="auto"/>
              <w:bottom w:val="single" w:sz="4" w:space="0" w:color="5B9BD4"/>
              <w:right w:val="nil" w:sz="6" w:space="0" w:color="auto"/>
            </w:tcBorders>
            <w:shd w:val="clear" w:color="auto" w:fill="DEEAF6"/>
          </w:tcPr>
          <w:p>
            <w:pPr/>
          </w:p>
        </w:tc>
        <w:tc>
          <w:tcPr>
            <w:tcW w:w="588" w:type="dxa"/>
            <w:tcBorders>
              <w:top w:val="single" w:sz="4" w:space="0" w:color="5B9BD4"/>
              <w:left w:val="nil" w:sz="6" w:space="0" w:color="auto"/>
              <w:bottom w:val="single" w:sz="4" w:space="0" w:color="5B9BD4"/>
              <w:right w:val="nil" w:sz="6" w:space="0" w:color="auto"/>
            </w:tcBorders>
          </w:tcPr>
          <w:p>
            <w:pPr/>
          </w:p>
        </w:tc>
        <w:tc>
          <w:tcPr>
            <w:tcW w:w="93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946" w:hRule="exact"/>
        </w:trPr>
        <w:tc>
          <w:tcPr>
            <w:tcW w:w="152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56"/>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870"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5" w:right="0"/>
              <w:jc w:val="left"/>
              <w:rPr>
                <w:rFonts w:ascii="Arial" w:hAnsi="Arial" w:cs="Arial" w:eastAsia="Arial" w:hint="default"/>
                <w:sz w:val="18"/>
                <w:szCs w:val="18"/>
              </w:rPr>
            </w:pPr>
            <w:r>
              <w:rPr>
                <w:rFonts w:ascii="Arial"/>
                <w:sz w:val="18"/>
              </w:rPr>
              <w:t>945,212</w:t>
            </w:r>
          </w:p>
          <w:p>
            <w:pPr>
              <w:pStyle w:val="TableParagraph"/>
              <w:spacing w:line="240" w:lineRule="auto" w:before="105"/>
              <w:ind w:left="164" w:right="0"/>
              <w:jc w:val="left"/>
              <w:rPr>
                <w:rFonts w:ascii="Arial" w:hAnsi="Arial" w:cs="Arial" w:eastAsia="Arial" w:hint="default"/>
                <w:sz w:val="18"/>
                <w:szCs w:val="18"/>
              </w:rPr>
            </w:pPr>
            <w:r>
              <w:rPr>
                <w:rFonts w:ascii="Arial"/>
                <w:sz w:val="18"/>
              </w:rPr>
              <w:t>,981.46</w:t>
            </w:r>
          </w:p>
        </w:tc>
        <w:tc>
          <w:tcPr>
            <w:tcW w:w="6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30" w:right="0"/>
              <w:jc w:val="left"/>
              <w:rPr>
                <w:rFonts w:ascii="Arial" w:hAnsi="Arial" w:cs="Arial" w:eastAsia="Arial" w:hint="default"/>
                <w:sz w:val="18"/>
                <w:szCs w:val="18"/>
              </w:rPr>
            </w:pPr>
            <w:r>
              <w:rPr>
                <w:rFonts w:ascii="Arial"/>
                <w:sz w:val="18"/>
              </w:rPr>
              <w:t>95.97</w:t>
            </w:r>
          </w:p>
          <w:p>
            <w:pPr>
              <w:pStyle w:val="TableParagraph"/>
              <w:spacing w:line="240" w:lineRule="auto" w:before="105"/>
              <w:ind w:left="440" w:right="0"/>
              <w:jc w:val="left"/>
              <w:rPr>
                <w:rFonts w:ascii="Arial" w:hAnsi="Arial" w:cs="Arial" w:eastAsia="Arial" w:hint="default"/>
                <w:sz w:val="18"/>
                <w:szCs w:val="18"/>
              </w:rPr>
            </w:pPr>
            <w:r>
              <w:rPr>
                <w:rFonts w:ascii="Arial"/>
                <w:w w:val="87"/>
                <w:sz w:val="18"/>
              </w:rPr>
              <w:t>%</w:t>
            </w:r>
            <w:r>
              <w:rPr>
                <w:rFonts w:ascii="Arial"/>
                <w:sz w:val="18"/>
              </w:rPr>
            </w:r>
          </w:p>
        </w:tc>
        <w:tc>
          <w:tcPr>
            <w:tcW w:w="851"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5" w:right="0"/>
              <w:jc w:val="center"/>
              <w:rPr>
                <w:rFonts w:ascii="Arial" w:hAnsi="Arial" w:cs="Arial" w:eastAsia="Arial" w:hint="default"/>
                <w:sz w:val="18"/>
                <w:szCs w:val="18"/>
              </w:rPr>
            </w:pPr>
            <w:r>
              <w:rPr>
                <w:rFonts w:ascii="Arial"/>
                <w:sz w:val="18"/>
              </w:rPr>
              <w:t>8,917,2</w:t>
            </w:r>
          </w:p>
          <w:p>
            <w:pPr>
              <w:pStyle w:val="TableParagraph"/>
              <w:spacing w:line="240" w:lineRule="auto" w:before="105"/>
              <w:ind w:left="185" w:right="0"/>
              <w:jc w:val="center"/>
              <w:rPr>
                <w:rFonts w:ascii="Arial" w:hAnsi="Arial" w:cs="Arial" w:eastAsia="Arial" w:hint="default"/>
                <w:sz w:val="18"/>
                <w:szCs w:val="18"/>
              </w:rPr>
            </w:pPr>
            <w:r>
              <w:rPr>
                <w:rFonts w:ascii="Arial"/>
                <w:sz w:val="18"/>
              </w:rPr>
              <w:t>63.19</w:t>
            </w:r>
          </w:p>
        </w:tc>
        <w:tc>
          <w:tcPr>
            <w:tcW w:w="70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 w:right="0"/>
              <w:jc w:val="center"/>
              <w:rPr>
                <w:rFonts w:ascii="Arial" w:hAnsi="Arial" w:cs="Arial" w:eastAsia="Arial" w:hint="default"/>
                <w:sz w:val="18"/>
                <w:szCs w:val="18"/>
              </w:rPr>
            </w:pPr>
            <w:r>
              <w:rPr>
                <w:rFonts w:ascii="Arial"/>
                <w:sz w:val="18"/>
              </w:rPr>
              <w:t>0.94%</w:t>
            </w:r>
          </w:p>
        </w:tc>
        <w:tc>
          <w:tcPr>
            <w:tcW w:w="992"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80" w:right="0"/>
              <w:jc w:val="center"/>
              <w:rPr>
                <w:rFonts w:ascii="Arial" w:hAnsi="Arial" w:cs="Arial" w:eastAsia="Arial" w:hint="default"/>
                <w:sz w:val="18"/>
                <w:szCs w:val="18"/>
              </w:rPr>
            </w:pPr>
            <w:r>
              <w:rPr>
                <w:rFonts w:ascii="Arial"/>
                <w:sz w:val="18"/>
              </w:rPr>
              <w:t>936,295,</w:t>
            </w:r>
          </w:p>
          <w:p>
            <w:pPr>
              <w:pStyle w:val="TableParagraph"/>
              <w:spacing w:line="240" w:lineRule="auto" w:before="105"/>
              <w:ind w:left="230" w:right="0"/>
              <w:jc w:val="center"/>
              <w:rPr>
                <w:rFonts w:ascii="Arial" w:hAnsi="Arial" w:cs="Arial" w:eastAsia="Arial" w:hint="default"/>
                <w:sz w:val="18"/>
                <w:szCs w:val="18"/>
              </w:rPr>
            </w:pPr>
            <w:r>
              <w:rPr>
                <w:rFonts w:ascii="Arial"/>
                <w:sz w:val="18"/>
              </w:rPr>
              <w:t>718.27</w:t>
            </w:r>
          </w:p>
        </w:tc>
        <w:tc>
          <w:tcPr>
            <w:tcW w:w="9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85" w:right="0"/>
              <w:jc w:val="left"/>
              <w:rPr>
                <w:rFonts w:ascii="Arial" w:hAnsi="Arial" w:cs="Arial" w:eastAsia="Arial" w:hint="default"/>
                <w:sz w:val="18"/>
                <w:szCs w:val="18"/>
              </w:rPr>
            </w:pPr>
            <w:r>
              <w:rPr>
                <w:rFonts w:ascii="Arial"/>
                <w:sz w:val="18"/>
              </w:rPr>
              <w:t>1,130,27</w:t>
            </w:r>
          </w:p>
          <w:p>
            <w:pPr>
              <w:pStyle w:val="TableParagraph"/>
              <w:spacing w:line="240" w:lineRule="auto" w:before="105"/>
              <w:ind w:left="185" w:right="0"/>
              <w:jc w:val="left"/>
              <w:rPr>
                <w:rFonts w:ascii="Arial" w:hAnsi="Arial" w:cs="Arial" w:eastAsia="Arial" w:hint="default"/>
                <w:sz w:val="18"/>
                <w:szCs w:val="18"/>
              </w:rPr>
            </w:pPr>
            <w:r>
              <w:rPr>
                <w:rFonts w:ascii="Arial"/>
                <w:sz w:val="18"/>
              </w:rPr>
              <w:t>2,830.57</w:t>
            </w:r>
          </w:p>
        </w:tc>
        <w:tc>
          <w:tcPr>
            <w:tcW w:w="568"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0" w:right="0"/>
              <w:jc w:val="left"/>
              <w:rPr>
                <w:rFonts w:ascii="Arial" w:hAnsi="Arial" w:cs="Arial" w:eastAsia="Arial" w:hint="default"/>
                <w:sz w:val="18"/>
                <w:szCs w:val="18"/>
              </w:rPr>
            </w:pPr>
            <w:r>
              <w:rPr>
                <w:rFonts w:ascii="Arial"/>
                <w:sz w:val="18"/>
              </w:rPr>
              <w:t>100.</w:t>
            </w:r>
          </w:p>
          <w:p>
            <w:pPr>
              <w:pStyle w:val="TableParagraph"/>
              <w:spacing w:line="240" w:lineRule="auto" w:before="105"/>
              <w:ind w:left="121" w:right="0"/>
              <w:jc w:val="left"/>
              <w:rPr>
                <w:rFonts w:ascii="Arial" w:hAnsi="Arial" w:cs="Arial" w:eastAsia="Arial" w:hint="default"/>
                <w:sz w:val="18"/>
                <w:szCs w:val="18"/>
              </w:rPr>
            </w:pPr>
            <w:r>
              <w:rPr>
                <w:rFonts w:ascii="Arial"/>
                <w:spacing w:val="-2"/>
                <w:sz w:val="18"/>
              </w:rPr>
              <w:t>00%</w:t>
            </w:r>
            <w:r>
              <w:rPr>
                <w:rFonts w:ascii="Arial"/>
                <w:sz w:val="18"/>
              </w:rPr>
            </w:r>
          </w:p>
        </w:tc>
        <w:tc>
          <w:tcPr>
            <w:tcW w:w="85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42" w:right="0"/>
              <w:jc w:val="left"/>
              <w:rPr>
                <w:rFonts w:ascii="Arial" w:hAnsi="Arial" w:cs="Arial" w:eastAsia="Arial" w:hint="default"/>
                <w:sz w:val="18"/>
                <w:szCs w:val="18"/>
              </w:rPr>
            </w:pPr>
            <w:r>
              <w:rPr>
                <w:rFonts w:ascii="Arial"/>
                <w:sz w:val="18"/>
              </w:rPr>
              <w:t>14,380,</w:t>
            </w:r>
          </w:p>
          <w:p>
            <w:pPr>
              <w:pStyle w:val="TableParagraph"/>
              <w:spacing w:line="240" w:lineRule="auto" w:before="105"/>
              <w:ind w:left="193" w:right="0"/>
              <w:jc w:val="left"/>
              <w:rPr>
                <w:rFonts w:ascii="Arial" w:hAnsi="Arial" w:cs="Arial" w:eastAsia="Arial" w:hint="default"/>
                <w:sz w:val="18"/>
                <w:szCs w:val="18"/>
              </w:rPr>
            </w:pPr>
            <w:r>
              <w:rPr>
                <w:rFonts w:ascii="Arial"/>
                <w:sz w:val="18"/>
              </w:rPr>
              <w:t>274.14</w:t>
            </w:r>
          </w:p>
        </w:tc>
        <w:tc>
          <w:tcPr>
            <w:tcW w:w="588"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30" w:right="0"/>
              <w:jc w:val="left"/>
              <w:rPr>
                <w:rFonts w:ascii="Arial" w:hAnsi="Arial" w:cs="Arial" w:eastAsia="Arial" w:hint="default"/>
                <w:sz w:val="18"/>
                <w:szCs w:val="18"/>
              </w:rPr>
            </w:pPr>
            <w:r>
              <w:rPr>
                <w:rFonts w:ascii="Arial"/>
                <w:sz w:val="18"/>
              </w:rPr>
              <w:t>1.27</w:t>
            </w:r>
          </w:p>
          <w:p>
            <w:pPr>
              <w:pStyle w:val="TableParagraph"/>
              <w:spacing w:line="240" w:lineRule="auto" w:before="105"/>
              <w:ind w:left="340" w:right="0"/>
              <w:jc w:val="left"/>
              <w:rPr>
                <w:rFonts w:ascii="Arial" w:hAnsi="Arial" w:cs="Arial" w:eastAsia="Arial" w:hint="default"/>
                <w:sz w:val="18"/>
                <w:szCs w:val="18"/>
              </w:rPr>
            </w:pPr>
            <w:r>
              <w:rPr>
                <w:rFonts w:ascii="Arial"/>
                <w:w w:val="87"/>
                <w:sz w:val="18"/>
              </w:rPr>
              <w:t>%</w:t>
            </w:r>
            <w:r>
              <w:rPr>
                <w:rFonts w:ascii="Arial"/>
                <w:sz w:val="18"/>
              </w:rPr>
            </w:r>
          </w:p>
        </w:tc>
        <w:tc>
          <w:tcPr>
            <w:tcW w:w="93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6" w:right="0"/>
              <w:jc w:val="left"/>
              <w:rPr>
                <w:rFonts w:ascii="Arial" w:hAnsi="Arial" w:cs="Arial" w:eastAsia="Arial" w:hint="default"/>
                <w:sz w:val="18"/>
                <w:szCs w:val="18"/>
              </w:rPr>
            </w:pPr>
            <w:r>
              <w:rPr>
                <w:rFonts w:ascii="Arial"/>
                <w:sz w:val="18"/>
              </w:rPr>
              <w:t>1,115,89</w:t>
            </w:r>
          </w:p>
          <w:p>
            <w:pPr>
              <w:pStyle w:val="TableParagraph"/>
              <w:spacing w:line="240" w:lineRule="auto" w:before="105"/>
              <w:ind w:left="126" w:right="0"/>
              <w:jc w:val="left"/>
              <w:rPr>
                <w:rFonts w:ascii="Arial" w:hAnsi="Arial" w:cs="Arial" w:eastAsia="Arial" w:hint="default"/>
                <w:sz w:val="18"/>
                <w:szCs w:val="18"/>
              </w:rPr>
            </w:pPr>
            <w:r>
              <w:rPr>
                <w:rFonts w:ascii="Arial"/>
                <w:sz w:val="18"/>
              </w:rPr>
              <w:t>2,556.43</w:t>
            </w:r>
          </w:p>
        </w:tc>
      </w:tr>
      <w:tr>
        <w:trPr>
          <w:trHeight w:val="946" w:hRule="exact"/>
        </w:trPr>
        <w:tc>
          <w:tcPr>
            <w:tcW w:w="152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56"/>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准备的应收账款</w:t>
            </w:r>
          </w:p>
        </w:tc>
        <w:tc>
          <w:tcPr>
            <w:tcW w:w="870"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7" w:right="0"/>
              <w:jc w:val="center"/>
              <w:rPr>
                <w:rFonts w:ascii="Arial" w:hAnsi="Arial" w:cs="Arial" w:eastAsia="Arial" w:hint="default"/>
                <w:sz w:val="18"/>
                <w:szCs w:val="18"/>
              </w:rPr>
            </w:pPr>
            <w:r>
              <w:rPr>
                <w:rFonts w:ascii="Arial"/>
                <w:sz w:val="18"/>
              </w:rPr>
              <w:t>8,200,6</w:t>
            </w:r>
          </w:p>
          <w:p>
            <w:pPr>
              <w:pStyle w:val="TableParagraph"/>
              <w:spacing w:line="240" w:lineRule="auto" w:before="105"/>
              <w:ind w:left="207" w:right="0"/>
              <w:jc w:val="center"/>
              <w:rPr>
                <w:rFonts w:ascii="Arial" w:hAnsi="Arial" w:cs="Arial" w:eastAsia="Arial" w:hint="default"/>
                <w:sz w:val="18"/>
                <w:szCs w:val="18"/>
              </w:rPr>
            </w:pPr>
            <w:r>
              <w:rPr>
                <w:rFonts w:ascii="Arial"/>
                <w:sz w:val="18"/>
              </w:rPr>
              <w:t>69.83</w:t>
            </w:r>
          </w:p>
        </w:tc>
        <w:tc>
          <w:tcPr>
            <w:tcW w:w="6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0" w:right="0"/>
              <w:jc w:val="left"/>
              <w:rPr>
                <w:rFonts w:ascii="Arial" w:hAnsi="Arial" w:cs="Arial" w:eastAsia="Arial" w:hint="default"/>
                <w:sz w:val="18"/>
                <w:szCs w:val="18"/>
              </w:rPr>
            </w:pPr>
            <w:r>
              <w:rPr>
                <w:rFonts w:ascii="Arial"/>
                <w:sz w:val="18"/>
              </w:rPr>
              <w:t>0.83</w:t>
            </w:r>
          </w:p>
          <w:p>
            <w:pPr>
              <w:pStyle w:val="TableParagraph"/>
              <w:spacing w:line="240" w:lineRule="auto" w:before="105"/>
              <w:ind w:left="440" w:right="0"/>
              <w:jc w:val="left"/>
              <w:rPr>
                <w:rFonts w:ascii="Arial" w:hAnsi="Arial" w:cs="Arial" w:eastAsia="Arial" w:hint="default"/>
                <w:sz w:val="18"/>
                <w:szCs w:val="18"/>
              </w:rPr>
            </w:pPr>
            <w:r>
              <w:rPr>
                <w:rFonts w:ascii="Arial"/>
                <w:w w:val="87"/>
                <w:sz w:val="18"/>
              </w:rPr>
              <w:t>%</w:t>
            </w:r>
            <w:r>
              <w:rPr>
                <w:rFonts w:ascii="Arial"/>
                <w:sz w:val="18"/>
              </w:rPr>
            </w:r>
          </w:p>
        </w:tc>
        <w:tc>
          <w:tcPr>
            <w:tcW w:w="851"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5" w:right="0"/>
              <w:jc w:val="center"/>
              <w:rPr>
                <w:rFonts w:ascii="Arial" w:hAnsi="Arial" w:cs="Arial" w:eastAsia="Arial" w:hint="default"/>
                <w:sz w:val="18"/>
                <w:szCs w:val="18"/>
              </w:rPr>
            </w:pPr>
            <w:r>
              <w:rPr>
                <w:rFonts w:ascii="Arial"/>
                <w:sz w:val="18"/>
              </w:rPr>
              <w:t>8,200,6</w:t>
            </w:r>
          </w:p>
          <w:p>
            <w:pPr>
              <w:pStyle w:val="TableParagraph"/>
              <w:spacing w:line="240" w:lineRule="auto" w:before="105"/>
              <w:ind w:left="185" w:right="0"/>
              <w:jc w:val="center"/>
              <w:rPr>
                <w:rFonts w:ascii="Arial" w:hAnsi="Arial" w:cs="Arial" w:eastAsia="Arial" w:hint="default"/>
                <w:sz w:val="18"/>
                <w:szCs w:val="18"/>
              </w:rPr>
            </w:pPr>
            <w:r>
              <w:rPr>
                <w:rFonts w:ascii="Arial"/>
                <w:sz w:val="18"/>
              </w:rPr>
              <w:t>69.83</w:t>
            </w:r>
          </w:p>
        </w:tc>
        <w:tc>
          <w:tcPr>
            <w:tcW w:w="70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51" w:right="0"/>
              <w:jc w:val="left"/>
              <w:rPr>
                <w:rFonts w:ascii="Arial" w:hAnsi="Arial" w:cs="Arial" w:eastAsia="Arial" w:hint="default"/>
                <w:sz w:val="18"/>
                <w:szCs w:val="18"/>
              </w:rPr>
            </w:pPr>
            <w:r>
              <w:rPr>
                <w:rFonts w:ascii="Arial"/>
                <w:sz w:val="18"/>
              </w:rPr>
              <w:t>100.0</w:t>
            </w:r>
          </w:p>
          <w:p>
            <w:pPr>
              <w:pStyle w:val="TableParagraph"/>
              <w:spacing w:line="240" w:lineRule="auto" w:before="105"/>
              <w:ind w:left="361" w:right="0"/>
              <w:jc w:val="left"/>
              <w:rPr>
                <w:rFonts w:ascii="Arial" w:hAnsi="Arial" w:cs="Arial" w:eastAsia="Arial" w:hint="default"/>
                <w:sz w:val="18"/>
                <w:szCs w:val="18"/>
              </w:rPr>
            </w:pPr>
            <w:r>
              <w:rPr>
                <w:rFonts w:ascii="Arial"/>
                <w:sz w:val="18"/>
              </w:rPr>
              <w:t>0%</w:t>
            </w:r>
          </w:p>
        </w:tc>
        <w:tc>
          <w:tcPr>
            <w:tcW w:w="992"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4"/>
              <w:jc w:val="right"/>
              <w:rPr>
                <w:rFonts w:ascii="Arial" w:hAnsi="Arial" w:cs="Arial" w:eastAsia="Arial" w:hint="default"/>
                <w:sz w:val="18"/>
                <w:szCs w:val="18"/>
              </w:rPr>
            </w:pPr>
            <w:r>
              <w:rPr>
                <w:rFonts w:ascii="Arial"/>
                <w:w w:val="95"/>
                <w:sz w:val="18"/>
              </w:rPr>
              <w:t>0.00</w:t>
            </w:r>
            <w:r>
              <w:rPr>
                <w:rFonts w:ascii="Arial"/>
                <w:sz w:val="18"/>
              </w:rPr>
            </w:r>
          </w:p>
        </w:tc>
        <w:tc>
          <w:tcPr>
            <w:tcW w:w="992" w:type="dxa"/>
            <w:tcBorders>
              <w:top w:val="single" w:sz="4" w:space="0" w:color="5B9BD4"/>
              <w:left w:val="nil" w:sz="6" w:space="0" w:color="auto"/>
              <w:bottom w:val="single" w:sz="4" w:space="0" w:color="5B9BD4"/>
              <w:right w:val="nil" w:sz="6" w:space="0" w:color="auto"/>
            </w:tcBorders>
            <w:shd w:val="clear" w:color="auto" w:fill="DEEAF6"/>
          </w:tcPr>
          <w:p>
            <w:pPr/>
          </w:p>
        </w:tc>
        <w:tc>
          <w:tcPr>
            <w:tcW w:w="568" w:type="dxa"/>
            <w:tcBorders>
              <w:top w:val="single" w:sz="4" w:space="0" w:color="5B9BD4"/>
              <w:left w:val="nil" w:sz="6" w:space="0" w:color="auto"/>
              <w:bottom w:val="single" w:sz="4" w:space="0" w:color="5B9BD4"/>
              <w:right w:val="nil" w:sz="6" w:space="0" w:color="auto"/>
            </w:tcBorders>
          </w:tcPr>
          <w:p>
            <w:pPr/>
          </w:p>
        </w:tc>
        <w:tc>
          <w:tcPr>
            <w:tcW w:w="850" w:type="dxa"/>
            <w:tcBorders>
              <w:top w:val="single" w:sz="4" w:space="0" w:color="5B9BD4"/>
              <w:left w:val="nil" w:sz="6" w:space="0" w:color="auto"/>
              <w:bottom w:val="single" w:sz="4" w:space="0" w:color="5B9BD4"/>
              <w:right w:val="nil" w:sz="6" w:space="0" w:color="auto"/>
            </w:tcBorders>
            <w:shd w:val="clear" w:color="auto" w:fill="DEEAF6"/>
          </w:tcPr>
          <w:p>
            <w:pPr/>
          </w:p>
        </w:tc>
        <w:tc>
          <w:tcPr>
            <w:tcW w:w="588" w:type="dxa"/>
            <w:tcBorders>
              <w:top w:val="single" w:sz="4" w:space="0" w:color="5B9BD4"/>
              <w:left w:val="nil" w:sz="6" w:space="0" w:color="auto"/>
              <w:bottom w:val="single" w:sz="4" w:space="0" w:color="5B9BD4"/>
              <w:right w:val="nil" w:sz="6" w:space="0" w:color="auto"/>
            </w:tcBorders>
          </w:tcPr>
          <w:p>
            <w:pPr/>
          </w:p>
        </w:tc>
        <w:tc>
          <w:tcPr>
            <w:tcW w:w="93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5" w:hRule="exact"/>
        </w:trPr>
        <w:tc>
          <w:tcPr>
            <w:tcW w:w="152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15" w:right="0"/>
              <w:jc w:val="left"/>
              <w:rPr>
                <w:rFonts w:ascii="Arial" w:hAnsi="Arial" w:cs="Arial" w:eastAsia="Arial" w:hint="default"/>
                <w:sz w:val="18"/>
                <w:szCs w:val="18"/>
              </w:rPr>
            </w:pPr>
            <w:r>
              <w:rPr>
                <w:rFonts w:ascii="Arial"/>
                <w:sz w:val="18"/>
              </w:rPr>
              <w:t>984,872</w:t>
            </w:r>
          </w:p>
          <w:p>
            <w:pPr>
              <w:pStyle w:val="TableParagraph"/>
              <w:spacing w:line="240" w:lineRule="auto" w:before="105"/>
              <w:ind w:left="164" w:right="0"/>
              <w:jc w:val="left"/>
              <w:rPr>
                <w:rFonts w:ascii="Arial" w:hAnsi="Arial" w:cs="Arial" w:eastAsia="Arial" w:hint="default"/>
                <w:sz w:val="18"/>
                <w:szCs w:val="18"/>
              </w:rPr>
            </w:pPr>
            <w:r>
              <w:rPr>
                <w:rFonts w:ascii="Arial"/>
                <w:sz w:val="18"/>
              </w:rPr>
              <w:t>,547.51</w:t>
            </w:r>
          </w:p>
        </w:tc>
        <w:tc>
          <w:tcPr>
            <w:tcW w:w="6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30" w:right="0"/>
              <w:jc w:val="left"/>
              <w:rPr>
                <w:rFonts w:ascii="Arial" w:hAnsi="Arial" w:cs="Arial" w:eastAsia="Arial" w:hint="default"/>
                <w:sz w:val="18"/>
                <w:szCs w:val="18"/>
              </w:rPr>
            </w:pPr>
            <w:r>
              <w:rPr>
                <w:rFonts w:ascii="Arial"/>
                <w:sz w:val="18"/>
              </w:rPr>
              <w:t>100.0</w:t>
            </w:r>
          </w:p>
          <w:p>
            <w:pPr>
              <w:pStyle w:val="TableParagraph"/>
              <w:spacing w:line="240" w:lineRule="auto" w:before="105"/>
              <w:ind w:left="340" w:right="0"/>
              <w:jc w:val="left"/>
              <w:rPr>
                <w:rFonts w:ascii="Arial" w:hAnsi="Arial" w:cs="Arial" w:eastAsia="Arial" w:hint="default"/>
                <w:sz w:val="18"/>
                <w:szCs w:val="18"/>
              </w:rPr>
            </w:pPr>
            <w:r>
              <w:rPr>
                <w:rFonts w:ascii="Arial"/>
                <w:sz w:val="18"/>
              </w:rPr>
              <w:t>0%</w:t>
            </w:r>
          </w:p>
        </w:tc>
        <w:tc>
          <w:tcPr>
            <w:tcW w:w="851"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43" w:right="0"/>
              <w:jc w:val="left"/>
              <w:rPr>
                <w:rFonts w:ascii="Arial" w:hAnsi="Arial" w:cs="Arial" w:eastAsia="Arial" w:hint="default"/>
                <w:sz w:val="18"/>
                <w:szCs w:val="18"/>
              </w:rPr>
            </w:pPr>
            <w:r>
              <w:rPr>
                <w:rFonts w:ascii="Arial"/>
                <w:sz w:val="18"/>
              </w:rPr>
              <w:t>48,576,</w:t>
            </w:r>
          </w:p>
          <w:p>
            <w:pPr>
              <w:pStyle w:val="TableParagraph"/>
              <w:spacing w:line="240" w:lineRule="auto" w:before="105"/>
              <w:ind w:left="194" w:right="0"/>
              <w:jc w:val="left"/>
              <w:rPr>
                <w:rFonts w:ascii="Arial" w:hAnsi="Arial" w:cs="Arial" w:eastAsia="Arial" w:hint="default"/>
                <w:sz w:val="18"/>
                <w:szCs w:val="18"/>
              </w:rPr>
            </w:pPr>
            <w:r>
              <w:rPr>
                <w:rFonts w:ascii="Arial"/>
                <w:sz w:val="18"/>
              </w:rPr>
              <w:t>829.24</w:t>
            </w:r>
          </w:p>
        </w:tc>
        <w:tc>
          <w:tcPr>
            <w:tcW w:w="70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 w:right="0"/>
              <w:jc w:val="center"/>
              <w:rPr>
                <w:rFonts w:ascii="Arial" w:hAnsi="Arial" w:cs="Arial" w:eastAsia="Arial" w:hint="default"/>
                <w:sz w:val="18"/>
                <w:szCs w:val="18"/>
              </w:rPr>
            </w:pPr>
            <w:r>
              <w:rPr>
                <w:rFonts w:ascii="Arial"/>
                <w:sz w:val="18"/>
              </w:rPr>
              <w:t>4.93%</w:t>
            </w:r>
          </w:p>
        </w:tc>
        <w:tc>
          <w:tcPr>
            <w:tcW w:w="992"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80" w:right="0"/>
              <w:jc w:val="center"/>
              <w:rPr>
                <w:rFonts w:ascii="Arial" w:hAnsi="Arial" w:cs="Arial" w:eastAsia="Arial" w:hint="default"/>
                <w:sz w:val="18"/>
                <w:szCs w:val="18"/>
              </w:rPr>
            </w:pPr>
            <w:r>
              <w:rPr>
                <w:rFonts w:ascii="Arial"/>
                <w:sz w:val="18"/>
              </w:rPr>
              <w:t>936,295,</w:t>
            </w:r>
          </w:p>
          <w:p>
            <w:pPr>
              <w:pStyle w:val="TableParagraph"/>
              <w:spacing w:line="240" w:lineRule="auto" w:before="105"/>
              <w:ind w:left="230" w:right="0"/>
              <w:jc w:val="center"/>
              <w:rPr>
                <w:rFonts w:ascii="Arial" w:hAnsi="Arial" w:cs="Arial" w:eastAsia="Arial" w:hint="default"/>
                <w:sz w:val="18"/>
                <w:szCs w:val="18"/>
              </w:rPr>
            </w:pPr>
            <w:r>
              <w:rPr>
                <w:rFonts w:ascii="Arial"/>
                <w:sz w:val="18"/>
              </w:rPr>
              <w:t>718.27</w:t>
            </w:r>
          </w:p>
        </w:tc>
        <w:tc>
          <w:tcPr>
            <w:tcW w:w="9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85" w:right="0"/>
              <w:jc w:val="left"/>
              <w:rPr>
                <w:rFonts w:ascii="Arial" w:hAnsi="Arial" w:cs="Arial" w:eastAsia="Arial" w:hint="default"/>
                <w:sz w:val="18"/>
                <w:szCs w:val="18"/>
              </w:rPr>
            </w:pPr>
            <w:r>
              <w:rPr>
                <w:rFonts w:ascii="Arial"/>
                <w:sz w:val="18"/>
              </w:rPr>
              <w:t>1,130,27</w:t>
            </w:r>
          </w:p>
          <w:p>
            <w:pPr>
              <w:pStyle w:val="TableParagraph"/>
              <w:spacing w:line="240" w:lineRule="auto" w:before="105"/>
              <w:ind w:left="185" w:right="0"/>
              <w:jc w:val="left"/>
              <w:rPr>
                <w:rFonts w:ascii="Arial" w:hAnsi="Arial" w:cs="Arial" w:eastAsia="Arial" w:hint="default"/>
                <w:sz w:val="18"/>
                <w:szCs w:val="18"/>
              </w:rPr>
            </w:pPr>
            <w:r>
              <w:rPr>
                <w:rFonts w:ascii="Arial"/>
                <w:sz w:val="18"/>
              </w:rPr>
              <w:t>2,830.57</w:t>
            </w:r>
          </w:p>
        </w:tc>
        <w:tc>
          <w:tcPr>
            <w:tcW w:w="568"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10" w:right="0"/>
              <w:jc w:val="left"/>
              <w:rPr>
                <w:rFonts w:ascii="Arial" w:hAnsi="Arial" w:cs="Arial" w:eastAsia="Arial" w:hint="default"/>
                <w:sz w:val="18"/>
                <w:szCs w:val="18"/>
              </w:rPr>
            </w:pPr>
            <w:r>
              <w:rPr>
                <w:rFonts w:ascii="Arial"/>
                <w:sz w:val="18"/>
              </w:rPr>
              <w:t>100.</w:t>
            </w:r>
          </w:p>
          <w:p>
            <w:pPr>
              <w:pStyle w:val="TableParagraph"/>
              <w:spacing w:line="240" w:lineRule="auto" w:before="105"/>
              <w:ind w:left="121" w:right="0"/>
              <w:jc w:val="left"/>
              <w:rPr>
                <w:rFonts w:ascii="Arial" w:hAnsi="Arial" w:cs="Arial" w:eastAsia="Arial" w:hint="default"/>
                <w:sz w:val="18"/>
                <w:szCs w:val="18"/>
              </w:rPr>
            </w:pPr>
            <w:r>
              <w:rPr>
                <w:rFonts w:ascii="Arial"/>
                <w:spacing w:val="-2"/>
                <w:sz w:val="18"/>
              </w:rPr>
              <w:t>00%</w:t>
            </w:r>
            <w:r>
              <w:rPr>
                <w:rFonts w:ascii="Arial"/>
                <w:sz w:val="18"/>
              </w:rPr>
            </w:r>
          </w:p>
        </w:tc>
        <w:tc>
          <w:tcPr>
            <w:tcW w:w="85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42" w:right="0"/>
              <w:jc w:val="left"/>
              <w:rPr>
                <w:rFonts w:ascii="Arial" w:hAnsi="Arial" w:cs="Arial" w:eastAsia="Arial" w:hint="default"/>
                <w:sz w:val="18"/>
                <w:szCs w:val="18"/>
              </w:rPr>
            </w:pPr>
            <w:r>
              <w:rPr>
                <w:rFonts w:ascii="Arial"/>
                <w:sz w:val="18"/>
              </w:rPr>
              <w:t>14,380,</w:t>
            </w:r>
          </w:p>
          <w:p>
            <w:pPr>
              <w:pStyle w:val="TableParagraph"/>
              <w:spacing w:line="240" w:lineRule="auto" w:before="105"/>
              <w:ind w:left="193" w:right="0"/>
              <w:jc w:val="left"/>
              <w:rPr>
                <w:rFonts w:ascii="Arial" w:hAnsi="Arial" w:cs="Arial" w:eastAsia="Arial" w:hint="default"/>
                <w:sz w:val="18"/>
                <w:szCs w:val="18"/>
              </w:rPr>
            </w:pPr>
            <w:r>
              <w:rPr>
                <w:rFonts w:ascii="Arial"/>
                <w:sz w:val="18"/>
              </w:rPr>
              <w:t>274.14</w:t>
            </w:r>
          </w:p>
        </w:tc>
        <w:tc>
          <w:tcPr>
            <w:tcW w:w="588"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30" w:right="0"/>
              <w:jc w:val="left"/>
              <w:rPr>
                <w:rFonts w:ascii="Arial" w:hAnsi="Arial" w:cs="Arial" w:eastAsia="Arial" w:hint="default"/>
                <w:sz w:val="18"/>
                <w:szCs w:val="18"/>
              </w:rPr>
            </w:pPr>
            <w:r>
              <w:rPr>
                <w:rFonts w:ascii="Arial"/>
                <w:sz w:val="18"/>
              </w:rPr>
              <w:t>1.27</w:t>
            </w:r>
          </w:p>
          <w:p>
            <w:pPr>
              <w:pStyle w:val="TableParagraph"/>
              <w:spacing w:line="240" w:lineRule="auto" w:before="105"/>
              <w:ind w:left="340" w:right="0"/>
              <w:jc w:val="left"/>
              <w:rPr>
                <w:rFonts w:ascii="Arial" w:hAnsi="Arial" w:cs="Arial" w:eastAsia="Arial" w:hint="default"/>
                <w:sz w:val="18"/>
                <w:szCs w:val="18"/>
              </w:rPr>
            </w:pPr>
            <w:r>
              <w:rPr>
                <w:rFonts w:ascii="Arial"/>
                <w:w w:val="87"/>
                <w:sz w:val="18"/>
              </w:rPr>
              <w:t>%</w:t>
            </w:r>
            <w:r>
              <w:rPr>
                <w:rFonts w:ascii="Arial"/>
                <w:sz w:val="18"/>
              </w:rPr>
            </w:r>
          </w:p>
        </w:tc>
        <w:tc>
          <w:tcPr>
            <w:tcW w:w="93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26" w:right="0"/>
              <w:jc w:val="left"/>
              <w:rPr>
                <w:rFonts w:ascii="Arial" w:hAnsi="Arial" w:cs="Arial" w:eastAsia="Arial" w:hint="default"/>
                <w:sz w:val="18"/>
                <w:szCs w:val="18"/>
              </w:rPr>
            </w:pPr>
            <w:r>
              <w:rPr>
                <w:rFonts w:ascii="Arial"/>
                <w:sz w:val="18"/>
              </w:rPr>
              <w:t>1,115,89</w:t>
            </w:r>
          </w:p>
          <w:p>
            <w:pPr>
              <w:pStyle w:val="TableParagraph"/>
              <w:spacing w:line="240" w:lineRule="auto" w:before="105"/>
              <w:ind w:left="126" w:right="0"/>
              <w:jc w:val="left"/>
              <w:rPr>
                <w:rFonts w:ascii="Arial" w:hAnsi="Arial" w:cs="Arial" w:eastAsia="Arial" w:hint="default"/>
                <w:sz w:val="18"/>
                <w:szCs w:val="18"/>
              </w:rPr>
            </w:pPr>
            <w:r>
              <w:rPr>
                <w:rFonts w:ascii="Arial"/>
                <w:sz w:val="18"/>
              </w:rPr>
              <w:t>2,556.43</w:t>
            </w:r>
          </w:p>
        </w:tc>
      </w:tr>
    </w:tbl>
    <w:p>
      <w:pPr>
        <w:spacing w:line="240" w:lineRule="auto" w:before="0"/>
        <w:rPr>
          <w:rFonts w:ascii="宋体" w:hAnsi="宋体" w:cs="宋体" w:eastAsia="宋体" w:hint="default"/>
          <w:sz w:val="15"/>
          <w:szCs w:val="15"/>
        </w:rPr>
      </w:pPr>
    </w:p>
    <w:p>
      <w:pPr>
        <w:pStyle w:val="BodyText"/>
        <w:spacing w:line="240" w:lineRule="auto" w:before="18"/>
        <w:ind w:left="634" w:right="1513"/>
        <w:jc w:val="left"/>
      </w:pPr>
      <w:r>
        <w:rPr/>
        <w:t>期末单项金额重大并单项计提坏账准备的应收账款：</w:t>
      </w:r>
    </w:p>
    <w:p>
      <w:pPr>
        <w:spacing w:line="240" w:lineRule="auto" w:before="4"/>
        <w:rPr>
          <w:rFonts w:ascii="宋体" w:hAnsi="宋体" w:cs="宋体" w:eastAsia="宋体" w:hint="default"/>
          <w:sz w:val="25"/>
          <w:szCs w:val="25"/>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995"/>
        <w:gridCol w:w="1836"/>
        <w:gridCol w:w="1914"/>
        <w:gridCol w:w="1913"/>
        <w:gridCol w:w="1913"/>
      </w:tblGrid>
      <w:tr>
        <w:trPr>
          <w:trHeight w:val="322" w:hRule="exact"/>
        </w:trPr>
        <w:tc>
          <w:tcPr>
            <w:tcW w:w="1995"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6" w:type="dxa"/>
            <w:gridSpan w:val="4"/>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17" w:hRule="exact"/>
        </w:trPr>
        <w:tc>
          <w:tcPr>
            <w:tcW w:w="1995" w:type="dxa"/>
            <w:vMerge/>
            <w:tcBorders>
              <w:left w:val="nil" w:sz="6" w:space="0" w:color="auto"/>
              <w:bottom w:val="single" w:sz="4" w:space="0" w:color="5B9BD4"/>
              <w:right w:val="nil" w:sz="6" w:space="0" w:color="auto"/>
            </w:tcBorders>
            <w:shd w:val="clear" w:color="auto" w:fill="DEEAF6"/>
          </w:tcPr>
          <w:p>
            <w:pPr/>
          </w:p>
        </w:tc>
        <w:tc>
          <w:tcPr>
            <w:tcW w:w="18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55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5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59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596"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26" w:hRule="exact"/>
        </w:trPr>
        <w:tc>
          <w:tcPr>
            <w:tcW w:w="19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left="108" w:right="0"/>
              <w:jc w:val="left"/>
              <w:rPr>
                <w:rFonts w:ascii="Arial" w:hAnsi="Arial" w:cs="Arial" w:eastAsia="Arial" w:hint="default"/>
                <w:sz w:val="18"/>
                <w:szCs w:val="18"/>
              </w:rPr>
            </w:pPr>
            <w:r>
              <w:rPr>
                <w:rFonts w:ascii="宋体" w:hAnsi="宋体" w:cs="宋体" w:eastAsia="宋体" w:hint="default"/>
                <w:w w:val="105"/>
                <w:sz w:val="18"/>
                <w:szCs w:val="18"/>
              </w:rPr>
              <w:t>公司</w:t>
            </w:r>
            <w:r>
              <w:rPr>
                <w:rFonts w:ascii="宋体" w:hAnsi="宋体" w:cs="宋体" w:eastAsia="宋体" w:hint="default"/>
                <w:spacing w:val="-62"/>
                <w:w w:val="105"/>
                <w:sz w:val="18"/>
                <w:szCs w:val="18"/>
              </w:rPr>
              <w:t> </w:t>
            </w:r>
            <w:r>
              <w:rPr>
                <w:rFonts w:ascii="Arial" w:hAnsi="Arial" w:cs="Arial" w:eastAsia="Arial" w:hint="default"/>
                <w:w w:val="105"/>
                <w:sz w:val="18"/>
                <w:szCs w:val="18"/>
              </w:rPr>
              <w:t>A</w:t>
            </w:r>
            <w:r>
              <w:rPr>
                <w:rFonts w:ascii="Arial" w:hAnsi="Arial" w:cs="Arial" w:eastAsia="Arial" w:hint="default"/>
                <w:sz w:val="18"/>
                <w:szCs w:val="18"/>
              </w:rPr>
            </w:r>
          </w:p>
        </w:tc>
        <w:tc>
          <w:tcPr>
            <w:tcW w:w="1836"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right="104"/>
              <w:jc w:val="right"/>
              <w:rPr>
                <w:rFonts w:ascii="Arial" w:hAnsi="Arial" w:cs="Arial" w:eastAsia="Arial" w:hint="default"/>
                <w:sz w:val="18"/>
                <w:szCs w:val="18"/>
              </w:rPr>
            </w:pPr>
            <w:r>
              <w:rPr>
                <w:rFonts w:ascii="Arial"/>
                <w:w w:val="95"/>
                <w:sz w:val="18"/>
              </w:rPr>
              <w:t>11,598,248.72</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2"/>
              <w:ind w:right="107"/>
              <w:jc w:val="right"/>
              <w:rPr>
                <w:rFonts w:ascii="Arial" w:hAnsi="Arial" w:cs="Arial" w:eastAsia="Arial" w:hint="default"/>
                <w:sz w:val="18"/>
                <w:szCs w:val="18"/>
              </w:rPr>
            </w:pPr>
            <w:r>
              <w:rPr>
                <w:rFonts w:ascii="Arial"/>
                <w:w w:val="95"/>
                <w:sz w:val="18"/>
              </w:rPr>
              <w:t>11,598,248.72</w:t>
            </w:r>
            <w:r>
              <w:rPr>
                <w:rFonts w:ascii="Arial"/>
                <w:sz w:val="18"/>
              </w:rPr>
            </w:r>
          </w:p>
        </w:tc>
        <w:tc>
          <w:tcPr>
            <w:tcW w:w="1913"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right="106"/>
              <w:jc w:val="right"/>
              <w:rPr>
                <w:rFonts w:ascii="Arial" w:hAnsi="Arial" w:cs="Arial" w:eastAsia="Arial" w:hint="default"/>
                <w:sz w:val="18"/>
                <w:szCs w:val="18"/>
              </w:rPr>
            </w:pPr>
            <w:r>
              <w:rPr>
                <w:rFonts w:ascii="Arial"/>
                <w:w w:val="95"/>
                <w:sz w:val="18"/>
              </w:rPr>
              <w:t>100.00%</w:t>
            </w:r>
            <w:r>
              <w:rPr>
                <w:rFonts w:ascii="Arial"/>
                <w:sz w:val="18"/>
              </w:rPr>
            </w:r>
          </w:p>
        </w:tc>
        <w:tc>
          <w:tcPr>
            <w:tcW w:w="191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right="107"/>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22" w:hRule="exact"/>
        </w:trPr>
        <w:tc>
          <w:tcPr>
            <w:tcW w:w="19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Arial" w:hAnsi="Arial" w:cs="Arial" w:eastAsia="Arial" w:hint="default"/>
                <w:sz w:val="18"/>
                <w:szCs w:val="18"/>
              </w:rPr>
            </w:pPr>
            <w:r>
              <w:rPr>
                <w:rFonts w:ascii="宋体" w:hAnsi="宋体" w:cs="宋体" w:eastAsia="宋体" w:hint="default"/>
                <w:sz w:val="18"/>
                <w:szCs w:val="18"/>
              </w:rPr>
              <w:t>公司</w:t>
            </w:r>
            <w:r>
              <w:rPr>
                <w:rFonts w:ascii="宋体" w:hAnsi="宋体" w:cs="宋体" w:eastAsia="宋体" w:hint="default"/>
                <w:spacing w:val="-63"/>
                <w:sz w:val="18"/>
                <w:szCs w:val="18"/>
              </w:rPr>
              <w:t> </w:t>
            </w:r>
            <w:r>
              <w:rPr>
                <w:rFonts w:ascii="Arial" w:hAnsi="Arial" w:cs="Arial" w:eastAsia="Arial" w:hint="default"/>
                <w:sz w:val="18"/>
                <w:szCs w:val="18"/>
              </w:rPr>
              <w:t>B</w:t>
            </w:r>
          </w:p>
        </w:tc>
        <w:tc>
          <w:tcPr>
            <w:tcW w:w="183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10,400,000.00</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w w:val="95"/>
                <w:sz w:val="18"/>
              </w:rPr>
              <w:t>10,400,000.00</w:t>
            </w:r>
            <w:r>
              <w:rPr>
                <w:rFonts w:ascii="Arial"/>
                <w:sz w:val="18"/>
              </w:rPr>
            </w:r>
          </w:p>
        </w:tc>
        <w:tc>
          <w:tcPr>
            <w:tcW w:w="1913"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100.00%</w:t>
            </w:r>
            <w:r>
              <w:rPr>
                <w:rFonts w:ascii="Arial"/>
                <w:sz w:val="18"/>
              </w:rPr>
            </w:r>
          </w:p>
        </w:tc>
        <w:tc>
          <w:tcPr>
            <w:tcW w:w="191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07"/>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22" w:hRule="exact"/>
        </w:trPr>
        <w:tc>
          <w:tcPr>
            <w:tcW w:w="19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Arial" w:hAnsi="Arial" w:cs="Arial" w:eastAsia="Arial" w:hint="default"/>
                <w:sz w:val="18"/>
                <w:szCs w:val="18"/>
              </w:rPr>
            </w:pPr>
            <w:r>
              <w:rPr>
                <w:rFonts w:ascii="宋体" w:hAnsi="宋体" w:cs="宋体" w:eastAsia="宋体" w:hint="default"/>
                <w:w w:val="105"/>
                <w:sz w:val="18"/>
                <w:szCs w:val="18"/>
              </w:rPr>
              <w:t>公司</w:t>
            </w:r>
            <w:r>
              <w:rPr>
                <w:rFonts w:ascii="宋体" w:hAnsi="宋体" w:cs="宋体" w:eastAsia="宋体" w:hint="default"/>
                <w:spacing w:val="-59"/>
                <w:w w:val="105"/>
                <w:sz w:val="18"/>
                <w:szCs w:val="18"/>
              </w:rPr>
              <w:t> </w:t>
            </w:r>
            <w:r>
              <w:rPr>
                <w:rFonts w:ascii="Arial" w:hAnsi="Arial" w:cs="Arial" w:eastAsia="Arial" w:hint="default"/>
                <w:w w:val="105"/>
                <w:sz w:val="18"/>
                <w:szCs w:val="18"/>
              </w:rPr>
              <w:t>C</w:t>
            </w:r>
            <w:r>
              <w:rPr>
                <w:rFonts w:ascii="Arial" w:hAnsi="Arial" w:cs="Arial" w:eastAsia="Arial" w:hint="default"/>
                <w:sz w:val="18"/>
                <w:szCs w:val="18"/>
              </w:rPr>
            </w:r>
          </w:p>
        </w:tc>
        <w:tc>
          <w:tcPr>
            <w:tcW w:w="183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3"/>
              <w:jc w:val="right"/>
              <w:rPr>
                <w:rFonts w:ascii="Arial" w:hAnsi="Arial" w:cs="Arial" w:eastAsia="Arial" w:hint="default"/>
                <w:sz w:val="18"/>
                <w:szCs w:val="18"/>
              </w:rPr>
            </w:pPr>
            <w:r>
              <w:rPr>
                <w:rFonts w:ascii="Arial"/>
                <w:w w:val="95"/>
                <w:sz w:val="18"/>
              </w:rPr>
              <w:t>9,460,647.50</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9,460,647.50</w:t>
            </w:r>
            <w:r>
              <w:rPr>
                <w:rFonts w:ascii="Arial"/>
                <w:sz w:val="18"/>
              </w:rPr>
            </w:r>
          </w:p>
        </w:tc>
        <w:tc>
          <w:tcPr>
            <w:tcW w:w="1913"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100.00%</w:t>
            </w:r>
            <w:r>
              <w:rPr>
                <w:rFonts w:ascii="Arial"/>
                <w:sz w:val="18"/>
              </w:rPr>
            </w:r>
          </w:p>
        </w:tc>
        <w:tc>
          <w:tcPr>
            <w:tcW w:w="191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107"/>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22" w:hRule="exact"/>
        </w:trPr>
        <w:tc>
          <w:tcPr>
            <w:tcW w:w="19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31,458,896.22</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w w:val="95"/>
                <w:sz w:val="18"/>
              </w:rPr>
              <w:t>31,458,896.22</w:t>
            </w:r>
            <w:r>
              <w:rPr>
                <w:rFonts w:ascii="Arial"/>
                <w:sz w:val="18"/>
              </w:rPr>
            </w:r>
          </w:p>
        </w:tc>
        <w:tc>
          <w:tcPr>
            <w:tcW w:w="1913"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w:t>
            </w:r>
            <w:r>
              <w:rPr>
                <w:rFonts w:ascii="Arial"/>
                <w:sz w:val="18"/>
              </w:rPr>
            </w:r>
          </w:p>
        </w:tc>
        <w:tc>
          <w:tcPr>
            <w:tcW w:w="191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w w:val="95"/>
                <w:sz w:val="18"/>
              </w:rPr>
              <w:t>--</w:t>
            </w:r>
            <w:r>
              <w:rPr>
                <w:rFonts w:ascii="Arial"/>
                <w:sz w:val="18"/>
              </w:rPr>
            </w:r>
          </w:p>
        </w:tc>
      </w:tr>
    </w:tbl>
    <w:p>
      <w:pPr>
        <w:spacing w:line="240" w:lineRule="auto" w:before="0"/>
        <w:rPr>
          <w:rFonts w:ascii="宋体" w:hAnsi="宋体" w:cs="宋体" w:eastAsia="宋体" w:hint="default"/>
          <w:sz w:val="15"/>
          <w:szCs w:val="15"/>
        </w:rPr>
      </w:pPr>
    </w:p>
    <w:p>
      <w:pPr>
        <w:pStyle w:val="BodyText"/>
        <w:spacing w:line="240" w:lineRule="auto" w:before="18"/>
        <w:ind w:left="634" w:right="1513"/>
        <w:jc w:val="left"/>
      </w:pPr>
      <w:r>
        <w:rPr/>
        <w:t>组合中，按账龄分析法计提坏账准备的应收账款：</w:t>
      </w:r>
    </w:p>
    <w:p>
      <w:pPr>
        <w:spacing w:line="240" w:lineRule="auto" w:before="4"/>
        <w:rPr>
          <w:rFonts w:ascii="宋体" w:hAnsi="宋体" w:cs="宋体" w:eastAsia="宋体" w:hint="default"/>
          <w:sz w:val="25"/>
          <w:szCs w:val="25"/>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2493"/>
        <w:gridCol w:w="2296"/>
        <w:gridCol w:w="2391"/>
        <w:gridCol w:w="2389"/>
      </w:tblGrid>
      <w:tr>
        <w:trPr>
          <w:trHeight w:val="322" w:hRule="exact"/>
        </w:trPr>
        <w:tc>
          <w:tcPr>
            <w:tcW w:w="2493"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2493" w:type="dxa"/>
            <w:vMerge/>
            <w:tcBorders>
              <w:left w:val="nil" w:sz="6" w:space="0" w:color="auto"/>
              <w:bottom w:val="single" w:sz="4" w:space="0" w:color="5B9BD4"/>
              <w:right w:val="nil" w:sz="6" w:space="0" w:color="auto"/>
            </w:tcBorders>
            <w:shd w:val="clear" w:color="auto" w:fill="DEEAF6"/>
          </w:tcPr>
          <w:p>
            <w:pPr/>
          </w:p>
        </w:tc>
        <w:tc>
          <w:tcPr>
            <w:tcW w:w="229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17" w:hRule="exact"/>
        </w:trPr>
        <w:tc>
          <w:tcPr>
            <w:tcW w:w="9569" w:type="dxa"/>
            <w:gridSpan w:val="4"/>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07"/>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年以内分项</w:t>
            </w:r>
          </w:p>
        </w:tc>
      </w:tr>
      <w:tr>
        <w:trPr>
          <w:trHeight w:val="327" w:hRule="exact"/>
        </w:trPr>
        <w:tc>
          <w:tcPr>
            <w:tcW w:w="249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Arial" w:hAnsi="Arial" w:cs="Arial" w:eastAsia="Arial" w:hint="default"/>
                <w:sz w:val="18"/>
                <w:szCs w:val="18"/>
              </w:rPr>
              <w:t>3</w:t>
            </w:r>
            <w:r>
              <w:rPr>
                <w:rFonts w:ascii="Arial" w:hAnsi="Arial" w:cs="Arial" w:eastAsia="Arial" w:hint="default"/>
                <w:spacing w:val="-6"/>
                <w:sz w:val="18"/>
                <w:szCs w:val="18"/>
              </w:rPr>
              <w:t> </w:t>
            </w:r>
            <w:r>
              <w:rPr>
                <w:rFonts w:ascii="宋体" w:hAnsi="宋体" w:cs="宋体" w:eastAsia="宋体" w:hint="default"/>
                <w:sz w:val="18"/>
                <w:szCs w:val="18"/>
              </w:rPr>
              <w:t>个月以内</w:t>
            </w:r>
          </w:p>
        </w:tc>
        <w:tc>
          <w:tcPr>
            <w:tcW w:w="2296"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right="107"/>
              <w:jc w:val="right"/>
              <w:rPr>
                <w:rFonts w:ascii="Arial" w:hAnsi="Arial" w:cs="Arial" w:eastAsia="Arial" w:hint="default"/>
                <w:sz w:val="18"/>
                <w:szCs w:val="18"/>
              </w:rPr>
            </w:pPr>
            <w:r>
              <w:rPr>
                <w:rFonts w:ascii="Arial"/>
                <w:w w:val="95"/>
                <w:sz w:val="18"/>
              </w:rPr>
              <w:t>918,448,308.85</w:t>
            </w:r>
            <w:r>
              <w:rPr>
                <w:rFonts w:ascii="Arial"/>
                <w:sz w:val="18"/>
              </w:rPr>
            </w:r>
          </w:p>
        </w:tc>
        <w:tc>
          <w:tcPr>
            <w:tcW w:w="23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2"/>
              <w:ind w:right="106"/>
              <w:jc w:val="right"/>
              <w:rPr>
                <w:rFonts w:ascii="Arial" w:hAnsi="Arial" w:cs="Arial" w:eastAsia="Arial" w:hint="default"/>
                <w:sz w:val="18"/>
                <w:szCs w:val="18"/>
              </w:rPr>
            </w:pPr>
            <w:r>
              <w:rPr>
                <w:rFonts w:ascii="Arial"/>
                <w:w w:val="95"/>
                <w:sz w:val="18"/>
              </w:rPr>
              <w:t>0.00</w:t>
            </w:r>
            <w:r>
              <w:rPr>
                <w:rFonts w:ascii="Arial"/>
                <w:sz w:val="18"/>
              </w:rPr>
            </w:r>
          </w:p>
        </w:tc>
        <w:tc>
          <w:tcPr>
            <w:tcW w:w="2389"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right="104"/>
              <w:jc w:val="right"/>
              <w:rPr>
                <w:rFonts w:ascii="Arial" w:hAnsi="Arial" w:cs="Arial" w:eastAsia="Arial" w:hint="default"/>
                <w:sz w:val="18"/>
                <w:szCs w:val="18"/>
              </w:rPr>
            </w:pPr>
            <w:r>
              <w:rPr>
                <w:rFonts w:ascii="Arial"/>
                <w:w w:val="95"/>
                <w:sz w:val="18"/>
              </w:rPr>
              <w:t>0.00%</w:t>
            </w:r>
            <w:r>
              <w:rPr>
                <w:rFonts w:ascii="Arial"/>
                <w:sz w:val="18"/>
              </w:rPr>
            </w:r>
          </w:p>
        </w:tc>
      </w:tr>
      <w:tr>
        <w:trPr>
          <w:trHeight w:val="322" w:hRule="exact"/>
        </w:trPr>
        <w:tc>
          <w:tcPr>
            <w:tcW w:w="249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07" w:right="0"/>
              <w:jc w:val="left"/>
              <w:rPr>
                <w:rFonts w:ascii="宋体" w:hAnsi="宋体" w:cs="宋体" w:eastAsia="宋体" w:hint="default"/>
                <w:sz w:val="18"/>
                <w:szCs w:val="18"/>
              </w:rPr>
            </w:pPr>
            <w:r>
              <w:rPr>
                <w:rFonts w:ascii="Arial" w:hAnsi="Arial" w:cs="Arial" w:eastAsia="Arial" w:hint="default"/>
                <w:sz w:val="18"/>
                <w:szCs w:val="18"/>
              </w:rPr>
              <w:t>3-6</w:t>
            </w:r>
            <w:r>
              <w:rPr>
                <w:rFonts w:ascii="Arial" w:hAnsi="Arial" w:cs="Arial" w:eastAsia="Arial" w:hint="default"/>
                <w:spacing w:val="-7"/>
                <w:sz w:val="18"/>
                <w:szCs w:val="18"/>
              </w:rPr>
              <w:t> </w:t>
            </w:r>
            <w:r>
              <w:rPr>
                <w:rFonts w:ascii="宋体" w:hAnsi="宋体" w:cs="宋体" w:eastAsia="宋体" w:hint="default"/>
                <w:sz w:val="18"/>
                <w:szCs w:val="18"/>
              </w:rPr>
              <w:t>个月</w:t>
            </w:r>
          </w:p>
        </w:tc>
        <w:tc>
          <w:tcPr>
            <w:tcW w:w="229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17,129,478.45</w:t>
            </w:r>
            <w:r>
              <w:rPr>
                <w:rFonts w:ascii="Arial"/>
                <w:sz w:val="18"/>
              </w:rPr>
            </w:r>
          </w:p>
        </w:tc>
        <w:tc>
          <w:tcPr>
            <w:tcW w:w="23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1,712,947.84</w:t>
            </w:r>
            <w:r>
              <w:rPr>
                <w:rFonts w:ascii="Arial"/>
                <w:sz w:val="18"/>
              </w:rPr>
            </w:r>
          </w:p>
        </w:tc>
        <w:tc>
          <w:tcPr>
            <w:tcW w:w="238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10.00%</w:t>
            </w:r>
            <w:r>
              <w:rPr>
                <w:rFonts w:ascii="Arial"/>
                <w:sz w:val="18"/>
              </w:rPr>
            </w:r>
          </w:p>
        </w:tc>
      </w:tr>
      <w:tr>
        <w:trPr>
          <w:trHeight w:val="322" w:hRule="exact"/>
        </w:trPr>
        <w:tc>
          <w:tcPr>
            <w:tcW w:w="249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07" w:right="0"/>
              <w:jc w:val="left"/>
              <w:rPr>
                <w:rFonts w:ascii="宋体" w:hAnsi="宋体" w:cs="宋体" w:eastAsia="宋体" w:hint="default"/>
                <w:sz w:val="18"/>
                <w:szCs w:val="18"/>
              </w:rPr>
            </w:pPr>
            <w:r>
              <w:rPr>
                <w:rFonts w:ascii="Arial" w:hAnsi="Arial" w:cs="Arial" w:eastAsia="Arial" w:hint="default"/>
                <w:sz w:val="18"/>
                <w:szCs w:val="18"/>
              </w:rPr>
              <w:t>6-12</w:t>
            </w:r>
            <w:r>
              <w:rPr>
                <w:rFonts w:ascii="Arial" w:hAnsi="Arial" w:cs="Arial" w:eastAsia="Arial" w:hint="default"/>
                <w:spacing w:val="-8"/>
                <w:sz w:val="18"/>
                <w:szCs w:val="18"/>
              </w:rPr>
              <w:t> </w:t>
            </w:r>
            <w:r>
              <w:rPr>
                <w:rFonts w:ascii="宋体" w:hAnsi="宋体" w:cs="宋体" w:eastAsia="宋体" w:hint="default"/>
                <w:sz w:val="18"/>
                <w:szCs w:val="18"/>
              </w:rPr>
              <w:t>个月</w:t>
            </w:r>
          </w:p>
        </w:tc>
        <w:tc>
          <w:tcPr>
            <w:tcW w:w="229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2,527,051.35</w:t>
            </w:r>
            <w:r>
              <w:rPr>
                <w:rFonts w:ascii="Arial"/>
                <w:sz w:val="18"/>
              </w:rPr>
            </w:r>
          </w:p>
        </w:tc>
        <w:tc>
          <w:tcPr>
            <w:tcW w:w="23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758,115.41</w:t>
            </w:r>
            <w:r>
              <w:rPr>
                <w:rFonts w:ascii="Arial"/>
                <w:sz w:val="18"/>
              </w:rPr>
            </w:r>
          </w:p>
        </w:tc>
        <w:tc>
          <w:tcPr>
            <w:tcW w:w="238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30.00%</w:t>
            </w:r>
            <w:r>
              <w:rPr>
                <w:rFonts w:ascii="Arial"/>
                <w:sz w:val="18"/>
              </w:rPr>
            </w:r>
          </w:p>
        </w:tc>
      </w:tr>
      <w:tr>
        <w:trPr>
          <w:trHeight w:val="323" w:hRule="exact"/>
        </w:trPr>
        <w:tc>
          <w:tcPr>
            <w:tcW w:w="249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年以内小计</w:t>
            </w:r>
          </w:p>
        </w:tc>
        <w:tc>
          <w:tcPr>
            <w:tcW w:w="229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938,104,838.65</w:t>
            </w:r>
            <w:r>
              <w:rPr>
                <w:rFonts w:ascii="Arial"/>
                <w:sz w:val="18"/>
              </w:rPr>
            </w:r>
          </w:p>
        </w:tc>
        <w:tc>
          <w:tcPr>
            <w:tcW w:w="23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2,471,063.25</w:t>
            </w:r>
            <w:r>
              <w:rPr>
                <w:rFonts w:ascii="Arial"/>
                <w:sz w:val="18"/>
              </w:rPr>
            </w:r>
          </w:p>
        </w:tc>
        <w:tc>
          <w:tcPr>
            <w:tcW w:w="238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spacing w:val="-1"/>
                <w:w w:val="95"/>
                <w:sz w:val="18"/>
              </w:rPr>
              <w:t>0.26%</w:t>
            </w:r>
            <w:r>
              <w:rPr>
                <w:rFonts w:ascii="Arial"/>
                <w:spacing w:val="-1"/>
                <w:sz w:val="18"/>
              </w:rPr>
            </w:r>
          </w:p>
        </w:tc>
      </w:tr>
    </w:tbl>
    <w:p>
      <w:pPr>
        <w:spacing w:after="0" w:line="240" w:lineRule="auto"/>
        <w:jc w:val="right"/>
        <w:rPr>
          <w:rFonts w:ascii="Arial" w:hAnsi="Arial" w:cs="Arial" w:eastAsia="Arial" w:hint="default"/>
          <w:sz w:val="18"/>
          <w:szCs w:val="18"/>
        </w:rPr>
        <w:sectPr>
          <w:pgSz w:w="11910" w:h="16840"/>
          <w:pgMar w:header="877" w:footer="979" w:top="1100" w:bottom="1160" w:left="920" w:right="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2493"/>
        <w:gridCol w:w="2296"/>
        <w:gridCol w:w="2391"/>
        <w:gridCol w:w="2389"/>
      </w:tblGrid>
      <w:tr>
        <w:trPr>
          <w:trHeight w:val="322" w:hRule="exact"/>
        </w:trPr>
        <w:tc>
          <w:tcPr>
            <w:tcW w:w="249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229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2,206,476.23</w:t>
            </w:r>
            <w:r>
              <w:rPr>
                <w:rFonts w:ascii="Arial"/>
                <w:sz w:val="18"/>
              </w:rPr>
            </w:r>
          </w:p>
        </w:tc>
        <w:tc>
          <w:tcPr>
            <w:tcW w:w="23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1,544,533.36</w:t>
            </w:r>
            <w:r>
              <w:rPr>
                <w:rFonts w:ascii="Arial"/>
                <w:sz w:val="18"/>
              </w:rPr>
            </w:r>
          </w:p>
        </w:tc>
        <w:tc>
          <w:tcPr>
            <w:tcW w:w="238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70.00%</w:t>
            </w:r>
            <w:r>
              <w:rPr>
                <w:rFonts w:ascii="Arial"/>
                <w:sz w:val="18"/>
              </w:rPr>
            </w:r>
          </w:p>
        </w:tc>
      </w:tr>
      <w:tr>
        <w:trPr>
          <w:trHeight w:val="322" w:hRule="exact"/>
        </w:trPr>
        <w:tc>
          <w:tcPr>
            <w:tcW w:w="249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7"/>
                <w:sz w:val="18"/>
                <w:szCs w:val="18"/>
              </w:rPr>
              <w:t> </w:t>
            </w:r>
            <w:r>
              <w:rPr>
                <w:rFonts w:ascii="宋体" w:hAnsi="宋体" w:cs="宋体" w:eastAsia="宋体" w:hint="default"/>
                <w:sz w:val="18"/>
                <w:szCs w:val="18"/>
              </w:rPr>
              <w:t>年以上</w:t>
            </w:r>
          </w:p>
        </w:tc>
        <w:tc>
          <w:tcPr>
            <w:tcW w:w="229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4,901,666.58</w:t>
            </w:r>
            <w:r>
              <w:rPr>
                <w:rFonts w:ascii="Arial"/>
                <w:sz w:val="18"/>
              </w:rPr>
            </w:r>
          </w:p>
        </w:tc>
        <w:tc>
          <w:tcPr>
            <w:tcW w:w="23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4,901,666.58</w:t>
            </w:r>
            <w:r>
              <w:rPr>
                <w:rFonts w:ascii="Arial"/>
                <w:sz w:val="18"/>
              </w:rPr>
            </w:r>
          </w:p>
        </w:tc>
        <w:tc>
          <w:tcPr>
            <w:tcW w:w="238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100.00%</w:t>
            </w:r>
            <w:r>
              <w:rPr>
                <w:rFonts w:ascii="Arial"/>
                <w:sz w:val="18"/>
              </w:rPr>
            </w:r>
          </w:p>
        </w:tc>
      </w:tr>
      <w:tr>
        <w:trPr>
          <w:trHeight w:val="322" w:hRule="exact"/>
        </w:trPr>
        <w:tc>
          <w:tcPr>
            <w:tcW w:w="249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945,212,981.46</w:t>
            </w:r>
            <w:r>
              <w:rPr>
                <w:rFonts w:ascii="Arial"/>
                <w:sz w:val="18"/>
              </w:rPr>
            </w:r>
          </w:p>
        </w:tc>
        <w:tc>
          <w:tcPr>
            <w:tcW w:w="23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8,917,263.19</w:t>
            </w:r>
            <w:r>
              <w:rPr>
                <w:rFonts w:ascii="Arial"/>
                <w:sz w:val="18"/>
              </w:rPr>
            </w:r>
          </w:p>
        </w:tc>
        <w:tc>
          <w:tcPr>
            <w:tcW w:w="238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0.94%</w:t>
            </w:r>
            <w:r>
              <w:rPr>
                <w:rFonts w:ascii="Arial"/>
                <w:sz w:val="18"/>
              </w:rPr>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2）本期计提、收回或转回的坏账准备情况" w:id="429"/>
      <w:bookmarkEnd w:id="429"/>
      <w:r>
        <w:rPr>
          <w:b w:val="0"/>
          <w:bCs w:val="0"/>
        </w:rPr>
      </w:r>
      <w:r>
        <w:rPr/>
        <w:t>（</w:t>
      </w:r>
      <w:r>
        <w:rPr>
          <w:rFonts w:ascii="Trebuchet MS" w:hAnsi="Trebuchet MS" w:cs="Trebuchet MS" w:eastAsia="Trebuchet MS" w:hint="default"/>
        </w:rPr>
        <w:t>2</w:t>
      </w:r>
      <w:r>
        <w:rPr/>
        <w:t>）本期计提、收回或转回的坏账准备情况</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left="633" w:right="1513"/>
        <w:jc w:val="left"/>
      </w:pPr>
      <w:r>
        <w:rPr/>
        <w:t>本期计提坏账准备金额</w:t>
      </w:r>
      <w:r>
        <w:rPr>
          <w:spacing w:val="-54"/>
        </w:rPr>
        <w:t> </w:t>
      </w:r>
      <w:r>
        <w:rPr>
          <w:rFonts w:ascii="Arial" w:hAnsi="Arial" w:cs="Arial" w:eastAsia="Arial" w:hint="default"/>
        </w:rPr>
        <w:t>34,196,555.10</w:t>
      </w:r>
      <w:r>
        <w:rPr>
          <w:rFonts w:ascii="Arial" w:hAnsi="Arial" w:cs="Arial" w:eastAsia="Arial" w:hint="default"/>
          <w:spacing w:val="-7"/>
        </w:rPr>
        <w:t> </w:t>
      </w:r>
      <w:r>
        <w:rPr/>
        <w:t>元；本期收回或转回坏账准备金额</w:t>
      </w:r>
      <w:r>
        <w:rPr>
          <w:spacing w:val="-54"/>
        </w:rPr>
        <w:t> </w:t>
      </w:r>
      <w:r>
        <w:rPr>
          <w:rFonts w:ascii="Arial" w:hAnsi="Arial" w:cs="Arial" w:eastAsia="Arial" w:hint="default"/>
        </w:rPr>
        <w:t>0.00</w:t>
      </w:r>
      <w:r>
        <w:rPr>
          <w:rFonts w:ascii="Arial" w:hAnsi="Arial" w:cs="Arial" w:eastAsia="Arial" w:hint="default"/>
          <w:spacing w:val="-8"/>
        </w:rPr>
        <w:t> </w:t>
      </w:r>
      <w:r>
        <w:rPr/>
        <w:t>元。</w:t>
      </w:r>
    </w:p>
    <w:p>
      <w:pPr>
        <w:spacing w:line="240" w:lineRule="auto" w:before="9"/>
        <w:rPr>
          <w:rFonts w:ascii="宋体" w:hAnsi="宋体" w:cs="宋体" w:eastAsia="宋体" w:hint="default"/>
          <w:sz w:val="19"/>
          <w:szCs w:val="19"/>
        </w:rPr>
      </w:pPr>
    </w:p>
    <w:p>
      <w:pPr>
        <w:pStyle w:val="Heading5"/>
        <w:spacing w:line="240" w:lineRule="auto" w:before="0"/>
        <w:ind w:right="1513"/>
        <w:jc w:val="left"/>
        <w:rPr>
          <w:b w:val="0"/>
          <w:bCs w:val="0"/>
        </w:rPr>
      </w:pPr>
      <w:bookmarkStart w:name="（3）按欠款方归集的期末余额前五名的应收账款情况" w:id="430"/>
      <w:bookmarkEnd w:id="430"/>
      <w:r>
        <w:rPr>
          <w:b w:val="0"/>
          <w:bCs w:val="0"/>
        </w:rPr>
      </w:r>
      <w:r>
        <w:rPr/>
        <w:t>（</w:t>
      </w:r>
      <w:r>
        <w:rPr>
          <w:rFonts w:ascii="Trebuchet MS" w:hAnsi="Trebuchet MS" w:cs="Trebuchet MS" w:eastAsia="Trebuchet MS" w:hint="default"/>
        </w:rPr>
        <w:t>3</w:t>
      </w:r>
      <w:r>
        <w:rPr/>
        <w:t>）按欠款方归集的期末余额前五名的应收账款情况</w:t>
      </w:r>
      <w:r>
        <w:rPr>
          <w:b w:val="0"/>
          <w:bCs w:val="0"/>
        </w:rPr>
      </w:r>
    </w:p>
    <w:p>
      <w:pPr>
        <w:spacing w:line="240" w:lineRule="auto" w:before="5"/>
        <w:rPr>
          <w:rFonts w:ascii="宋体" w:hAnsi="宋体" w:cs="宋体" w:eastAsia="宋体" w:hint="default"/>
          <w:b/>
          <w:bCs/>
          <w:sz w:val="30"/>
          <w:szCs w:val="30"/>
        </w:rPr>
      </w:pPr>
    </w:p>
    <w:p>
      <w:pPr>
        <w:pStyle w:val="BodyText"/>
        <w:spacing w:line="388" w:lineRule="auto"/>
        <w:ind w:left="213" w:right="1513" w:firstLine="420"/>
        <w:jc w:val="left"/>
      </w:pPr>
      <w:r>
        <w:rPr>
          <w:w w:val="95"/>
        </w:rPr>
        <w:t>本公司本年按欠款方归集的年末余额前五名应收账款汇总金额</w:t>
      </w:r>
      <w:r>
        <w:rPr>
          <w:rFonts w:ascii="Arial" w:hAnsi="Arial" w:cs="Arial" w:eastAsia="Arial" w:hint="default"/>
          <w:w w:val="95"/>
        </w:rPr>
        <w:t>384,538,718.06</w:t>
      </w:r>
      <w:r>
        <w:rPr>
          <w:w w:val="95"/>
        </w:rPr>
        <w:t>元，占应收账款年末余</w:t>
      </w:r>
      <w:r>
        <w:rPr>
          <w:spacing w:val="-72"/>
          <w:w w:val="95"/>
        </w:rPr>
        <w:t> </w:t>
      </w:r>
      <w:r>
        <w:rPr>
          <w:spacing w:val="-72"/>
          <w:w w:val="95"/>
        </w:rPr>
      </w:r>
      <w:r>
        <w:rPr/>
        <w:t>额合计数的比例</w:t>
      </w:r>
      <w:r>
        <w:rPr>
          <w:rFonts w:ascii="Arial" w:hAnsi="Arial" w:cs="Arial" w:eastAsia="Arial" w:hint="default"/>
        </w:rPr>
        <w:t>39.04%</w:t>
      </w:r>
      <w:r>
        <w:rPr/>
        <w:t>，相应计提的坏账准备年末余额汇总金额</w:t>
      </w:r>
      <w:r>
        <w:rPr>
          <w:rFonts w:ascii="Arial" w:hAnsi="Arial" w:cs="Arial" w:eastAsia="Arial" w:hint="default"/>
        </w:rPr>
        <w:t>3,080,178.16</w:t>
      </w:r>
      <w:r>
        <w:rPr/>
        <w:t>元</w:t>
      </w:r>
    </w:p>
    <w:p>
      <w:pPr>
        <w:pStyle w:val="Heading5"/>
        <w:spacing w:line="240" w:lineRule="auto" w:before="112"/>
        <w:ind w:right="1513"/>
        <w:jc w:val="left"/>
        <w:rPr>
          <w:b w:val="0"/>
          <w:bCs w:val="0"/>
        </w:rPr>
      </w:pPr>
      <w:bookmarkStart w:name="2、其他应收款" w:id="431"/>
      <w:bookmarkEnd w:id="431"/>
      <w:r>
        <w:rPr>
          <w:b w:val="0"/>
          <w:bCs w:val="0"/>
        </w:rPr>
      </w:r>
      <w:r>
        <w:rPr>
          <w:rFonts w:ascii="Trebuchet MS" w:hAnsi="Trebuchet MS" w:cs="Trebuchet MS" w:eastAsia="Trebuchet MS" w:hint="default"/>
        </w:rPr>
        <w:t>2</w:t>
      </w:r>
      <w:r>
        <w:rPr/>
        <w:t>、其他应收款</w:t>
      </w:r>
      <w:r>
        <w:rPr>
          <w:b w:val="0"/>
          <w:bCs w:val="0"/>
        </w:rPr>
      </w:r>
    </w:p>
    <w:p>
      <w:pPr>
        <w:spacing w:line="240" w:lineRule="auto" w:before="8"/>
        <w:rPr>
          <w:rFonts w:ascii="宋体" w:hAnsi="宋体" w:cs="宋体" w:eastAsia="宋体" w:hint="default"/>
          <w:b/>
          <w:bCs/>
          <w:sz w:val="24"/>
          <w:szCs w:val="24"/>
        </w:rPr>
      </w:pPr>
    </w:p>
    <w:p>
      <w:pPr>
        <w:spacing w:before="0"/>
        <w:ind w:left="636" w:right="1513" w:firstLine="0"/>
        <w:jc w:val="left"/>
        <w:rPr>
          <w:rFonts w:ascii="宋体" w:hAnsi="宋体" w:cs="宋体" w:eastAsia="宋体" w:hint="default"/>
          <w:sz w:val="21"/>
          <w:szCs w:val="21"/>
        </w:rPr>
      </w:pPr>
      <w:bookmarkStart w:name="（1）其他应收款分类披露" w:id="432"/>
      <w:bookmarkEnd w:id="432"/>
      <w:r>
        <w:rPr/>
      </w:r>
      <w:r>
        <w:rPr>
          <w:rFonts w:ascii="宋体" w:hAnsi="宋体" w:cs="宋体" w:eastAsia="宋体" w:hint="default"/>
          <w:b/>
          <w:bCs/>
          <w:sz w:val="21"/>
          <w:szCs w:val="21"/>
        </w:rPr>
        <w:t>（</w:t>
      </w:r>
      <w:r>
        <w:rPr>
          <w:rFonts w:ascii="Trebuchet MS" w:hAnsi="Trebuchet MS" w:cs="Trebuchet MS" w:eastAsia="Trebuchet MS"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5"/>
        <w:rPr>
          <w:rFonts w:ascii="宋体" w:hAnsi="宋体" w:cs="宋体" w:eastAsia="宋体" w:hint="default"/>
          <w:b/>
          <w:bCs/>
          <w:sz w:val="30"/>
          <w:szCs w:val="30"/>
        </w:rPr>
      </w:pPr>
    </w:p>
    <w:p>
      <w:pPr>
        <w:pStyle w:val="BodyText"/>
        <w:spacing w:line="240" w:lineRule="auto"/>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635"/>
        <w:gridCol w:w="1026"/>
        <w:gridCol w:w="566"/>
        <w:gridCol w:w="850"/>
        <w:gridCol w:w="607"/>
        <w:gridCol w:w="953"/>
        <w:gridCol w:w="992"/>
        <w:gridCol w:w="568"/>
        <w:gridCol w:w="850"/>
        <w:gridCol w:w="588"/>
        <w:gridCol w:w="932"/>
      </w:tblGrid>
      <w:tr>
        <w:trPr>
          <w:trHeight w:val="322" w:hRule="exact"/>
        </w:trPr>
        <w:tc>
          <w:tcPr>
            <w:tcW w:w="1635"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26" w:type="dxa"/>
            <w:tcBorders>
              <w:top w:val="single" w:sz="4" w:space="0" w:color="5B9BD4"/>
              <w:left w:val="nil" w:sz="6" w:space="0" w:color="auto"/>
              <w:bottom w:val="single" w:sz="4" w:space="0" w:color="5B9BD4"/>
              <w:right w:val="nil" w:sz="6" w:space="0" w:color="auto"/>
            </w:tcBorders>
            <w:shd w:val="clear" w:color="auto" w:fill="DEEAF6"/>
          </w:tcPr>
          <w:p>
            <w:pPr/>
          </w:p>
        </w:tc>
        <w:tc>
          <w:tcPr>
            <w:tcW w:w="566" w:type="dxa"/>
            <w:tcBorders>
              <w:top w:val="single" w:sz="4" w:space="0" w:color="5B9BD4"/>
              <w:left w:val="nil" w:sz="6" w:space="0" w:color="auto"/>
              <w:bottom w:val="single" w:sz="4" w:space="0" w:color="5B9BD4"/>
              <w:right w:val="nil" w:sz="6" w:space="0" w:color="auto"/>
            </w:tcBorders>
            <w:shd w:val="clear" w:color="auto" w:fill="DEEAF6"/>
          </w:tcPr>
          <w:p>
            <w:pPr/>
          </w:p>
        </w:tc>
        <w:tc>
          <w:tcPr>
            <w:tcW w:w="85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29"/>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07" w:type="dxa"/>
            <w:tcBorders>
              <w:top w:val="single" w:sz="4" w:space="0" w:color="5B9BD4"/>
              <w:left w:val="nil" w:sz="6" w:space="0" w:color="auto"/>
              <w:bottom w:val="single" w:sz="4" w:space="0" w:color="5B9BD4"/>
              <w:right w:val="nil" w:sz="6" w:space="0" w:color="auto"/>
            </w:tcBorders>
            <w:shd w:val="clear" w:color="auto" w:fill="DEEAF6"/>
          </w:tcPr>
          <w:p>
            <w:pPr/>
          </w:p>
        </w:tc>
        <w:tc>
          <w:tcPr>
            <w:tcW w:w="953" w:type="dxa"/>
            <w:tcBorders>
              <w:top w:val="single" w:sz="4" w:space="0" w:color="5B9BD4"/>
              <w:left w:val="nil" w:sz="6" w:space="0" w:color="auto"/>
              <w:bottom w:val="single" w:sz="4" w:space="0" w:color="5B9BD4"/>
              <w:right w:val="nil" w:sz="6" w:space="0" w:color="auto"/>
            </w:tcBorders>
            <w:shd w:val="clear" w:color="auto" w:fill="DEEAF6"/>
          </w:tcPr>
          <w:p>
            <w:pPr/>
          </w:p>
        </w:tc>
        <w:tc>
          <w:tcPr>
            <w:tcW w:w="992" w:type="dxa"/>
            <w:tcBorders>
              <w:top w:val="single" w:sz="4" w:space="0" w:color="5B9BD4"/>
              <w:left w:val="nil" w:sz="6" w:space="0" w:color="auto"/>
              <w:bottom w:val="single" w:sz="4" w:space="0" w:color="5B9BD4"/>
              <w:right w:val="nil" w:sz="6" w:space="0" w:color="auto"/>
            </w:tcBorders>
            <w:shd w:val="clear" w:color="auto" w:fill="DEEAF6"/>
          </w:tcPr>
          <w:p>
            <w:pPr/>
          </w:p>
        </w:tc>
        <w:tc>
          <w:tcPr>
            <w:tcW w:w="568" w:type="dxa"/>
            <w:tcBorders>
              <w:top w:val="single" w:sz="4" w:space="0" w:color="5B9BD4"/>
              <w:left w:val="nil" w:sz="6" w:space="0" w:color="auto"/>
              <w:bottom w:val="single" w:sz="4" w:space="0" w:color="5B9BD4"/>
              <w:right w:val="nil" w:sz="6" w:space="0" w:color="auto"/>
            </w:tcBorders>
            <w:shd w:val="clear" w:color="auto" w:fill="DEEAF6"/>
          </w:tcPr>
          <w:p>
            <w:pPr/>
          </w:p>
        </w:tc>
        <w:tc>
          <w:tcPr>
            <w:tcW w:w="85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38"/>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588" w:type="dxa"/>
            <w:tcBorders>
              <w:top w:val="single" w:sz="4" w:space="0" w:color="5B9BD4"/>
              <w:left w:val="nil" w:sz="6" w:space="0" w:color="auto"/>
              <w:bottom w:val="single" w:sz="4" w:space="0" w:color="5B9BD4"/>
              <w:right w:val="nil" w:sz="6" w:space="0" w:color="auto"/>
            </w:tcBorders>
            <w:shd w:val="clear" w:color="auto" w:fill="DEEAF6"/>
          </w:tcPr>
          <w:p>
            <w:pPr/>
          </w:p>
        </w:tc>
        <w:tc>
          <w:tcPr>
            <w:tcW w:w="93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1635" w:type="dxa"/>
            <w:vMerge/>
            <w:tcBorders>
              <w:left w:val="nil" w:sz="6" w:space="0" w:color="auto"/>
              <w:right w:val="nil" w:sz="6" w:space="0" w:color="auto"/>
            </w:tcBorders>
            <w:shd w:val="clear" w:color="auto" w:fill="DEEAF6"/>
          </w:tcPr>
          <w:p>
            <w:pPr/>
          </w:p>
        </w:tc>
        <w:tc>
          <w:tcPr>
            <w:tcW w:w="1592"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3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7"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36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53" w:type="dxa"/>
            <w:tcBorders>
              <w:top w:val="single" w:sz="4" w:space="0" w:color="5B9BD4"/>
              <w:left w:val="nil" w:sz="6" w:space="0" w:color="auto"/>
              <w:bottom w:val="nil" w:sz="6" w:space="0" w:color="auto"/>
              <w:right w:val="nil" w:sz="6" w:space="0" w:color="auto"/>
            </w:tcBorders>
            <w:shd w:val="clear" w:color="auto" w:fill="DEEAF6"/>
          </w:tcPr>
          <w:p>
            <w:pPr/>
          </w:p>
        </w:tc>
        <w:tc>
          <w:tcPr>
            <w:tcW w:w="1560"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4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38"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35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75" w:right="194"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247" w:hRule="exact"/>
        </w:trPr>
        <w:tc>
          <w:tcPr>
            <w:tcW w:w="1635" w:type="dxa"/>
            <w:vMerge/>
            <w:tcBorders>
              <w:left w:val="nil" w:sz="6" w:space="0" w:color="auto"/>
              <w:right w:val="nil" w:sz="6" w:space="0" w:color="auto"/>
            </w:tcBorders>
            <w:shd w:val="clear" w:color="auto" w:fill="DEEAF6"/>
          </w:tcPr>
          <w:p>
            <w:pPr/>
          </w:p>
        </w:tc>
        <w:tc>
          <w:tcPr>
            <w:tcW w:w="1026" w:type="dxa"/>
            <w:tcBorders>
              <w:top w:val="single" w:sz="4" w:space="0" w:color="5B9BD4"/>
              <w:left w:val="nil" w:sz="6" w:space="0" w:color="auto"/>
              <w:bottom w:val="nil" w:sz="6" w:space="0" w:color="auto"/>
              <w:right w:val="nil" w:sz="6" w:space="0" w:color="auto"/>
            </w:tcBorders>
            <w:shd w:val="clear" w:color="auto" w:fill="DEEAF6"/>
          </w:tcPr>
          <w:p>
            <w:pPr/>
          </w:p>
        </w:tc>
        <w:tc>
          <w:tcPr>
            <w:tcW w:w="566"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6"/>
              <w:ind w:left="193" w:right="191"/>
              <w:jc w:val="center"/>
              <w:rPr>
                <w:rFonts w:ascii="宋体" w:hAnsi="宋体" w:cs="宋体" w:eastAsia="宋体" w:hint="default"/>
                <w:sz w:val="18"/>
                <w:szCs w:val="18"/>
              </w:rPr>
            </w:pPr>
            <w:r>
              <w:rPr>
                <w:rFonts w:ascii="宋体" w:hAnsi="宋体" w:cs="宋体" w:eastAsia="宋体" w:hint="default"/>
                <w:sz w:val="18"/>
                <w:szCs w:val="18"/>
              </w:rPr>
              <w:t>比 例</w:t>
            </w:r>
          </w:p>
        </w:tc>
        <w:tc>
          <w:tcPr>
            <w:tcW w:w="850" w:type="dxa"/>
            <w:tcBorders>
              <w:top w:val="single" w:sz="4" w:space="0" w:color="5B9BD4"/>
              <w:left w:val="nil" w:sz="6" w:space="0" w:color="auto"/>
              <w:bottom w:val="nil" w:sz="6" w:space="0" w:color="auto"/>
              <w:right w:val="nil" w:sz="6" w:space="0" w:color="auto"/>
            </w:tcBorders>
            <w:shd w:val="clear" w:color="auto" w:fill="DEEAF6"/>
          </w:tcPr>
          <w:p>
            <w:pPr/>
          </w:p>
        </w:tc>
        <w:tc>
          <w:tcPr>
            <w:tcW w:w="607"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6"/>
              <w:ind w:left="123" w:right="121"/>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953" w:type="dxa"/>
            <w:tcBorders>
              <w:top w:val="nil" w:sz="6" w:space="0" w:color="auto"/>
              <w:left w:val="nil" w:sz="6" w:space="0" w:color="auto"/>
              <w:bottom w:val="nil" w:sz="6" w:space="0" w:color="auto"/>
              <w:right w:val="nil" w:sz="6" w:space="0" w:color="auto"/>
            </w:tcBorders>
            <w:shd w:val="clear" w:color="auto" w:fill="DEEAF6"/>
          </w:tcPr>
          <w:p>
            <w:pPr>
              <w:pStyle w:val="TableParagraph"/>
              <w:spacing w:line="240" w:lineRule="auto" w:before="5"/>
              <w:ind w:right="114"/>
              <w:jc w:val="right"/>
              <w:rPr>
                <w:rFonts w:ascii="宋体" w:hAnsi="宋体" w:cs="宋体" w:eastAsia="宋体" w:hint="default"/>
                <w:sz w:val="18"/>
                <w:szCs w:val="18"/>
              </w:rPr>
            </w:pPr>
            <w:r>
              <w:rPr>
                <w:rFonts w:ascii="宋体" w:hAnsi="宋体" w:cs="宋体" w:eastAsia="宋体" w:hint="default"/>
                <w:sz w:val="18"/>
                <w:szCs w:val="18"/>
              </w:rPr>
              <w:t>账面价值</w:t>
            </w:r>
          </w:p>
        </w:tc>
        <w:tc>
          <w:tcPr>
            <w:tcW w:w="992" w:type="dxa"/>
            <w:tcBorders>
              <w:top w:val="single" w:sz="4" w:space="0" w:color="5B9BD4"/>
              <w:left w:val="nil" w:sz="6" w:space="0" w:color="auto"/>
              <w:bottom w:val="nil" w:sz="6" w:space="0" w:color="auto"/>
              <w:right w:val="nil" w:sz="6" w:space="0" w:color="auto"/>
            </w:tcBorders>
            <w:shd w:val="clear" w:color="auto" w:fill="DEEAF6"/>
          </w:tcPr>
          <w:p>
            <w:pPr/>
          </w:p>
        </w:tc>
        <w:tc>
          <w:tcPr>
            <w:tcW w:w="568"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6"/>
              <w:ind w:left="193" w:right="192"/>
              <w:jc w:val="center"/>
              <w:rPr>
                <w:rFonts w:ascii="宋体" w:hAnsi="宋体" w:cs="宋体" w:eastAsia="宋体" w:hint="default"/>
                <w:sz w:val="18"/>
                <w:szCs w:val="18"/>
              </w:rPr>
            </w:pPr>
            <w:r>
              <w:rPr>
                <w:rFonts w:ascii="宋体" w:hAnsi="宋体" w:cs="宋体" w:eastAsia="宋体" w:hint="default"/>
                <w:sz w:val="18"/>
                <w:szCs w:val="18"/>
              </w:rPr>
              <w:t>比 例</w:t>
            </w:r>
          </w:p>
        </w:tc>
        <w:tc>
          <w:tcPr>
            <w:tcW w:w="850" w:type="dxa"/>
            <w:tcBorders>
              <w:top w:val="single" w:sz="4" w:space="0" w:color="5B9BD4"/>
              <w:left w:val="nil" w:sz="6" w:space="0" w:color="auto"/>
              <w:bottom w:val="nil" w:sz="6" w:space="0" w:color="auto"/>
              <w:right w:val="nil" w:sz="6" w:space="0" w:color="auto"/>
            </w:tcBorders>
            <w:shd w:val="clear" w:color="auto" w:fill="DEEAF6"/>
          </w:tcPr>
          <w:p>
            <w:pPr/>
          </w:p>
        </w:tc>
        <w:tc>
          <w:tcPr>
            <w:tcW w:w="588" w:type="dxa"/>
            <w:vMerge w:val="restart"/>
            <w:tcBorders>
              <w:top w:val="single" w:sz="4" w:space="0" w:color="5B9BD4"/>
              <w:left w:val="nil" w:sz="6" w:space="0" w:color="auto"/>
              <w:right w:val="nil" w:sz="6" w:space="0" w:color="auto"/>
            </w:tcBorders>
            <w:shd w:val="clear" w:color="auto" w:fill="DEEAF6"/>
          </w:tcPr>
          <w:p>
            <w:pPr>
              <w:pStyle w:val="TableParagraph"/>
              <w:spacing w:line="316" w:lineRule="auto" w:before="6"/>
              <w:ind w:left="113" w:right="113"/>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932" w:type="dxa"/>
            <w:vMerge/>
            <w:tcBorders>
              <w:left w:val="nil" w:sz="6" w:space="0" w:color="auto"/>
              <w:right w:val="nil" w:sz="6" w:space="0" w:color="auto"/>
            </w:tcBorders>
            <w:shd w:val="clear" w:color="auto" w:fill="DEEAF6"/>
          </w:tcPr>
          <w:p>
            <w:pPr/>
          </w:p>
        </w:tc>
      </w:tr>
      <w:tr>
        <w:trPr>
          <w:trHeight w:val="383" w:hRule="exact"/>
        </w:trPr>
        <w:tc>
          <w:tcPr>
            <w:tcW w:w="1635" w:type="dxa"/>
            <w:vMerge/>
            <w:tcBorders>
              <w:left w:val="nil" w:sz="6" w:space="0" w:color="auto"/>
              <w:bottom w:val="single" w:sz="4" w:space="0" w:color="5B9BD4"/>
              <w:right w:val="nil" w:sz="6" w:space="0" w:color="auto"/>
            </w:tcBorders>
            <w:shd w:val="clear" w:color="auto" w:fill="DEEAF6"/>
          </w:tcPr>
          <w:p>
            <w:pPr/>
          </w:p>
        </w:tc>
        <w:tc>
          <w:tcPr>
            <w:tcW w:w="1026"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156" w:lineRule="exact"/>
              <w:ind w:left="33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6" w:type="dxa"/>
            <w:vMerge/>
            <w:tcBorders>
              <w:left w:val="nil" w:sz="6" w:space="0" w:color="auto"/>
              <w:bottom w:val="single" w:sz="4" w:space="0" w:color="5B9BD4"/>
              <w:right w:val="nil" w:sz="6" w:space="0" w:color="auto"/>
            </w:tcBorders>
            <w:shd w:val="clear" w:color="auto" w:fill="DEEAF6"/>
          </w:tcPr>
          <w:p>
            <w:pPr/>
          </w:p>
        </w:tc>
        <w:tc>
          <w:tcPr>
            <w:tcW w:w="850"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156"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07" w:type="dxa"/>
            <w:vMerge/>
            <w:tcBorders>
              <w:left w:val="nil" w:sz="6" w:space="0" w:color="auto"/>
              <w:bottom w:val="single" w:sz="4" w:space="0" w:color="5B9BD4"/>
              <w:right w:val="nil" w:sz="6" w:space="0" w:color="auto"/>
            </w:tcBorders>
            <w:shd w:val="clear" w:color="auto" w:fill="DEEAF6"/>
          </w:tcPr>
          <w:p>
            <w:pPr/>
          </w:p>
        </w:tc>
        <w:tc>
          <w:tcPr>
            <w:tcW w:w="953" w:type="dxa"/>
            <w:tcBorders>
              <w:top w:val="nil" w:sz="6" w:space="0" w:color="auto"/>
              <w:left w:val="nil" w:sz="6" w:space="0" w:color="auto"/>
              <w:bottom w:val="single" w:sz="4" w:space="0" w:color="5B9BD4"/>
              <w:right w:val="nil" w:sz="6" w:space="0" w:color="auto"/>
            </w:tcBorders>
            <w:shd w:val="clear" w:color="auto" w:fill="DEEAF6"/>
          </w:tcPr>
          <w:p>
            <w:pPr/>
          </w:p>
        </w:tc>
        <w:tc>
          <w:tcPr>
            <w:tcW w:w="992"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156" w:lineRule="exact"/>
              <w:ind w:left="3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8" w:type="dxa"/>
            <w:vMerge/>
            <w:tcBorders>
              <w:left w:val="nil" w:sz="6" w:space="0" w:color="auto"/>
              <w:bottom w:val="single" w:sz="4" w:space="0" w:color="5B9BD4"/>
              <w:right w:val="nil" w:sz="6" w:space="0" w:color="auto"/>
            </w:tcBorders>
            <w:shd w:val="clear" w:color="auto" w:fill="DEEAF6"/>
          </w:tcPr>
          <w:p>
            <w:pPr/>
          </w:p>
        </w:tc>
        <w:tc>
          <w:tcPr>
            <w:tcW w:w="850"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156"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88" w:type="dxa"/>
            <w:vMerge/>
            <w:tcBorders>
              <w:left w:val="nil" w:sz="6" w:space="0" w:color="auto"/>
              <w:bottom w:val="single" w:sz="4" w:space="0" w:color="5B9BD4"/>
              <w:right w:val="nil" w:sz="6" w:space="0" w:color="auto"/>
            </w:tcBorders>
            <w:shd w:val="clear" w:color="auto" w:fill="DEEAF6"/>
          </w:tcPr>
          <w:p>
            <w:pPr/>
          </w:p>
        </w:tc>
        <w:tc>
          <w:tcPr>
            <w:tcW w:w="932" w:type="dxa"/>
            <w:vMerge/>
            <w:tcBorders>
              <w:left w:val="nil" w:sz="6" w:space="0" w:color="auto"/>
              <w:bottom w:val="single" w:sz="4" w:space="0" w:color="5B9BD4"/>
              <w:right w:val="nil" w:sz="6" w:space="0" w:color="auto"/>
            </w:tcBorders>
            <w:shd w:val="clear" w:color="auto" w:fill="DEEAF6"/>
          </w:tcPr>
          <w:p>
            <w:pPr/>
          </w:p>
        </w:tc>
      </w:tr>
      <w:tr>
        <w:trPr>
          <w:trHeight w:val="950" w:hRule="exact"/>
        </w:trPr>
        <w:tc>
          <w:tcPr>
            <w:tcW w:w="163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10"/>
              <w:ind w:left="108" w:right="264"/>
              <w:jc w:val="both"/>
              <w:rPr>
                <w:rFonts w:ascii="宋体" w:hAnsi="宋体" w:cs="宋体" w:eastAsia="宋体" w:hint="default"/>
                <w:sz w:val="18"/>
                <w:szCs w:val="18"/>
              </w:rPr>
            </w:pPr>
            <w:r>
              <w:rPr>
                <w:rFonts w:ascii="宋体" w:hAnsi="宋体" w:cs="宋体" w:eastAsia="宋体" w:hint="default"/>
                <w:sz w:val="18"/>
                <w:szCs w:val="18"/>
              </w:rPr>
              <w:t>单项金额重大并 单独计提坏账准 备的其他应收款</w:t>
            </w:r>
          </w:p>
        </w:tc>
        <w:tc>
          <w:tcPr>
            <w:tcW w:w="1026" w:type="dxa"/>
            <w:tcBorders>
              <w:top w:val="single" w:sz="4" w:space="0" w:color="5B9BD4"/>
              <w:left w:val="nil" w:sz="6" w:space="0" w:color="auto"/>
              <w:bottom w:val="single" w:sz="4" w:space="0" w:color="5B9BD4"/>
              <w:right w:val="nil" w:sz="6" w:space="0" w:color="auto"/>
            </w:tcBorders>
          </w:tcPr>
          <w:p>
            <w:pPr/>
          </w:p>
        </w:tc>
        <w:tc>
          <w:tcPr>
            <w:tcW w:w="566" w:type="dxa"/>
            <w:tcBorders>
              <w:top w:val="single" w:sz="4" w:space="0" w:color="5B9BD4"/>
              <w:left w:val="nil" w:sz="6" w:space="0" w:color="auto"/>
              <w:bottom w:val="single" w:sz="4" w:space="0" w:color="5B9BD4"/>
              <w:right w:val="nil" w:sz="6" w:space="0" w:color="auto"/>
            </w:tcBorders>
            <w:shd w:val="clear" w:color="auto" w:fill="DEEAF6"/>
          </w:tcPr>
          <w:p>
            <w:pPr/>
          </w:p>
        </w:tc>
        <w:tc>
          <w:tcPr>
            <w:tcW w:w="850" w:type="dxa"/>
            <w:tcBorders>
              <w:top w:val="single" w:sz="4" w:space="0" w:color="5B9BD4"/>
              <w:left w:val="nil" w:sz="6" w:space="0" w:color="auto"/>
              <w:bottom w:val="single" w:sz="4" w:space="0" w:color="5B9BD4"/>
              <w:right w:val="nil" w:sz="6" w:space="0" w:color="auto"/>
            </w:tcBorders>
          </w:tcPr>
          <w:p>
            <w:pPr/>
          </w:p>
        </w:tc>
        <w:tc>
          <w:tcPr>
            <w:tcW w:w="607" w:type="dxa"/>
            <w:tcBorders>
              <w:top w:val="single" w:sz="4" w:space="0" w:color="5B9BD4"/>
              <w:left w:val="nil" w:sz="6" w:space="0" w:color="auto"/>
              <w:bottom w:val="single" w:sz="4" w:space="0" w:color="5B9BD4"/>
              <w:right w:val="nil" w:sz="6" w:space="0" w:color="auto"/>
            </w:tcBorders>
            <w:shd w:val="clear" w:color="auto" w:fill="DEEAF6"/>
          </w:tcPr>
          <w:p>
            <w:pPr/>
          </w:p>
        </w:tc>
        <w:tc>
          <w:tcPr>
            <w:tcW w:w="953" w:type="dxa"/>
            <w:tcBorders>
              <w:top w:val="single" w:sz="4" w:space="0" w:color="5B9BD4"/>
              <w:left w:val="nil" w:sz="6" w:space="0" w:color="auto"/>
              <w:bottom w:val="single" w:sz="4" w:space="0" w:color="5B9BD4"/>
              <w:right w:val="nil" w:sz="6" w:space="0" w:color="auto"/>
            </w:tcBorders>
          </w:tcPr>
          <w:p>
            <w:pPr/>
          </w:p>
        </w:tc>
        <w:tc>
          <w:tcPr>
            <w:tcW w:w="992" w:type="dxa"/>
            <w:tcBorders>
              <w:top w:val="single" w:sz="4" w:space="0" w:color="5B9BD4"/>
              <w:left w:val="nil" w:sz="6" w:space="0" w:color="auto"/>
              <w:bottom w:val="single" w:sz="4" w:space="0" w:color="5B9BD4"/>
              <w:right w:val="nil" w:sz="6" w:space="0" w:color="auto"/>
            </w:tcBorders>
            <w:shd w:val="clear" w:color="auto" w:fill="DEEAF6"/>
          </w:tcPr>
          <w:p>
            <w:pPr/>
          </w:p>
        </w:tc>
        <w:tc>
          <w:tcPr>
            <w:tcW w:w="568" w:type="dxa"/>
            <w:tcBorders>
              <w:top w:val="single" w:sz="4" w:space="0" w:color="5B9BD4"/>
              <w:left w:val="nil" w:sz="6" w:space="0" w:color="auto"/>
              <w:bottom w:val="single" w:sz="4" w:space="0" w:color="5B9BD4"/>
              <w:right w:val="nil" w:sz="6" w:space="0" w:color="auto"/>
            </w:tcBorders>
          </w:tcPr>
          <w:p>
            <w:pPr/>
          </w:p>
        </w:tc>
        <w:tc>
          <w:tcPr>
            <w:tcW w:w="850" w:type="dxa"/>
            <w:tcBorders>
              <w:top w:val="single" w:sz="4" w:space="0" w:color="5B9BD4"/>
              <w:left w:val="nil" w:sz="6" w:space="0" w:color="auto"/>
              <w:bottom w:val="single" w:sz="4" w:space="0" w:color="5B9BD4"/>
              <w:right w:val="nil" w:sz="6" w:space="0" w:color="auto"/>
            </w:tcBorders>
            <w:shd w:val="clear" w:color="auto" w:fill="DEEAF6"/>
          </w:tcPr>
          <w:p>
            <w:pPr/>
          </w:p>
        </w:tc>
        <w:tc>
          <w:tcPr>
            <w:tcW w:w="588" w:type="dxa"/>
            <w:tcBorders>
              <w:top w:val="single" w:sz="4" w:space="0" w:color="5B9BD4"/>
              <w:left w:val="nil" w:sz="6" w:space="0" w:color="auto"/>
              <w:bottom w:val="single" w:sz="4" w:space="0" w:color="5B9BD4"/>
              <w:right w:val="nil" w:sz="6" w:space="0" w:color="auto"/>
            </w:tcBorders>
          </w:tcPr>
          <w:p>
            <w:pPr/>
          </w:p>
        </w:tc>
        <w:tc>
          <w:tcPr>
            <w:tcW w:w="93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946" w:hRule="exact"/>
        </w:trPr>
        <w:tc>
          <w:tcPr>
            <w:tcW w:w="163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264"/>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1026"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 w:right="0"/>
              <w:jc w:val="center"/>
              <w:rPr>
                <w:rFonts w:ascii="Arial" w:hAnsi="Arial" w:cs="Arial" w:eastAsia="Arial" w:hint="default"/>
                <w:sz w:val="18"/>
                <w:szCs w:val="18"/>
              </w:rPr>
            </w:pPr>
            <w:r>
              <w:rPr>
                <w:rFonts w:ascii="Arial"/>
                <w:sz w:val="18"/>
              </w:rPr>
              <w:t>1,128,685</w:t>
            </w:r>
          </w:p>
          <w:p>
            <w:pPr>
              <w:pStyle w:val="TableParagraph"/>
              <w:spacing w:line="240" w:lineRule="auto" w:before="105"/>
              <w:ind w:left="211" w:right="0"/>
              <w:jc w:val="center"/>
              <w:rPr>
                <w:rFonts w:ascii="Arial" w:hAnsi="Arial" w:cs="Arial" w:eastAsia="Arial" w:hint="default"/>
                <w:sz w:val="18"/>
                <w:szCs w:val="18"/>
              </w:rPr>
            </w:pPr>
            <w:r>
              <w:rPr>
                <w:rFonts w:ascii="Arial"/>
                <w:sz w:val="18"/>
              </w:rPr>
              <w:t>,135.86</w:t>
            </w:r>
          </w:p>
        </w:tc>
        <w:tc>
          <w:tcPr>
            <w:tcW w:w="5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 w:right="0"/>
              <w:jc w:val="center"/>
              <w:rPr>
                <w:rFonts w:ascii="Arial" w:hAnsi="Arial" w:cs="Arial" w:eastAsia="Arial" w:hint="default"/>
                <w:sz w:val="18"/>
                <w:szCs w:val="18"/>
              </w:rPr>
            </w:pPr>
            <w:r>
              <w:rPr>
                <w:rFonts w:ascii="Arial"/>
                <w:sz w:val="18"/>
              </w:rPr>
              <w:t>99.8</w:t>
            </w:r>
          </w:p>
          <w:p>
            <w:pPr>
              <w:pStyle w:val="TableParagraph"/>
              <w:spacing w:line="240" w:lineRule="auto" w:before="105"/>
              <w:ind w:left="114" w:right="0"/>
              <w:jc w:val="center"/>
              <w:rPr>
                <w:rFonts w:ascii="Arial" w:hAnsi="Arial" w:cs="Arial" w:eastAsia="Arial" w:hint="default"/>
                <w:sz w:val="18"/>
                <w:szCs w:val="18"/>
              </w:rPr>
            </w:pPr>
            <w:r>
              <w:rPr>
                <w:rFonts w:ascii="Arial"/>
                <w:sz w:val="18"/>
              </w:rPr>
              <w:t>2%</w:t>
            </w:r>
          </w:p>
        </w:tc>
        <w:tc>
          <w:tcPr>
            <w:tcW w:w="850"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42" w:right="0"/>
              <w:jc w:val="left"/>
              <w:rPr>
                <w:rFonts w:ascii="Arial" w:hAnsi="Arial" w:cs="Arial" w:eastAsia="Arial" w:hint="default"/>
                <w:sz w:val="18"/>
                <w:szCs w:val="18"/>
              </w:rPr>
            </w:pPr>
            <w:r>
              <w:rPr>
                <w:rFonts w:ascii="Arial"/>
                <w:sz w:val="18"/>
              </w:rPr>
              <w:t>59,287,</w:t>
            </w:r>
          </w:p>
          <w:p>
            <w:pPr>
              <w:pStyle w:val="TableParagraph"/>
              <w:spacing w:line="240" w:lineRule="auto" w:before="105"/>
              <w:ind w:left="193" w:right="0"/>
              <w:jc w:val="left"/>
              <w:rPr>
                <w:rFonts w:ascii="Arial" w:hAnsi="Arial" w:cs="Arial" w:eastAsia="Arial" w:hint="default"/>
                <w:sz w:val="18"/>
                <w:szCs w:val="18"/>
              </w:rPr>
            </w:pPr>
            <w:r>
              <w:rPr>
                <w:rFonts w:ascii="Arial"/>
                <w:sz w:val="18"/>
              </w:rPr>
              <w:t>660.72</w:t>
            </w:r>
          </w:p>
        </w:tc>
        <w:tc>
          <w:tcPr>
            <w:tcW w:w="60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50" w:right="0"/>
              <w:jc w:val="left"/>
              <w:rPr>
                <w:rFonts w:ascii="Arial" w:hAnsi="Arial" w:cs="Arial" w:eastAsia="Arial" w:hint="default"/>
                <w:sz w:val="18"/>
                <w:szCs w:val="18"/>
              </w:rPr>
            </w:pPr>
            <w:r>
              <w:rPr>
                <w:rFonts w:ascii="Arial"/>
                <w:sz w:val="18"/>
              </w:rPr>
              <w:t>5.25</w:t>
            </w:r>
          </w:p>
          <w:p>
            <w:pPr>
              <w:pStyle w:val="TableParagraph"/>
              <w:spacing w:line="240" w:lineRule="auto" w:before="105"/>
              <w:ind w:left="360" w:right="0"/>
              <w:jc w:val="left"/>
              <w:rPr>
                <w:rFonts w:ascii="Arial" w:hAnsi="Arial" w:cs="Arial" w:eastAsia="Arial" w:hint="default"/>
                <w:sz w:val="18"/>
                <w:szCs w:val="18"/>
              </w:rPr>
            </w:pPr>
            <w:r>
              <w:rPr>
                <w:rFonts w:ascii="Arial"/>
                <w:w w:val="87"/>
                <w:sz w:val="18"/>
              </w:rPr>
              <w:t>%</w:t>
            </w:r>
            <w:r>
              <w:rPr>
                <w:rFonts w:ascii="Arial"/>
                <w:sz w:val="18"/>
              </w:rPr>
            </w:r>
          </w:p>
        </w:tc>
        <w:tc>
          <w:tcPr>
            <w:tcW w:w="953"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46" w:right="0"/>
              <w:jc w:val="left"/>
              <w:rPr>
                <w:rFonts w:ascii="Arial" w:hAnsi="Arial" w:cs="Arial" w:eastAsia="Arial" w:hint="default"/>
                <w:sz w:val="18"/>
                <w:szCs w:val="18"/>
              </w:rPr>
            </w:pPr>
            <w:r>
              <w:rPr>
                <w:rFonts w:ascii="Arial"/>
                <w:sz w:val="18"/>
              </w:rPr>
              <w:t>1,069,39</w:t>
            </w:r>
          </w:p>
          <w:p>
            <w:pPr>
              <w:pStyle w:val="TableParagraph"/>
              <w:spacing w:line="240" w:lineRule="auto" w:before="105"/>
              <w:ind w:left="146" w:right="0"/>
              <w:jc w:val="left"/>
              <w:rPr>
                <w:rFonts w:ascii="Arial" w:hAnsi="Arial" w:cs="Arial" w:eastAsia="Arial" w:hint="default"/>
                <w:sz w:val="18"/>
                <w:szCs w:val="18"/>
              </w:rPr>
            </w:pPr>
            <w:r>
              <w:rPr>
                <w:rFonts w:ascii="Arial"/>
                <w:sz w:val="18"/>
              </w:rPr>
              <w:t>7,475.14</w:t>
            </w:r>
          </w:p>
        </w:tc>
        <w:tc>
          <w:tcPr>
            <w:tcW w:w="9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7" w:right="0"/>
              <w:jc w:val="center"/>
              <w:rPr>
                <w:rFonts w:ascii="Arial" w:hAnsi="Arial" w:cs="Arial" w:eastAsia="Arial" w:hint="default"/>
                <w:sz w:val="18"/>
                <w:szCs w:val="18"/>
              </w:rPr>
            </w:pPr>
            <w:r>
              <w:rPr>
                <w:rFonts w:ascii="Arial"/>
                <w:sz w:val="18"/>
              </w:rPr>
              <w:t>362,419,</w:t>
            </w:r>
          </w:p>
          <w:p>
            <w:pPr>
              <w:pStyle w:val="TableParagraph"/>
              <w:spacing w:line="240" w:lineRule="auto" w:before="105"/>
              <w:ind w:left="228" w:right="0"/>
              <w:jc w:val="center"/>
              <w:rPr>
                <w:rFonts w:ascii="Arial" w:hAnsi="Arial" w:cs="Arial" w:eastAsia="Arial" w:hint="default"/>
                <w:sz w:val="18"/>
                <w:szCs w:val="18"/>
              </w:rPr>
            </w:pPr>
            <w:r>
              <w:rPr>
                <w:rFonts w:ascii="Arial"/>
                <w:sz w:val="18"/>
              </w:rPr>
              <w:t>573.96</w:t>
            </w:r>
          </w:p>
        </w:tc>
        <w:tc>
          <w:tcPr>
            <w:tcW w:w="568"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0" w:right="0"/>
              <w:jc w:val="left"/>
              <w:rPr>
                <w:rFonts w:ascii="Arial" w:hAnsi="Arial" w:cs="Arial" w:eastAsia="Arial" w:hint="default"/>
                <w:sz w:val="18"/>
                <w:szCs w:val="18"/>
              </w:rPr>
            </w:pPr>
            <w:r>
              <w:rPr>
                <w:rFonts w:ascii="Arial"/>
                <w:sz w:val="18"/>
              </w:rPr>
              <w:t>100.</w:t>
            </w:r>
          </w:p>
          <w:p>
            <w:pPr>
              <w:pStyle w:val="TableParagraph"/>
              <w:spacing w:line="240" w:lineRule="auto" w:before="105"/>
              <w:ind w:left="121" w:right="0"/>
              <w:jc w:val="left"/>
              <w:rPr>
                <w:rFonts w:ascii="Arial" w:hAnsi="Arial" w:cs="Arial" w:eastAsia="Arial" w:hint="default"/>
                <w:sz w:val="18"/>
                <w:szCs w:val="18"/>
              </w:rPr>
            </w:pPr>
            <w:r>
              <w:rPr>
                <w:rFonts w:ascii="Arial"/>
                <w:spacing w:val="-2"/>
                <w:sz w:val="18"/>
              </w:rPr>
              <w:t>00%</w:t>
            </w:r>
            <w:r>
              <w:rPr>
                <w:rFonts w:ascii="Arial"/>
                <w:sz w:val="18"/>
              </w:rPr>
            </w:r>
          </w:p>
        </w:tc>
        <w:tc>
          <w:tcPr>
            <w:tcW w:w="85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42" w:right="0"/>
              <w:jc w:val="left"/>
              <w:rPr>
                <w:rFonts w:ascii="Arial" w:hAnsi="Arial" w:cs="Arial" w:eastAsia="Arial" w:hint="default"/>
                <w:sz w:val="18"/>
                <w:szCs w:val="18"/>
              </w:rPr>
            </w:pPr>
            <w:r>
              <w:rPr>
                <w:rFonts w:ascii="Arial"/>
                <w:sz w:val="18"/>
              </w:rPr>
              <w:t>19,197,</w:t>
            </w:r>
          </w:p>
          <w:p>
            <w:pPr>
              <w:pStyle w:val="TableParagraph"/>
              <w:spacing w:line="240" w:lineRule="auto" w:before="105"/>
              <w:ind w:left="193" w:right="0"/>
              <w:jc w:val="left"/>
              <w:rPr>
                <w:rFonts w:ascii="Arial" w:hAnsi="Arial" w:cs="Arial" w:eastAsia="Arial" w:hint="default"/>
                <w:sz w:val="18"/>
                <w:szCs w:val="18"/>
              </w:rPr>
            </w:pPr>
            <w:r>
              <w:rPr>
                <w:rFonts w:ascii="Arial"/>
                <w:sz w:val="18"/>
              </w:rPr>
              <w:t>694.67</w:t>
            </w:r>
          </w:p>
        </w:tc>
        <w:tc>
          <w:tcPr>
            <w:tcW w:w="588"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30" w:right="0"/>
              <w:jc w:val="left"/>
              <w:rPr>
                <w:rFonts w:ascii="Arial" w:hAnsi="Arial" w:cs="Arial" w:eastAsia="Arial" w:hint="default"/>
                <w:sz w:val="18"/>
                <w:szCs w:val="18"/>
              </w:rPr>
            </w:pPr>
            <w:r>
              <w:rPr>
                <w:rFonts w:ascii="Arial"/>
                <w:sz w:val="18"/>
              </w:rPr>
              <w:t>5.30</w:t>
            </w:r>
          </w:p>
          <w:p>
            <w:pPr>
              <w:pStyle w:val="TableParagraph"/>
              <w:spacing w:line="240" w:lineRule="auto" w:before="105"/>
              <w:ind w:left="340" w:right="0"/>
              <w:jc w:val="left"/>
              <w:rPr>
                <w:rFonts w:ascii="Arial" w:hAnsi="Arial" w:cs="Arial" w:eastAsia="Arial" w:hint="default"/>
                <w:sz w:val="18"/>
                <w:szCs w:val="18"/>
              </w:rPr>
            </w:pPr>
            <w:r>
              <w:rPr>
                <w:rFonts w:ascii="Arial"/>
                <w:w w:val="87"/>
                <w:sz w:val="18"/>
              </w:rPr>
              <w:t>%</w:t>
            </w:r>
            <w:r>
              <w:rPr>
                <w:rFonts w:ascii="Arial"/>
                <w:sz w:val="18"/>
              </w:rPr>
            </w:r>
          </w:p>
        </w:tc>
        <w:tc>
          <w:tcPr>
            <w:tcW w:w="93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7" w:right="0"/>
              <w:jc w:val="center"/>
              <w:rPr>
                <w:rFonts w:ascii="Arial" w:hAnsi="Arial" w:cs="Arial" w:eastAsia="Arial" w:hint="default"/>
                <w:sz w:val="18"/>
                <w:szCs w:val="18"/>
              </w:rPr>
            </w:pPr>
            <w:r>
              <w:rPr>
                <w:rFonts w:ascii="Arial"/>
                <w:sz w:val="18"/>
              </w:rPr>
              <w:t>343,221,</w:t>
            </w:r>
          </w:p>
          <w:p>
            <w:pPr>
              <w:pStyle w:val="TableParagraph"/>
              <w:spacing w:line="240" w:lineRule="auto" w:before="105"/>
              <w:ind w:left="168" w:right="0"/>
              <w:jc w:val="center"/>
              <w:rPr>
                <w:rFonts w:ascii="Arial" w:hAnsi="Arial" w:cs="Arial" w:eastAsia="Arial" w:hint="default"/>
                <w:sz w:val="18"/>
                <w:szCs w:val="18"/>
              </w:rPr>
            </w:pPr>
            <w:r>
              <w:rPr>
                <w:rFonts w:ascii="Arial"/>
                <w:sz w:val="18"/>
              </w:rPr>
              <w:t>879.29</w:t>
            </w:r>
          </w:p>
        </w:tc>
      </w:tr>
      <w:tr>
        <w:trPr>
          <w:trHeight w:val="1258" w:hRule="exact"/>
        </w:trPr>
        <w:tc>
          <w:tcPr>
            <w:tcW w:w="163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264"/>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准备的其他应收 款</w:t>
            </w:r>
          </w:p>
        </w:tc>
        <w:tc>
          <w:tcPr>
            <w:tcW w:w="1026"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20" w:right="0"/>
              <w:jc w:val="left"/>
              <w:rPr>
                <w:rFonts w:ascii="Arial" w:hAnsi="Arial" w:cs="Arial" w:eastAsia="Arial" w:hint="default"/>
                <w:sz w:val="18"/>
                <w:szCs w:val="18"/>
              </w:rPr>
            </w:pPr>
            <w:r>
              <w:rPr>
                <w:rFonts w:ascii="Arial"/>
                <w:sz w:val="18"/>
              </w:rPr>
              <w:t>1,993,760</w:t>
            </w:r>
          </w:p>
          <w:p>
            <w:pPr>
              <w:pStyle w:val="TableParagraph"/>
              <w:spacing w:line="240" w:lineRule="auto" w:before="105"/>
              <w:ind w:left="668" w:right="0"/>
              <w:jc w:val="left"/>
              <w:rPr>
                <w:rFonts w:ascii="Arial" w:hAnsi="Arial" w:cs="Arial" w:eastAsia="Arial" w:hint="default"/>
                <w:sz w:val="18"/>
                <w:szCs w:val="18"/>
              </w:rPr>
            </w:pPr>
            <w:r>
              <w:rPr>
                <w:rFonts w:ascii="Arial"/>
                <w:sz w:val="18"/>
              </w:rPr>
              <w:t>.18</w:t>
            </w:r>
          </w:p>
        </w:tc>
        <w:tc>
          <w:tcPr>
            <w:tcW w:w="5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10" w:right="0"/>
              <w:jc w:val="left"/>
              <w:rPr>
                <w:rFonts w:ascii="Arial" w:hAnsi="Arial" w:cs="Arial" w:eastAsia="Arial" w:hint="default"/>
                <w:sz w:val="18"/>
                <w:szCs w:val="18"/>
              </w:rPr>
            </w:pPr>
            <w:r>
              <w:rPr>
                <w:rFonts w:ascii="Arial"/>
                <w:sz w:val="18"/>
              </w:rPr>
              <w:t>0.18</w:t>
            </w:r>
          </w:p>
          <w:p>
            <w:pPr>
              <w:pStyle w:val="TableParagraph"/>
              <w:spacing w:line="240" w:lineRule="auto" w:before="105"/>
              <w:ind w:left="320" w:right="0"/>
              <w:jc w:val="left"/>
              <w:rPr>
                <w:rFonts w:ascii="Arial" w:hAnsi="Arial" w:cs="Arial" w:eastAsia="Arial" w:hint="default"/>
                <w:sz w:val="18"/>
                <w:szCs w:val="18"/>
              </w:rPr>
            </w:pPr>
            <w:r>
              <w:rPr>
                <w:rFonts w:ascii="Arial"/>
                <w:w w:val="87"/>
                <w:sz w:val="18"/>
              </w:rPr>
              <w:t>%</w:t>
            </w:r>
            <w:r>
              <w:rPr>
                <w:rFonts w:ascii="Arial"/>
                <w:sz w:val="18"/>
              </w:rPr>
            </w:r>
          </w:p>
        </w:tc>
        <w:tc>
          <w:tcPr>
            <w:tcW w:w="850"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4" w:right="0"/>
              <w:jc w:val="center"/>
              <w:rPr>
                <w:rFonts w:ascii="Arial" w:hAnsi="Arial" w:cs="Arial" w:eastAsia="Arial" w:hint="default"/>
                <w:sz w:val="18"/>
                <w:szCs w:val="18"/>
              </w:rPr>
            </w:pPr>
            <w:r>
              <w:rPr>
                <w:rFonts w:ascii="Arial"/>
                <w:sz w:val="18"/>
              </w:rPr>
              <w:t>1,993,7</w:t>
            </w:r>
          </w:p>
          <w:p>
            <w:pPr>
              <w:pStyle w:val="TableParagraph"/>
              <w:spacing w:line="240" w:lineRule="auto" w:before="105"/>
              <w:ind w:left="184" w:right="0"/>
              <w:jc w:val="center"/>
              <w:rPr>
                <w:rFonts w:ascii="Arial" w:hAnsi="Arial" w:cs="Arial" w:eastAsia="Arial" w:hint="default"/>
                <w:sz w:val="18"/>
                <w:szCs w:val="18"/>
              </w:rPr>
            </w:pPr>
            <w:r>
              <w:rPr>
                <w:rFonts w:ascii="Arial"/>
                <w:sz w:val="18"/>
              </w:rPr>
              <w:t>60.18</w:t>
            </w:r>
          </w:p>
        </w:tc>
        <w:tc>
          <w:tcPr>
            <w:tcW w:w="60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0" w:right="0"/>
              <w:jc w:val="left"/>
              <w:rPr>
                <w:rFonts w:ascii="Arial" w:hAnsi="Arial" w:cs="Arial" w:eastAsia="Arial" w:hint="default"/>
                <w:sz w:val="18"/>
                <w:szCs w:val="18"/>
              </w:rPr>
            </w:pPr>
            <w:r>
              <w:rPr>
                <w:rFonts w:ascii="Arial"/>
                <w:sz w:val="18"/>
              </w:rPr>
              <w:t>100.</w:t>
            </w:r>
          </w:p>
          <w:p>
            <w:pPr>
              <w:pStyle w:val="TableParagraph"/>
              <w:spacing w:line="240" w:lineRule="auto" w:before="105"/>
              <w:ind w:left="160" w:right="0"/>
              <w:jc w:val="left"/>
              <w:rPr>
                <w:rFonts w:ascii="Arial" w:hAnsi="Arial" w:cs="Arial" w:eastAsia="Arial" w:hint="default"/>
                <w:sz w:val="18"/>
                <w:szCs w:val="18"/>
              </w:rPr>
            </w:pPr>
            <w:r>
              <w:rPr>
                <w:rFonts w:ascii="Arial"/>
                <w:spacing w:val="-2"/>
                <w:sz w:val="18"/>
              </w:rPr>
              <w:t>00%</w:t>
            </w:r>
            <w:r>
              <w:rPr>
                <w:rFonts w:ascii="Arial"/>
                <w:sz w:val="18"/>
              </w:rPr>
            </w:r>
          </w:p>
        </w:tc>
        <w:tc>
          <w:tcPr>
            <w:tcW w:w="953"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Arial" w:hAnsi="Arial" w:cs="Arial" w:eastAsia="Arial" w:hint="default"/>
                <w:sz w:val="18"/>
                <w:szCs w:val="18"/>
              </w:rPr>
            </w:pPr>
            <w:r>
              <w:rPr>
                <w:rFonts w:ascii="Arial"/>
                <w:w w:val="95"/>
                <w:sz w:val="18"/>
              </w:rPr>
              <w:t>0.00</w:t>
            </w:r>
            <w:r>
              <w:rPr>
                <w:rFonts w:ascii="Arial"/>
                <w:sz w:val="18"/>
              </w:rPr>
            </w:r>
          </w:p>
        </w:tc>
        <w:tc>
          <w:tcPr>
            <w:tcW w:w="992" w:type="dxa"/>
            <w:tcBorders>
              <w:top w:val="single" w:sz="4" w:space="0" w:color="5B9BD4"/>
              <w:left w:val="nil" w:sz="6" w:space="0" w:color="auto"/>
              <w:bottom w:val="single" w:sz="4" w:space="0" w:color="5B9BD4"/>
              <w:right w:val="nil" w:sz="6" w:space="0" w:color="auto"/>
            </w:tcBorders>
            <w:shd w:val="clear" w:color="auto" w:fill="DEEAF6"/>
          </w:tcPr>
          <w:p>
            <w:pPr/>
          </w:p>
        </w:tc>
        <w:tc>
          <w:tcPr>
            <w:tcW w:w="568" w:type="dxa"/>
            <w:tcBorders>
              <w:top w:val="single" w:sz="4" w:space="0" w:color="5B9BD4"/>
              <w:left w:val="nil" w:sz="6" w:space="0" w:color="auto"/>
              <w:bottom w:val="single" w:sz="4" w:space="0" w:color="5B9BD4"/>
              <w:right w:val="nil" w:sz="6" w:space="0" w:color="auto"/>
            </w:tcBorders>
          </w:tcPr>
          <w:p>
            <w:pPr/>
          </w:p>
        </w:tc>
        <w:tc>
          <w:tcPr>
            <w:tcW w:w="850" w:type="dxa"/>
            <w:tcBorders>
              <w:top w:val="single" w:sz="4" w:space="0" w:color="5B9BD4"/>
              <w:left w:val="nil" w:sz="6" w:space="0" w:color="auto"/>
              <w:bottom w:val="single" w:sz="4" w:space="0" w:color="5B9BD4"/>
              <w:right w:val="nil" w:sz="6" w:space="0" w:color="auto"/>
            </w:tcBorders>
            <w:shd w:val="clear" w:color="auto" w:fill="DEEAF6"/>
          </w:tcPr>
          <w:p>
            <w:pPr/>
          </w:p>
        </w:tc>
        <w:tc>
          <w:tcPr>
            <w:tcW w:w="588" w:type="dxa"/>
            <w:tcBorders>
              <w:top w:val="single" w:sz="4" w:space="0" w:color="5B9BD4"/>
              <w:left w:val="nil" w:sz="6" w:space="0" w:color="auto"/>
              <w:bottom w:val="single" w:sz="4" w:space="0" w:color="5B9BD4"/>
              <w:right w:val="nil" w:sz="6" w:space="0" w:color="auto"/>
            </w:tcBorders>
          </w:tcPr>
          <w:p>
            <w:pPr/>
          </w:p>
        </w:tc>
        <w:tc>
          <w:tcPr>
            <w:tcW w:w="932"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4" w:hRule="exact"/>
        </w:trPr>
        <w:tc>
          <w:tcPr>
            <w:tcW w:w="163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2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2" w:right="0"/>
              <w:jc w:val="center"/>
              <w:rPr>
                <w:rFonts w:ascii="Arial" w:hAnsi="Arial" w:cs="Arial" w:eastAsia="Arial" w:hint="default"/>
                <w:sz w:val="18"/>
                <w:szCs w:val="18"/>
              </w:rPr>
            </w:pPr>
            <w:r>
              <w:rPr>
                <w:rFonts w:ascii="Arial"/>
                <w:sz w:val="18"/>
              </w:rPr>
              <w:t>1,130,678</w:t>
            </w:r>
          </w:p>
          <w:p>
            <w:pPr>
              <w:pStyle w:val="TableParagraph"/>
              <w:spacing w:line="240" w:lineRule="auto" w:before="105"/>
              <w:ind w:left="211" w:right="0"/>
              <w:jc w:val="center"/>
              <w:rPr>
                <w:rFonts w:ascii="Arial" w:hAnsi="Arial" w:cs="Arial" w:eastAsia="Arial" w:hint="default"/>
                <w:sz w:val="18"/>
                <w:szCs w:val="18"/>
              </w:rPr>
            </w:pPr>
            <w:r>
              <w:rPr>
                <w:rFonts w:ascii="Arial"/>
                <w:sz w:val="18"/>
              </w:rPr>
              <w:t>,896.04</w:t>
            </w:r>
          </w:p>
        </w:tc>
        <w:tc>
          <w:tcPr>
            <w:tcW w:w="56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10" w:right="0"/>
              <w:jc w:val="left"/>
              <w:rPr>
                <w:rFonts w:ascii="Arial" w:hAnsi="Arial" w:cs="Arial" w:eastAsia="Arial" w:hint="default"/>
                <w:sz w:val="18"/>
                <w:szCs w:val="18"/>
              </w:rPr>
            </w:pPr>
            <w:r>
              <w:rPr>
                <w:rFonts w:ascii="Arial"/>
                <w:sz w:val="18"/>
              </w:rPr>
              <w:t>100.</w:t>
            </w:r>
          </w:p>
          <w:p>
            <w:pPr>
              <w:pStyle w:val="TableParagraph"/>
              <w:spacing w:line="240" w:lineRule="auto" w:before="105"/>
              <w:ind w:left="121" w:right="0"/>
              <w:jc w:val="left"/>
              <w:rPr>
                <w:rFonts w:ascii="Arial" w:hAnsi="Arial" w:cs="Arial" w:eastAsia="Arial" w:hint="default"/>
                <w:sz w:val="18"/>
                <w:szCs w:val="18"/>
              </w:rPr>
            </w:pPr>
            <w:r>
              <w:rPr>
                <w:rFonts w:ascii="Arial"/>
                <w:spacing w:val="-2"/>
                <w:sz w:val="18"/>
              </w:rPr>
              <w:t>00%</w:t>
            </w:r>
            <w:r>
              <w:rPr>
                <w:rFonts w:ascii="Arial"/>
                <w:sz w:val="18"/>
              </w:rPr>
            </w:r>
          </w:p>
        </w:tc>
        <w:tc>
          <w:tcPr>
            <w:tcW w:w="85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42" w:right="0"/>
              <w:jc w:val="left"/>
              <w:rPr>
                <w:rFonts w:ascii="Arial" w:hAnsi="Arial" w:cs="Arial" w:eastAsia="Arial" w:hint="default"/>
                <w:sz w:val="18"/>
                <w:szCs w:val="18"/>
              </w:rPr>
            </w:pPr>
            <w:r>
              <w:rPr>
                <w:rFonts w:ascii="Arial"/>
                <w:sz w:val="18"/>
              </w:rPr>
              <w:t>61,281,</w:t>
            </w:r>
          </w:p>
          <w:p>
            <w:pPr>
              <w:pStyle w:val="TableParagraph"/>
              <w:spacing w:line="240" w:lineRule="auto" w:before="105"/>
              <w:ind w:left="193" w:right="0"/>
              <w:jc w:val="left"/>
              <w:rPr>
                <w:rFonts w:ascii="Arial" w:hAnsi="Arial" w:cs="Arial" w:eastAsia="Arial" w:hint="default"/>
                <w:sz w:val="18"/>
                <w:szCs w:val="18"/>
              </w:rPr>
            </w:pPr>
            <w:r>
              <w:rPr>
                <w:rFonts w:ascii="Arial"/>
                <w:sz w:val="18"/>
              </w:rPr>
              <w:t>420.90</w:t>
            </w:r>
          </w:p>
        </w:tc>
        <w:tc>
          <w:tcPr>
            <w:tcW w:w="60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50" w:right="0"/>
              <w:jc w:val="left"/>
              <w:rPr>
                <w:rFonts w:ascii="Arial" w:hAnsi="Arial" w:cs="Arial" w:eastAsia="Arial" w:hint="default"/>
                <w:sz w:val="18"/>
                <w:szCs w:val="18"/>
              </w:rPr>
            </w:pPr>
            <w:r>
              <w:rPr>
                <w:rFonts w:ascii="Arial"/>
                <w:sz w:val="18"/>
              </w:rPr>
              <w:t>5.42</w:t>
            </w:r>
          </w:p>
          <w:p>
            <w:pPr>
              <w:pStyle w:val="TableParagraph"/>
              <w:spacing w:line="240" w:lineRule="auto" w:before="105"/>
              <w:ind w:left="360" w:right="0"/>
              <w:jc w:val="left"/>
              <w:rPr>
                <w:rFonts w:ascii="Arial" w:hAnsi="Arial" w:cs="Arial" w:eastAsia="Arial" w:hint="default"/>
                <w:sz w:val="18"/>
                <w:szCs w:val="18"/>
              </w:rPr>
            </w:pPr>
            <w:r>
              <w:rPr>
                <w:rFonts w:ascii="Arial"/>
                <w:w w:val="87"/>
                <w:sz w:val="18"/>
              </w:rPr>
              <w:t>%</w:t>
            </w:r>
            <w:r>
              <w:rPr>
                <w:rFonts w:ascii="Arial"/>
                <w:sz w:val="18"/>
              </w:rPr>
            </w:r>
          </w:p>
        </w:tc>
        <w:tc>
          <w:tcPr>
            <w:tcW w:w="953"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46" w:right="0"/>
              <w:jc w:val="left"/>
              <w:rPr>
                <w:rFonts w:ascii="Arial" w:hAnsi="Arial" w:cs="Arial" w:eastAsia="Arial" w:hint="default"/>
                <w:sz w:val="18"/>
                <w:szCs w:val="18"/>
              </w:rPr>
            </w:pPr>
            <w:r>
              <w:rPr>
                <w:rFonts w:ascii="Arial"/>
                <w:sz w:val="18"/>
              </w:rPr>
              <w:t>1,069,39</w:t>
            </w:r>
          </w:p>
          <w:p>
            <w:pPr>
              <w:pStyle w:val="TableParagraph"/>
              <w:spacing w:line="240" w:lineRule="auto" w:before="105"/>
              <w:ind w:left="146" w:right="0"/>
              <w:jc w:val="left"/>
              <w:rPr>
                <w:rFonts w:ascii="Arial" w:hAnsi="Arial" w:cs="Arial" w:eastAsia="Arial" w:hint="default"/>
                <w:sz w:val="18"/>
                <w:szCs w:val="18"/>
              </w:rPr>
            </w:pPr>
            <w:r>
              <w:rPr>
                <w:rFonts w:ascii="Arial"/>
                <w:sz w:val="18"/>
              </w:rPr>
              <w:t>7,475.14</w:t>
            </w:r>
          </w:p>
        </w:tc>
        <w:tc>
          <w:tcPr>
            <w:tcW w:w="99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77" w:right="0"/>
              <w:jc w:val="center"/>
              <w:rPr>
                <w:rFonts w:ascii="Arial" w:hAnsi="Arial" w:cs="Arial" w:eastAsia="Arial" w:hint="default"/>
                <w:sz w:val="18"/>
                <w:szCs w:val="18"/>
              </w:rPr>
            </w:pPr>
            <w:r>
              <w:rPr>
                <w:rFonts w:ascii="Arial"/>
                <w:sz w:val="18"/>
              </w:rPr>
              <w:t>362,419,</w:t>
            </w:r>
          </w:p>
          <w:p>
            <w:pPr>
              <w:pStyle w:val="TableParagraph"/>
              <w:spacing w:line="240" w:lineRule="auto" w:before="105"/>
              <w:ind w:left="228" w:right="0"/>
              <w:jc w:val="center"/>
              <w:rPr>
                <w:rFonts w:ascii="Arial" w:hAnsi="Arial" w:cs="Arial" w:eastAsia="Arial" w:hint="default"/>
                <w:sz w:val="18"/>
                <w:szCs w:val="18"/>
              </w:rPr>
            </w:pPr>
            <w:r>
              <w:rPr>
                <w:rFonts w:ascii="Arial"/>
                <w:sz w:val="18"/>
              </w:rPr>
              <w:t>573.96</w:t>
            </w:r>
          </w:p>
        </w:tc>
        <w:tc>
          <w:tcPr>
            <w:tcW w:w="568"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10" w:right="0"/>
              <w:jc w:val="left"/>
              <w:rPr>
                <w:rFonts w:ascii="Arial" w:hAnsi="Arial" w:cs="Arial" w:eastAsia="Arial" w:hint="default"/>
                <w:sz w:val="18"/>
                <w:szCs w:val="18"/>
              </w:rPr>
            </w:pPr>
            <w:r>
              <w:rPr>
                <w:rFonts w:ascii="Arial"/>
                <w:sz w:val="18"/>
              </w:rPr>
              <w:t>100.</w:t>
            </w:r>
          </w:p>
          <w:p>
            <w:pPr>
              <w:pStyle w:val="TableParagraph"/>
              <w:spacing w:line="240" w:lineRule="auto" w:before="105"/>
              <w:ind w:left="121" w:right="0"/>
              <w:jc w:val="left"/>
              <w:rPr>
                <w:rFonts w:ascii="Arial" w:hAnsi="Arial" w:cs="Arial" w:eastAsia="Arial" w:hint="default"/>
                <w:sz w:val="18"/>
                <w:szCs w:val="18"/>
              </w:rPr>
            </w:pPr>
            <w:r>
              <w:rPr>
                <w:rFonts w:ascii="Arial"/>
                <w:spacing w:val="-2"/>
                <w:sz w:val="18"/>
              </w:rPr>
              <w:t>00%</w:t>
            </w:r>
            <w:r>
              <w:rPr>
                <w:rFonts w:ascii="Arial"/>
                <w:sz w:val="18"/>
              </w:rPr>
            </w:r>
          </w:p>
        </w:tc>
        <w:tc>
          <w:tcPr>
            <w:tcW w:w="85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42" w:right="0"/>
              <w:jc w:val="left"/>
              <w:rPr>
                <w:rFonts w:ascii="Arial" w:hAnsi="Arial" w:cs="Arial" w:eastAsia="Arial" w:hint="default"/>
                <w:sz w:val="18"/>
                <w:szCs w:val="18"/>
              </w:rPr>
            </w:pPr>
            <w:r>
              <w:rPr>
                <w:rFonts w:ascii="Arial"/>
                <w:sz w:val="18"/>
              </w:rPr>
              <w:t>19,197,</w:t>
            </w:r>
          </w:p>
          <w:p>
            <w:pPr>
              <w:pStyle w:val="TableParagraph"/>
              <w:spacing w:line="240" w:lineRule="auto" w:before="105"/>
              <w:ind w:left="193" w:right="0"/>
              <w:jc w:val="left"/>
              <w:rPr>
                <w:rFonts w:ascii="Arial" w:hAnsi="Arial" w:cs="Arial" w:eastAsia="Arial" w:hint="default"/>
                <w:sz w:val="18"/>
                <w:szCs w:val="18"/>
              </w:rPr>
            </w:pPr>
            <w:r>
              <w:rPr>
                <w:rFonts w:ascii="Arial"/>
                <w:sz w:val="18"/>
              </w:rPr>
              <w:t>694.67</w:t>
            </w:r>
          </w:p>
        </w:tc>
        <w:tc>
          <w:tcPr>
            <w:tcW w:w="588"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left="130" w:right="0"/>
              <w:jc w:val="left"/>
              <w:rPr>
                <w:rFonts w:ascii="Arial" w:hAnsi="Arial" w:cs="Arial" w:eastAsia="Arial" w:hint="default"/>
                <w:sz w:val="18"/>
                <w:szCs w:val="18"/>
              </w:rPr>
            </w:pPr>
            <w:r>
              <w:rPr>
                <w:rFonts w:ascii="Arial"/>
                <w:sz w:val="18"/>
              </w:rPr>
              <w:t>5.30</w:t>
            </w:r>
          </w:p>
          <w:p>
            <w:pPr>
              <w:pStyle w:val="TableParagraph"/>
              <w:spacing w:line="240" w:lineRule="auto" w:before="105"/>
              <w:ind w:left="340" w:right="0"/>
              <w:jc w:val="left"/>
              <w:rPr>
                <w:rFonts w:ascii="Arial" w:hAnsi="Arial" w:cs="Arial" w:eastAsia="Arial" w:hint="default"/>
                <w:sz w:val="18"/>
                <w:szCs w:val="18"/>
              </w:rPr>
            </w:pPr>
            <w:r>
              <w:rPr>
                <w:rFonts w:ascii="Arial"/>
                <w:w w:val="87"/>
                <w:sz w:val="18"/>
              </w:rPr>
              <w:t>%</w:t>
            </w:r>
            <w:r>
              <w:rPr>
                <w:rFonts w:ascii="Arial"/>
                <w:sz w:val="18"/>
              </w:rPr>
            </w:r>
          </w:p>
        </w:tc>
        <w:tc>
          <w:tcPr>
            <w:tcW w:w="93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17" w:right="0"/>
              <w:jc w:val="center"/>
              <w:rPr>
                <w:rFonts w:ascii="Arial" w:hAnsi="Arial" w:cs="Arial" w:eastAsia="Arial" w:hint="default"/>
                <w:sz w:val="18"/>
                <w:szCs w:val="18"/>
              </w:rPr>
            </w:pPr>
            <w:r>
              <w:rPr>
                <w:rFonts w:ascii="Arial"/>
                <w:sz w:val="18"/>
              </w:rPr>
              <w:t>343,221,</w:t>
            </w:r>
          </w:p>
          <w:p>
            <w:pPr>
              <w:pStyle w:val="TableParagraph"/>
              <w:spacing w:line="240" w:lineRule="auto" w:before="105"/>
              <w:ind w:left="168" w:right="0"/>
              <w:jc w:val="center"/>
              <w:rPr>
                <w:rFonts w:ascii="Arial" w:hAnsi="Arial" w:cs="Arial" w:eastAsia="Arial" w:hint="default"/>
                <w:sz w:val="18"/>
                <w:szCs w:val="18"/>
              </w:rPr>
            </w:pPr>
            <w:r>
              <w:rPr>
                <w:rFonts w:ascii="Arial"/>
                <w:sz w:val="18"/>
              </w:rPr>
              <w:t>879.29</w:t>
            </w:r>
          </w:p>
        </w:tc>
      </w:tr>
    </w:tbl>
    <w:p>
      <w:pPr>
        <w:spacing w:line="240" w:lineRule="auto" w:before="0"/>
        <w:rPr>
          <w:rFonts w:ascii="宋体" w:hAnsi="宋体" w:cs="宋体" w:eastAsia="宋体" w:hint="default"/>
          <w:sz w:val="15"/>
          <w:szCs w:val="15"/>
        </w:rPr>
      </w:pPr>
    </w:p>
    <w:p>
      <w:pPr>
        <w:pStyle w:val="BodyText"/>
        <w:spacing w:line="240" w:lineRule="auto" w:before="18"/>
        <w:ind w:left="634" w:right="1513"/>
        <w:jc w:val="left"/>
      </w:pPr>
      <w:r>
        <w:rPr/>
        <w:t>组合中，按账龄分析法计提坏账准备的其他应收款：</w:t>
      </w:r>
    </w:p>
    <w:p>
      <w:pPr>
        <w:spacing w:line="240" w:lineRule="auto" w:before="4"/>
        <w:rPr>
          <w:rFonts w:ascii="宋体" w:hAnsi="宋体" w:cs="宋体" w:eastAsia="宋体" w:hint="default"/>
          <w:sz w:val="25"/>
          <w:szCs w:val="25"/>
        </w:rPr>
      </w:pPr>
    </w:p>
    <w:p>
      <w:pPr>
        <w:pStyle w:val="BodyText"/>
        <w:spacing w:line="240" w:lineRule="auto" w:before="18"/>
        <w:ind w:left="0" w:right="1129"/>
        <w:jc w:val="right"/>
      </w:pPr>
      <w:r>
        <w:rPr/>
        <w:t>单位： 元</w:t>
      </w:r>
    </w:p>
    <w:p>
      <w:pPr>
        <w:spacing w:line="240" w:lineRule="auto" w:before="5"/>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2493"/>
        <w:gridCol w:w="2296"/>
        <w:gridCol w:w="2391"/>
        <w:gridCol w:w="2389"/>
      </w:tblGrid>
      <w:tr>
        <w:trPr>
          <w:trHeight w:val="322" w:hRule="exact"/>
        </w:trPr>
        <w:tc>
          <w:tcPr>
            <w:tcW w:w="2493"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2493" w:type="dxa"/>
            <w:vMerge/>
            <w:tcBorders>
              <w:left w:val="nil" w:sz="6" w:space="0" w:color="auto"/>
              <w:bottom w:val="single" w:sz="4" w:space="0" w:color="5B9BD4"/>
              <w:right w:val="nil" w:sz="6" w:space="0" w:color="auto"/>
            </w:tcBorders>
            <w:shd w:val="clear" w:color="auto" w:fill="DEEAF6"/>
          </w:tcPr>
          <w:p>
            <w:pPr/>
          </w:p>
        </w:tc>
        <w:tc>
          <w:tcPr>
            <w:tcW w:w="229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69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17" w:hRule="exact"/>
        </w:trPr>
        <w:tc>
          <w:tcPr>
            <w:tcW w:w="9569" w:type="dxa"/>
            <w:gridSpan w:val="4"/>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07"/>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年以内分项</w:t>
            </w:r>
          </w:p>
        </w:tc>
      </w:tr>
      <w:tr>
        <w:trPr>
          <w:trHeight w:val="328" w:hRule="exact"/>
        </w:trPr>
        <w:tc>
          <w:tcPr>
            <w:tcW w:w="249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1"/>
              <w:ind w:left="108"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年以内小计</w:t>
            </w:r>
          </w:p>
        </w:tc>
        <w:tc>
          <w:tcPr>
            <w:tcW w:w="2296" w:type="dxa"/>
            <w:tcBorders>
              <w:top w:val="single" w:sz="4" w:space="0" w:color="5B9BD4"/>
              <w:left w:val="nil" w:sz="6" w:space="0" w:color="auto"/>
              <w:bottom w:val="single" w:sz="4" w:space="0" w:color="5B9BD4"/>
              <w:right w:val="nil" w:sz="6" w:space="0" w:color="auto"/>
            </w:tcBorders>
          </w:tcPr>
          <w:p>
            <w:pPr>
              <w:pStyle w:val="TableParagraph"/>
              <w:spacing w:line="240" w:lineRule="auto" w:before="53"/>
              <w:ind w:right="107"/>
              <w:jc w:val="right"/>
              <w:rPr>
                <w:rFonts w:ascii="Arial" w:hAnsi="Arial" w:cs="Arial" w:eastAsia="Arial" w:hint="default"/>
                <w:sz w:val="18"/>
                <w:szCs w:val="18"/>
              </w:rPr>
            </w:pPr>
            <w:r>
              <w:rPr>
                <w:rFonts w:ascii="Arial"/>
                <w:spacing w:val="-1"/>
                <w:sz w:val="18"/>
              </w:rPr>
              <w:t>1,062,289,886.48</w:t>
            </w:r>
          </w:p>
        </w:tc>
        <w:tc>
          <w:tcPr>
            <w:tcW w:w="23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3"/>
              <w:ind w:right="106"/>
              <w:jc w:val="right"/>
              <w:rPr>
                <w:rFonts w:ascii="Arial" w:hAnsi="Arial" w:cs="Arial" w:eastAsia="Arial" w:hint="default"/>
                <w:sz w:val="18"/>
                <w:szCs w:val="18"/>
              </w:rPr>
            </w:pPr>
            <w:r>
              <w:rPr>
                <w:rFonts w:ascii="Arial"/>
                <w:w w:val="95"/>
                <w:sz w:val="18"/>
              </w:rPr>
              <w:t>53,114,494.32</w:t>
            </w:r>
            <w:r>
              <w:rPr>
                <w:rFonts w:ascii="Arial"/>
                <w:sz w:val="18"/>
              </w:rPr>
            </w:r>
          </w:p>
        </w:tc>
        <w:tc>
          <w:tcPr>
            <w:tcW w:w="2389" w:type="dxa"/>
            <w:tcBorders>
              <w:top w:val="single" w:sz="4" w:space="0" w:color="5B9BD4"/>
              <w:left w:val="nil" w:sz="6" w:space="0" w:color="auto"/>
              <w:bottom w:val="single" w:sz="4" w:space="0" w:color="5B9BD4"/>
              <w:right w:val="nil" w:sz="6" w:space="0" w:color="auto"/>
            </w:tcBorders>
          </w:tcPr>
          <w:p>
            <w:pPr>
              <w:pStyle w:val="TableParagraph"/>
              <w:spacing w:line="240" w:lineRule="auto" w:before="53"/>
              <w:ind w:right="104"/>
              <w:jc w:val="right"/>
              <w:rPr>
                <w:rFonts w:ascii="Arial" w:hAnsi="Arial" w:cs="Arial" w:eastAsia="Arial" w:hint="default"/>
                <w:sz w:val="18"/>
                <w:szCs w:val="18"/>
              </w:rPr>
            </w:pPr>
            <w:r>
              <w:rPr>
                <w:rFonts w:ascii="Arial"/>
                <w:w w:val="95"/>
                <w:sz w:val="18"/>
              </w:rPr>
              <w:t>5.00%</w:t>
            </w:r>
            <w:r>
              <w:rPr>
                <w:rFonts w:ascii="Arial"/>
                <w:sz w:val="18"/>
              </w:rPr>
            </w:r>
          </w:p>
        </w:tc>
      </w:tr>
      <w:tr>
        <w:trPr>
          <w:trHeight w:val="322" w:hRule="exact"/>
        </w:trPr>
        <w:tc>
          <w:tcPr>
            <w:tcW w:w="249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229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42,090,761.64</w:t>
            </w:r>
            <w:r>
              <w:rPr>
                <w:rFonts w:ascii="Arial"/>
                <w:sz w:val="18"/>
              </w:rPr>
            </w:r>
          </w:p>
        </w:tc>
        <w:tc>
          <w:tcPr>
            <w:tcW w:w="23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4,209,076.16</w:t>
            </w:r>
            <w:r>
              <w:rPr>
                <w:rFonts w:ascii="Arial"/>
                <w:sz w:val="18"/>
              </w:rPr>
            </w:r>
          </w:p>
        </w:tc>
        <w:tc>
          <w:tcPr>
            <w:tcW w:w="238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10.00%</w:t>
            </w:r>
            <w:r>
              <w:rPr>
                <w:rFonts w:ascii="Arial"/>
                <w:sz w:val="18"/>
              </w:rPr>
            </w:r>
          </w:p>
        </w:tc>
      </w:tr>
    </w:tbl>
    <w:p>
      <w:pPr>
        <w:spacing w:after="0" w:line="240" w:lineRule="auto"/>
        <w:jc w:val="right"/>
        <w:rPr>
          <w:rFonts w:ascii="Arial" w:hAnsi="Arial" w:cs="Arial" w:eastAsia="Arial" w:hint="default"/>
          <w:sz w:val="18"/>
          <w:szCs w:val="18"/>
        </w:rPr>
        <w:sectPr>
          <w:pgSz w:w="11910" w:h="16840"/>
          <w:pgMar w:header="877" w:footer="979" w:top="1100" w:bottom="1160" w:left="920" w:right="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2493"/>
        <w:gridCol w:w="2296"/>
        <w:gridCol w:w="2391"/>
        <w:gridCol w:w="2389"/>
      </w:tblGrid>
      <w:tr>
        <w:trPr>
          <w:trHeight w:val="322" w:hRule="exact"/>
        </w:trPr>
        <w:tc>
          <w:tcPr>
            <w:tcW w:w="249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7"/>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229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2,387,035.14</w:t>
            </w:r>
            <w:r>
              <w:rPr>
                <w:rFonts w:ascii="Arial"/>
                <w:sz w:val="18"/>
              </w:rPr>
            </w:r>
          </w:p>
        </w:tc>
        <w:tc>
          <w:tcPr>
            <w:tcW w:w="23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716,110.54</w:t>
            </w:r>
            <w:r>
              <w:rPr>
                <w:rFonts w:ascii="Arial"/>
                <w:sz w:val="18"/>
              </w:rPr>
            </w:r>
          </w:p>
        </w:tc>
        <w:tc>
          <w:tcPr>
            <w:tcW w:w="238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30.00%</w:t>
            </w:r>
            <w:r>
              <w:rPr>
                <w:rFonts w:ascii="Arial"/>
                <w:sz w:val="18"/>
              </w:rPr>
            </w:r>
          </w:p>
        </w:tc>
      </w:tr>
      <w:tr>
        <w:trPr>
          <w:trHeight w:val="322" w:hRule="exact"/>
        </w:trPr>
        <w:tc>
          <w:tcPr>
            <w:tcW w:w="249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年以上</w:t>
            </w:r>
          </w:p>
        </w:tc>
        <w:tc>
          <w:tcPr>
            <w:tcW w:w="229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2,495,959.40</w:t>
            </w:r>
            <w:r>
              <w:rPr>
                <w:rFonts w:ascii="Arial"/>
                <w:sz w:val="18"/>
              </w:rPr>
            </w:r>
          </w:p>
        </w:tc>
        <w:tc>
          <w:tcPr>
            <w:tcW w:w="23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1,247,979.70</w:t>
            </w:r>
            <w:r>
              <w:rPr>
                <w:rFonts w:ascii="Arial"/>
                <w:sz w:val="18"/>
              </w:rPr>
            </w:r>
          </w:p>
        </w:tc>
        <w:tc>
          <w:tcPr>
            <w:tcW w:w="238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50.00%</w:t>
            </w:r>
            <w:r>
              <w:rPr>
                <w:rFonts w:ascii="Arial"/>
                <w:sz w:val="18"/>
              </w:rPr>
            </w:r>
          </w:p>
        </w:tc>
      </w:tr>
      <w:tr>
        <w:trPr>
          <w:trHeight w:val="322" w:hRule="exact"/>
        </w:trPr>
        <w:tc>
          <w:tcPr>
            <w:tcW w:w="249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spacing w:val="-1"/>
                <w:sz w:val="18"/>
              </w:rPr>
              <w:t>1,109,263,642.66</w:t>
            </w:r>
          </w:p>
        </w:tc>
        <w:tc>
          <w:tcPr>
            <w:tcW w:w="2391"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59,287,660.72</w:t>
            </w:r>
            <w:r>
              <w:rPr>
                <w:rFonts w:ascii="Arial"/>
                <w:sz w:val="18"/>
              </w:rPr>
            </w:r>
          </w:p>
        </w:tc>
        <w:tc>
          <w:tcPr>
            <w:tcW w:w="238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5.34%</w:t>
            </w:r>
            <w:r>
              <w:rPr>
                <w:rFonts w:ascii="Arial"/>
                <w:sz w:val="18"/>
              </w:rPr>
            </w:r>
          </w:p>
        </w:tc>
      </w:tr>
    </w:tbl>
    <w:p>
      <w:pPr>
        <w:spacing w:line="240" w:lineRule="auto" w:before="1"/>
        <w:rPr>
          <w:rFonts w:ascii="宋体" w:hAnsi="宋体" w:cs="宋体" w:eastAsia="宋体" w:hint="default"/>
          <w:sz w:val="15"/>
          <w:szCs w:val="15"/>
        </w:rPr>
      </w:pPr>
    </w:p>
    <w:p>
      <w:pPr>
        <w:pStyle w:val="BodyText"/>
        <w:spacing w:line="398" w:lineRule="auto" w:before="18"/>
        <w:ind w:left="213" w:right="1018" w:firstLine="420"/>
        <w:jc w:val="left"/>
      </w:pPr>
      <w:r>
        <w:rPr>
          <w:spacing w:val="-3"/>
        </w:rPr>
        <w:t>确定该组合依据的说明：按信用风险特征组合计提坏账准备的其他应收款分为两类：一类为账龄组合，</w:t>
      </w:r>
      <w:r>
        <w:rPr/>
        <w:t> 金额为</w:t>
      </w:r>
      <w:r>
        <w:rPr>
          <w:spacing w:val="-54"/>
        </w:rPr>
        <w:t> </w:t>
      </w:r>
      <w:r>
        <w:rPr>
          <w:rFonts w:ascii="Arial" w:hAnsi="Arial" w:cs="Arial" w:eastAsia="Arial" w:hint="default"/>
          <w:spacing w:val="-1"/>
          <w:w w:val="99"/>
        </w:rPr>
        <w:t>1,109,263,642.66</w:t>
      </w:r>
      <w:r>
        <w:rPr>
          <w:rFonts w:ascii="Arial" w:hAnsi="Arial" w:cs="Arial" w:eastAsia="Arial" w:hint="default"/>
          <w:spacing w:val="-7"/>
          <w:w w:val="99"/>
        </w:rPr>
        <w:t> </w:t>
      </w:r>
      <w:r>
        <w:rPr>
          <w:spacing w:val="-14"/>
        </w:rPr>
        <w:t>元，计提坏账准备</w:t>
      </w:r>
      <w:r>
        <w:rPr>
          <w:spacing w:val="-54"/>
        </w:rPr>
        <w:t> </w:t>
      </w:r>
      <w:r>
        <w:rPr>
          <w:rFonts w:ascii="Arial" w:hAnsi="Arial" w:cs="Arial" w:eastAsia="Arial" w:hint="default"/>
          <w:w w:val="99"/>
        </w:rPr>
        <w:t>59,287,660.72</w:t>
      </w:r>
      <w:r>
        <w:rPr>
          <w:rFonts w:ascii="Arial" w:hAnsi="Arial" w:cs="Arial" w:eastAsia="Arial" w:hint="default"/>
          <w:spacing w:val="-8"/>
          <w:w w:val="99"/>
        </w:rPr>
        <w:t> </w:t>
      </w:r>
      <w:r>
        <w:rPr>
          <w:spacing w:val="-8"/>
          <w:w w:val="99"/>
        </w:rPr>
        <w:t>元，另一类为保证金组合</w:t>
      </w:r>
      <w:r>
        <w:rPr>
          <w:rFonts w:ascii="Arial" w:hAnsi="Arial" w:cs="Arial" w:eastAsia="Arial" w:hint="default"/>
          <w:spacing w:val="-8"/>
          <w:w w:val="99"/>
        </w:rPr>
        <w:t>,</w:t>
      </w:r>
      <w:r>
        <w:rPr>
          <w:spacing w:val="-8"/>
          <w:w w:val="99"/>
        </w:rPr>
        <w:t>金额为</w:t>
      </w:r>
      <w:r>
        <w:rPr>
          <w:spacing w:val="-55"/>
          <w:w w:val="99"/>
        </w:rPr>
        <w:t> </w:t>
      </w:r>
      <w:r>
        <w:rPr>
          <w:rFonts w:ascii="Arial" w:hAnsi="Arial" w:cs="Arial" w:eastAsia="Arial" w:hint="default"/>
          <w:w w:val="99"/>
        </w:rPr>
        <w:t>19,421,493.20</w:t>
      </w:r>
      <w:r>
        <w:rPr>
          <w:rFonts w:ascii="Arial" w:hAnsi="Arial" w:cs="Arial" w:eastAsia="Arial" w:hint="default"/>
          <w:spacing w:val="-47"/>
          <w:w w:val="99"/>
        </w:rPr>
        <w:t> </w:t>
      </w:r>
      <w:r>
        <w:rPr>
          <w:rFonts w:ascii="Arial" w:hAnsi="Arial" w:cs="Arial" w:eastAsia="Arial" w:hint="default"/>
          <w:spacing w:val="-47"/>
          <w:w w:val="99"/>
        </w:rPr>
      </w:r>
      <w:r>
        <w:rPr/>
        <w:t>元，不计提坏账准备。</w:t>
      </w:r>
    </w:p>
    <w:p>
      <w:pPr>
        <w:pStyle w:val="Heading5"/>
        <w:spacing w:line="240" w:lineRule="auto" w:before="133"/>
        <w:ind w:right="1513"/>
        <w:jc w:val="left"/>
        <w:rPr>
          <w:b w:val="0"/>
          <w:bCs w:val="0"/>
        </w:rPr>
      </w:pPr>
      <w:bookmarkStart w:name="（2）本期计提、收回或转回的坏账准备情况" w:id="433"/>
      <w:bookmarkEnd w:id="433"/>
      <w:r>
        <w:rPr>
          <w:b w:val="0"/>
          <w:bCs w:val="0"/>
        </w:rPr>
      </w:r>
      <w:r>
        <w:rPr/>
        <w:t>（</w:t>
      </w:r>
      <w:r>
        <w:rPr>
          <w:rFonts w:ascii="Trebuchet MS" w:hAnsi="Trebuchet MS" w:cs="Trebuchet MS" w:eastAsia="Trebuchet MS" w:hint="default"/>
        </w:rPr>
        <w:t>2</w:t>
      </w:r>
      <w:r>
        <w:rPr/>
        <w:t>）本期计提、收回或转回的坏账准备情况</w:t>
      </w:r>
      <w:r>
        <w:rPr>
          <w:b w:val="0"/>
          <w:bCs w:val="0"/>
        </w:rPr>
      </w:r>
    </w:p>
    <w:p>
      <w:pPr>
        <w:spacing w:line="240" w:lineRule="auto" w:before="5"/>
        <w:rPr>
          <w:rFonts w:ascii="宋体" w:hAnsi="宋体" w:cs="宋体" w:eastAsia="宋体" w:hint="default"/>
          <w:b/>
          <w:bCs/>
          <w:sz w:val="30"/>
          <w:szCs w:val="30"/>
        </w:rPr>
      </w:pPr>
    </w:p>
    <w:p>
      <w:pPr>
        <w:pStyle w:val="BodyText"/>
        <w:spacing w:line="240" w:lineRule="auto"/>
        <w:ind w:left="633" w:right="1513"/>
        <w:jc w:val="left"/>
      </w:pPr>
      <w:r>
        <w:rPr/>
        <w:t>本期计提坏账准备金额</w:t>
      </w:r>
      <w:r>
        <w:rPr>
          <w:spacing w:val="-54"/>
        </w:rPr>
        <w:t> </w:t>
      </w:r>
      <w:r>
        <w:rPr>
          <w:rFonts w:ascii="Arial" w:hAnsi="Arial" w:cs="Arial" w:eastAsia="Arial" w:hint="default"/>
        </w:rPr>
        <w:t>42,083,726.23</w:t>
      </w:r>
      <w:r>
        <w:rPr>
          <w:rFonts w:ascii="Arial" w:hAnsi="Arial" w:cs="Arial" w:eastAsia="Arial" w:hint="default"/>
          <w:spacing w:val="-7"/>
        </w:rPr>
        <w:t> </w:t>
      </w:r>
      <w:r>
        <w:rPr/>
        <w:t>元；本期收回或转回坏账准备金额</w:t>
      </w:r>
      <w:r>
        <w:rPr>
          <w:spacing w:val="-54"/>
        </w:rPr>
        <w:t> </w:t>
      </w:r>
      <w:r>
        <w:rPr>
          <w:rFonts w:ascii="Arial" w:hAnsi="Arial" w:cs="Arial" w:eastAsia="Arial" w:hint="default"/>
        </w:rPr>
        <w:t>0.00</w:t>
      </w:r>
      <w:r>
        <w:rPr>
          <w:rFonts w:ascii="Arial" w:hAnsi="Arial" w:cs="Arial" w:eastAsia="Arial" w:hint="default"/>
          <w:spacing w:val="-8"/>
        </w:rPr>
        <w:t> </w:t>
      </w:r>
      <w:r>
        <w:rPr/>
        <w:t>元。</w:t>
      </w:r>
    </w:p>
    <w:p>
      <w:pPr>
        <w:spacing w:line="240" w:lineRule="auto" w:before="9"/>
        <w:rPr>
          <w:rFonts w:ascii="宋体" w:hAnsi="宋体" w:cs="宋体" w:eastAsia="宋体" w:hint="default"/>
          <w:sz w:val="19"/>
          <w:szCs w:val="19"/>
        </w:rPr>
      </w:pPr>
    </w:p>
    <w:p>
      <w:pPr>
        <w:pStyle w:val="Heading5"/>
        <w:spacing w:line="240" w:lineRule="auto" w:before="0"/>
        <w:ind w:right="1513"/>
        <w:jc w:val="left"/>
        <w:rPr>
          <w:b w:val="0"/>
          <w:bCs w:val="0"/>
        </w:rPr>
      </w:pPr>
      <w:bookmarkStart w:name="（3）其他应收款按款项性质分类情况" w:id="434"/>
      <w:bookmarkEnd w:id="434"/>
      <w:r>
        <w:rPr>
          <w:b w:val="0"/>
          <w:bCs w:val="0"/>
        </w:rPr>
      </w:r>
      <w:r>
        <w:rPr/>
        <w:t>（</w:t>
      </w:r>
      <w:r>
        <w:rPr>
          <w:rFonts w:ascii="Trebuchet MS" w:hAnsi="Trebuchet MS" w:cs="Trebuchet MS" w:eastAsia="Trebuchet MS" w:hint="default"/>
        </w:rPr>
        <w:t>3</w:t>
      </w:r>
      <w:r>
        <w:rPr/>
        <w:t>）其他应收款按款项性质分类情况</w:t>
      </w:r>
      <w:r>
        <w:rPr>
          <w:b w:val="0"/>
          <w:bCs w:val="0"/>
        </w:rPr>
      </w:r>
    </w:p>
    <w:p>
      <w:pPr>
        <w:spacing w:line="240" w:lineRule="auto" w:before="5"/>
        <w:rPr>
          <w:rFonts w:ascii="宋体" w:hAnsi="宋体" w:cs="宋体" w:eastAsia="宋体" w:hint="default"/>
          <w:b/>
          <w:bCs/>
          <w:sz w:val="30"/>
          <w:szCs w:val="30"/>
        </w:rPr>
      </w:pPr>
    </w:p>
    <w:p>
      <w:pPr>
        <w:pStyle w:val="BodyText"/>
        <w:spacing w:line="240" w:lineRule="auto"/>
        <w:ind w:left="0" w:right="1129"/>
        <w:jc w:val="right"/>
      </w:pPr>
      <w:r>
        <w:rPr/>
        <w:t>单位： 元</w:t>
      </w:r>
    </w:p>
    <w:p>
      <w:pPr>
        <w:spacing w:line="240" w:lineRule="auto" w:before="5"/>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369"/>
        <w:gridCol w:w="3100"/>
        <w:gridCol w:w="3100"/>
      </w:tblGrid>
      <w:tr>
        <w:trPr>
          <w:trHeight w:val="317" w:hRule="exact"/>
        </w:trPr>
        <w:tc>
          <w:tcPr>
            <w:tcW w:w="336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0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0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6" w:hRule="exact"/>
        </w:trPr>
        <w:tc>
          <w:tcPr>
            <w:tcW w:w="336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关联单位往来</w:t>
            </w:r>
          </w:p>
        </w:tc>
        <w:tc>
          <w:tcPr>
            <w:tcW w:w="3100"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right="106"/>
              <w:jc w:val="right"/>
              <w:rPr>
                <w:rFonts w:ascii="Arial" w:hAnsi="Arial" w:cs="Arial" w:eastAsia="Arial" w:hint="default"/>
                <w:sz w:val="18"/>
                <w:szCs w:val="18"/>
              </w:rPr>
            </w:pPr>
            <w:r>
              <w:rPr>
                <w:rFonts w:ascii="Arial"/>
                <w:spacing w:val="-1"/>
                <w:sz w:val="18"/>
              </w:rPr>
              <w:t>1,094,352,979.86</w:t>
            </w:r>
          </w:p>
        </w:tc>
        <w:tc>
          <w:tcPr>
            <w:tcW w:w="310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2"/>
              <w:ind w:right="105"/>
              <w:jc w:val="right"/>
              <w:rPr>
                <w:rFonts w:ascii="Arial" w:hAnsi="Arial" w:cs="Arial" w:eastAsia="Arial" w:hint="default"/>
                <w:sz w:val="18"/>
                <w:szCs w:val="18"/>
              </w:rPr>
            </w:pPr>
            <w:r>
              <w:rPr>
                <w:rFonts w:ascii="Arial"/>
                <w:w w:val="95"/>
                <w:sz w:val="18"/>
              </w:rPr>
              <w:t>316,348,422.11</w:t>
            </w:r>
            <w:r>
              <w:rPr>
                <w:rFonts w:ascii="Arial"/>
                <w:sz w:val="18"/>
              </w:rPr>
            </w:r>
          </w:p>
        </w:tc>
      </w:tr>
      <w:tr>
        <w:trPr>
          <w:trHeight w:val="322" w:hRule="exact"/>
        </w:trPr>
        <w:tc>
          <w:tcPr>
            <w:tcW w:w="336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0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15,699,943.59</w:t>
            </w:r>
            <w:r>
              <w:rPr>
                <w:rFonts w:ascii="Arial"/>
                <w:sz w:val="18"/>
              </w:rPr>
            </w:r>
          </w:p>
        </w:tc>
        <w:tc>
          <w:tcPr>
            <w:tcW w:w="310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31,925,006.43</w:t>
            </w:r>
            <w:r>
              <w:rPr>
                <w:rFonts w:ascii="Arial"/>
                <w:sz w:val="18"/>
              </w:rPr>
            </w:r>
          </w:p>
        </w:tc>
      </w:tr>
      <w:tr>
        <w:trPr>
          <w:trHeight w:val="322" w:hRule="exact"/>
        </w:trPr>
        <w:tc>
          <w:tcPr>
            <w:tcW w:w="336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19,421,493.20</w:t>
            </w:r>
            <w:r>
              <w:rPr>
                <w:rFonts w:ascii="Arial"/>
                <w:sz w:val="18"/>
              </w:rPr>
            </w:r>
          </w:p>
        </w:tc>
        <w:tc>
          <w:tcPr>
            <w:tcW w:w="310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10,568,268.35</w:t>
            </w:r>
            <w:r>
              <w:rPr>
                <w:rFonts w:ascii="Arial"/>
                <w:sz w:val="18"/>
              </w:rPr>
            </w:r>
          </w:p>
        </w:tc>
      </w:tr>
      <w:tr>
        <w:trPr>
          <w:trHeight w:val="322" w:hRule="exact"/>
        </w:trPr>
        <w:tc>
          <w:tcPr>
            <w:tcW w:w="336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0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1,204,479.39</w:t>
            </w:r>
            <w:r>
              <w:rPr>
                <w:rFonts w:ascii="Arial"/>
                <w:sz w:val="18"/>
              </w:rPr>
            </w:r>
          </w:p>
        </w:tc>
        <w:tc>
          <w:tcPr>
            <w:tcW w:w="310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3,577,877.07</w:t>
            </w:r>
            <w:r>
              <w:rPr>
                <w:rFonts w:ascii="Arial"/>
                <w:sz w:val="18"/>
              </w:rPr>
            </w:r>
          </w:p>
        </w:tc>
      </w:tr>
      <w:tr>
        <w:trPr>
          <w:trHeight w:val="323" w:hRule="exact"/>
        </w:trPr>
        <w:tc>
          <w:tcPr>
            <w:tcW w:w="336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1,130,678,896.04</w:t>
            </w:r>
          </w:p>
        </w:tc>
        <w:tc>
          <w:tcPr>
            <w:tcW w:w="310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362,419,573.96</w:t>
            </w:r>
            <w:r>
              <w:rPr>
                <w:rFonts w:ascii="Arial"/>
                <w:sz w:val="18"/>
              </w:rPr>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4）按欠款方归集的期末余额前五名的其他应收款情况" w:id="435"/>
      <w:bookmarkEnd w:id="435"/>
      <w:r>
        <w:rPr>
          <w:b w:val="0"/>
          <w:bCs w:val="0"/>
        </w:rPr>
      </w:r>
      <w:r>
        <w:rPr/>
        <w:t>（</w:t>
      </w:r>
      <w:r>
        <w:rPr>
          <w:rFonts w:ascii="Trebuchet MS" w:hAnsi="Trebuchet MS" w:cs="Trebuchet MS" w:eastAsia="Trebuchet MS" w:hint="default"/>
        </w:rPr>
        <w:t>4</w:t>
      </w:r>
      <w:r>
        <w:rPr/>
        <w:t>）按欠款方归集的期末余额前五名的其他应收款情况</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941" w:hRule="exact"/>
        </w:trPr>
        <w:tc>
          <w:tcPr>
            <w:tcW w:w="16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48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76" w:right="177"/>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61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161"/>
              <w:ind w:left="717" w:right="175"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640" w:hRule="exact"/>
        </w:trPr>
        <w:tc>
          <w:tcPr>
            <w:tcW w:w="16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11"/>
              <w:ind w:left="108" w:right="135"/>
              <w:jc w:val="left"/>
              <w:rPr>
                <w:rFonts w:ascii="宋体" w:hAnsi="宋体" w:cs="宋体" w:eastAsia="宋体" w:hint="default"/>
                <w:sz w:val="18"/>
                <w:szCs w:val="18"/>
              </w:rPr>
            </w:pPr>
            <w:r>
              <w:rPr>
                <w:rFonts w:ascii="宋体" w:hAnsi="宋体" w:cs="宋体" w:eastAsia="宋体" w:hint="default"/>
                <w:sz w:val="18"/>
                <w:szCs w:val="18"/>
              </w:rPr>
              <w:t>西安市爱星通通信 器材有限公司</w:t>
            </w:r>
          </w:p>
        </w:tc>
        <w:tc>
          <w:tcPr>
            <w:tcW w:w="1552" w:type="dxa"/>
            <w:tcBorders>
              <w:top w:val="single" w:sz="4" w:space="0" w:color="5B9BD4"/>
              <w:left w:val="nil" w:sz="6" w:space="0" w:color="auto"/>
              <w:bottom w:val="single" w:sz="4" w:space="0" w:color="5B9BD4"/>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单位往来款</w:t>
            </w:r>
          </w:p>
        </w:tc>
        <w:tc>
          <w:tcPr>
            <w:tcW w:w="155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325,018,149.61</w:t>
            </w:r>
            <w:r>
              <w:rPr>
                <w:rFonts w:ascii="Arial"/>
                <w:sz w:val="18"/>
              </w:rPr>
            </w:r>
          </w:p>
        </w:tc>
        <w:tc>
          <w:tcPr>
            <w:tcW w:w="1553" w:type="dxa"/>
            <w:tcBorders>
              <w:top w:val="single" w:sz="4" w:space="0" w:color="5B9BD4"/>
              <w:left w:val="nil" w:sz="6" w:space="0" w:color="auto"/>
              <w:bottom w:val="single" w:sz="4" w:space="0" w:color="5B9BD4"/>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8"/>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年以内</w:t>
            </w:r>
          </w:p>
        </w:tc>
        <w:tc>
          <w:tcPr>
            <w:tcW w:w="16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28.75%</w:t>
            </w:r>
            <w:r>
              <w:rPr>
                <w:rFonts w:ascii="Arial"/>
                <w:sz w:val="18"/>
              </w:rPr>
            </w:r>
          </w:p>
        </w:tc>
        <w:tc>
          <w:tcPr>
            <w:tcW w:w="1615" w:type="dxa"/>
            <w:tcBorders>
              <w:top w:val="single" w:sz="4" w:space="0" w:color="5B9BD4"/>
              <w:left w:val="nil" w:sz="6" w:space="0" w:color="auto"/>
              <w:bottom w:val="single" w:sz="4" w:space="0" w:color="5B9BD4"/>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16,250,907.48</w:t>
            </w:r>
            <w:r>
              <w:rPr>
                <w:rFonts w:ascii="Arial"/>
                <w:sz w:val="18"/>
              </w:rPr>
            </w:r>
          </w:p>
        </w:tc>
      </w:tr>
      <w:tr>
        <w:trPr>
          <w:trHeight w:val="634" w:hRule="exact"/>
        </w:trPr>
        <w:tc>
          <w:tcPr>
            <w:tcW w:w="16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35"/>
              <w:jc w:val="left"/>
              <w:rPr>
                <w:rFonts w:ascii="宋体" w:hAnsi="宋体" w:cs="宋体" w:eastAsia="宋体" w:hint="default"/>
                <w:sz w:val="18"/>
                <w:szCs w:val="18"/>
              </w:rPr>
            </w:pPr>
            <w:r>
              <w:rPr>
                <w:rFonts w:ascii="宋体" w:hAnsi="宋体" w:cs="宋体" w:eastAsia="宋体" w:hint="default"/>
                <w:sz w:val="18"/>
                <w:szCs w:val="18"/>
              </w:rPr>
              <w:t>深圳市酷动数码有 限公司</w:t>
            </w:r>
          </w:p>
        </w:tc>
        <w:tc>
          <w:tcPr>
            <w:tcW w:w="1552" w:type="dxa"/>
            <w:tcBorders>
              <w:top w:val="single" w:sz="4" w:space="0" w:color="5B9BD4"/>
              <w:left w:val="nil" w:sz="6" w:space="0" w:color="auto"/>
              <w:bottom w:val="single" w:sz="4" w:space="0" w:color="5B9BD4"/>
              <w:right w:val="nil" w:sz="6" w:space="0" w:color="auto"/>
            </w:tcBorders>
          </w:tcPr>
          <w:p>
            <w:pPr>
              <w:pStyle w:val="TableParagraph"/>
              <w:spacing w:line="240" w:lineRule="auto" w:before="161"/>
              <w:ind w:right="107"/>
              <w:jc w:val="right"/>
              <w:rPr>
                <w:rFonts w:ascii="宋体" w:hAnsi="宋体" w:cs="宋体" w:eastAsia="宋体" w:hint="default"/>
                <w:sz w:val="18"/>
                <w:szCs w:val="18"/>
              </w:rPr>
            </w:pPr>
            <w:r>
              <w:rPr>
                <w:rFonts w:ascii="宋体" w:hAnsi="宋体" w:cs="宋体" w:eastAsia="宋体" w:hint="default"/>
                <w:sz w:val="18"/>
                <w:szCs w:val="18"/>
              </w:rPr>
              <w:t>单位往来款</w:t>
            </w:r>
          </w:p>
        </w:tc>
        <w:tc>
          <w:tcPr>
            <w:tcW w:w="155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299,996,242.46</w:t>
            </w:r>
            <w:r>
              <w:rPr>
                <w:rFonts w:ascii="Arial"/>
                <w:sz w:val="18"/>
              </w:rPr>
            </w:r>
          </w:p>
        </w:tc>
        <w:tc>
          <w:tcPr>
            <w:tcW w:w="1553" w:type="dxa"/>
            <w:tcBorders>
              <w:top w:val="single" w:sz="4" w:space="0" w:color="5B9BD4"/>
              <w:left w:val="nil" w:sz="6" w:space="0" w:color="auto"/>
              <w:bottom w:val="single" w:sz="4" w:space="0" w:color="5B9BD4"/>
              <w:right w:val="nil" w:sz="6" w:space="0" w:color="auto"/>
            </w:tcBorders>
          </w:tcPr>
          <w:p>
            <w:pPr>
              <w:pStyle w:val="TableParagraph"/>
              <w:spacing w:line="240" w:lineRule="auto" w:before="161"/>
              <w:ind w:right="108"/>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年以内</w:t>
            </w:r>
          </w:p>
        </w:tc>
        <w:tc>
          <w:tcPr>
            <w:tcW w:w="16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26.53%</w:t>
            </w:r>
            <w:r>
              <w:rPr>
                <w:rFonts w:ascii="Arial"/>
                <w:sz w:val="18"/>
              </w:rPr>
            </w:r>
          </w:p>
        </w:tc>
        <w:tc>
          <w:tcPr>
            <w:tcW w:w="1615"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14,999,812.12</w:t>
            </w:r>
            <w:r>
              <w:rPr>
                <w:rFonts w:ascii="Arial"/>
                <w:sz w:val="18"/>
              </w:rPr>
            </w:r>
          </w:p>
        </w:tc>
      </w:tr>
      <w:tr>
        <w:trPr>
          <w:trHeight w:val="634" w:hRule="exact"/>
        </w:trPr>
        <w:tc>
          <w:tcPr>
            <w:tcW w:w="16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35"/>
              <w:jc w:val="left"/>
              <w:rPr>
                <w:rFonts w:ascii="宋体" w:hAnsi="宋体" w:cs="宋体" w:eastAsia="宋体" w:hint="default"/>
                <w:sz w:val="18"/>
                <w:szCs w:val="18"/>
              </w:rPr>
            </w:pPr>
            <w:r>
              <w:rPr>
                <w:rFonts w:ascii="宋体" w:hAnsi="宋体" w:cs="宋体" w:eastAsia="宋体" w:hint="default"/>
                <w:sz w:val="18"/>
                <w:szCs w:val="18"/>
              </w:rPr>
              <w:t>深圳市优友金融服 务有限公司</w:t>
            </w:r>
          </w:p>
        </w:tc>
        <w:tc>
          <w:tcPr>
            <w:tcW w:w="1552" w:type="dxa"/>
            <w:tcBorders>
              <w:top w:val="single" w:sz="4" w:space="0" w:color="5B9BD4"/>
              <w:left w:val="nil" w:sz="6" w:space="0" w:color="auto"/>
              <w:bottom w:val="single" w:sz="4" w:space="0" w:color="5B9BD4"/>
              <w:right w:val="nil" w:sz="6" w:space="0" w:color="auto"/>
            </w:tcBorders>
          </w:tcPr>
          <w:p>
            <w:pPr>
              <w:pStyle w:val="TableParagraph"/>
              <w:spacing w:line="240" w:lineRule="auto" w:before="161"/>
              <w:ind w:right="107"/>
              <w:jc w:val="right"/>
              <w:rPr>
                <w:rFonts w:ascii="宋体" w:hAnsi="宋体" w:cs="宋体" w:eastAsia="宋体" w:hint="default"/>
                <w:sz w:val="18"/>
                <w:szCs w:val="18"/>
              </w:rPr>
            </w:pPr>
            <w:r>
              <w:rPr>
                <w:rFonts w:ascii="宋体" w:hAnsi="宋体" w:cs="宋体" w:eastAsia="宋体" w:hint="default"/>
                <w:sz w:val="18"/>
                <w:szCs w:val="18"/>
              </w:rPr>
              <w:t>单位往来款</w:t>
            </w:r>
          </w:p>
        </w:tc>
        <w:tc>
          <w:tcPr>
            <w:tcW w:w="155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156,732,650.00</w:t>
            </w:r>
            <w:r>
              <w:rPr>
                <w:rFonts w:ascii="Arial"/>
                <w:sz w:val="18"/>
              </w:rPr>
            </w:r>
          </w:p>
        </w:tc>
        <w:tc>
          <w:tcPr>
            <w:tcW w:w="1553" w:type="dxa"/>
            <w:tcBorders>
              <w:top w:val="single" w:sz="4" w:space="0" w:color="5B9BD4"/>
              <w:left w:val="nil" w:sz="6" w:space="0" w:color="auto"/>
              <w:bottom w:val="single" w:sz="4" w:space="0" w:color="5B9BD4"/>
              <w:right w:val="nil" w:sz="6" w:space="0" w:color="auto"/>
            </w:tcBorders>
          </w:tcPr>
          <w:p>
            <w:pPr>
              <w:pStyle w:val="TableParagraph"/>
              <w:spacing w:line="240" w:lineRule="auto" w:before="161"/>
              <w:ind w:right="108"/>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年以内</w:t>
            </w:r>
          </w:p>
        </w:tc>
        <w:tc>
          <w:tcPr>
            <w:tcW w:w="16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13.86%</w:t>
            </w:r>
            <w:r>
              <w:rPr>
                <w:rFonts w:ascii="Arial"/>
                <w:sz w:val="18"/>
              </w:rPr>
            </w:r>
          </w:p>
        </w:tc>
        <w:tc>
          <w:tcPr>
            <w:tcW w:w="1615"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7,836,632.50</w:t>
            </w:r>
            <w:r>
              <w:rPr>
                <w:rFonts w:ascii="Arial"/>
                <w:sz w:val="18"/>
              </w:rPr>
            </w:r>
          </w:p>
        </w:tc>
      </w:tr>
      <w:tr>
        <w:trPr>
          <w:trHeight w:val="634" w:hRule="exact"/>
        </w:trPr>
        <w:tc>
          <w:tcPr>
            <w:tcW w:w="16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35"/>
              <w:jc w:val="left"/>
              <w:rPr>
                <w:rFonts w:ascii="宋体" w:hAnsi="宋体" w:cs="宋体" w:eastAsia="宋体" w:hint="default"/>
                <w:sz w:val="18"/>
                <w:szCs w:val="18"/>
              </w:rPr>
            </w:pPr>
            <w:r>
              <w:rPr>
                <w:rFonts w:ascii="宋体" w:hAnsi="宋体" w:cs="宋体" w:eastAsia="宋体" w:hint="default"/>
                <w:sz w:val="18"/>
                <w:szCs w:val="18"/>
              </w:rPr>
              <w:t>深圳市酷爱星通讯 科技有限责任公司</w:t>
            </w:r>
          </w:p>
        </w:tc>
        <w:tc>
          <w:tcPr>
            <w:tcW w:w="1552" w:type="dxa"/>
            <w:tcBorders>
              <w:top w:val="single" w:sz="4" w:space="0" w:color="5B9BD4"/>
              <w:left w:val="nil" w:sz="6" w:space="0" w:color="auto"/>
              <w:bottom w:val="single" w:sz="4" w:space="0" w:color="5B9BD4"/>
              <w:right w:val="nil" w:sz="6" w:space="0" w:color="auto"/>
            </w:tcBorders>
          </w:tcPr>
          <w:p>
            <w:pPr>
              <w:pStyle w:val="TableParagraph"/>
              <w:spacing w:line="240" w:lineRule="auto" w:before="161"/>
              <w:ind w:right="107"/>
              <w:jc w:val="right"/>
              <w:rPr>
                <w:rFonts w:ascii="宋体" w:hAnsi="宋体" w:cs="宋体" w:eastAsia="宋体" w:hint="default"/>
                <w:sz w:val="18"/>
                <w:szCs w:val="18"/>
              </w:rPr>
            </w:pPr>
            <w:r>
              <w:rPr>
                <w:rFonts w:ascii="宋体" w:hAnsi="宋体" w:cs="宋体" w:eastAsia="宋体" w:hint="default"/>
                <w:sz w:val="18"/>
                <w:szCs w:val="18"/>
              </w:rPr>
              <w:t>期权行权款</w:t>
            </w:r>
          </w:p>
        </w:tc>
        <w:tc>
          <w:tcPr>
            <w:tcW w:w="155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78,496,502.53</w:t>
            </w:r>
            <w:r>
              <w:rPr>
                <w:rFonts w:ascii="Arial"/>
                <w:sz w:val="18"/>
              </w:rPr>
            </w:r>
          </w:p>
        </w:tc>
        <w:tc>
          <w:tcPr>
            <w:tcW w:w="1553" w:type="dxa"/>
            <w:tcBorders>
              <w:top w:val="single" w:sz="4" w:space="0" w:color="5B9BD4"/>
              <w:left w:val="nil" w:sz="6" w:space="0" w:color="auto"/>
              <w:bottom w:val="single" w:sz="4" w:space="0" w:color="5B9BD4"/>
              <w:right w:val="nil" w:sz="6" w:space="0" w:color="auto"/>
            </w:tcBorders>
          </w:tcPr>
          <w:p>
            <w:pPr>
              <w:pStyle w:val="TableParagraph"/>
              <w:spacing w:line="240" w:lineRule="auto" w:before="161"/>
              <w:ind w:right="108"/>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年以内</w:t>
            </w:r>
          </w:p>
        </w:tc>
        <w:tc>
          <w:tcPr>
            <w:tcW w:w="16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6.94%</w:t>
            </w:r>
            <w:r>
              <w:rPr>
                <w:rFonts w:ascii="Arial"/>
                <w:sz w:val="18"/>
              </w:rPr>
            </w:r>
          </w:p>
        </w:tc>
        <w:tc>
          <w:tcPr>
            <w:tcW w:w="1615"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3,924,825.13</w:t>
            </w:r>
            <w:r>
              <w:rPr>
                <w:rFonts w:ascii="Arial"/>
                <w:sz w:val="18"/>
              </w:rPr>
            </w:r>
          </w:p>
        </w:tc>
      </w:tr>
      <w:tr>
        <w:trPr>
          <w:trHeight w:val="634" w:hRule="exact"/>
        </w:trPr>
        <w:tc>
          <w:tcPr>
            <w:tcW w:w="16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135"/>
              <w:jc w:val="left"/>
              <w:rPr>
                <w:rFonts w:ascii="宋体" w:hAnsi="宋体" w:cs="宋体" w:eastAsia="宋体" w:hint="default"/>
                <w:sz w:val="18"/>
                <w:szCs w:val="18"/>
              </w:rPr>
            </w:pPr>
            <w:r>
              <w:rPr>
                <w:rFonts w:ascii="宋体" w:hAnsi="宋体" w:cs="宋体" w:eastAsia="宋体" w:hint="default"/>
                <w:sz w:val="18"/>
                <w:szCs w:val="18"/>
              </w:rPr>
              <w:t>迈奔灵动科技（北 京）有限公司</w:t>
            </w:r>
          </w:p>
        </w:tc>
        <w:tc>
          <w:tcPr>
            <w:tcW w:w="1552"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单位往来款</w:t>
            </w:r>
          </w:p>
        </w:tc>
        <w:tc>
          <w:tcPr>
            <w:tcW w:w="155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73,317,691.74</w:t>
            </w:r>
            <w:r>
              <w:rPr>
                <w:rFonts w:ascii="Arial"/>
                <w:sz w:val="18"/>
              </w:rPr>
            </w:r>
          </w:p>
        </w:tc>
        <w:tc>
          <w:tcPr>
            <w:tcW w:w="1553" w:type="dxa"/>
            <w:tcBorders>
              <w:top w:val="single" w:sz="4" w:space="0" w:color="5B9BD4"/>
              <w:left w:val="nil" w:sz="6" w:space="0" w:color="auto"/>
              <w:bottom w:val="single" w:sz="4" w:space="0" w:color="5B9BD4"/>
              <w:right w:val="nil" w:sz="6" w:space="0" w:color="auto"/>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8"/>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年以内</w:t>
            </w:r>
          </w:p>
        </w:tc>
        <w:tc>
          <w:tcPr>
            <w:tcW w:w="16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6.48%</w:t>
            </w:r>
            <w:r>
              <w:rPr>
                <w:rFonts w:ascii="Arial"/>
                <w:sz w:val="18"/>
              </w:rPr>
            </w:r>
          </w:p>
        </w:tc>
        <w:tc>
          <w:tcPr>
            <w:tcW w:w="1615"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5,626,419.17</w:t>
            </w:r>
            <w:r>
              <w:rPr>
                <w:rFonts w:ascii="Arial"/>
                <w:sz w:val="18"/>
              </w:rPr>
            </w:r>
          </w:p>
        </w:tc>
      </w:tr>
      <w:tr>
        <w:trPr>
          <w:trHeight w:val="322" w:hRule="exact"/>
        </w:trPr>
        <w:tc>
          <w:tcPr>
            <w:tcW w:w="168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w:t>
            </w:r>
            <w:r>
              <w:rPr>
                <w:rFonts w:ascii="Arial"/>
                <w:sz w:val="18"/>
              </w:rPr>
            </w:r>
          </w:p>
        </w:tc>
        <w:tc>
          <w:tcPr>
            <w:tcW w:w="155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933,561,236.34</w:t>
            </w:r>
            <w:r>
              <w:rPr>
                <w:rFonts w:ascii="Arial"/>
                <w:sz w:val="18"/>
              </w:rPr>
            </w:r>
          </w:p>
        </w:tc>
        <w:tc>
          <w:tcPr>
            <w:tcW w:w="1553"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w:t>
            </w:r>
            <w:r>
              <w:rPr>
                <w:rFonts w:ascii="Arial"/>
                <w:sz w:val="18"/>
              </w:rPr>
            </w:r>
          </w:p>
        </w:tc>
        <w:tc>
          <w:tcPr>
            <w:tcW w:w="16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82.57%</w:t>
            </w:r>
            <w:r>
              <w:rPr>
                <w:rFonts w:ascii="Arial"/>
                <w:sz w:val="18"/>
              </w:rPr>
            </w:r>
          </w:p>
        </w:tc>
        <w:tc>
          <w:tcPr>
            <w:tcW w:w="1615"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48,638,596.40</w:t>
            </w:r>
            <w:r>
              <w:rPr>
                <w:rFonts w:ascii="Arial"/>
                <w:sz w:val="18"/>
              </w:rPr>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3、长期股权投资" w:id="436"/>
      <w:bookmarkEnd w:id="436"/>
      <w:r>
        <w:rPr>
          <w:b w:val="0"/>
          <w:bCs w:val="0"/>
        </w:rPr>
      </w:r>
      <w:r>
        <w:rPr>
          <w:rFonts w:ascii="Trebuchet MS" w:hAnsi="Trebuchet MS" w:cs="Trebuchet MS" w:eastAsia="Trebuchet MS" w:hint="default"/>
        </w:rPr>
        <w:t>3</w:t>
      </w:r>
      <w:r>
        <w:rPr/>
        <w:t>、长期股权投资</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after="0" w:line="240" w:lineRule="auto"/>
        <w:jc w:val="right"/>
        <w:sectPr>
          <w:pgSz w:w="11910" w:h="16840"/>
          <w:pgMar w:header="877" w:footer="979" w:top="1100" w:bottom="1160" w:left="920" w:right="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322" w:hRule="exact"/>
        </w:trPr>
        <w:tc>
          <w:tcPr>
            <w:tcW w:w="1368"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5B9BD4"/>
              <w:left w:val="nil" w:sz="6" w:space="0" w:color="auto"/>
              <w:bottom w:val="single" w:sz="4" w:space="0" w:color="5B9BD4"/>
              <w:right w:val="nil" w:sz="6" w:space="0" w:color="auto"/>
            </w:tcBorders>
            <w:shd w:val="clear" w:color="auto" w:fill="DEEAF6"/>
          </w:tcPr>
          <w:p>
            <w:pP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
        </w:tc>
        <w:tc>
          <w:tcPr>
            <w:tcW w:w="1368" w:type="dxa"/>
            <w:tcBorders>
              <w:top w:val="single" w:sz="4" w:space="0" w:color="5B9BD4"/>
              <w:left w:val="nil" w:sz="6" w:space="0" w:color="auto"/>
              <w:bottom w:val="single" w:sz="4" w:space="0" w:color="5B9BD4"/>
              <w:right w:val="nil" w:sz="6" w:space="0" w:color="auto"/>
            </w:tcBorders>
            <w:shd w:val="clear" w:color="auto" w:fill="DEEAF6"/>
          </w:tcPr>
          <w:p>
            <w:pP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17" w:hRule="exact"/>
        </w:trPr>
        <w:tc>
          <w:tcPr>
            <w:tcW w:w="1368" w:type="dxa"/>
            <w:vMerge/>
            <w:tcBorders>
              <w:left w:val="nil" w:sz="6" w:space="0" w:color="auto"/>
              <w:bottom w:val="single" w:sz="4" w:space="0" w:color="5B9BD4"/>
              <w:right w:val="nil" w:sz="6" w:space="0" w:color="auto"/>
            </w:tcBorders>
            <w:shd w:val="clear" w:color="auto" w:fill="DEEAF6"/>
          </w:tcPr>
          <w:p>
            <w:pPr/>
          </w:p>
        </w:tc>
        <w:tc>
          <w:tcPr>
            <w:tcW w:w="13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3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32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3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32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638" w:hRule="exact"/>
        </w:trPr>
        <w:tc>
          <w:tcPr>
            <w:tcW w:w="13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right="106"/>
              <w:jc w:val="right"/>
              <w:rPr>
                <w:rFonts w:ascii="Arial" w:hAnsi="Arial" w:cs="Arial" w:eastAsia="Arial" w:hint="default"/>
                <w:sz w:val="18"/>
                <w:szCs w:val="18"/>
              </w:rPr>
            </w:pPr>
            <w:r>
              <w:rPr>
                <w:rFonts w:ascii="Arial"/>
                <w:w w:val="95"/>
                <w:sz w:val="18"/>
              </w:rPr>
              <w:t>897,686,917.0</w:t>
            </w:r>
            <w:r>
              <w:rPr>
                <w:rFonts w:ascii="Arial"/>
                <w:sz w:val="18"/>
              </w:rPr>
            </w:r>
          </w:p>
          <w:p>
            <w:pPr>
              <w:pStyle w:val="TableParagraph"/>
              <w:spacing w:line="240" w:lineRule="auto" w:before="105"/>
              <w:ind w:right="105"/>
              <w:jc w:val="right"/>
              <w:rPr>
                <w:rFonts w:ascii="Arial" w:hAnsi="Arial" w:cs="Arial" w:eastAsia="Arial" w:hint="default"/>
                <w:sz w:val="18"/>
                <w:szCs w:val="18"/>
              </w:rPr>
            </w:pPr>
            <w:r>
              <w:rPr>
                <w:rFonts w:ascii="Arial"/>
                <w:w w:val="99"/>
                <w:sz w:val="18"/>
              </w:rPr>
              <w:t>7</w:t>
            </w:r>
            <w:r>
              <w:rPr>
                <w:rFonts w:ascii="Arial"/>
                <w:sz w:val="18"/>
              </w:rPr>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center"/>
              <w:rPr>
                <w:rFonts w:ascii="Arial" w:hAnsi="Arial" w:cs="Arial" w:eastAsia="Arial" w:hint="default"/>
                <w:sz w:val="18"/>
                <w:szCs w:val="18"/>
              </w:rPr>
            </w:pPr>
            <w:r>
              <w:rPr>
                <w:rFonts w:ascii="Arial"/>
                <w:sz w:val="18"/>
              </w:rPr>
              <w:t>5,744,600.34</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right="106"/>
              <w:jc w:val="right"/>
              <w:rPr>
                <w:rFonts w:ascii="Arial" w:hAnsi="Arial" w:cs="Arial" w:eastAsia="Arial" w:hint="default"/>
                <w:sz w:val="18"/>
                <w:szCs w:val="18"/>
              </w:rPr>
            </w:pPr>
            <w:r>
              <w:rPr>
                <w:rFonts w:ascii="Arial"/>
                <w:w w:val="95"/>
                <w:sz w:val="18"/>
              </w:rPr>
              <w:t>891,942,316.7</w:t>
            </w:r>
            <w:r>
              <w:rPr>
                <w:rFonts w:ascii="Arial"/>
                <w:sz w:val="18"/>
              </w:rPr>
            </w:r>
          </w:p>
          <w:p>
            <w:pPr>
              <w:pStyle w:val="TableParagraph"/>
              <w:spacing w:line="240" w:lineRule="auto" w:before="105"/>
              <w:ind w:right="105"/>
              <w:jc w:val="right"/>
              <w:rPr>
                <w:rFonts w:ascii="Arial" w:hAnsi="Arial" w:cs="Arial" w:eastAsia="Arial" w:hint="default"/>
                <w:sz w:val="18"/>
                <w:szCs w:val="18"/>
              </w:rPr>
            </w:pPr>
            <w:r>
              <w:rPr>
                <w:rFonts w:ascii="Arial"/>
                <w:w w:val="99"/>
                <w:sz w:val="18"/>
              </w:rPr>
              <w:t>3</w:t>
            </w:r>
            <w:r>
              <w:rPr>
                <w:rFonts w:ascii="Arial"/>
                <w:sz w:val="18"/>
              </w:rPr>
            </w:r>
          </w:p>
        </w:tc>
        <w:tc>
          <w:tcPr>
            <w:tcW w:w="13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2"/>
              <w:ind w:right="107"/>
              <w:jc w:val="right"/>
              <w:rPr>
                <w:rFonts w:ascii="Arial" w:hAnsi="Arial" w:cs="Arial" w:eastAsia="Arial" w:hint="default"/>
                <w:sz w:val="18"/>
                <w:szCs w:val="18"/>
              </w:rPr>
            </w:pPr>
            <w:r>
              <w:rPr>
                <w:rFonts w:ascii="Arial"/>
                <w:w w:val="95"/>
                <w:sz w:val="18"/>
              </w:rPr>
              <w:t>611,908,217.0</w:t>
            </w:r>
            <w:r>
              <w:rPr>
                <w:rFonts w:ascii="Arial"/>
                <w:sz w:val="18"/>
              </w:rPr>
            </w:r>
          </w:p>
          <w:p>
            <w:pPr>
              <w:pStyle w:val="TableParagraph"/>
              <w:spacing w:line="240" w:lineRule="auto" w:before="105"/>
              <w:ind w:right="107"/>
              <w:jc w:val="right"/>
              <w:rPr>
                <w:rFonts w:ascii="Arial" w:hAnsi="Arial" w:cs="Arial" w:eastAsia="Arial" w:hint="default"/>
                <w:sz w:val="18"/>
                <w:szCs w:val="18"/>
              </w:rPr>
            </w:pPr>
            <w:r>
              <w:rPr>
                <w:rFonts w:ascii="Arial"/>
                <w:w w:val="99"/>
                <w:sz w:val="18"/>
              </w:rPr>
              <w:t>7</w:t>
            </w:r>
            <w:r>
              <w:rPr>
                <w:rFonts w:ascii="Arial"/>
                <w:sz w:val="18"/>
              </w:rPr>
            </w:r>
          </w:p>
        </w:tc>
        <w:tc>
          <w:tcPr>
            <w:tcW w:w="1367" w:type="dxa"/>
            <w:tcBorders>
              <w:top w:val="single" w:sz="4" w:space="0" w:color="5B9BD4"/>
              <w:left w:val="nil" w:sz="6" w:space="0" w:color="auto"/>
              <w:bottom w:val="single" w:sz="4" w:space="0" w:color="5B9BD4"/>
              <w:right w:val="nil" w:sz="6" w:space="0" w:color="auto"/>
            </w:tcBorders>
          </w:tcPr>
          <w:p>
            <w:pP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2"/>
              <w:ind w:right="106"/>
              <w:jc w:val="right"/>
              <w:rPr>
                <w:rFonts w:ascii="Arial" w:hAnsi="Arial" w:cs="Arial" w:eastAsia="Arial" w:hint="default"/>
                <w:sz w:val="18"/>
                <w:szCs w:val="18"/>
              </w:rPr>
            </w:pPr>
            <w:r>
              <w:rPr>
                <w:rFonts w:ascii="Arial"/>
                <w:w w:val="95"/>
                <w:sz w:val="18"/>
              </w:rPr>
              <w:t>611,908,217.0</w:t>
            </w:r>
            <w:r>
              <w:rPr>
                <w:rFonts w:ascii="Arial"/>
                <w:sz w:val="18"/>
              </w:rPr>
            </w:r>
          </w:p>
          <w:p>
            <w:pPr>
              <w:pStyle w:val="TableParagraph"/>
              <w:spacing w:line="240" w:lineRule="auto" w:before="105"/>
              <w:ind w:right="105"/>
              <w:jc w:val="right"/>
              <w:rPr>
                <w:rFonts w:ascii="Arial" w:hAnsi="Arial" w:cs="Arial" w:eastAsia="Arial" w:hint="default"/>
                <w:sz w:val="18"/>
                <w:szCs w:val="18"/>
              </w:rPr>
            </w:pPr>
            <w:r>
              <w:rPr>
                <w:rFonts w:ascii="Arial"/>
                <w:w w:val="99"/>
                <w:sz w:val="18"/>
              </w:rPr>
              <w:t>7</w:t>
            </w:r>
            <w:r>
              <w:rPr>
                <w:rFonts w:ascii="Arial"/>
                <w:sz w:val="18"/>
              </w:rPr>
            </w:r>
          </w:p>
        </w:tc>
      </w:tr>
      <w:tr>
        <w:trPr>
          <w:trHeight w:val="635" w:hRule="exact"/>
        </w:trPr>
        <w:tc>
          <w:tcPr>
            <w:tcW w:w="13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178"/>
              <w:jc w:val="left"/>
              <w:rPr>
                <w:rFonts w:ascii="宋体" w:hAnsi="宋体" w:cs="宋体" w:eastAsia="宋体" w:hint="default"/>
                <w:sz w:val="18"/>
                <w:szCs w:val="18"/>
              </w:rPr>
            </w:pPr>
            <w:r>
              <w:rPr>
                <w:rFonts w:ascii="宋体" w:hAnsi="宋体" w:cs="宋体" w:eastAsia="宋体" w:hint="default"/>
                <w:sz w:val="18"/>
                <w:szCs w:val="18"/>
              </w:rPr>
              <w:t>对联营、合营 企业投资</w:t>
            </w:r>
          </w:p>
        </w:tc>
        <w:tc>
          <w:tcPr>
            <w:tcW w:w="1368" w:type="dxa"/>
            <w:tcBorders>
              <w:top w:val="single" w:sz="4" w:space="0" w:color="5B9BD4"/>
              <w:left w:val="nil" w:sz="6" w:space="0" w:color="auto"/>
              <w:bottom w:val="single" w:sz="4" w:space="0" w:color="5B9BD4"/>
              <w:right w:val="nil" w:sz="6" w:space="0" w:color="auto"/>
            </w:tcBorders>
          </w:tcPr>
          <w:p>
            <w:pP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
        </w:tc>
        <w:tc>
          <w:tcPr>
            <w:tcW w:w="1367" w:type="dxa"/>
            <w:tcBorders>
              <w:top w:val="single" w:sz="4" w:space="0" w:color="5B9BD4"/>
              <w:left w:val="nil" w:sz="6" w:space="0" w:color="auto"/>
              <w:bottom w:val="single" w:sz="4" w:space="0" w:color="5B9BD4"/>
              <w:right w:val="nil" w:sz="6" w:space="0" w:color="auto"/>
            </w:tcBorders>
          </w:tcPr>
          <w:p>
            <w:pPr/>
          </w:p>
        </w:tc>
        <w:tc>
          <w:tcPr>
            <w:tcW w:w="1368" w:type="dxa"/>
            <w:tcBorders>
              <w:top w:val="single" w:sz="4" w:space="0" w:color="5B9BD4"/>
              <w:left w:val="nil" w:sz="6" w:space="0" w:color="auto"/>
              <w:bottom w:val="single" w:sz="4" w:space="0" w:color="5B9BD4"/>
              <w:right w:val="nil" w:sz="6" w:space="0" w:color="auto"/>
            </w:tcBorders>
            <w:shd w:val="clear" w:color="auto" w:fill="DEEAF6"/>
          </w:tcPr>
          <w:p>
            <w:pPr/>
          </w:p>
        </w:tc>
        <w:tc>
          <w:tcPr>
            <w:tcW w:w="1367" w:type="dxa"/>
            <w:tcBorders>
              <w:top w:val="single" w:sz="4" w:space="0" w:color="5B9BD4"/>
              <w:left w:val="nil" w:sz="6" w:space="0" w:color="auto"/>
              <w:bottom w:val="single" w:sz="4" w:space="0" w:color="5B9BD4"/>
              <w:right w:val="nil" w:sz="6" w:space="0" w:color="auto"/>
            </w:tcBorders>
          </w:tcPr>
          <w:p>
            <w:pP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4" w:hRule="exact"/>
        </w:trPr>
        <w:tc>
          <w:tcPr>
            <w:tcW w:w="13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897,686,917.0</w:t>
            </w:r>
            <w:r>
              <w:rPr>
                <w:rFonts w:ascii="Arial"/>
                <w:sz w:val="18"/>
              </w:rPr>
            </w:r>
          </w:p>
          <w:p>
            <w:pPr>
              <w:pStyle w:val="TableParagraph"/>
              <w:spacing w:line="240" w:lineRule="auto" w:before="105"/>
              <w:ind w:right="105"/>
              <w:jc w:val="right"/>
              <w:rPr>
                <w:rFonts w:ascii="Arial" w:hAnsi="Arial" w:cs="Arial" w:eastAsia="Arial" w:hint="default"/>
                <w:sz w:val="18"/>
                <w:szCs w:val="18"/>
              </w:rPr>
            </w:pPr>
            <w:r>
              <w:rPr>
                <w:rFonts w:ascii="Arial"/>
                <w:w w:val="99"/>
                <w:sz w:val="18"/>
              </w:rPr>
              <w:t>7</w:t>
            </w:r>
            <w:r>
              <w:rPr>
                <w:rFonts w:ascii="Arial"/>
                <w:sz w:val="18"/>
              </w:rPr>
            </w: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5" w:right="0"/>
              <w:jc w:val="center"/>
              <w:rPr>
                <w:rFonts w:ascii="Arial" w:hAnsi="Arial" w:cs="Arial" w:eastAsia="Arial" w:hint="default"/>
                <w:sz w:val="18"/>
                <w:szCs w:val="18"/>
              </w:rPr>
            </w:pPr>
            <w:r>
              <w:rPr>
                <w:rFonts w:ascii="Arial"/>
                <w:sz w:val="18"/>
              </w:rPr>
              <w:t>5,744,600.34</w:t>
            </w:r>
          </w:p>
        </w:tc>
        <w:tc>
          <w:tcPr>
            <w:tcW w:w="1367"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891,942,316.7</w:t>
            </w:r>
            <w:r>
              <w:rPr>
                <w:rFonts w:ascii="Arial"/>
                <w:sz w:val="18"/>
              </w:rPr>
            </w:r>
          </w:p>
          <w:p>
            <w:pPr>
              <w:pStyle w:val="TableParagraph"/>
              <w:spacing w:line="240" w:lineRule="auto" w:before="105"/>
              <w:ind w:right="105"/>
              <w:jc w:val="right"/>
              <w:rPr>
                <w:rFonts w:ascii="Arial" w:hAnsi="Arial" w:cs="Arial" w:eastAsia="Arial" w:hint="default"/>
                <w:sz w:val="18"/>
                <w:szCs w:val="18"/>
              </w:rPr>
            </w:pPr>
            <w:r>
              <w:rPr>
                <w:rFonts w:ascii="Arial"/>
                <w:w w:val="99"/>
                <w:sz w:val="18"/>
              </w:rPr>
              <w:t>3</w:t>
            </w:r>
            <w:r>
              <w:rPr>
                <w:rFonts w:ascii="Arial"/>
                <w:sz w:val="18"/>
              </w:rPr>
            </w:r>
          </w:p>
        </w:tc>
        <w:tc>
          <w:tcPr>
            <w:tcW w:w="136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w w:val="95"/>
                <w:sz w:val="18"/>
              </w:rPr>
              <w:t>611,908,217.0</w:t>
            </w:r>
            <w:r>
              <w:rPr>
                <w:rFonts w:ascii="Arial"/>
                <w:sz w:val="18"/>
              </w:rPr>
            </w:r>
          </w:p>
          <w:p>
            <w:pPr>
              <w:pStyle w:val="TableParagraph"/>
              <w:spacing w:line="240" w:lineRule="auto" w:before="105"/>
              <w:ind w:right="107"/>
              <w:jc w:val="right"/>
              <w:rPr>
                <w:rFonts w:ascii="Arial" w:hAnsi="Arial" w:cs="Arial" w:eastAsia="Arial" w:hint="default"/>
                <w:sz w:val="18"/>
                <w:szCs w:val="18"/>
              </w:rPr>
            </w:pPr>
            <w:r>
              <w:rPr>
                <w:rFonts w:ascii="Arial"/>
                <w:w w:val="99"/>
                <w:sz w:val="18"/>
              </w:rPr>
              <w:t>7</w:t>
            </w:r>
            <w:r>
              <w:rPr>
                <w:rFonts w:ascii="Arial"/>
                <w:sz w:val="18"/>
              </w:rPr>
            </w:r>
          </w:p>
        </w:tc>
        <w:tc>
          <w:tcPr>
            <w:tcW w:w="1367" w:type="dxa"/>
            <w:tcBorders>
              <w:top w:val="single" w:sz="4" w:space="0" w:color="5B9BD4"/>
              <w:left w:val="nil" w:sz="6" w:space="0" w:color="auto"/>
              <w:bottom w:val="single" w:sz="4" w:space="0" w:color="5B9BD4"/>
              <w:right w:val="nil" w:sz="6" w:space="0" w:color="auto"/>
            </w:tcBorders>
          </w:tcPr>
          <w:p>
            <w:pPr/>
          </w:p>
        </w:tc>
        <w:tc>
          <w:tcPr>
            <w:tcW w:w="1367"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611,908,217.0</w:t>
            </w:r>
            <w:r>
              <w:rPr>
                <w:rFonts w:ascii="Arial"/>
                <w:sz w:val="18"/>
              </w:rPr>
            </w:r>
          </w:p>
          <w:p>
            <w:pPr>
              <w:pStyle w:val="TableParagraph"/>
              <w:spacing w:line="240" w:lineRule="auto" w:before="105"/>
              <w:ind w:right="105"/>
              <w:jc w:val="right"/>
              <w:rPr>
                <w:rFonts w:ascii="Arial" w:hAnsi="Arial" w:cs="Arial" w:eastAsia="Arial" w:hint="default"/>
                <w:sz w:val="18"/>
                <w:szCs w:val="18"/>
              </w:rPr>
            </w:pPr>
            <w:r>
              <w:rPr>
                <w:rFonts w:ascii="Arial"/>
                <w:w w:val="99"/>
                <w:sz w:val="18"/>
              </w:rPr>
              <w:t>7</w:t>
            </w:r>
            <w:r>
              <w:rPr>
                <w:rFonts w:ascii="Arial"/>
                <w:sz w:val="18"/>
              </w:rPr>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1）对子公司投资" w:id="437"/>
      <w:bookmarkEnd w:id="437"/>
      <w:r>
        <w:rPr>
          <w:b w:val="0"/>
          <w:bCs w:val="0"/>
        </w:rPr>
      </w:r>
      <w:r>
        <w:rPr/>
        <w:t>（</w:t>
      </w:r>
      <w:r>
        <w:rPr>
          <w:rFonts w:ascii="Trebuchet MS" w:hAnsi="Trebuchet MS" w:cs="Trebuchet MS" w:eastAsia="Trebuchet MS" w:hint="default"/>
        </w:rPr>
        <w:t>1</w:t>
      </w:r>
      <w:r>
        <w:rPr/>
        <w:t>）对子公司投资</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448"/>
        <w:gridCol w:w="1495"/>
        <w:gridCol w:w="1560"/>
        <w:gridCol w:w="708"/>
        <w:gridCol w:w="1578"/>
        <w:gridCol w:w="1389"/>
        <w:gridCol w:w="1390"/>
      </w:tblGrid>
      <w:tr>
        <w:trPr>
          <w:trHeight w:val="634" w:hRule="exact"/>
        </w:trPr>
        <w:tc>
          <w:tcPr>
            <w:tcW w:w="144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right="273"/>
              <w:jc w:val="right"/>
              <w:rPr>
                <w:rFonts w:ascii="宋体" w:hAnsi="宋体" w:cs="宋体" w:eastAsia="宋体" w:hint="default"/>
                <w:sz w:val="18"/>
                <w:szCs w:val="18"/>
              </w:rPr>
            </w:pPr>
            <w:r>
              <w:rPr>
                <w:rFonts w:ascii="宋体" w:hAnsi="宋体" w:cs="宋体" w:eastAsia="宋体" w:hint="default"/>
                <w:sz w:val="18"/>
                <w:szCs w:val="18"/>
              </w:rPr>
              <w:t>被投资单位</w:t>
            </w:r>
          </w:p>
        </w:tc>
        <w:tc>
          <w:tcPr>
            <w:tcW w:w="1495" w:type="dxa"/>
            <w:tcBorders>
              <w:top w:val="single" w:sz="4" w:space="0" w:color="5B9BD4"/>
              <w:left w:val="nil" w:sz="6" w:space="0" w:color="auto"/>
              <w:bottom w:val="single" w:sz="4" w:space="0" w:color="5B9BD4"/>
              <w:right w:val="nil" w:sz="6" w:space="0" w:color="auto"/>
            </w:tcBorders>
          </w:tcPr>
          <w:p>
            <w:pPr>
              <w:pStyle w:val="TableParagraph"/>
              <w:spacing w:line="240" w:lineRule="auto" w:before="161"/>
              <w:ind w:left="38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6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708" w:type="dxa"/>
            <w:tcBorders>
              <w:top w:val="single" w:sz="4" w:space="0" w:color="5B9BD4"/>
              <w:left w:val="nil" w:sz="6" w:space="0" w:color="auto"/>
              <w:bottom w:val="single" w:sz="4" w:space="0" w:color="5B9BD4"/>
              <w:right w:val="nil" w:sz="6" w:space="0" w:color="auto"/>
            </w:tcBorders>
          </w:tcPr>
          <w:p>
            <w:pPr>
              <w:pStyle w:val="TableParagraph"/>
              <w:spacing w:line="316" w:lineRule="auto" w:before="5"/>
              <w:ind w:left="174" w:right="173"/>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5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61"/>
              <w:ind w:left="42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5B9BD4"/>
              <w:left w:val="nil" w:sz="6" w:space="0" w:color="auto"/>
              <w:bottom w:val="single" w:sz="4" w:space="0" w:color="5B9BD4"/>
              <w:right w:val="nil" w:sz="6" w:space="0" w:color="auto"/>
            </w:tcBorders>
          </w:tcPr>
          <w:p>
            <w:pPr>
              <w:pStyle w:val="TableParagraph"/>
              <w:spacing w:line="316" w:lineRule="auto" w:before="5"/>
              <w:ind w:left="513" w:right="153" w:hanging="361"/>
              <w:jc w:val="left"/>
              <w:rPr>
                <w:rFonts w:ascii="宋体" w:hAnsi="宋体" w:cs="宋体" w:eastAsia="宋体" w:hint="default"/>
                <w:sz w:val="18"/>
                <w:szCs w:val="18"/>
              </w:rPr>
            </w:pPr>
            <w:r>
              <w:rPr>
                <w:rFonts w:ascii="宋体" w:hAnsi="宋体" w:cs="宋体" w:eastAsia="宋体" w:hint="default"/>
                <w:sz w:val="18"/>
                <w:szCs w:val="18"/>
              </w:rPr>
              <w:t>本期计提减值 准备</w:t>
            </w:r>
          </w:p>
        </w:tc>
        <w:tc>
          <w:tcPr>
            <w:tcW w:w="13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513" w:right="155"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634" w:hRule="exact"/>
        </w:trPr>
        <w:tc>
          <w:tcPr>
            <w:tcW w:w="144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257"/>
              <w:jc w:val="left"/>
              <w:rPr>
                <w:rFonts w:ascii="宋体" w:hAnsi="宋体" w:cs="宋体" w:eastAsia="宋体" w:hint="default"/>
                <w:sz w:val="18"/>
                <w:szCs w:val="18"/>
              </w:rPr>
            </w:pPr>
            <w:r>
              <w:rPr>
                <w:rFonts w:ascii="宋体" w:hAnsi="宋体" w:cs="宋体" w:eastAsia="宋体" w:hint="default"/>
                <w:sz w:val="18"/>
                <w:szCs w:val="18"/>
              </w:rPr>
              <w:t>深圳市酷动数 码有限公司</w:t>
            </w:r>
          </w:p>
        </w:tc>
        <w:tc>
          <w:tcPr>
            <w:tcW w:w="1495"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159,998,600.50</w:t>
            </w:r>
            <w:r>
              <w:rPr>
                <w:rFonts w:ascii="Arial"/>
                <w:sz w:val="18"/>
              </w:rPr>
            </w:r>
          </w:p>
        </w:tc>
        <w:tc>
          <w:tcPr>
            <w:tcW w:w="1560" w:type="dxa"/>
            <w:tcBorders>
              <w:top w:val="single" w:sz="4" w:space="0" w:color="5B9BD4"/>
              <w:left w:val="nil" w:sz="6" w:space="0" w:color="auto"/>
              <w:bottom w:val="single" w:sz="4" w:space="0" w:color="5B9BD4"/>
              <w:right w:val="nil" w:sz="6" w:space="0" w:color="auto"/>
            </w:tcBorders>
            <w:shd w:val="clear" w:color="auto" w:fill="DEEAF6"/>
          </w:tcPr>
          <w:p>
            <w:pPr/>
          </w:p>
        </w:tc>
        <w:tc>
          <w:tcPr>
            <w:tcW w:w="708" w:type="dxa"/>
            <w:tcBorders>
              <w:top w:val="single" w:sz="4" w:space="0" w:color="5B9BD4"/>
              <w:left w:val="nil" w:sz="6" w:space="0" w:color="auto"/>
              <w:bottom w:val="single" w:sz="4" w:space="0" w:color="5B9BD4"/>
              <w:right w:val="nil" w:sz="6" w:space="0" w:color="auto"/>
            </w:tcBorders>
          </w:tcPr>
          <w:p>
            <w:pPr/>
          </w:p>
        </w:tc>
        <w:tc>
          <w:tcPr>
            <w:tcW w:w="15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18"/>
                <w:szCs w:val="18"/>
              </w:rPr>
            </w:pPr>
            <w:r>
              <w:rPr>
                <w:rFonts w:ascii="Arial"/>
                <w:w w:val="95"/>
                <w:sz w:val="18"/>
              </w:rPr>
              <w:t>159,998,600.50</w:t>
            </w:r>
            <w:r>
              <w:rPr>
                <w:rFonts w:ascii="Arial"/>
                <w:sz w:val="18"/>
              </w:rPr>
            </w:r>
          </w:p>
        </w:tc>
        <w:tc>
          <w:tcPr>
            <w:tcW w:w="1389" w:type="dxa"/>
            <w:tcBorders>
              <w:top w:val="single" w:sz="4" w:space="0" w:color="5B9BD4"/>
              <w:left w:val="nil" w:sz="6" w:space="0" w:color="auto"/>
              <w:bottom w:val="single" w:sz="4" w:space="0" w:color="5B9BD4"/>
              <w:right w:val="nil" w:sz="6" w:space="0" w:color="auto"/>
            </w:tcBorders>
          </w:tcPr>
          <w:p>
            <w:pPr/>
          </w:p>
        </w:tc>
        <w:tc>
          <w:tcPr>
            <w:tcW w:w="1390"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946" w:hRule="exact"/>
        </w:trPr>
        <w:tc>
          <w:tcPr>
            <w:tcW w:w="144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257"/>
              <w:jc w:val="both"/>
              <w:rPr>
                <w:rFonts w:ascii="宋体" w:hAnsi="宋体" w:cs="宋体" w:eastAsia="宋体" w:hint="default"/>
                <w:sz w:val="18"/>
                <w:szCs w:val="18"/>
              </w:rPr>
            </w:pPr>
            <w:r>
              <w:rPr>
                <w:rFonts w:ascii="宋体" w:hAnsi="宋体" w:cs="宋体" w:eastAsia="宋体" w:hint="default"/>
                <w:sz w:val="18"/>
                <w:szCs w:val="18"/>
              </w:rPr>
              <w:t>深圳市爱施德 供应链管理有 限公司</w:t>
            </w:r>
          </w:p>
        </w:tc>
        <w:tc>
          <w:tcPr>
            <w:tcW w:w="1495"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4"/>
              <w:jc w:val="right"/>
              <w:rPr>
                <w:rFonts w:ascii="Arial" w:hAnsi="Arial" w:cs="Arial" w:eastAsia="Arial" w:hint="default"/>
                <w:sz w:val="18"/>
                <w:szCs w:val="18"/>
              </w:rPr>
            </w:pPr>
            <w:r>
              <w:rPr>
                <w:rFonts w:ascii="Arial"/>
                <w:w w:val="95"/>
                <w:sz w:val="18"/>
              </w:rPr>
              <w:t>10,228,434.33</w:t>
            </w:r>
            <w:r>
              <w:rPr>
                <w:rFonts w:ascii="Arial"/>
                <w:sz w:val="18"/>
              </w:rPr>
            </w:r>
          </w:p>
        </w:tc>
        <w:tc>
          <w:tcPr>
            <w:tcW w:w="1560" w:type="dxa"/>
            <w:tcBorders>
              <w:top w:val="single" w:sz="4" w:space="0" w:color="5B9BD4"/>
              <w:left w:val="nil" w:sz="6" w:space="0" w:color="auto"/>
              <w:bottom w:val="single" w:sz="4" w:space="0" w:color="5B9BD4"/>
              <w:right w:val="nil" w:sz="6" w:space="0" w:color="auto"/>
            </w:tcBorders>
            <w:shd w:val="clear" w:color="auto" w:fill="DEEAF6"/>
          </w:tcPr>
          <w:p>
            <w:pPr/>
          </w:p>
        </w:tc>
        <w:tc>
          <w:tcPr>
            <w:tcW w:w="708" w:type="dxa"/>
            <w:tcBorders>
              <w:top w:val="single" w:sz="4" w:space="0" w:color="5B9BD4"/>
              <w:left w:val="nil" w:sz="6" w:space="0" w:color="auto"/>
              <w:bottom w:val="single" w:sz="4" w:space="0" w:color="5B9BD4"/>
              <w:right w:val="nil" w:sz="6" w:space="0" w:color="auto"/>
            </w:tcBorders>
          </w:tcPr>
          <w:p>
            <w:pPr/>
          </w:p>
        </w:tc>
        <w:tc>
          <w:tcPr>
            <w:tcW w:w="15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7"/>
              <w:jc w:val="right"/>
              <w:rPr>
                <w:rFonts w:ascii="Arial" w:hAnsi="Arial" w:cs="Arial" w:eastAsia="Arial" w:hint="default"/>
                <w:sz w:val="18"/>
                <w:szCs w:val="18"/>
              </w:rPr>
            </w:pPr>
            <w:r>
              <w:rPr>
                <w:rFonts w:ascii="Arial"/>
                <w:w w:val="95"/>
                <w:sz w:val="18"/>
              </w:rPr>
              <w:t>10,228,434.33</w:t>
            </w:r>
            <w:r>
              <w:rPr>
                <w:rFonts w:ascii="Arial"/>
                <w:sz w:val="18"/>
              </w:rPr>
            </w:r>
          </w:p>
        </w:tc>
        <w:tc>
          <w:tcPr>
            <w:tcW w:w="1389" w:type="dxa"/>
            <w:tcBorders>
              <w:top w:val="single" w:sz="4" w:space="0" w:color="5B9BD4"/>
              <w:left w:val="nil" w:sz="6" w:space="0" w:color="auto"/>
              <w:bottom w:val="single" w:sz="4" w:space="0" w:color="5B9BD4"/>
              <w:right w:val="nil" w:sz="6" w:space="0" w:color="auto"/>
            </w:tcBorders>
          </w:tcPr>
          <w:p>
            <w:pPr/>
          </w:p>
        </w:tc>
        <w:tc>
          <w:tcPr>
            <w:tcW w:w="1390"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4" w:hRule="exact"/>
        </w:trPr>
        <w:tc>
          <w:tcPr>
            <w:tcW w:w="144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257"/>
              <w:jc w:val="left"/>
              <w:rPr>
                <w:rFonts w:ascii="宋体" w:hAnsi="宋体" w:cs="宋体" w:eastAsia="宋体" w:hint="default"/>
                <w:sz w:val="18"/>
                <w:szCs w:val="18"/>
              </w:rPr>
            </w:pPr>
            <w:r>
              <w:rPr>
                <w:rFonts w:ascii="宋体" w:hAnsi="宋体" w:cs="宋体" w:eastAsia="宋体" w:hint="default"/>
                <w:sz w:val="18"/>
                <w:szCs w:val="18"/>
              </w:rPr>
              <w:t>北京酷人通讯 科技有限公司</w:t>
            </w:r>
          </w:p>
        </w:tc>
        <w:tc>
          <w:tcPr>
            <w:tcW w:w="1495"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37,000,000.00</w:t>
            </w:r>
            <w:r>
              <w:rPr>
                <w:rFonts w:ascii="Arial"/>
                <w:sz w:val="18"/>
              </w:rPr>
            </w:r>
          </w:p>
        </w:tc>
        <w:tc>
          <w:tcPr>
            <w:tcW w:w="1560" w:type="dxa"/>
            <w:tcBorders>
              <w:top w:val="single" w:sz="4" w:space="0" w:color="5B9BD4"/>
              <w:left w:val="nil" w:sz="6" w:space="0" w:color="auto"/>
              <w:bottom w:val="single" w:sz="4" w:space="0" w:color="5B9BD4"/>
              <w:right w:val="nil" w:sz="6" w:space="0" w:color="auto"/>
            </w:tcBorders>
            <w:shd w:val="clear" w:color="auto" w:fill="DEEAF6"/>
          </w:tcPr>
          <w:p>
            <w:pPr/>
          </w:p>
        </w:tc>
        <w:tc>
          <w:tcPr>
            <w:tcW w:w="708" w:type="dxa"/>
            <w:tcBorders>
              <w:top w:val="single" w:sz="4" w:space="0" w:color="5B9BD4"/>
              <w:left w:val="nil" w:sz="6" w:space="0" w:color="auto"/>
              <w:bottom w:val="single" w:sz="4" w:space="0" w:color="5B9BD4"/>
              <w:right w:val="nil" w:sz="6" w:space="0" w:color="auto"/>
            </w:tcBorders>
          </w:tcPr>
          <w:p>
            <w:pPr/>
          </w:p>
        </w:tc>
        <w:tc>
          <w:tcPr>
            <w:tcW w:w="15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18"/>
                <w:szCs w:val="18"/>
              </w:rPr>
            </w:pPr>
            <w:r>
              <w:rPr>
                <w:rFonts w:ascii="Arial"/>
                <w:w w:val="95"/>
                <w:sz w:val="18"/>
              </w:rPr>
              <w:t>37,000,000.00</w:t>
            </w:r>
            <w:r>
              <w:rPr>
                <w:rFonts w:ascii="Arial"/>
                <w:sz w:val="18"/>
              </w:rPr>
            </w:r>
          </w:p>
        </w:tc>
        <w:tc>
          <w:tcPr>
            <w:tcW w:w="1389" w:type="dxa"/>
            <w:tcBorders>
              <w:top w:val="single" w:sz="4" w:space="0" w:color="5B9BD4"/>
              <w:left w:val="nil" w:sz="6" w:space="0" w:color="auto"/>
              <w:bottom w:val="single" w:sz="4" w:space="0" w:color="5B9BD4"/>
              <w:right w:val="nil" w:sz="6" w:space="0" w:color="auto"/>
            </w:tcBorders>
          </w:tcPr>
          <w:p>
            <w:pPr/>
          </w:p>
        </w:tc>
        <w:tc>
          <w:tcPr>
            <w:tcW w:w="1390"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947" w:hRule="exact"/>
        </w:trPr>
        <w:tc>
          <w:tcPr>
            <w:tcW w:w="144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6"/>
              <w:ind w:left="108" w:right="257"/>
              <w:jc w:val="both"/>
              <w:rPr>
                <w:rFonts w:ascii="宋体" w:hAnsi="宋体" w:cs="宋体" w:eastAsia="宋体" w:hint="default"/>
                <w:sz w:val="18"/>
                <w:szCs w:val="18"/>
              </w:rPr>
            </w:pPr>
            <w:r>
              <w:rPr>
                <w:rFonts w:ascii="宋体" w:hAnsi="宋体" w:cs="宋体" w:eastAsia="宋体" w:hint="default"/>
                <w:sz w:val="18"/>
                <w:szCs w:val="18"/>
              </w:rPr>
              <w:t>深圳市乐享无 限通讯有限公 司</w:t>
            </w:r>
          </w:p>
        </w:tc>
        <w:tc>
          <w:tcPr>
            <w:tcW w:w="1495"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4"/>
              <w:jc w:val="right"/>
              <w:rPr>
                <w:rFonts w:ascii="Arial" w:hAnsi="Arial" w:cs="Arial" w:eastAsia="Arial" w:hint="default"/>
                <w:sz w:val="18"/>
                <w:szCs w:val="18"/>
              </w:rPr>
            </w:pPr>
            <w:r>
              <w:rPr>
                <w:rFonts w:ascii="Arial"/>
                <w:w w:val="95"/>
                <w:sz w:val="18"/>
              </w:rPr>
              <w:t>10,000,000.00</w:t>
            </w:r>
            <w:r>
              <w:rPr>
                <w:rFonts w:ascii="Arial"/>
                <w:sz w:val="18"/>
              </w:rPr>
            </w:r>
          </w:p>
        </w:tc>
        <w:tc>
          <w:tcPr>
            <w:tcW w:w="1560" w:type="dxa"/>
            <w:tcBorders>
              <w:top w:val="single" w:sz="4" w:space="0" w:color="5B9BD4"/>
              <w:left w:val="nil" w:sz="6" w:space="0" w:color="auto"/>
              <w:bottom w:val="single" w:sz="4" w:space="0" w:color="5B9BD4"/>
              <w:right w:val="nil" w:sz="6" w:space="0" w:color="auto"/>
            </w:tcBorders>
            <w:shd w:val="clear" w:color="auto" w:fill="DEEAF6"/>
          </w:tcPr>
          <w:p>
            <w:pPr/>
          </w:p>
        </w:tc>
        <w:tc>
          <w:tcPr>
            <w:tcW w:w="708" w:type="dxa"/>
            <w:tcBorders>
              <w:top w:val="single" w:sz="4" w:space="0" w:color="5B9BD4"/>
              <w:left w:val="nil" w:sz="6" w:space="0" w:color="auto"/>
              <w:bottom w:val="single" w:sz="4" w:space="0" w:color="5B9BD4"/>
              <w:right w:val="nil" w:sz="6" w:space="0" w:color="auto"/>
            </w:tcBorders>
          </w:tcPr>
          <w:p>
            <w:pPr/>
          </w:p>
        </w:tc>
        <w:tc>
          <w:tcPr>
            <w:tcW w:w="15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7"/>
              <w:jc w:val="right"/>
              <w:rPr>
                <w:rFonts w:ascii="Arial" w:hAnsi="Arial" w:cs="Arial" w:eastAsia="Arial" w:hint="default"/>
                <w:sz w:val="18"/>
                <w:szCs w:val="18"/>
              </w:rPr>
            </w:pPr>
            <w:r>
              <w:rPr>
                <w:rFonts w:ascii="Arial"/>
                <w:w w:val="95"/>
                <w:sz w:val="18"/>
              </w:rPr>
              <w:t>10,000,000.00</w:t>
            </w:r>
            <w:r>
              <w:rPr>
                <w:rFonts w:ascii="Arial"/>
                <w:sz w:val="18"/>
              </w:rPr>
            </w:r>
          </w:p>
        </w:tc>
        <w:tc>
          <w:tcPr>
            <w:tcW w:w="1389" w:type="dxa"/>
            <w:tcBorders>
              <w:top w:val="single" w:sz="4" w:space="0" w:color="5B9BD4"/>
              <w:left w:val="nil" w:sz="6" w:space="0" w:color="auto"/>
              <w:bottom w:val="single" w:sz="4" w:space="0" w:color="5B9BD4"/>
              <w:right w:val="nil" w:sz="6" w:space="0" w:color="auto"/>
            </w:tcBorders>
          </w:tcPr>
          <w:p>
            <w:pPr/>
          </w:p>
        </w:tc>
        <w:tc>
          <w:tcPr>
            <w:tcW w:w="1390"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4" w:hRule="exact"/>
        </w:trPr>
        <w:tc>
          <w:tcPr>
            <w:tcW w:w="144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257"/>
              <w:jc w:val="left"/>
              <w:rPr>
                <w:rFonts w:ascii="宋体" w:hAnsi="宋体" w:cs="宋体" w:eastAsia="宋体" w:hint="default"/>
                <w:sz w:val="18"/>
                <w:szCs w:val="18"/>
              </w:rPr>
            </w:pPr>
            <w:r>
              <w:rPr>
                <w:rFonts w:ascii="宋体" w:hAnsi="宋体" w:cs="宋体" w:eastAsia="宋体" w:hint="default"/>
                <w:sz w:val="18"/>
                <w:szCs w:val="18"/>
              </w:rPr>
              <w:t>西藏酷爱通信 有限公司</w:t>
            </w:r>
          </w:p>
        </w:tc>
        <w:tc>
          <w:tcPr>
            <w:tcW w:w="1495"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w w:val="95"/>
                <w:sz w:val="18"/>
              </w:rPr>
              <w:t>50,000,000.00</w:t>
            </w:r>
            <w:r>
              <w:rPr>
                <w:rFonts w:ascii="Arial"/>
                <w:sz w:val="18"/>
              </w:rPr>
            </w:r>
          </w:p>
        </w:tc>
        <w:tc>
          <w:tcPr>
            <w:tcW w:w="156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6" w:right="0"/>
              <w:jc w:val="center"/>
              <w:rPr>
                <w:rFonts w:ascii="Arial" w:hAnsi="Arial" w:cs="Arial" w:eastAsia="Arial" w:hint="default"/>
                <w:sz w:val="18"/>
                <w:szCs w:val="18"/>
              </w:rPr>
            </w:pPr>
            <w:r>
              <w:rPr>
                <w:rFonts w:ascii="Arial"/>
                <w:sz w:val="18"/>
              </w:rPr>
              <w:t>150,000,000.00</w:t>
            </w:r>
          </w:p>
        </w:tc>
        <w:tc>
          <w:tcPr>
            <w:tcW w:w="708" w:type="dxa"/>
            <w:tcBorders>
              <w:top w:val="single" w:sz="4" w:space="0" w:color="5B9BD4"/>
              <w:left w:val="nil" w:sz="6" w:space="0" w:color="auto"/>
              <w:bottom w:val="single" w:sz="4" w:space="0" w:color="5B9BD4"/>
              <w:right w:val="nil" w:sz="6" w:space="0" w:color="auto"/>
            </w:tcBorders>
          </w:tcPr>
          <w:p>
            <w:pPr/>
          </w:p>
        </w:tc>
        <w:tc>
          <w:tcPr>
            <w:tcW w:w="15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18"/>
                <w:szCs w:val="18"/>
              </w:rPr>
            </w:pPr>
            <w:r>
              <w:rPr>
                <w:rFonts w:ascii="Arial"/>
                <w:w w:val="95"/>
                <w:sz w:val="18"/>
              </w:rPr>
              <w:t>200,000,000.00</w:t>
            </w:r>
            <w:r>
              <w:rPr>
                <w:rFonts w:ascii="Arial"/>
                <w:sz w:val="18"/>
              </w:rPr>
            </w:r>
          </w:p>
        </w:tc>
        <w:tc>
          <w:tcPr>
            <w:tcW w:w="1389" w:type="dxa"/>
            <w:tcBorders>
              <w:top w:val="single" w:sz="4" w:space="0" w:color="5B9BD4"/>
              <w:left w:val="nil" w:sz="6" w:space="0" w:color="auto"/>
              <w:bottom w:val="single" w:sz="4" w:space="0" w:color="5B9BD4"/>
              <w:right w:val="nil" w:sz="6" w:space="0" w:color="auto"/>
            </w:tcBorders>
          </w:tcPr>
          <w:p>
            <w:pPr/>
          </w:p>
        </w:tc>
        <w:tc>
          <w:tcPr>
            <w:tcW w:w="1390"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4" w:hRule="exact"/>
        </w:trPr>
        <w:tc>
          <w:tcPr>
            <w:tcW w:w="144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257"/>
              <w:jc w:val="left"/>
              <w:rPr>
                <w:rFonts w:ascii="宋体" w:hAnsi="宋体" w:cs="宋体" w:eastAsia="宋体" w:hint="default"/>
                <w:sz w:val="18"/>
                <w:szCs w:val="18"/>
              </w:rPr>
            </w:pPr>
            <w:r>
              <w:rPr>
                <w:rFonts w:ascii="宋体" w:hAnsi="宋体" w:cs="宋体" w:eastAsia="宋体" w:hint="default"/>
                <w:sz w:val="18"/>
                <w:szCs w:val="18"/>
              </w:rPr>
              <w:t>北京酷沃通讯 器材有限公司</w:t>
            </w:r>
          </w:p>
        </w:tc>
        <w:tc>
          <w:tcPr>
            <w:tcW w:w="1495"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18"/>
                <w:szCs w:val="18"/>
              </w:rPr>
            </w:pPr>
            <w:r>
              <w:rPr>
                <w:rFonts w:ascii="Arial"/>
                <w:w w:val="95"/>
                <w:sz w:val="18"/>
              </w:rPr>
              <w:t>1,000,000.00</w:t>
            </w:r>
            <w:r>
              <w:rPr>
                <w:rFonts w:ascii="Arial"/>
                <w:sz w:val="18"/>
              </w:rPr>
            </w:r>
          </w:p>
        </w:tc>
        <w:tc>
          <w:tcPr>
            <w:tcW w:w="1560" w:type="dxa"/>
            <w:tcBorders>
              <w:top w:val="single" w:sz="4" w:space="0" w:color="5B9BD4"/>
              <w:left w:val="nil" w:sz="6" w:space="0" w:color="auto"/>
              <w:bottom w:val="single" w:sz="4" w:space="0" w:color="5B9BD4"/>
              <w:right w:val="nil" w:sz="6" w:space="0" w:color="auto"/>
            </w:tcBorders>
            <w:shd w:val="clear" w:color="auto" w:fill="DEEAF6"/>
          </w:tcPr>
          <w:p>
            <w:pPr/>
          </w:p>
        </w:tc>
        <w:tc>
          <w:tcPr>
            <w:tcW w:w="708" w:type="dxa"/>
            <w:tcBorders>
              <w:top w:val="single" w:sz="4" w:space="0" w:color="5B9BD4"/>
              <w:left w:val="nil" w:sz="6" w:space="0" w:color="auto"/>
              <w:bottom w:val="single" w:sz="4" w:space="0" w:color="5B9BD4"/>
              <w:right w:val="nil" w:sz="6" w:space="0" w:color="auto"/>
            </w:tcBorders>
          </w:tcPr>
          <w:p>
            <w:pPr/>
          </w:p>
        </w:tc>
        <w:tc>
          <w:tcPr>
            <w:tcW w:w="15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1,000,000.00</w:t>
            </w:r>
            <w:r>
              <w:rPr>
                <w:rFonts w:ascii="Arial"/>
                <w:sz w:val="18"/>
              </w:rPr>
            </w:r>
          </w:p>
        </w:tc>
        <w:tc>
          <w:tcPr>
            <w:tcW w:w="1389" w:type="dxa"/>
            <w:tcBorders>
              <w:top w:val="single" w:sz="4" w:space="0" w:color="5B9BD4"/>
              <w:left w:val="nil" w:sz="6" w:space="0" w:color="auto"/>
              <w:bottom w:val="single" w:sz="4" w:space="0" w:color="5B9BD4"/>
              <w:right w:val="nil" w:sz="6" w:space="0" w:color="auto"/>
            </w:tcBorders>
          </w:tcPr>
          <w:p>
            <w:pPr/>
          </w:p>
        </w:tc>
        <w:tc>
          <w:tcPr>
            <w:tcW w:w="1390"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144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right="257"/>
              <w:jc w:val="right"/>
              <w:rPr>
                <w:rFonts w:ascii="宋体" w:hAnsi="宋体" w:cs="宋体" w:eastAsia="宋体" w:hint="default"/>
                <w:sz w:val="18"/>
                <w:szCs w:val="18"/>
              </w:rPr>
            </w:pPr>
            <w:r>
              <w:rPr>
                <w:rFonts w:ascii="宋体" w:hAnsi="宋体" w:cs="宋体" w:eastAsia="宋体" w:hint="default"/>
                <w:sz w:val="18"/>
                <w:szCs w:val="18"/>
              </w:rPr>
              <w:t>瑞成汇达公司</w:t>
            </w:r>
          </w:p>
        </w:tc>
        <w:tc>
          <w:tcPr>
            <w:tcW w:w="1495"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50,000,000.00</w:t>
            </w:r>
            <w:r>
              <w:rPr>
                <w:rFonts w:ascii="Arial"/>
                <w:sz w:val="18"/>
              </w:rPr>
            </w:r>
          </w:p>
        </w:tc>
        <w:tc>
          <w:tcPr>
            <w:tcW w:w="156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left="96" w:right="0"/>
              <w:jc w:val="center"/>
              <w:rPr>
                <w:rFonts w:ascii="Arial" w:hAnsi="Arial" w:cs="Arial" w:eastAsia="Arial" w:hint="default"/>
                <w:sz w:val="18"/>
                <w:szCs w:val="18"/>
              </w:rPr>
            </w:pPr>
            <w:r>
              <w:rPr>
                <w:rFonts w:ascii="Arial"/>
                <w:sz w:val="18"/>
              </w:rPr>
              <w:t>100,000,000.00</w:t>
            </w:r>
          </w:p>
        </w:tc>
        <w:tc>
          <w:tcPr>
            <w:tcW w:w="708" w:type="dxa"/>
            <w:tcBorders>
              <w:top w:val="single" w:sz="4" w:space="0" w:color="5B9BD4"/>
              <w:left w:val="nil" w:sz="6" w:space="0" w:color="auto"/>
              <w:bottom w:val="single" w:sz="4" w:space="0" w:color="5B9BD4"/>
              <w:right w:val="nil" w:sz="6" w:space="0" w:color="auto"/>
            </w:tcBorders>
          </w:tcPr>
          <w:p>
            <w:pPr/>
          </w:p>
        </w:tc>
        <w:tc>
          <w:tcPr>
            <w:tcW w:w="15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w w:val="95"/>
                <w:sz w:val="18"/>
              </w:rPr>
              <w:t>150,000,000.00</w:t>
            </w:r>
            <w:r>
              <w:rPr>
                <w:rFonts w:ascii="Arial"/>
                <w:sz w:val="18"/>
              </w:rPr>
            </w:r>
          </w:p>
        </w:tc>
        <w:tc>
          <w:tcPr>
            <w:tcW w:w="1389" w:type="dxa"/>
            <w:tcBorders>
              <w:top w:val="single" w:sz="4" w:space="0" w:color="5B9BD4"/>
              <w:left w:val="nil" w:sz="6" w:space="0" w:color="auto"/>
              <w:bottom w:val="single" w:sz="4" w:space="0" w:color="5B9BD4"/>
              <w:right w:val="nil" w:sz="6" w:space="0" w:color="auto"/>
            </w:tcBorders>
          </w:tcPr>
          <w:p>
            <w:pPr/>
          </w:p>
        </w:tc>
        <w:tc>
          <w:tcPr>
            <w:tcW w:w="1390"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946" w:hRule="exact"/>
        </w:trPr>
        <w:tc>
          <w:tcPr>
            <w:tcW w:w="144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257"/>
              <w:jc w:val="both"/>
              <w:rPr>
                <w:rFonts w:ascii="宋体" w:hAnsi="宋体" w:cs="宋体" w:eastAsia="宋体" w:hint="default"/>
                <w:sz w:val="18"/>
                <w:szCs w:val="18"/>
              </w:rPr>
            </w:pPr>
            <w:r>
              <w:rPr>
                <w:rFonts w:ascii="宋体" w:hAnsi="宋体" w:cs="宋体" w:eastAsia="宋体" w:hint="default"/>
                <w:sz w:val="18"/>
                <w:szCs w:val="18"/>
              </w:rPr>
              <w:t>天津爱施迪通 讯器材有限公 司</w:t>
            </w:r>
          </w:p>
        </w:tc>
        <w:tc>
          <w:tcPr>
            <w:tcW w:w="1495"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3"/>
              <w:jc w:val="right"/>
              <w:rPr>
                <w:rFonts w:ascii="Arial" w:hAnsi="Arial" w:cs="Arial" w:eastAsia="Arial" w:hint="default"/>
                <w:sz w:val="18"/>
                <w:szCs w:val="18"/>
              </w:rPr>
            </w:pPr>
            <w:r>
              <w:rPr>
                <w:rFonts w:ascii="Arial"/>
                <w:w w:val="95"/>
                <w:sz w:val="18"/>
              </w:rPr>
              <w:t>5,000,000.00</w:t>
            </w:r>
            <w:r>
              <w:rPr>
                <w:rFonts w:ascii="Arial"/>
                <w:sz w:val="18"/>
              </w:rPr>
            </w:r>
          </w:p>
        </w:tc>
        <w:tc>
          <w:tcPr>
            <w:tcW w:w="1560" w:type="dxa"/>
            <w:tcBorders>
              <w:top w:val="single" w:sz="4" w:space="0" w:color="5B9BD4"/>
              <w:left w:val="nil" w:sz="6" w:space="0" w:color="auto"/>
              <w:bottom w:val="single" w:sz="4" w:space="0" w:color="5B9BD4"/>
              <w:right w:val="nil" w:sz="6" w:space="0" w:color="auto"/>
            </w:tcBorders>
            <w:shd w:val="clear" w:color="auto" w:fill="DEEAF6"/>
          </w:tcPr>
          <w:p>
            <w:pPr/>
          </w:p>
        </w:tc>
        <w:tc>
          <w:tcPr>
            <w:tcW w:w="708" w:type="dxa"/>
            <w:tcBorders>
              <w:top w:val="single" w:sz="4" w:space="0" w:color="5B9BD4"/>
              <w:left w:val="nil" w:sz="6" w:space="0" w:color="auto"/>
              <w:bottom w:val="single" w:sz="4" w:space="0" w:color="5B9BD4"/>
              <w:right w:val="nil" w:sz="6" w:space="0" w:color="auto"/>
            </w:tcBorders>
          </w:tcPr>
          <w:p>
            <w:pPr/>
          </w:p>
        </w:tc>
        <w:tc>
          <w:tcPr>
            <w:tcW w:w="15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6"/>
              <w:jc w:val="right"/>
              <w:rPr>
                <w:rFonts w:ascii="Arial" w:hAnsi="Arial" w:cs="Arial" w:eastAsia="Arial" w:hint="default"/>
                <w:sz w:val="18"/>
                <w:szCs w:val="18"/>
              </w:rPr>
            </w:pPr>
            <w:r>
              <w:rPr>
                <w:rFonts w:ascii="Arial"/>
                <w:w w:val="95"/>
                <w:sz w:val="18"/>
              </w:rPr>
              <w:t>5,000,000.00</w:t>
            </w:r>
            <w:r>
              <w:rPr>
                <w:rFonts w:ascii="Arial"/>
                <w:sz w:val="18"/>
              </w:rPr>
            </w:r>
          </w:p>
        </w:tc>
        <w:tc>
          <w:tcPr>
            <w:tcW w:w="1389" w:type="dxa"/>
            <w:tcBorders>
              <w:top w:val="single" w:sz="4" w:space="0" w:color="5B9BD4"/>
              <w:left w:val="nil" w:sz="6" w:space="0" w:color="auto"/>
              <w:bottom w:val="single" w:sz="4" w:space="0" w:color="5B9BD4"/>
              <w:right w:val="nil" w:sz="6" w:space="0" w:color="auto"/>
            </w:tcBorders>
          </w:tcPr>
          <w:p>
            <w:pPr/>
          </w:p>
        </w:tc>
        <w:tc>
          <w:tcPr>
            <w:tcW w:w="1390"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946" w:hRule="exact"/>
        </w:trPr>
        <w:tc>
          <w:tcPr>
            <w:tcW w:w="144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06"/>
              <w:jc w:val="left"/>
              <w:rPr>
                <w:rFonts w:ascii="宋体" w:hAnsi="宋体" w:cs="宋体" w:eastAsia="宋体" w:hint="default"/>
                <w:sz w:val="18"/>
                <w:szCs w:val="18"/>
              </w:rPr>
            </w:pPr>
            <w:r>
              <w:rPr>
                <w:rFonts w:ascii="宋体" w:hAnsi="宋体" w:cs="宋体" w:eastAsia="宋体" w:hint="default"/>
                <w:sz w:val="18"/>
                <w:szCs w:val="18"/>
              </w:rPr>
              <w:t>优友科技（北 </w:t>
            </w:r>
            <w:r>
              <w:rPr>
                <w:rFonts w:ascii="宋体" w:hAnsi="宋体" w:cs="宋体" w:eastAsia="宋体" w:hint="default"/>
                <w:spacing w:val="-5"/>
                <w:sz w:val="18"/>
                <w:szCs w:val="18"/>
              </w:rPr>
              <w:t>京）有限责任公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1495"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4"/>
              <w:jc w:val="right"/>
              <w:rPr>
                <w:rFonts w:ascii="Arial" w:hAnsi="Arial" w:cs="Arial" w:eastAsia="Arial" w:hint="default"/>
                <w:sz w:val="18"/>
                <w:szCs w:val="18"/>
              </w:rPr>
            </w:pPr>
            <w:r>
              <w:rPr>
                <w:rFonts w:ascii="Arial"/>
                <w:w w:val="95"/>
                <w:sz w:val="18"/>
              </w:rPr>
              <w:t>20,000,000.00</w:t>
            </w:r>
            <w:r>
              <w:rPr>
                <w:rFonts w:ascii="Arial"/>
                <w:sz w:val="18"/>
              </w:rPr>
            </w:r>
          </w:p>
        </w:tc>
        <w:tc>
          <w:tcPr>
            <w:tcW w:w="1560" w:type="dxa"/>
            <w:tcBorders>
              <w:top w:val="single" w:sz="4" w:space="0" w:color="5B9BD4"/>
              <w:left w:val="nil" w:sz="6" w:space="0" w:color="auto"/>
              <w:bottom w:val="single" w:sz="4" w:space="0" w:color="5B9BD4"/>
              <w:right w:val="nil" w:sz="6" w:space="0" w:color="auto"/>
            </w:tcBorders>
            <w:shd w:val="clear" w:color="auto" w:fill="DEEAF6"/>
          </w:tcPr>
          <w:p>
            <w:pPr/>
          </w:p>
        </w:tc>
        <w:tc>
          <w:tcPr>
            <w:tcW w:w="708" w:type="dxa"/>
            <w:tcBorders>
              <w:top w:val="single" w:sz="4" w:space="0" w:color="5B9BD4"/>
              <w:left w:val="nil" w:sz="6" w:space="0" w:color="auto"/>
              <w:bottom w:val="single" w:sz="4" w:space="0" w:color="5B9BD4"/>
              <w:right w:val="nil" w:sz="6" w:space="0" w:color="auto"/>
            </w:tcBorders>
          </w:tcPr>
          <w:p>
            <w:pPr/>
          </w:p>
        </w:tc>
        <w:tc>
          <w:tcPr>
            <w:tcW w:w="15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7"/>
              <w:jc w:val="right"/>
              <w:rPr>
                <w:rFonts w:ascii="Arial" w:hAnsi="Arial" w:cs="Arial" w:eastAsia="Arial" w:hint="default"/>
                <w:sz w:val="18"/>
                <w:szCs w:val="18"/>
              </w:rPr>
            </w:pPr>
            <w:r>
              <w:rPr>
                <w:rFonts w:ascii="Arial"/>
                <w:w w:val="95"/>
                <w:sz w:val="18"/>
              </w:rPr>
              <w:t>20,000,000.00</w:t>
            </w:r>
            <w:r>
              <w:rPr>
                <w:rFonts w:ascii="Arial"/>
                <w:sz w:val="18"/>
              </w:rPr>
            </w:r>
          </w:p>
        </w:tc>
        <w:tc>
          <w:tcPr>
            <w:tcW w:w="1389" w:type="dxa"/>
            <w:tcBorders>
              <w:top w:val="single" w:sz="4" w:space="0" w:color="5B9BD4"/>
              <w:left w:val="nil" w:sz="6" w:space="0" w:color="auto"/>
              <w:bottom w:val="single" w:sz="4" w:space="0" w:color="5B9BD4"/>
              <w:right w:val="nil" w:sz="6" w:space="0" w:color="auto"/>
            </w:tcBorders>
          </w:tcPr>
          <w:p>
            <w:pPr/>
          </w:p>
        </w:tc>
        <w:tc>
          <w:tcPr>
            <w:tcW w:w="1390"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4" w:hRule="exact"/>
        </w:trPr>
        <w:tc>
          <w:tcPr>
            <w:tcW w:w="144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257"/>
              <w:jc w:val="left"/>
              <w:rPr>
                <w:rFonts w:ascii="宋体" w:hAnsi="宋体" w:cs="宋体" w:eastAsia="宋体" w:hint="default"/>
                <w:sz w:val="18"/>
                <w:szCs w:val="18"/>
              </w:rPr>
            </w:pPr>
            <w:r>
              <w:rPr>
                <w:rFonts w:ascii="宋体" w:hAnsi="宋体" w:cs="宋体" w:eastAsia="宋体" w:hint="default"/>
                <w:sz w:val="18"/>
                <w:szCs w:val="18"/>
              </w:rPr>
              <w:t>北京酷昊通讯 科技有限公司</w:t>
            </w:r>
          </w:p>
        </w:tc>
        <w:tc>
          <w:tcPr>
            <w:tcW w:w="1495"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18"/>
                <w:szCs w:val="18"/>
              </w:rPr>
            </w:pPr>
            <w:r>
              <w:rPr>
                <w:rFonts w:ascii="Arial"/>
                <w:w w:val="95"/>
                <w:sz w:val="18"/>
              </w:rPr>
              <w:t>1,000,000.00</w:t>
            </w:r>
            <w:r>
              <w:rPr>
                <w:rFonts w:ascii="Arial"/>
                <w:sz w:val="18"/>
              </w:rPr>
            </w:r>
          </w:p>
        </w:tc>
        <w:tc>
          <w:tcPr>
            <w:tcW w:w="1560" w:type="dxa"/>
            <w:tcBorders>
              <w:top w:val="single" w:sz="4" w:space="0" w:color="5B9BD4"/>
              <w:left w:val="nil" w:sz="6" w:space="0" w:color="auto"/>
              <w:bottom w:val="single" w:sz="4" w:space="0" w:color="5B9BD4"/>
              <w:right w:val="nil" w:sz="6" w:space="0" w:color="auto"/>
            </w:tcBorders>
            <w:shd w:val="clear" w:color="auto" w:fill="DEEAF6"/>
          </w:tcPr>
          <w:p>
            <w:pPr/>
          </w:p>
        </w:tc>
        <w:tc>
          <w:tcPr>
            <w:tcW w:w="708" w:type="dxa"/>
            <w:tcBorders>
              <w:top w:val="single" w:sz="4" w:space="0" w:color="5B9BD4"/>
              <w:left w:val="nil" w:sz="6" w:space="0" w:color="auto"/>
              <w:bottom w:val="single" w:sz="4" w:space="0" w:color="5B9BD4"/>
              <w:right w:val="nil" w:sz="6" w:space="0" w:color="auto"/>
            </w:tcBorders>
          </w:tcPr>
          <w:p>
            <w:pPr/>
          </w:p>
        </w:tc>
        <w:tc>
          <w:tcPr>
            <w:tcW w:w="15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1,000,000.00</w:t>
            </w:r>
            <w:r>
              <w:rPr>
                <w:rFonts w:ascii="Arial"/>
                <w:sz w:val="18"/>
              </w:rPr>
            </w:r>
          </w:p>
        </w:tc>
        <w:tc>
          <w:tcPr>
            <w:tcW w:w="1389" w:type="dxa"/>
            <w:tcBorders>
              <w:top w:val="single" w:sz="4" w:space="0" w:color="5B9BD4"/>
              <w:left w:val="nil" w:sz="6" w:space="0" w:color="auto"/>
              <w:bottom w:val="single" w:sz="4" w:space="0" w:color="5B9BD4"/>
              <w:right w:val="nil" w:sz="6" w:space="0" w:color="auto"/>
            </w:tcBorders>
          </w:tcPr>
          <w:p>
            <w:pPr/>
          </w:p>
        </w:tc>
        <w:tc>
          <w:tcPr>
            <w:tcW w:w="1390"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4" w:hRule="exact"/>
        </w:trPr>
        <w:tc>
          <w:tcPr>
            <w:tcW w:w="144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257"/>
              <w:jc w:val="left"/>
              <w:rPr>
                <w:rFonts w:ascii="宋体" w:hAnsi="宋体" w:cs="宋体" w:eastAsia="宋体" w:hint="default"/>
                <w:sz w:val="18"/>
                <w:szCs w:val="18"/>
              </w:rPr>
            </w:pPr>
            <w:r>
              <w:rPr>
                <w:rFonts w:ascii="宋体" w:hAnsi="宋体" w:cs="宋体" w:eastAsia="宋体" w:hint="default"/>
                <w:sz w:val="18"/>
                <w:szCs w:val="18"/>
              </w:rPr>
              <w:t>北京酷联通讯 科技有限公司</w:t>
            </w:r>
          </w:p>
        </w:tc>
        <w:tc>
          <w:tcPr>
            <w:tcW w:w="1495"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18"/>
                <w:szCs w:val="18"/>
              </w:rPr>
            </w:pPr>
            <w:r>
              <w:rPr>
                <w:rFonts w:ascii="Arial"/>
                <w:w w:val="95"/>
                <w:sz w:val="18"/>
              </w:rPr>
              <w:t>5,000,000.00</w:t>
            </w:r>
            <w:r>
              <w:rPr>
                <w:rFonts w:ascii="Arial"/>
                <w:sz w:val="18"/>
              </w:rPr>
            </w:r>
          </w:p>
        </w:tc>
        <w:tc>
          <w:tcPr>
            <w:tcW w:w="1560" w:type="dxa"/>
            <w:tcBorders>
              <w:top w:val="single" w:sz="4" w:space="0" w:color="5B9BD4"/>
              <w:left w:val="nil" w:sz="6" w:space="0" w:color="auto"/>
              <w:bottom w:val="single" w:sz="4" w:space="0" w:color="5B9BD4"/>
              <w:right w:val="nil" w:sz="6" w:space="0" w:color="auto"/>
            </w:tcBorders>
            <w:shd w:val="clear" w:color="auto" w:fill="DEEAF6"/>
          </w:tcPr>
          <w:p>
            <w:pPr/>
          </w:p>
        </w:tc>
        <w:tc>
          <w:tcPr>
            <w:tcW w:w="708" w:type="dxa"/>
            <w:tcBorders>
              <w:top w:val="single" w:sz="4" w:space="0" w:color="5B9BD4"/>
              <w:left w:val="nil" w:sz="6" w:space="0" w:color="auto"/>
              <w:bottom w:val="single" w:sz="4" w:space="0" w:color="5B9BD4"/>
              <w:right w:val="nil" w:sz="6" w:space="0" w:color="auto"/>
            </w:tcBorders>
          </w:tcPr>
          <w:p>
            <w:pPr/>
          </w:p>
        </w:tc>
        <w:tc>
          <w:tcPr>
            <w:tcW w:w="15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5,000,000.00</w:t>
            </w:r>
            <w:r>
              <w:rPr>
                <w:rFonts w:ascii="Arial"/>
                <w:sz w:val="18"/>
              </w:rPr>
            </w:r>
          </w:p>
        </w:tc>
        <w:tc>
          <w:tcPr>
            <w:tcW w:w="1389" w:type="dxa"/>
            <w:tcBorders>
              <w:top w:val="single" w:sz="4" w:space="0" w:color="5B9BD4"/>
              <w:left w:val="nil" w:sz="6" w:space="0" w:color="auto"/>
              <w:bottom w:val="single" w:sz="4" w:space="0" w:color="5B9BD4"/>
              <w:right w:val="nil" w:sz="6" w:space="0" w:color="auto"/>
            </w:tcBorders>
          </w:tcPr>
          <w:p>
            <w:pPr/>
          </w:p>
        </w:tc>
        <w:tc>
          <w:tcPr>
            <w:tcW w:w="1390"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947" w:hRule="exact"/>
        </w:trPr>
        <w:tc>
          <w:tcPr>
            <w:tcW w:w="144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5"/>
              <w:ind w:left="108" w:right="257"/>
              <w:jc w:val="both"/>
              <w:rPr>
                <w:rFonts w:ascii="宋体" w:hAnsi="宋体" w:cs="宋体" w:eastAsia="宋体" w:hint="default"/>
                <w:sz w:val="18"/>
                <w:szCs w:val="18"/>
              </w:rPr>
            </w:pPr>
            <w:r>
              <w:rPr>
                <w:rFonts w:ascii="宋体" w:hAnsi="宋体" w:cs="宋体" w:eastAsia="宋体" w:hint="default"/>
                <w:sz w:val="18"/>
                <w:szCs w:val="18"/>
              </w:rPr>
              <w:t>深圳市享易无 限数码有限公 司</w:t>
            </w:r>
          </w:p>
        </w:tc>
        <w:tc>
          <w:tcPr>
            <w:tcW w:w="1495"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4"/>
              <w:jc w:val="right"/>
              <w:rPr>
                <w:rFonts w:ascii="Arial" w:hAnsi="Arial" w:cs="Arial" w:eastAsia="Arial" w:hint="default"/>
                <w:sz w:val="18"/>
                <w:szCs w:val="18"/>
              </w:rPr>
            </w:pPr>
            <w:r>
              <w:rPr>
                <w:rFonts w:ascii="Arial"/>
                <w:w w:val="95"/>
                <w:sz w:val="18"/>
              </w:rPr>
              <w:t>10,000,000.00</w:t>
            </w:r>
            <w:r>
              <w:rPr>
                <w:rFonts w:ascii="Arial"/>
                <w:sz w:val="18"/>
              </w:rPr>
            </w:r>
          </w:p>
        </w:tc>
        <w:tc>
          <w:tcPr>
            <w:tcW w:w="1560" w:type="dxa"/>
            <w:tcBorders>
              <w:top w:val="single" w:sz="4" w:space="0" w:color="5B9BD4"/>
              <w:left w:val="nil" w:sz="6" w:space="0" w:color="auto"/>
              <w:bottom w:val="single" w:sz="4" w:space="0" w:color="5B9BD4"/>
              <w:right w:val="nil" w:sz="6" w:space="0" w:color="auto"/>
            </w:tcBorders>
            <w:shd w:val="clear" w:color="auto" w:fill="DEEAF6"/>
          </w:tcPr>
          <w:p>
            <w:pPr/>
          </w:p>
        </w:tc>
        <w:tc>
          <w:tcPr>
            <w:tcW w:w="708" w:type="dxa"/>
            <w:tcBorders>
              <w:top w:val="single" w:sz="4" w:space="0" w:color="5B9BD4"/>
              <w:left w:val="nil" w:sz="6" w:space="0" w:color="auto"/>
              <w:bottom w:val="single" w:sz="4" w:space="0" w:color="5B9BD4"/>
              <w:right w:val="nil" w:sz="6" w:space="0" w:color="auto"/>
            </w:tcBorders>
          </w:tcPr>
          <w:p>
            <w:pPr/>
          </w:p>
        </w:tc>
        <w:tc>
          <w:tcPr>
            <w:tcW w:w="15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7"/>
              <w:jc w:val="right"/>
              <w:rPr>
                <w:rFonts w:ascii="Arial" w:hAnsi="Arial" w:cs="Arial" w:eastAsia="Arial" w:hint="default"/>
                <w:sz w:val="18"/>
                <w:szCs w:val="18"/>
              </w:rPr>
            </w:pPr>
            <w:r>
              <w:rPr>
                <w:rFonts w:ascii="Arial"/>
                <w:w w:val="95"/>
                <w:sz w:val="18"/>
              </w:rPr>
              <w:t>10,000,000.00</w:t>
            </w:r>
            <w:r>
              <w:rPr>
                <w:rFonts w:ascii="Arial"/>
                <w:sz w:val="18"/>
              </w:rPr>
            </w:r>
          </w:p>
        </w:tc>
        <w:tc>
          <w:tcPr>
            <w:tcW w:w="1389" w:type="dxa"/>
            <w:tcBorders>
              <w:top w:val="single" w:sz="4" w:space="0" w:color="5B9BD4"/>
              <w:left w:val="nil" w:sz="6" w:space="0" w:color="auto"/>
              <w:bottom w:val="single" w:sz="4" w:space="0" w:color="5B9BD4"/>
              <w:right w:val="nil" w:sz="6" w:space="0" w:color="auto"/>
            </w:tcBorders>
          </w:tcPr>
          <w:p>
            <w:pPr/>
          </w:p>
        </w:tc>
        <w:tc>
          <w:tcPr>
            <w:tcW w:w="1390"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4" w:hRule="exact"/>
        </w:trPr>
        <w:tc>
          <w:tcPr>
            <w:tcW w:w="144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2" w:lineRule="auto" w:before="6"/>
              <w:ind w:left="108" w:right="125"/>
              <w:jc w:val="left"/>
              <w:rPr>
                <w:rFonts w:ascii="宋体" w:hAnsi="宋体" w:cs="宋体" w:eastAsia="宋体" w:hint="default"/>
                <w:sz w:val="18"/>
                <w:szCs w:val="18"/>
              </w:rPr>
            </w:pPr>
            <w:r>
              <w:rPr>
                <w:rFonts w:ascii="宋体" w:hAnsi="宋体" w:cs="宋体" w:eastAsia="宋体" w:hint="default"/>
                <w:spacing w:val="-1"/>
                <w:sz w:val="18"/>
                <w:szCs w:val="18"/>
              </w:rPr>
              <w:t>爱施德</w:t>
            </w:r>
            <w:r>
              <w:rPr>
                <w:rFonts w:ascii="Arial" w:hAnsi="Arial" w:cs="Arial" w:eastAsia="Arial" w:hint="default"/>
                <w:spacing w:val="-1"/>
                <w:sz w:val="18"/>
                <w:szCs w:val="18"/>
              </w:rPr>
              <w:t>(</w:t>
            </w:r>
            <w:r>
              <w:rPr>
                <w:rFonts w:ascii="宋体" w:hAnsi="宋体" w:cs="宋体" w:eastAsia="宋体" w:hint="default"/>
                <w:spacing w:val="-1"/>
                <w:sz w:val="18"/>
                <w:szCs w:val="18"/>
              </w:rPr>
              <w:t>香港</w:t>
            </w:r>
            <w:r>
              <w:rPr>
                <w:rFonts w:ascii="Arial" w:hAnsi="Arial" w:cs="Arial" w:eastAsia="Arial" w:hint="default"/>
                <w:spacing w:val="-1"/>
                <w:sz w:val="18"/>
                <w:szCs w:val="18"/>
              </w:rPr>
              <w:t>)</w:t>
            </w:r>
            <w:r>
              <w:rPr>
                <w:rFonts w:ascii="宋体" w:hAnsi="宋体" w:cs="宋体" w:eastAsia="宋体" w:hint="default"/>
                <w:spacing w:val="-1"/>
                <w:sz w:val="18"/>
                <w:szCs w:val="18"/>
              </w:rPr>
              <w:t>有</w:t>
            </w:r>
            <w:r>
              <w:rPr>
                <w:rFonts w:ascii="宋体" w:hAnsi="宋体" w:cs="宋体" w:eastAsia="宋体" w:hint="default"/>
                <w:spacing w:val="-72"/>
                <w:sz w:val="18"/>
                <w:szCs w:val="18"/>
              </w:rPr>
              <w:t> </w:t>
            </w:r>
            <w:r>
              <w:rPr>
                <w:rFonts w:ascii="宋体" w:hAnsi="宋体" w:cs="宋体" w:eastAsia="宋体" w:hint="default"/>
                <w:sz w:val="18"/>
                <w:szCs w:val="18"/>
              </w:rPr>
              <w:t>限公司</w:t>
            </w:r>
          </w:p>
        </w:tc>
        <w:tc>
          <w:tcPr>
            <w:tcW w:w="1495"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18"/>
                <w:szCs w:val="18"/>
              </w:rPr>
            </w:pPr>
            <w:r>
              <w:rPr>
                <w:rFonts w:ascii="Arial"/>
                <w:w w:val="95"/>
                <w:sz w:val="18"/>
              </w:rPr>
              <w:t>4,146,400.00</w:t>
            </w:r>
            <w:r>
              <w:rPr>
                <w:rFonts w:ascii="Arial"/>
                <w:sz w:val="18"/>
              </w:rPr>
            </w:r>
          </w:p>
        </w:tc>
        <w:tc>
          <w:tcPr>
            <w:tcW w:w="1560" w:type="dxa"/>
            <w:tcBorders>
              <w:top w:val="single" w:sz="4" w:space="0" w:color="5B9BD4"/>
              <w:left w:val="nil" w:sz="6" w:space="0" w:color="auto"/>
              <w:bottom w:val="single" w:sz="4" w:space="0" w:color="5B9BD4"/>
              <w:right w:val="nil" w:sz="6" w:space="0" w:color="auto"/>
            </w:tcBorders>
            <w:shd w:val="clear" w:color="auto" w:fill="DEEAF6"/>
          </w:tcPr>
          <w:p>
            <w:pPr/>
          </w:p>
        </w:tc>
        <w:tc>
          <w:tcPr>
            <w:tcW w:w="708" w:type="dxa"/>
            <w:tcBorders>
              <w:top w:val="single" w:sz="4" w:space="0" w:color="5B9BD4"/>
              <w:left w:val="nil" w:sz="6" w:space="0" w:color="auto"/>
              <w:bottom w:val="single" w:sz="4" w:space="0" w:color="5B9BD4"/>
              <w:right w:val="nil" w:sz="6" w:space="0" w:color="auto"/>
            </w:tcBorders>
          </w:tcPr>
          <w:p>
            <w:pPr/>
          </w:p>
        </w:tc>
        <w:tc>
          <w:tcPr>
            <w:tcW w:w="15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4,146,400.00</w:t>
            </w:r>
            <w:r>
              <w:rPr>
                <w:rFonts w:ascii="Arial"/>
                <w:sz w:val="18"/>
              </w:rPr>
            </w:r>
          </w:p>
        </w:tc>
        <w:tc>
          <w:tcPr>
            <w:tcW w:w="1389" w:type="dxa"/>
            <w:tcBorders>
              <w:top w:val="single" w:sz="4" w:space="0" w:color="5B9BD4"/>
              <w:left w:val="nil" w:sz="6" w:space="0" w:color="auto"/>
              <w:bottom w:val="single" w:sz="4" w:space="0" w:color="5B9BD4"/>
              <w:right w:val="nil" w:sz="6" w:space="0" w:color="auto"/>
            </w:tcBorders>
          </w:tcPr>
          <w:p>
            <w:pPr/>
          </w:p>
        </w:tc>
        <w:tc>
          <w:tcPr>
            <w:tcW w:w="1390" w:type="dxa"/>
            <w:tcBorders>
              <w:top w:val="single" w:sz="4" w:space="0" w:color="5B9BD4"/>
              <w:left w:val="nil" w:sz="6" w:space="0" w:color="auto"/>
              <w:bottom w:val="single" w:sz="4" w:space="0" w:color="5B9BD4"/>
              <w:right w:val="nil" w:sz="6" w:space="0" w:color="auto"/>
            </w:tcBorders>
            <w:shd w:val="clear" w:color="auto" w:fill="DEEAF6"/>
          </w:tcPr>
          <w:p>
            <w:pPr/>
          </w:p>
        </w:tc>
      </w:tr>
    </w:tbl>
    <w:p>
      <w:pPr>
        <w:spacing w:after="0"/>
        <w:sectPr>
          <w:pgSz w:w="11910" w:h="16840"/>
          <w:pgMar w:header="877" w:footer="979" w:top="1100" w:bottom="1160" w:left="920" w:right="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1448"/>
        <w:gridCol w:w="1495"/>
        <w:gridCol w:w="1560"/>
        <w:gridCol w:w="708"/>
        <w:gridCol w:w="1578"/>
        <w:gridCol w:w="1389"/>
        <w:gridCol w:w="1390"/>
      </w:tblGrid>
      <w:tr>
        <w:trPr>
          <w:trHeight w:val="946" w:hRule="exact"/>
        </w:trPr>
        <w:tc>
          <w:tcPr>
            <w:tcW w:w="144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优友电子商务</w:t>
            </w:r>
          </w:p>
          <w:p>
            <w:pPr>
              <w:pStyle w:val="TableParagraph"/>
              <w:spacing w:line="316" w:lineRule="auto" w:before="76"/>
              <w:ind w:left="108" w:right="106"/>
              <w:jc w:val="left"/>
              <w:rPr>
                <w:rFonts w:ascii="宋体" w:hAnsi="宋体" w:cs="宋体" w:eastAsia="宋体" w:hint="default"/>
                <w:sz w:val="18"/>
                <w:szCs w:val="18"/>
              </w:rPr>
            </w:pPr>
            <w:r>
              <w:rPr>
                <w:rFonts w:ascii="宋体" w:hAnsi="宋体" w:cs="宋体" w:eastAsia="宋体" w:hint="default"/>
                <w:spacing w:val="-5"/>
                <w:sz w:val="18"/>
                <w:szCs w:val="18"/>
              </w:rPr>
              <w:t>（深圳）有限公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1495"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3"/>
              <w:jc w:val="right"/>
              <w:rPr>
                <w:rFonts w:ascii="Arial" w:hAnsi="Arial" w:cs="Arial" w:eastAsia="Arial" w:hint="default"/>
                <w:sz w:val="18"/>
                <w:szCs w:val="18"/>
              </w:rPr>
            </w:pPr>
            <w:r>
              <w:rPr>
                <w:rFonts w:ascii="Arial"/>
                <w:w w:val="95"/>
                <w:sz w:val="18"/>
              </w:rPr>
              <w:t>5,000,000.00</w:t>
            </w:r>
            <w:r>
              <w:rPr>
                <w:rFonts w:ascii="Arial"/>
                <w:sz w:val="18"/>
              </w:rPr>
            </w:r>
          </w:p>
        </w:tc>
        <w:tc>
          <w:tcPr>
            <w:tcW w:w="1560" w:type="dxa"/>
            <w:tcBorders>
              <w:top w:val="single" w:sz="4" w:space="0" w:color="5B9BD4"/>
              <w:left w:val="nil" w:sz="6" w:space="0" w:color="auto"/>
              <w:bottom w:val="single" w:sz="4" w:space="0" w:color="5B9BD4"/>
              <w:right w:val="nil" w:sz="6" w:space="0" w:color="auto"/>
            </w:tcBorders>
            <w:shd w:val="clear" w:color="auto" w:fill="DEEAF6"/>
          </w:tcPr>
          <w:p>
            <w:pPr/>
          </w:p>
        </w:tc>
        <w:tc>
          <w:tcPr>
            <w:tcW w:w="708" w:type="dxa"/>
            <w:tcBorders>
              <w:top w:val="single" w:sz="4" w:space="0" w:color="5B9BD4"/>
              <w:left w:val="nil" w:sz="6" w:space="0" w:color="auto"/>
              <w:bottom w:val="single" w:sz="4" w:space="0" w:color="5B9BD4"/>
              <w:right w:val="nil" w:sz="6" w:space="0" w:color="auto"/>
            </w:tcBorders>
          </w:tcPr>
          <w:p>
            <w:pPr/>
          </w:p>
        </w:tc>
        <w:tc>
          <w:tcPr>
            <w:tcW w:w="15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6"/>
              <w:jc w:val="right"/>
              <w:rPr>
                <w:rFonts w:ascii="Arial" w:hAnsi="Arial" w:cs="Arial" w:eastAsia="Arial" w:hint="default"/>
                <w:sz w:val="18"/>
                <w:szCs w:val="18"/>
              </w:rPr>
            </w:pPr>
            <w:r>
              <w:rPr>
                <w:rFonts w:ascii="Arial"/>
                <w:w w:val="95"/>
                <w:sz w:val="18"/>
              </w:rPr>
              <w:t>5,000,000.00</w:t>
            </w:r>
            <w:r>
              <w:rPr>
                <w:rFonts w:ascii="Arial"/>
                <w:sz w:val="18"/>
              </w:rPr>
            </w:r>
          </w:p>
        </w:tc>
        <w:tc>
          <w:tcPr>
            <w:tcW w:w="1389" w:type="dxa"/>
            <w:tcBorders>
              <w:top w:val="single" w:sz="4" w:space="0" w:color="5B9BD4"/>
              <w:left w:val="nil" w:sz="6" w:space="0" w:color="auto"/>
              <w:bottom w:val="single" w:sz="4" w:space="0" w:color="5B9BD4"/>
              <w:right w:val="nil" w:sz="6" w:space="0" w:color="auto"/>
            </w:tcBorders>
          </w:tcPr>
          <w:p>
            <w:pPr/>
          </w:p>
        </w:tc>
        <w:tc>
          <w:tcPr>
            <w:tcW w:w="1390"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947" w:hRule="exact"/>
        </w:trPr>
        <w:tc>
          <w:tcPr>
            <w:tcW w:w="144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9" w:lineRule="auto" w:before="6"/>
              <w:ind w:left="108" w:right="257"/>
              <w:jc w:val="both"/>
              <w:rPr>
                <w:rFonts w:ascii="宋体" w:hAnsi="宋体" w:cs="宋体" w:eastAsia="宋体" w:hint="default"/>
                <w:sz w:val="18"/>
                <w:szCs w:val="18"/>
              </w:rPr>
            </w:pPr>
            <w:r>
              <w:rPr>
                <w:rFonts w:ascii="宋体" w:hAnsi="宋体" w:cs="宋体" w:eastAsia="宋体" w:hint="default"/>
                <w:sz w:val="18"/>
                <w:szCs w:val="18"/>
              </w:rPr>
              <w:t>江西爱施德通 信科技有限公 司</w:t>
            </w:r>
          </w:p>
        </w:tc>
        <w:tc>
          <w:tcPr>
            <w:tcW w:w="1495" w:type="dxa"/>
            <w:tcBorders>
              <w:top w:val="single" w:sz="4" w:space="0" w:color="5B9BD4"/>
              <w:left w:val="nil" w:sz="6" w:space="0" w:color="auto"/>
              <w:bottom w:val="single" w:sz="4" w:space="0" w:color="5B9BD4"/>
              <w:right w:val="nil" w:sz="6" w:space="0" w:color="auto"/>
            </w:tcBorders>
          </w:tcPr>
          <w:p>
            <w:pPr/>
          </w:p>
        </w:tc>
        <w:tc>
          <w:tcPr>
            <w:tcW w:w="1560" w:type="dxa"/>
            <w:tcBorders>
              <w:top w:val="single" w:sz="4" w:space="0" w:color="5B9BD4"/>
              <w:left w:val="nil" w:sz="6" w:space="0" w:color="auto"/>
              <w:bottom w:val="single" w:sz="4" w:space="0" w:color="5B9BD4"/>
              <w:right w:val="nil" w:sz="6" w:space="0" w:color="auto"/>
            </w:tcBorders>
            <w:shd w:val="clear" w:color="auto" w:fill="DEEAF6"/>
          </w:tcPr>
          <w:p>
            <w:pPr/>
          </w:p>
        </w:tc>
        <w:tc>
          <w:tcPr>
            <w:tcW w:w="708" w:type="dxa"/>
            <w:tcBorders>
              <w:top w:val="single" w:sz="4" w:space="0" w:color="5B9BD4"/>
              <w:left w:val="nil" w:sz="6" w:space="0" w:color="auto"/>
              <w:bottom w:val="single" w:sz="4" w:space="0" w:color="5B9BD4"/>
              <w:right w:val="nil" w:sz="6" w:space="0" w:color="auto"/>
            </w:tcBorders>
          </w:tcPr>
          <w:p>
            <w:pPr/>
          </w:p>
        </w:tc>
        <w:tc>
          <w:tcPr>
            <w:tcW w:w="1578" w:type="dxa"/>
            <w:tcBorders>
              <w:top w:val="single" w:sz="4" w:space="0" w:color="5B9BD4"/>
              <w:left w:val="nil" w:sz="6" w:space="0" w:color="auto"/>
              <w:bottom w:val="single" w:sz="4" w:space="0" w:color="5B9BD4"/>
              <w:right w:val="nil" w:sz="6" w:space="0" w:color="auto"/>
            </w:tcBorders>
            <w:shd w:val="clear" w:color="auto" w:fill="DEEAF6"/>
          </w:tcPr>
          <w:p>
            <w:pPr/>
          </w:p>
        </w:tc>
        <w:tc>
          <w:tcPr>
            <w:tcW w:w="1389" w:type="dxa"/>
            <w:tcBorders>
              <w:top w:val="single" w:sz="4" w:space="0" w:color="5B9BD4"/>
              <w:left w:val="nil" w:sz="6" w:space="0" w:color="auto"/>
              <w:bottom w:val="single" w:sz="4" w:space="0" w:color="5B9BD4"/>
              <w:right w:val="nil" w:sz="6" w:space="0" w:color="auto"/>
            </w:tcBorders>
          </w:tcPr>
          <w:p>
            <w:pPr/>
          </w:p>
        </w:tc>
        <w:tc>
          <w:tcPr>
            <w:tcW w:w="1390"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144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彩梦科技公司</w:t>
            </w:r>
          </w:p>
        </w:tc>
        <w:tc>
          <w:tcPr>
            <w:tcW w:w="1495"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65,389,981.90</w:t>
            </w:r>
            <w:r>
              <w:rPr>
                <w:rFonts w:ascii="Arial"/>
                <w:sz w:val="18"/>
              </w:rPr>
            </w:r>
          </w:p>
        </w:tc>
        <w:tc>
          <w:tcPr>
            <w:tcW w:w="1560" w:type="dxa"/>
            <w:tcBorders>
              <w:top w:val="single" w:sz="4" w:space="0" w:color="5B9BD4"/>
              <w:left w:val="nil" w:sz="6" w:space="0" w:color="auto"/>
              <w:bottom w:val="single" w:sz="4" w:space="0" w:color="5B9BD4"/>
              <w:right w:val="nil" w:sz="6" w:space="0" w:color="auto"/>
            </w:tcBorders>
            <w:shd w:val="clear" w:color="auto" w:fill="DEEAF6"/>
          </w:tcPr>
          <w:p>
            <w:pPr/>
          </w:p>
        </w:tc>
        <w:tc>
          <w:tcPr>
            <w:tcW w:w="708" w:type="dxa"/>
            <w:tcBorders>
              <w:top w:val="single" w:sz="4" w:space="0" w:color="5B9BD4"/>
              <w:left w:val="nil" w:sz="6" w:space="0" w:color="auto"/>
              <w:bottom w:val="single" w:sz="4" w:space="0" w:color="5B9BD4"/>
              <w:right w:val="nil" w:sz="6" w:space="0" w:color="auto"/>
            </w:tcBorders>
          </w:tcPr>
          <w:p>
            <w:pPr/>
          </w:p>
        </w:tc>
        <w:tc>
          <w:tcPr>
            <w:tcW w:w="15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w w:val="95"/>
                <w:sz w:val="18"/>
              </w:rPr>
              <w:t>65,389,981.90</w:t>
            </w:r>
            <w:r>
              <w:rPr>
                <w:rFonts w:ascii="Arial"/>
                <w:sz w:val="18"/>
              </w:rPr>
            </w:r>
          </w:p>
        </w:tc>
        <w:tc>
          <w:tcPr>
            <w:tcW w:w="1389" w:type="dxa"/>
            <w:tcBorders>
              <w:top w:val="single" w:sz="4" w:space="0" w:color="5B9BD4"/>
              <w:left w:val="nil" w:sz="6" w:space="0" w:color="auto"/>
              <w:bottom w:val="single" w:sz="4" w:space="0" w:color="5B9BD4"/>
              <w:right w:val="nil" w:sz="6" w:space="0" w:color="auto"/>
            </w:tcBorders>
          </w:tcPr>
          <w:p>
            <w:pPr/>
          </w:p>
        </w:tc>
        <w:tc>
          <w:tcPr>
            <w:tcW w:w="1390"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144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迈奔灵动公司</w:t>
            </w:r>
          </w:p>
        </w:tc>
        <w:tc>
          <w:tcPr>
            <w:tcW w:w="1495"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178,144,800.34</w:t>
            </w:r>
            <w:r>
              <w:rPr>
                <w:rFonts w:ascii="Arial"/>
                <w:sz w:val="18"/>
              </w:rPr>
            </w:r>
          </w:p>
        </w:tc>
        <w:tc>
          <w:tcPr>
            <w:tcW w:w="156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21,268,700.00</w:t>
            </w:r>
            <w:r>
              <w:rPr>
                <w:rFonts w:ascii="Arial"/>
                <w:sz w:val="18"/>
              </w:rPr>
            </w:r>
          </w:p>
        </w:tc>
        <w:tc>
          <w:tcPr>
            <w:tcW w:w="708" w:type="dxa"/>
            <w:tcBorders>
              <w:top w:val="single" w:sz="4" w:space="0" w:color="5B9BD4"/>
              <w:left w:val="nil" w:sz="6" w:space="0" w:color="auto"/>
              <w:bottom w:val="single" w:sz="4" w:space="0" w:color="5B9BD4"/>
              <w:right w:val="nil" w:sz="6" w:space="0" w:color="auto"/>
            </w:tcBorders>
          </w:tcPr>
          <w:p>
            <w:pPr/>
          </w:p>
        </w:tc>
        <w:tc>
          <w:tcPr>
            <w:tcW w:w="15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w w:val="95"/>
                <w:sz w:val="18"/>
              </w:rPr>
              <w:t>199,413,500.34</w:t>
            </w:r>
            <w:r>
              <w:rPr>
                <w:rFonts w:ascii="Arial"/>
                <w:sz w:val="18"/>
              </w:rPr>
            </w:r>
          </w:p>
        </w:tc>
        <w:tc>
          <w:tcPr>
            <w:tcW w:w="138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5,744,600.34</w:t>
            </w:r>
            <w:r>
              <w:rPr>
                <w:rFonts w:ascii="Arial"/>
                <w:sz w:val="18"/>
              </w:rPr>
            </w:r>
          </w:p>
        </w:tc>
        <w:tc>
          <w:tcPr>
            <w:tcW w:w="13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5,744,600.34</w:t>
            </w:r>
            <w:r>
              <w:rPr>
                <w:rFonts w:ascii="Arial"/>
                <w:sz w:val="18"/>
              </w:rPr>
            </w:r>
          </w:p>
        </w:tc>
      </w:tr>
      <w:tr>
        <w:trPr>
          <w:trHeight w:val="946" w:hRule="exact"/>
        </w:trPr>
        <w:tc>
          <w:tcPr>
            <w:tcW w:w="144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257"/>
              <w:jc w:val="both"/>
              <w:rPr>
                <w:rFonts w:ascii="宋体" w:hAnsi="宋体" w:cs="宋体" w:eastAsia="宋体" w:hint="default"/>
                <w:sz w:val="18"/>
                <w:szCs w:val="18"/>
              </w:rPr>
            </w:pPr>
            <w:r>
              <w:rPr>
                <w:rFonts w:ascii="宋体" w:hAnsi="宋体" w:cs="宋体" w:eastAsia="宋体" w:hint="default"/>
                <w:sz w:val="18"/>
                <w:szCs w:val="18"/>
              </w:rPr>
              <w:t>长春市酷爱通 讯科技有限公 司</w:t>
            </w:r>
          </w:p>
        </w:tc>
        <w:tc>
          <w:tcPr>
            <w:tcW w:w="1495" w:type="dxa"/>
            <w:tcBorders>
              <w:top w:val="single" w:sz="4" w:space="0" w:color="5B9BD4"/>
              <w:left w:val="nil" w:sz="6" w:space="0" w:color="auto"/>
              <w:bottom w:val="single" w:sz="4" w:space="0" w:color="5B9BD4"/>
              <w:right w:val="nil" w:sz="6" w:space="0" w:color="auto"/>
            </w:tcBorders>
          </w:tcPr>
          <w:p>
            <w:pPr/>
          </w:p>
        </w:tc>
        <w:tc>
          <w:tcPr>
            <w:tcW w:w="1560" w:type="dxa"/>
            <w:tcBorders>
              <w:top w:val="single" w:sz="4" w:space="0" w:color="5B9BD4"/>
              <w:left w:val="nil" w:sz="6" w:space="0" w:color="auto"/>
              <w:bottom w:val="single" w:sz="4" w:space="0" w:color="5B9BD4"/>
              <w:right w:val="nil" w:sz="6" w:space="0" w:color="auto"/>
            </w:tcBorders>
            <w:shd w:val="clear" w:color="auto" w:fill="DEEAF6"/>
          </w:tcPr>
          <w:p>
            <w:pPr/>
          </w:p>
        </w:tc>
        <w:tc>
          <w:tcPr>
            <w:tcW w:w="708" w:type="dxa"/>
            <w:tcBorders>
              <w:top w:val="single" w:sz="4" w:space="0" w:color="5B9BD4"/>
              <w:left w:val="nil" w:sz="6" w:space="0" w:color="auto"/>
              <w:bottom w:val="single" w:sz="4" w:space="0" w:color="5B9BD4"/>
              <w:right w:val="nil" w:sz="6" w:space="0" w:color="auto"/>
            </w:tcBorders>
          </w:tcPr>
          <w:p>
            <w:pPr/>
          </w:p>
        </w:tc>
        <w:tc>
          <w:tcPr>
            <w:tcW w:w="1578" w:type="dxa"/>
            <w:tcBorders>
              <w:top w:val="single" w:sz="4" w:space="0" w:color="5B9BD4"/>
              <w:left w:val="nil" w:sz="6" w:space="0" w:color="auto"/>
              <w:bottom w:val="single" w:sz="4" w:space="0" w:color="5B9BD4"/>
              <w:right w:val="nil" w:sz="6" w:space="0" w:color="auto"/>
            </w:tcBorders>
            <w:shd w:val="clear" w:color="auto" w:fill="DEEAF6"/>
          </w:tcPr>
          <w:p>
            <w:pPr/>
          </w:p>
        </w:tc>
        <w:tc>
          <w:tcPr>
            <w:tcW w:w="1389" w:type="dxa"/>
            <w:tcBorders>
              <w:top w:val="single" w:sz="4" w:space="0" w:color="5B9BD4"/>
              <w:left w:val="nil" w:sz="6" w:space="0" w:color="auto"/>
              <w:bottom w:val="single" w:sz="4" w:space="0" w:color="5B9BD4"/>
              <w:right w:val="nil" w:sz="6" w:space="0" w:color="auto"/>
            </w:tcBorders>
          </w:tcPr>
          <w:p>
            <w:pPr/>
          </w:p>
        </w:tc>
        <w:tc>
          <w:tcPr>
            <w:tcW w:w="1390"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946" w:hRule="exact"/>
        </w:trPr>
        <w:tc>
          <w:tcPr>
            <w:tcW w:w="144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257"/>
              <w:jc w:val="both"/>
              <w:rPr>
                <w:rFonts w:ascii="宋体" w:hAnsi="宋体" w:cs="宋体" w:eastAsia="宋体" w:hint="default"/>
                <w:sz w:val="18"/>
                <w:szCs w:val="18"/>
              </w:rPr>
            </w:pPr>
            <w:r>
              <w:rPr>
                <w:rFonts w:ascii="宋体" w:hAnsi="宋体" w:cs="宋体" w:eastAsia="宋体" w:hint="default"/>
                <w:sz w:val="18"/>
                <w:szCs w:val="18"/>
              </w:rPr>
              <w:t>武汉市酷爱星 通讯科技有限 责任公司</w:t>
            </w:r>
          </w:p>
        </w:tc>
        <w:tc>
          <w:tcPr>
            <w:tcW w:w="1495" w:type="dxa"/>
            <w:tcBorders>
              <w:top w:val="single" w:sz="4" w:space="0" w:color="5B9BD4"/>
              <w:left w:val="nil" w:sz="6" w:space="0" w:color="auto"/>
              <w:bottom w:val="single" w:sz="4" w:space="0" w:color="5B9BD4"/>
              <w:right w:val="nil" w:sz="6" w:space="0" w:color="auto"/>
            </w:tcBorders>
          </w:tcPr>
          <w:p>
            <w:pPr/>
          </w:p>
        </w:tc>
        <w:tc>
          <w:tcPr>
            <w:tcW w:w="1560" w:type="dxa"/>
            <w:tcBorders>
              <w:top w:val="single" w:sz="4" w:space="0" w:color="5B9BD4"/>
              <w:left w:val="nil" w:sz="6" w:space="0" w:color="auto"/>
              <w:bottom w:val="single" w:sz="4" w:space="0" w:color="5B9BD4"/>
              <w:right w:val="nil" w:sz="6" w:space="0" w:color="auto"/>
            </w:tcBorders>
            <w:shd w:val="clear" w:color="auto" w:fill="DEEAF6"/>
          </w:tcPr>
          <w:p>
            <w:pPr/>
          </w:p>
        </w:tc>
        <w:tc>
          <w:tcPr>
            <w:tcW w:w="708" w:type="dxa"/>
            <w:tcBorders>
              <w:top w:val="single" w:sz="4" w:space="0" w:color="5B9BD4"/>
              <w:left w:val="nil" w:sz="6" w:space="0" w:color="auto"/>
              <w:bottom w:val="single" w:sz="4" w:space="0" w:color="5B9BD4"/>
              <w:right w:val="nil" w:sz="6" w:space="0" w:color="auto"/>
            </w:tcBorders>
          </w:tcPr>
          <w:p>
            <w:pPr/>
          </w:p>
        </w:tc>
        <w:tc>
          <w:tcPr>
            <w:tcW w:w="1578" w:type="dxa"/>
            <w:tcBorders>
              <w:top w:val="single" w:sz="4" w:space="0" w:color="5B9BD4"/>
              <w:left w:val="nil" w:sz="6" w:space="0" w:color="auto"/>
              <w:bottom w:val="single" w:sz="4" w:space="0" w:color="5B9BD4"/>
              <w:right w:val="nil" w:sz="6" w:space="0" w:color="auto"/>
            </w:tcBorders>
            <w:shd w:val="clear" w:color="auto" w:fill="DEEAF6"/>
          </w:tcPr>
          <w:p>
            <w:pPr/>
          </w:p>
        </w:tc>
        <w:tc>
          <w:tcPr>
            <w:tcW w:w="1389" w:type="dxa"/>
            <w:tcBorders>
              <w:top w:val="single" w:sz="4" w:space="0" w:color="5B9BD4"/>
              <w:left w:val="nil" w:sz="6" w:space="0" w:color="auto"/>
              <w:bottom w:val="single" w:sz="4" w:space="0" w:color="5B9BD4"/>
              <w:right w:val="nil" w:sz="6" w:space="0" w:color="auto"/>
            </w:tcBorders>
          </w:tcPr>
          <w:p>
            <w:pPr/>
          </w:p>
        </w:tc>
        <w:tc>
          <w:tcPr>
            <w:tcW w:w="1390"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4" w:hRule="exact"/>
        </w:trPr>
        <w:tc>
          <w:tcPr>
            <w:tcW w:w="144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257"/>
              <w:jc w:val="left"/>
              <w:rPr>
                <w:rFonts w:ascii="宋体" w:hAnsi="宋体" w:cs="宋体" w:eastAsia="宋体" w:hint="default"/>
                <w:sz w:val="18"/>
                <w:szCs w:val="18"/>
              </w:rPr>
            </w:pPr>
            <w:r>
              <w:rPr>
                <w:rFonts w:ascii="宋体" w:hAnsi="宋体" w:cs="宋体" w:eastAsia="宋体" w:hint="default"/>
                <w:sz w:val="18"/>
                <w:szCs w:val="18"/>
              </w:rPr>
              <w:t>深圳市优友互 联有限公司</w:t>
            </w:r>
          </w:p>
        </w:tc>
        <w:tc>
          <w:tcPr>
            <w:tcW w:w="1495" w:type="dxa"/>
            <w:tcBorders>
              <w:top w:val="single" w:sz="4" w:space="0" w:color="5B9BD4"/>
              <w:left w:val="nil" w:sz="6" w:space="0" w:color="auto"/>
              <w:bottom w:val="single" w:sz="4" w:space="0" w:color="5B9BD4"/>
              <w:right w:val="nil" w:sz="6" w:space="0" w:color="auto"/>
            </w:tcBorders>
          </w:tcPr>
          <w:p>
            <w:pPr/>
          </w:p>
        </w:tc>
        <w:tc>
          <w:tcPr>
            <w:tcW w:w="156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10,000,000.00</w:t>
            </w:r>
            <w:r>
              <w:rPr>
                <w:rFonts w:ascii="Arial"/>
                <w:sz w:val="18"/>
              </w:rPr>
            </w:r>
          </w:p>
        </w:tc>
        <w:tc>
          <w:tcPr>
            <w:tcW w:w="708" w:type="dxa"/>
            <w:tcBorders>
              <w:top w:val="single" w:sz="4" w:space="0" w:color="5B9BD4"/>
              <w:left w:val="nil" w:sz="6" w:space="0" w:color="auto"/>
              <w:bottom w:val="single" w:sz="4" w:space="0" w:color="5B9BD4"/>
              <w:right w:val="nil" w:sz="6" w:space="0" w:color="auto"/>
            </w:tcBorders>
          </w:tcPr>
          <w:p>
            <w:pPr/>
          </w:p>
        </w:tc>
        <w:tc>
          <w:tcPr>
            <w:tcW w:w="15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18"/>
                <w:szCs w:val="18"/>
              </w:rPr>
            </w:pPr>
            <w:r>
              <w:rPr>
                <w:rFonts w:ascii="Arial"/>
                <w:w w:val="95"/>
                <w:sz w:val="18"/>
              </w:rPr>
              <w:t>10,000,000.00</w:t>
            </w:r>
            <w:r>
              <w:rPr>
                <w:rFonts w:ascii="Arial"/>
                <w:sz w:val="18"/>
              </w:rPr>
            </w:r>
          </w:p>
        </w:tc>
        <w:tc>
          <w:tcPr>
            <w:tcW w:w="1389" w:type="dxa"/>
            <w:tcBorders>
              <w:top w:val="single" w:sz="4" w:space="0" w:color="5B9BD4"/>
              <w:left w:val="nil" w:sz="6" w:space="0" w:color="auto"/>
              <w:bottom w:val="single" w:sz="4" w:space="0" w:color="5B9BD4"/>
              <w:right w:val="nil" w:sz="6" w:space="0" w:color="auto"/>
            </w:tcBorders>
          </w:tcPr>
          <w:p>
            <w:pPr/>
          </w:p>
        </w:tc>
        <w:tc>
          <w:tcPr>
            <w:tcW w:w="1390"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4" w:hRule="exact"/>
        </w:trPr>
        <w:tc>
          <w:tcPr>
            <w:tcW w:w="144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257"/>
              <w:jc w:val="left"/>
              <w:rPr>
                <w:rFonts w:ascii="宋体" w:hAnsi="宋体" w:cs="宋体" w:eastAsia="宋体" w:hint="default"/>
                <w:sz w:val="18"/>
                <w:szCs w:val="18"/>
              </w:rPr>
            </w:pPr>
            <w:r>
              <w:rPr>
                <w:rFonts w:ascii="宋体" w:hAnsi="宋体" w:cs="宋体" w:eastAsia="宋体" w:hint="default"/>
                <w:sz w:val="18"/>
                <w:szCs w:val="18"/>
              </w:rPr>
              <w:t>壹号电子商务 有限公司</w:t>
            </w:r>
          </w:p>
        </w:tc>
        <w:tc>
          <w:tcPr>
            <w:tcW w:w="1495" w:type="dxa"/>
            <w:tcBorders>
              <w:top w:val="single" w:sz="4" w:space="0" w:color="5B9BD4"/>
              <w:left w:val="nil" w:sz="6" w:space="0" w:color="auto"/>
              <w:bottom w:val="single" w:sz="4" w:space="0" w:color="5B9BD4"/>
              <w:right w:val="nil" w:sz="6" w:space="0" w:color="auto"/>
            </w:tcBorders>
          </w:tcPr>
          <w:p>
            <w:pPr/>
          </w:p>
        </w:tc>
        <w:tc>
          <w:tcPr>
            <w:tcW w:w="156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4,000,000.00</w:t>
            </w:r>
            <w:r>
              <w:rPr>
                <w:rFonts w:ascii="Arial"/>
                <w:sz w:val="18"/>
              </w:rPr>
            </w:r>
          </w:p>
        </w:tc>
        <w:tc>
          <w:tcPr>
            <w:tcW w:w="708" w:type="dxa"/>
            <w:tcBorders>
              <w:top w:val="single" w:sz="4" w:space="0" w:color="5B9BD4"/>
              <w:left w:val="nil" w:sz="6" w:space="0" w:color="auto"/>
              <w:bottom w:val="single" w:sz="4" w:space="0" w:color="5B9BD4"/>
              <w:right w:val="nil" w:sz="6" w:space="0" w:color="auto"/>
            </w:tcBorders>
          </w:tcPr>
          <w:p>
            <w:pPr/>
          </w:p>
        </w:tc>
        <w:tc>
          <w:tcPr>
            <w:tcW w:w="15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4,000,000.00</w:t>
            </w:r>
            <w:r>
              <w:rPr>
                <w:rFonts w:ascii="Arial"/>
                <w:sz w:val="18"/>
              </w:rPr>
            </w:r>
          </w:p>
        </w:tc>
        <w:tc>
          <w:tcPr>
            <w:tcW w:w="1389" w:type="dxa"/>
            <w:tcBorders>
              <w:top w:val="single" w:sz="4" w:space="0" w:color="5B9BD4"/>
              <w:left w:val="nil" w:sz="6" w:space="0" w:color="auto"/>
              <w:bottom w:val="single" w:sz="4" w:space="0" w:color="5B9BD4"/>
              <w:right w:val="nil" w:sz="6" w:space="0" w:color="auto"/>
            </w:tcBorders>
          </w:tcPr>
          <w:p>
            <w:pPr/>
          </w:p>
        </w:tc>
        <w:tc>
          <w:tcPr>
            <w:tcW w:w="1390"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946" w:hRule="exact"/>
        </w:trPr>
        <w:tc>
          <w:tcPr>
            <w:tcW w:w="144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257"/>
              <w:jc w:val="both"/>
              <w:rPr>
                <w:rFonts w:ascii="宋体" w:hAnsi="宋体" w:cs="宋体" w:eastAsia="宋体" w:hint="default"/>
                <w:sz w:val="18"/>
                <w:szCs w:val="18"/>
              </w:rPr>
            </w:pPr>
            <w:r>
              <w:rPr>
                <w:rFonts w:ascii="宋体" w:hAnsi="宋体" w:cs="宋体" w:eastAsia="宋体" w:hint="default"/>
                <w:sz w:val="18"/>
                <w:szCs w:val="18"/>
              </w:rPr>
              <w:t>深圳市优友金 融服务有限公 司</w:t>
            </w:r>
          </w:p>
        </w:tc>
        <w:tc>
          <w:tcPr>
            <w:tcW w:w="1495" w:type="dxa"/>
            <w:tcBorders>
              <w:top w:val="single" w:sz="4" w:space="0" w:color="5B9BD4"/>
              <w:left w:val="nil" w:sz="6" w:space="0" w:color="auto"/>
              <w:bottom w:val="single" w:sz="4" w:space="0" w:color="5B9BD4"/>
              <w:right w:val="nil" w:sz="6" w:space="0" w:color="auto"/>
            </w:tcBorders>
          </w:tcPr>
          <w:p>
            <w:pPr/>
          </w:p>
        </w:tc>
        <w:tc>
          <w:tcPr>
            <w:tcW w:w="156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6"/>
              <w:jc w:val="right"/>
              <w:rPr>
                <w:rFonts w:ascii="Arial" w:hAnsi="Arial" w:cs="Arial" w:eastAsia="Arial" w:hint="default"/>
                <w:sz w:val="18"/>
                <w:szCs w:val="18"/>
              </w:rPr>
            </w:pPr>
            <w:r>
              <w:rPr>
                <w:rFonts w:ascii="Arial"/>
                <w:w w:val="95"/>
                <w:sz w:val="18"/>
              </w:rPr>
              <w:t>510,000.00</w:t>
            </w:r>
            <w:r>
              <w:rPr>
                <w:rFonts w:ascii="Arial"/>
                <w:sz w:val="18"/>
              </w:rPr>
            </w:r>
          </w:p>
        </w:tc>
        <w:tc>
          <w:tcPr>
            <w:tcW w:w="708" w:type="dxa"/>
            <w:tcBorders>
              <w:top w:val="single" w:sz="4" w:space="0" w:color="5B9BD4"/>
              <w:left w:val="nil" w:sz="6" w:space="0" w:color="auto"/>
              <w:bottom w:val="single" w:sz="4" w:space="0" w:color="5B9BD4"/>
              <w:right w:val="nil" w:sz="6" w:space="0" w:color="auto"/>
            </w:tcBorders>
          </w:tcPr>
          <w:p>
            <w:pPr/>
          </w:p>
        </w:tc>
        <w:tc>
          <w:tcPr>
            <w:tcW w:w="15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7"/>
              <w:jc w:val="right"/>
              <w:rPr>
                <w:rFonts w:ascii="Arial" w:hAnsi="Arial" w:cs="Arial" w:eastAsia="Arial" w:hint="default"/>
                <w:sz w:val="18"/>
                <w:szCs w:val="18"/>
              </w:rPr>
            </w:pPr>
            <w:r>
              <w:rPr>
                <w:rFonts w:ascii="Arial"/>
                <w:w w:val="95"/>
                <w:sz w:val="18"/>
              </w:rPr>
              <w:t>510,000.00</w:t>
            </w:r>
            <w:r>
              <w:rPr>
                <w:rFonts w:ascii="Arial"/>
                <w:sz w:val="18"/>
              </w:rPr>
            </w:r>
          </w:p>
        </w:tc>
        <w:tc>
          <w:tcPr>
            <w:tcW w:w="1389" w:type="dxa"/>
            <w:tcBorders>
              <w:top w:val="single" w:sz="4" w:space="0" w:color="5B9BD4"/>
              <w:left w:val="nil" w:sz="6" w:space="0" w:color="auto"/>
              <w:bottom w:val="single" w:sz="4" w:space="0" w:color="5B9BD4"/>
              <w:right w:val="nil" w:sz="6" w:space="0" w:color="auto"/>
            </w:tcBorders>
          </w:tcPr>
          <w:p>
            <w:pPr/>
          </w:p>
        </w:tc>
        <w:tc>
          <w:tcPr>
            <w:tcW w:w="1390"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3" w:hRule="exact"/>
        </w:trPr>
        <w:tc>
          <w:tcPr>
            <w:tcW w:w="144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95"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611,908,217.07</w:t>
            </w:r>
            <w:r>
              <w:rPr>
                <w:rFonts w:ascii="Arial"/>
                <w:sz w:val="18"/>
              </w:rPr>
            </w:r>
          </w:p>
        </w:tc>
        <w:tc>
          <w:tcPr>
            <w:tcW w:w="156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285,778,700.00</w:t>
            </w:r>
            <w:r>
              <w:rPr>
                <w:rFonts w:ascii="Arial"/>
                <w:sz w:val="18"/>
              </w:rPr>
            </w:r>
          </w:p>
        </w:tc>
        <w:tc>
          <w:tcPr>
            <w:tcW w:w="708" w:type="dxa"/>
            <w:tcBorders>
              <w:top w:val="single" w:sz="4" w:space="0" w:color="5B9BD4"/>
              <w:left w:val="nil" w:sz="6" w:space="0" w:color="auto"/>
              <w:bottom w:val="single" w:sz="4" w:space="0" w:color="5B9BD4"/>
              <w:right w:val="nil" w:sz="6" w:space="0" w:color="auto"/>
            </w:tcBorders>
          </w:tcPr>
          <w:p>
            <w:pPr/>
          </w:p>
        </w:tc>
        <w:tc>
          <w:tcPr>
            <w:tcW w:w="1578"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w w:val="95"/>
                <w:sz w:val="18"/>
              </w:rPr>
              <w:t>897,686,917.07</w:t>
            </w:r>
            <w:r>
              <w:rPr>
                <w:rFonts w:ascii="Arial"/>
                <w:sz w:val="18"/>
              </w:rPr>
            </w:r>
          </w:p>
        </w:tc>
        <w:tc>
          <w:tcPr>
            <w:tcW w:w="138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5,744,600.34</w:t>
            </w:r>
            <w:r>
              <w:rPr>
                <w:rFonts w:ascii="Arial"/>
                <w:sz w:val="18"/>
              </w:rPr>
            </w:r>
          </w:p>
        </w:tc>
        <w:tc>
          <w:tcPr>
            <w:tcW w:w="1390"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5,744,600.34</w:t>
            </w:r>
            <w:r>
              <w:rPr>
                <w:rFonts w:ascii="Arial"/>
                <w:sz w:val="18"/>
              </w:rPr>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4、营业收入和营业成本" w:id="438"/>
      <w:bookmarkEnd w:id="438"/>
      <w:r>
        <w:rPr>
          <w:b w:val="0"/>
          <w:bCs w:val="0"/>
        </w:rPr>
      </w:r>
      <w:r>
        <w:rPr>
          <w:rFonts w:ascii="Trebuchet MS" w:hAnsi="Trebuchet MS" w:cs="Trebuchet MS" w:eastAsia="Trebuchet MS" w:hint="default"/>
        </w:rPr>
        <w:t>4</w:t>
      </w:r>
      <w:r>
        <w:rPr/>
        <w:t>、营业收入和营业成本</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995"/>
        <w:gridCol w:w="1836"/>
        <w:gridCol w:w="1914"/>
        <w:gridCol w:w="1913"/>
        <w:gridCol w:w="1913"/>
      </w:tblGrid>
      <w:tr>
        <w:trPr>
          <w:trHeight w:val="322" w:hRule="exact"/>
        </w:trPr>
        <w:tc>
          <w:tcPr>
            <w:tcW w:w="1995" w:type="dxa"/>
            <w:vMerge w:val="restart"/>
            <w:tcBorders>
              <w:top w:val="single" w:sz="4" w:space="0" w:color="5B9BD4"/>
              <w:left w:val="nil" w:sz="6" w:space="0" w:color="auto"/>
              <w:right w:val="nil" w:sz="6" w:space="0" w:color="auto"/>
            </w:tcBorders>
            <w:shd w:val="clear" w:color="auto" w:fill="DEEAF6"/>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17" w:hRule="exact"/>
        </w:trPr>
        <w:tc>
          <w:tcPr>
            <w:tcW w:w="1995" w:type="dxa"/>
            <w:vMerge/>
            <w:tcBorders>
              <w:left w:val="nil" w:sz="6" w:space="0" w:color="auto"/>
              <w:bottom w:val="single" w:sz="4" w:space="0" w:color="5B9BD4"/>
              <w:right w:val="nil" w:sz="6" w:space="0" w:color="auto"/>
            </w:tcBorders>
            <w:shd w:val="clear" w:color="auto" w:fill="DEEAF6"/>
          </w:tcPr>
          <w:p>
            <w:pPr/>
          </w:p>
        </w:tc>
        <w:tc>
          <w:tcPr>
            <w:tcW w:w="183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28" w:hRule="exact"/>
        </w:trPr>
        <w:tc>
          <w:tcPr>
            <w:tcW w:w="19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6" w:type="dxa"/>
            <w:tcBorders>
              <w:top w:val="single" w:sz="4" w:space="0" w:color="5B9BD4"/>
              <w:left w:val="nil" w:sz="6" w:space="0" w:color="auto"/>
              <w:bottom w:val="single" w:sz="4" w:space="0" w:color="5B9BD4"/>
              <w:right w:val="nil" w:sz="6" w:space="0" w:color="auto"/>
            </w:tcBorders>
          </w:tcPr>
          <w:p>
            <w:pPr>
              <w:pStyle w:val="TableParagraph"/>
              <w:spacing w:line="240" w:lineRule="auto" w:before="53"/>
              <w:ind w:right="104"/>
              <w:jc w:val="right"/>
              <w:rPr>
                <w:rFonts w:ascii="Arial" w:hAnsi="Arial" w:cs="Arial" w:eastAsia="Arial" w:hint="default"/>
                <w:sz w:val="18"/>
                <w:szCs w:val="18"/>
              </w:rPr>
            </w:pPr>
            <w:r>
              <w:rPr>
                <w:rFonts w:ascii="Arial"/>
                <w:w w:val="95"/>
                <w:sz w:val="18"/>
              </w:rPr>
              <w:t>37,809,408,474.68</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3"/>
              <w:ind w:right="107"/>
              <w:jc w:val="right"/>
              <w:rPr>
                <w:rFonts w:ascii="Arial" w:hAnsi="Arial" w:cs="Arial" w:eastAsia="Arial" w:hint="default"/>
                <w:sz w:val="18"/>
                <w:szCs w:val="18"/>
              </w:rPr>
            </w:pPr>
            <w:r>
              <w:rPr>
                <w:rFonts w:ascii="Arial"/>
                <w:w w:val="95"/>
                <w:sz w:val="18"/>
              </w:rPr>
              <w:t>37,200,719,117.67</w:t>
            </w:r>
            <w:r>
              <w:rPr>
                <w:rFonts w:ascii="Arial"/>
                <w:sz w:val="18"/>
              </w:rPr>
            </w:r>
          </w:p>
        </w:tc>
        <w:tc>
          <w:tcPr>
            <w:tcW w:w="1913" w:type="dxa"/>
            <w:tcBorders>
              <w:top w:val="single" w:sz="4" w:space="0" w:color="5B9BD4"/>
              <w:left w:val="nil" w:sz="6" w:space="0" w:color="auto"/>
              <w:bottom w:val="single" w:sz="4" w:space="0" w:color="5B9BD4"/>
              <w:right w:val="nil" w:sz="6" w:space="0" w:color="auto"/>
            </w:tcBorders>
          </w:tcPr>
          <w:p>
            <w:pPr>
              <w:pStyle w:val="TableParagraph"/>
              <w:spacing w:line="240" w:lineRule="auto" w:before="53"/>
              <w:ind w:right="106"/>
              <w:jc w:val="right"/>
              <w:rPr>
                <w:rFonts w:ascii="Arial" w:hAnsi="Arial" w:cs="Arial" w:eastAsia="Arial" w:hint="default"/>
                <w:sz w:val="18"/>
                <w:szCs w:val="18"/>
              </w:rPr>
            </w:pPr>
            <w:r>
              <w:rPr>
                <w:rFonts w:ascii="Arial"/>
                <w:w w:val="95"/>
                <w:sz w:val="18"/>
              </w:rPr>
              <w:t>40,470,526,232.87</w:t>
            </w:r>
            <w:r>
              <w:rPr>
                <w:rFonts w:ascii="Arial"/>
                <w:sz w:val="18"/>
              </w:rPr>
            </w:r>
          </w:p>
        </w:tc>
        <w:tc>
          <w:tcPr>
            <w:tcW w:w="191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3"/>
              <w:ind w:right="106"/>
              <w:jc w:val="right"/>
              <w:rPr>
                <w:rFonts w:ascii="Arial" w:hAnsi="Arial" w:cs="Arial" w:eastAsia="Arial" w:hint="default"/>
                <w:sz w:val="18"/>
                <w:szCs w:val="18"/>
              </w:rPr>
            </w:pPr>
            <w:r>
              <w:rPr>
                <w:rFonts w:ascii="Arial"/>
                <w:w w:val="95"/>
                <w:sz w:val="18"/>
              </w:rPr>
              <w:t>39,612,327,983.10</w:t>
            </w:r>
            <w:r>
              <w:rPr>
                <w:rFonts w:ascii="Arial"/>
                <w:sz w:val="18"/>
              </w:rPr>
            </w:r>
          </w:p>
        </w:tc>
      </w:tr>
      <w:tr>
        <w:trPr>
          <w:trHeight w:val="322" w:hRule="exact"/>
        </w:trPr>
        <w:tc>
          <w:tcPr>
            <w:tcW w:w="19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28,331,502.90</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w w:val="95"/>
                <w:sz w:val="18"/>
              </w:rPr>
              <w:t>11,784,438.36</w:t>
            </w:r>
            <w:r>
              <w:rPr>
                <w:rFonts w:ascii="Arial"/>
                <w:sz w:val="18"/>
              </w:rPr>
            </w:r>
          </w:p>
        </w:tc>
        <w:tc>
          <w:tcPr>
            <w:tcW w:w="1913"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40,126,535.66</w:t>
            </w:r>
            <w:r>
              <w:rPr>
                <w:rFonts w:ascii="Arial"/>
                <w:sz w:val="18"/>
              </w:rPr>
            </w:r>
          </w:p>
        </w:tc>
        <w:tc>
          <w:tcPr>
            <w:tcW w:w="191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1,224,138.90</w:t>
            </w:r>
            <w:r>
              <w:rPr>
                <w:rFonts w:ascii="Arial"/>
                <w:sz w:val="18"/>
              </w:rPr>
            </w:r>
          </w:p>
        </w:tc>
      </w:tr>
      <w:tr>
        <w:trPr>
          <w:trHeight w:val="323" w:hRule="exact"/>
        </w:trPr>
        <w:tc>
          <w:tcPr>
            <w:tcW w:w="1995"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6"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37,837,739,977.58</w:t>
            </w:r>
            <w:r>
              <w:rPr>
                <w:rFonts w:ascii="Arial"/>
                <w:sz w:val="18"/>
              </w:rPr>
            </w:r>
          </w:p>
        </w:tc>
        <w:tc>
          <w:tcPr>
            <w:tcW w:w="191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w w:val="95"/>
                <w:sz w:val="18"/>
              </w:rPr>
              <w:t>37,212,503,556.03</w:t>
            </w:r>
            <w:r>
              <w:rPr>
                <w:rFonts w:ascii="Arial"/>
                <w:sz w:val="18"/>
              </w:rPr>
            </w:r>
          </w:p>
        </w:tc>
        <w:tc>
          <w:tcPr>
            <w:tcW w:w="1913"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40,510,652,768.53</w:t>
            </w:r>
            <w:r>
              <w:rPr>
                <w:rFonts w:ascii="Arial"/>
                <w:sz w:val="18"/>
              </w:rPr>
            </w:r>
          </w:p>
        </w:tc>
        <w:tc>
          <w:tcPr>
            <w:tcW w:w="191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6"/>
              <w:jc w:val="right"/>
              <w:rPr>
                <w:rFonts w:ascii="Arial" w:hAnsi="Arial" w:cs="Arial" w:eastAsia="Arial" w:hint="default"/>
                <w:sz w:val="18"/>
                <w:szCs w:val="18"/>
              </w:rPr>
            </w:pPr>
            <w:r>
              <w:rPr>
                <w:rFonts w:ascii="Arial"/>
                <w:w w:val="95"/>
                <w:sz w:val="18"/>
              </w:rPr>
              <w:t>39,613,552,122.00</w:t>
            </w:r>
            <w:r>
              <w:rPr>
                <w:rFonts w:ascii="Arial"/>
                <w:sz w:val="18"/>
              </w:rPr>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5、投资收益" w:id="439"/>
      <w:bookmarkEnd w:id="439"/>
      <w:r>
        <w:rPr>
          <w:b w:val="0"/>
          <w:bCs w:val="0"/>
        </w:rPr>
      </w:r>
      <w:r>
        <w:rPr>
          <w:rFonts w:ascii="Trebuchet MS" w:hAnsi="Trebuchet MS" w:cs="Trebuchet MS" w:eastAsia="Trebuchet MS" w:hint="default"/>
        </w:rPr>
        <w:t>5</w:t>
      </w:r>
      <w:r>
        <w:rPr/>
        <w:t>、投资收益</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324"/>
        <w:gridCol w:w="3059"/>
        <w:gridCol w:w="3186"/>
      </w:tblGrid>
      <w:tr>
        <w:trPr>
          <w:trHeight w:val="317" w:hRule="exact"/>
        </w:trPr>
        <w:tc>
          <w:tcPr>
            <w:tcW w:w="332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7" w:hRule="exact"/>
        </w:trPr>
        <w:tc>
          <w:tcPr>
            <w:tcW w:w="332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5B9BD4"/>
              <w:left w:val="nil" w:sz="6" w:space="0" w:color="auto"/>
              <w:bottom w:val="single" w:sz="4" w:space="0" w:color="5B9BD4"/>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w w:val="95"/>
                <w:sz w:val="18"/>
              </w:rPr>
              <w:t>157,000,000.00</w:t>
            </w:r>
            <w:r>
              <w:rPr>
                <w:rFonts w:ascii="Arial"/>
                <w:sz w:val="18"/>
              </w:rPr>
            </w:r>
          </w:p>
        </w:tc>
        <w:tc>
          <w:tcPr>
            <w:tcW w:w="318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2"/>
              <w:ind w:right="105"/>
              <w:jc w:val="right"/>
              <w:rPr>
                <w:rFonts w:ascii="Arial" w:hAnsi="Arial" w:cs="Arial" w:eastAsia="Arial" w:hint="default"/>
                <w:sz w:val="18"/>
                <w:szCs w:val="18"/>
              </w:rPr>
            </w:pPr>
            <w:r>
              <w:rPr>
                <w:rFonts w:ascii="Arial"/>
                <w:w w:val="95"/>
                <w:sz w:val="18"/>
              </w:rPr>
              <w:t>463,040,258.75</w:t>
            </w:r>
            <w:r>
              <w:rPr>
                <w:rFonts w:ascii="Arial"/>
                <w:sz w:val="18"/>
              </w:rPr>
            </w:r>
          </w:p>
        </w:tc>
      </w:tr>
      <w:tr>
        <w:trPr>
          <w:trHeight w:val="322" w:hRule="exact"/>
        </w:trPr>
        <w:tc>
          <w:tcPr>
            <w:tcW w:w="332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4,608,219.18</w:t>
            </w:r>
            <w:r>
              <w:rPr>
                <w:rFonts w:ascii="Arial"/>
                <w:sz w:val="18"/>
              </w:rPr>
            </w:r>
          </w:p>
        </w:tc>
        <w:tc>
          <w:tcPr>
            <w:tcW w:w="318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4"/>
              <w:jc w:val="right"/>
              <w:rPr>
                <w:rFonts w:ascii="Arial" w:hAnsi="Arial" w:cs="Arial" w:eastAsia="Arial" w:hint="default"/>
                <w:sz w:val="18"/>
                <w:szCs w:val="18"/>
              </w:rPr>
            </w:pPr>
            <w:r>
              <w:rPr>
                <w:rFonts w:ascii="Arial"/>
                <w:w w:val="95"/>
                <w:sz w:val="18"/>
              </w:rPr>
              <w:t>2,448,958.90</w:t>
            </w:r>
            <w:r>
              <w:rPr>
                <w:rFonts w:ascii="Arial"/>
                <w:sz w:val="18"/>
              </w:rPr>
            </w:r>
          </w:p>
        </w:tc>
      </w:tr>
      <w:tr>
        <w:trPr>
          <w:trHeight w:val="322" w:hRule="exact"/>
        </w:trPr>
        <w:tc>
          <w:tcPr>
            <w:tcW w:w="332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161,608,219.18</w:t>
            </w:r>
            <w:r>
              <w:rPr>
                <w:rFonts w:ascii="Arial"/>
                <w:sz w:val="18"/>
              </w:rPr>
            </w:r>
          </w:p>
        </w:tc>
        <w:tc>
          <w:tcPr>
            <w:tcW w:w="318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5"/>
              <w:jc w:val="right"/>
              <w:rPr>
                <w:rFonts w:ascii="Arial" w:hAnsi="Arial" w:cs="Arial" w:eastAsia="Arial" w:hint="default"/>
                <w:sz w:val="18"/>
                <w:szCs w:val="18"/>
              </w:rPr>
            </w:pPr>
            <w:r>
              <w:rPr>
                <w:rFonts w:ascii="Arial"/>
                <w:w w:val="95"/>
                <w:sz w:val="18"/>
              </w:rPr>
              <w:t>465,489,217.65</w:t>
            </w:r>
            <w:r>
              <w:rPr>
                <w:rFonts w:ascii="Arial"/>
                <w:sz w:val="18"/>
              </w:rPr>
            </w:r>
          </w:p>
        </w:tc>
      </w:tr>
    </w:tbl>
    <w:p>
      <w:pPr>
        <w:spacing w:after="0" w:line="240" w:lineRule="auto"/>
        <w:jc w:val="right"/>
        <w:rPr>
          <w:rFonts w:ascii="Arial" w:hAnsi="Arial" w:cs="Arial" w:eastAsia="Arial" w:hint="default"/>
          <w:sz w:val="18"/>
          <w:szCs w:val="18"/>
        </w:rPr>
        <w:sectPr>
          <w:pgSz w:w="11910" w:h="16840"/>
          <w:pgMar w:header="877" w:footer="979" w:top="1100" w:bottom="1160" w:left="920" w:right="0"/>
        </w:sectPr>
      </w:pPr>
    </w:p>
    <w:p>
      <w:pPr>
        <w:spacing w:line="240" w:lineRule="auto" w:before="9"/>
        <w:rPr>
          <w:rFonts w:ascii="宋体" w:hAnsi="宋体" w:cs="宋体" w:eastAsia="宋体" w:hint="default"/>
          <w:sz w:val="19"/>
          <w:szCs w:val="19"/>
        </w:rPr>
      </w:pPr>
    </w:p>
    <w:p>
      <w:pPr>
        <w:pStyle w:val="Heading2"/>
        <w:spacing w:line="240" w:lineRule="auto" w:before="26"/>
        <w:ind w:left="213" w:right="1513"/>
        <w:jc w:val="left"/>
        <w:rPr>
          <w:rFonts w:ascii="宋体" w:hAnsi="宋体" w:cs="宋体" w:eastAsia="宋体" w:hint="default"/>
          <w:b w:val="0"/>
          <w:bCs w:val="0"/>
        </w:rPr>
      </w:pPr>
      <w:bookmarkStart w:name="十七、补充资料" w:id="440"/>
      <w:bookmarkEnd w:id="440"/>
      <w:r>
        <w:rPr>
          <w:b w:val="0"/>
          <w:bCs w:val="0"/>
        </w:rPr>
      </w:r>
      <w:bookmarkStart w:name="_bookmark90" w:id="441"/>
      <w:bookmarkEnd w:id="441"/>
      <w:r>
        <w:rPr>
          <w:b w:val="0"/>
          <w:bCs w:val="0"/>
        </w:rPr>
      </w:r>
      <w:r>
        <w:rPr>
          <w:rFonts w:ascii="宋体" w:hAnsi="宋体" w:cs="宋体" w:eastAsia="宋体" w:hint="default"/>
        </w:rPr>
        <w:t>十七、补充资料</w:t>
      </w:r>
      <w:r>
        <w:rPr>
          <w:rFonts w:ascii="宋体" w:hAnsi="宋体" w:cs="宋体" w:eastAsia="宋体" w:hint="default"/>
          <w:b w:val="0"/>
          <w:bCs w:val="0"/>
        </w:rPr>
      </w:r>
    </w:p>
    <w:p>
      <w:pPr>
        <w:spacing w:line="240" w:lineRule="auto" w:before="3"/>
        <w:rPr>
          <w:rFonts w:ascii="宋体" w:hAnsi="宋体" w:cs="宋体" w:eastAsia="宋体" w:hint="default"/>
          <w:b/>
          <w:bCs/>
          <w:sz w:val="24"/>
          <w:szCs w:val="24"/>
        </w:rPr>
      </w:pPr>
    </w:p>
    <w:p>
      <w:pPr>
        <w:pStyle w:val="Heading5"/>
        <w:spacing w:line="240" w:lineRule="auto" w:before="0"/>
        <w:ind w:right="1513"/>
        <w:jc w:val="left"/>
        <w:rPr>
          <w:b w:val="0"/>
          <w:bCs w:val="0"/>
        </w:rPr>
      </w:pPr>
      <w:bookmarkStart w:name="1、当期非经常性损益明细表" w:id="442"/>
      <w:bookmarkEnd w:id="442"/>
      <w:r>
        <w:rPr>
          <w:b w:val="0"/>
          <w:bCs w:val="0"/>
        </w:rPr>
      </w:r>
      <w:r>
        <w:rPr>
          <w:rFonts w:ascii="Trebuchet MS" w:hAnsi="Trebuchet MS" w:cs="Trebuchet MS" w:eastAsia="Trebuchet MS" w:hint="default"/>
        </w:rPr>
        <w:t>1</w:t>
      </w:r>
      <w:r>
        <w:rPr/>
        <w:t>、当期非经常性损益明细表</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18"/>
        <w:ind w:left="0" w:right="1129"/>
        <w:jc w:val="right"/>
      </w:pPr>
      <w:r>
        <w:rPr/>
        <w:t>单位： 元</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324"/>
        <w:gridCol w:w="3059"/>
        <w:gridCol w:w="3186"/>
      </w:tblGrid>
      <w:tr>
        <w:trPr>
          <w:trHeight w:val="322" w:hRule="exact"/>
        </w:trPr>
        <w:tc>
          <w:tcPr>
            <w:tcW w:w="332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22" w:hRule="exact"/>
        </w:trPr>
        <w:tc>
          <w:tcPr>
            <w:tcW w:w="332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6,896,174.62</w:t>
            </w:r>
            <w:r>
              <w:rPr>
                <w:rFonts w:ascii="Arial"/>
                <w:sz w:val="18"/>
              </w:rPr>
            </w:r>
          </w:p>
        </w:tc>
        <w:tc>
          <w:tcPr>
            <w:tcW w:w="3186"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946" w:hRule="exact"/>
        </w:trPr>
        <w:tc>
          <w:tcPr>
            <w:tcW w:w="332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54"/>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3059"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4"/>
              <w:jc w:val="right"/>
              <w:rPr>
                <w:rFonts w:ascii="Arial" w:hAnsi="Arial" w:cs="Arial" w:eastAsia="Arial" w:hint="default"/>
                <w:sz w:val="18"/>
                <w:szCs w:val="18"/>
              </w:rPr>
            </w:pPr>
            <w:r>
              <w:rPr>
                <w:rFonts w:ascii="Arial"/>
                <w:w w:val="95"/>
                <w:sz w:val="18"/>
              </w:rPr>
              <w:t>8,894,717.77</w:t>
            </w:r>
            <w:r>
              <w:rPr>
                <w:rFonts w:ascii="Arial"/>
                <w:sz w:val="18"/>
              </w:rPr>
            </w:r>
          </w:p>
        </w:tc>
        <w:tc>
          <w:tcPr>
            <w:tcW w:w="3186"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32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5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4"/>
              <w:jc w:val="right"/>
              <w:rPr>
                <w:rFonts w:ascii="Arial" w:hAnsi="Arial" w:cs="Arial" w:eastAsia="Arial" w:hint="default"/>
                <w:sz w:val="18"/>
                <w:szCs w:val="18"/>
              </w:rPr>
            </w:pPr>
            <w:r>
              <w:rPr>
                <w:rFonts w:ascii="Arial"/>
                <w:w w:val="95"/>
                <w:sz w:val="18"/>
              </w:rPr>
              <w:t>4,962,601.67</w:t>
            </w:r>
            <w:r>
              <w:rPr>
                <w:rFonts w:ascii="Arial"/>
                <w:sz w:val="18"/>
              </w:rPr>
            </w:r>
          </w:p>
        </w:tc>
        <w:tc>
          <w:tcPr>
            <w:tcW w:w="3186"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1882" w:hRule="exact"/>
        </w:trPr>
        <w:tc>
          <w:tcPr>
            <w:tcW w:w="332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6"/>
              <w:ind w:left="108" w:right="154"/>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 保值业务外，持有交易性金融资产、交 易性金融负债产生的公允价值变动损 益，以及处置交易性金融资产、交易性 金融负债和可供出售金融资产取得的投 资收益</w:t>
            </w:r>
          </w:p>
        </w:tc>
        <w:tc>
          <w:tcPr>
            <w:tcW w:w="3059" w:type="dxa"/>
            <w:tcBorders>
              <w:top w:val="single" w:sz="4" w:space="0" w:color="5B9BD4"/>
              <w:left w:val="nil" w:sz="6" w:space="0" w:color="auto"/>
              <w:bottom w:val="single" w:sz="4" w:space="0" w:color="5B9BD4"/>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5"/>
              <w:jc w:val="right"/>
              <w:rPr>
                <w:rFonts w:ascii="Arial" w:hAnsi="Arial" w:cs="Arial" w:eastAsia="Arial" w:hint="default"/>
                <w:sz w:val="18"/>
                <w:szCs w:val="18"/>
              </w:rPr>
            </w:pPr>
            <w:r>
              <w:rPr>
                <w:rFonts w:ascii="Arial"/>
                <w:w w:val="95"/>
                <w:sz w:val="18"/>
              </w:rPr>
              <w:t>31,067,901.18</w:t>
            </w:r>
            <w:r>
              <w:rPr>
                <w:rFonts w:ascii="Arial"/>
                <w:sz w:val="18"/>
              </w:rPr>
            </w:r>
          </w:p>
        </w:tc>
        <w:tc>
          <w:tcPr>
            <w:tcW w:w="3186"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634" w:hRule="exact"/>
        </w:trPr>
        <w:tc>
          <w:tcPr>
            <w:tcW w:w="332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154"/>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3059"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23,605,879.14</w:t>
            </w:r>
            <w:r>
              <w:rPr>
                <w:rFonts w:ascii="Arial"/>
                <w:sz w:val="18"/>
              </w:rPr>
            </w:r>
          </w:p>
        </w:tc>
        <w:tc>
          <w:tcPr>
            <w:tcW w:w="3186"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32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59" w:type="dxa"/>
            <w:tcBorders>
              <w:top w:val="single" w:sz="4" w:space="0" w:color="5B9BD4"/>
              <w:left w:val="nil" w:sz="6" w:space="0" w:color="auto"/>
              <w:bottom w:val="single" w:sz="4" w:space="0" w:color="5B9BD4"/>
              <w:right w:val="nil" w:sz="6" w:space="0" w:color="auto"/>
            </w:tcBorders>
          </w:tcPr>
          <w:p>
            <w:pPr/>
          </w:p>
        </w:tc>
        <w:tc>
          <w:tcPr>
            <w:tcW w:w="3186"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32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11,284,995.43</w:t>
            </w:r>
            <w:r>
              <w:rPr>
                <w:rFonts w:ascii="Arial"/>
                <w:sz w:val="18"/>
              </w:rPr>
            </w:r>
          </w:p>
        </w:tc>
        <w:tc>
          <w:tcPr>
            <w:tcW w:w="3186"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2" w:hRule="exact"/>
        </w:trPr>
        <w:tc>
          <w:tcPr>
            <w:tcW w:w="332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6"/>
              <w:ind w:left="468"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5"/>
                <w:sz w:val="18"/>
              </w:rPr>
              <w:t>252,947.21</w:t>
            </w:r>
            <w:r>
              <w:rPr>
                <w:rFonts w:ascii="Arial"/>
                <w:sz w:val="18"/>
              </w:rPr>
            </w:r>
          </w:p>
        </w:tc>
        <w:tc>
          <w:tcPr>
            <w:tcW w:w="3186" w:type="dxa"/>
            <w:tcBorders>
              <w:top w:val="single" w:sz="4" w:space="0" w:color="5B9BD4"/>
              <w:left w:val="nil" w:sz="6" w:space="0" w:color="auto"/>
              <w:bottom w:val="single" w:sz="4" w:space="0" w:color="5B9BD4"/>
              <w:right w:val="nil" w:sz="6" w:space="0" w:color="auto"/>
            </w:tcBorders>
            <w:shd w:val="clear" w:color="auto" w:fill="DEEAF6"/>
          </w:tcPr>
          <w:p>
            <w:pPr/>
          </w:p>
        </w:tc>
      </w:tr>
      <w:tr>
        <w:trPr>
          <w:trHeight w:val="323" w:hRule="exact"/>
        </w:trPr>
        <w:tc>
          <w:tcPr>
            <w:tcW w:w="3324"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5B9BD4"/>
              <w:left w:val="nil" w:sz="6" w:space="0" w:color="auto"/>
              <w:bottom w:val="single" w:sz="4" w:space="0" w:color="5B9BD4"/>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w w:val="95"/>
                <w:sz w:val="18"/>
              </w:rPr>
              <w:t>63,889,331.74</w:t>
            </w:r>
            <w:r>
              <w:rPr>
                <w:rFonts w:ascii="Arial"/>
                <w:sz w:val="18"/>
              </w:rPr>
            </w:r>
          </w:p>
        </w:tc>
        <w:tc>
          <w:tcPr>
            <w:tcW w:w="3186"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47"/>
              <w:ind w:right="107"/>
              <w:jc w:val="right"/>
              <w:rPr>
                <w:rFonts w:ascii="Arial" w:hAnsi="Arial" w:cs="Arial" w:eastAsia="Arial" w:hint="default"/>
                <w:sz w:val="18"/>
                <w:szCs w:val="18"/>
              </w:rPr>
            </w:pPr>
            <w:r>
              <w:rPr>
                <w:rFonts w:ascii="Arial"/>
                <w:w w:val="95"/>
                <w:sz w:val="18"/>
              </w:rPr>
              <w:t>--</w:t>
            </w:r>
            <w:r>
              <w:rPr>
                <w:rFonts w:ascii="Arial"/>
                <w:sz w:val="18"/>
              </w:rPr>
            </w:r>
          </w:p>
        </w:tc>
      </w:tr>
    </w:tbl>
    <w:p>
      <w:pPr>
        <w:spacing w:line="240" w:lineRule="auto" w:before="11"/>
        <w:rPr>
          <w:rFonts w:ascii="宋体" w:hAnsi="宋体" w:cs="宋体" w:eastAsia="宋体" w:hint="default"/>
          <w:sz w:val="7"/>
          <w:szCs w:val="7"/>
        </w:rPr>
      </w:pPr>
    </w:p>
    <w:p>
      <w:pPr>
        <w:pStyle w:val="Heading5"/>
        <w:spacing w:line="240" w:lineRule="auto"/>
        <w:ind w:right="1513"/>
        <w:jc w:val="left"/>
        <w:rPr>
          <w:b w:val="0"/>
          <w:bCs w:val="0"/>
        </w:rPr>
      </w:pPr>
      <w:bookmarkStart w:name="2、净资产收益率及每股收益" w:id="443"/>
      <w:bookmarkEnd w:id="443"/>
      <w:r>
        <w:rPr>
          <w:b w:val="0"/>
          <w:bCs w:val="0"/>
        </w:rPr>
      </w:r>
      <w:r>
        <w:rPr>
          <w:rFonts w:ascii="Trebuchet MS" w:hAnsi="Trebuchet MS" w:cs="Trebuchet MS" w:eastAsia="Trebuchet MS" w:hint="default"/>
        </w:rPr>
        <w:t>2</w:t>
      </w:r>
      <w:r>
        <w:rPr/>
        <w:t>、净资产收益率及每股收益</w:t>
      </w:r>
      <w:r>
        <w:rPr>
          <w:b w:val="0"/>
          <w:bCs w:val="0"/>
        </w:rPr>
      </w:r>
    </w:p>
    <w:p>
      <w:pPr>
        <w:spacing w:line="240" w:lineRule="auto" w:before="13"/>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2662"/>
        <w:gridCol w:w="3081"/>
        <w:gridCol w:w="1913"/>
        <w:gridCol w:w="1913"/>
      </w:tblGrid>
      <w:tr>
        <w:trPr>
          <w:trHeight w:val="322" w:hRule="exact"/>
        </w:trPr>
        <w:tc>
          <w:tcPr>
            <w:tcW w:w="2662" w:type="dxa"/>
            <w:tcBorders>
              <w:top w:val="single" w:sz="4" w:space="0" w:color="5B9BD4"/>
              <w:left w:val="nil" w:sz="6" w:space="0" w:color="auto"/>
              <w:bottom w:val="nil" w:sz="6" w:space="0" w:color="auto"/>
              <w:right w:val="nil" w:sz="6" w:space="0" w:color="auto"/>
            </w:tcBorders>
            <w:shd w:val="clear" w:color="auto" w:fill="DEEAF6"/>
          </w:tcPr>
          <w:p>
            <w:pPr/>
          </w:p>
        </w:tc>
        <w:tc>
          <w:tcPr>
            <w:tcW w:w="3081" w:type="dxa"/>
            <w:tcBorders>
              <w:top w:val="single" w:sz="4" w:space="0" w:color="5B9BD4"/>
              <w:left w:val="nil" w:sz="6" w:space="0" w:color="auto"/>
              <w:bottom w:val="nil" w:sz="6" w:space="0" w:color="auto"/>
              <w:right w:val="nil" w:sz="6" w:space="0" w:color="auto"/>
            </w:tcBorders>
            <w:shd w:val="clear" w:color="auto" w:fill="DEEAF6"/>
          </w:tcPr>
          <w:p>
            <w:pPr/>
          </w:p>
        </w:tc>
        <w:tc>
          <w:tcPr>
            <w:tcW w:w="3826" w:type="dxa"/>
            <w:gridSpan w:val="2"/>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630" w:hRule="exact"/>
        </w:trPr>
        <w:tc>
          <w:tcPr>
            <w:tcW w:w="2662"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240" w:lineRule="auto" w:before="5"/>
              <w:ind w:left="881"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tcBorders>
              <w:top w:val="nil" w:sz="6" w:space="0" w:color="auto"/>
              <w:left w:val="nil" w:sz="6" w:space="0" w:color="auto"/>
              <w:bottom w:val="single" w:sz="4" w:space="0" w:color="5B9BD4"/>
              <w:right w:val="nil" w:sz="6" w:space="0" w:color="auto"/>
            </w:tcBorders>
            <w:shd w:val="clear" w:color="auto" w:fill="DEEAF6"/>
          </w:tcPr>
          <w:p>
            <w:pPr>
              <w:pStyle w:val="TableParagraph"/>
              <w:spacing w:line="240" w:lineRule="auto" w:before="5"/>
              <w:ind w:left="639"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91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2" w:lineRule="auto" w:before="7"/>
              <w:ind w:left="776" w:right="195" w:hanging="58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Arial" w:hAnsi="Arial" w:cs="Arial" w:eastAsia="Arial" w:hint="default"/>
                <w:sz w:val="18"/>
                <w:szCs w:val="18"/>
              </w:rPr>
              <w:t>/</w:t>
            </w:r>
            <w:r>
              <w:rPr>
                <w:rFonts w:ascii="Arial" w:hAnsi="Arial" w:cs="Arial" w:eastAsia="Arial" w:hint="default"/>
                <w:spacing w:val="-22"/>
                <w:sz w:val="18"/>
                <w:szCs w:val="18"/>
              </w:rPr>
              <w:t> </w:t>
            </w:r>
            <w:r>
              <w:rPr>
                <w:rFonts w:ascii="宋体" w:hAnsi="宋体" w:cs="宋体" w:eastAsia="宋体" w:hint="default"/>
                <w:w w:val="105"/>
                <w:sz w:val="18"/>
                <w:szCs w:val="18"/>
              </w:rPr>
              <w:t>股）</w:t>
            </w:r>
          </w:p>
        </w:tc>
        <w:tc>
          <w:tcPr>
            <w:tcW w:w="191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02" w:lineRule="auto" w:before="7"/>
              <w:ind w:left="776" w:right="195" w:hanging="58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Arial" w:hAnsi="Arial" w:cs="Arial" w:eastAsia="Arial" w:hint="default"/>
                <w:sz w:val="18"/>
                <w:szCs w:val="18"/>
              </w:rPr>
              <w:t>/</w:t>
            </w:r>
            <w:r>
              <w:rPr>
                <w:rFonts w:ascii="Arial" w:hAnsi="Arial" w:cs="Arial" w:eastAsia="Arial" w:hint="default"/>
                <w:spacing w:val="-22"/>
                <w:sz w:val="18"/>
                <w:szCs w:val="18"/>
              </w:rPr>
              <w:t> </w:t>
            </w:r>
            <w:r>
              <w:rPr>
                <w:rFonts w:ascii="宋体" w:hAnsi="宋体" w:cs="宋体" w:eastAsia="宋体" w:hint="default"/>
                <w:w w:val="105"/>
                <w:sz w:val="18"/>
                <w:szCs w:val="18"/>
              </w:rPr>
              <w:t>股）</w:t>
            </w:r>
          </w:p>
        </w:tc>
      </w:tr>
      <w:tr>
        <w:trPr>
          <w:trHeight w:val="638" w:hRule="exact"/>
        </w:trPr>
        <w:tc>
          <w:tcPr>
            <w:tcW w:w="266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10"/>
              <w:ind w:left="108" w:right="213"/>
              <w:jc w:val="left"/>
              <w:rPr>
                <w:rFonts w:ascii="宋体" w:hAnsi="宋体" w:cs="宋体" w:eastAsia="宋体" w:hint="default"/>
                <w:sz w:val="18"/>
                <w:szCs w:val="18"/>
              </w:rPr>
            </w:pPr>
            <w:r>
              <w:rPr>
                <w:rFonts w:ascii="宋体" w:hAnsi="宋体" w:cs="宋体" w:eastAsia="宋体" w:hint="default"/>
                <w:sz w:val="18"/>
                <w:szCs w:val="18"/>
              </w:rPr>
              <w:t>归属于公司普通股股东的净利 润</w:t>
            </w:r>
          </w:p>
        </w:tc>
        <w:tc>
          <w:tcPr>
            <w:tcW w:w="3081" w:type="dxa"/>
            <w:tcBorders>
              <w:top w:val="single" w:sz="4" w:space="0" w:color="5B9BD4"/>
              <w:left w:val="nil" w:sz="6" w:space="0" w:color="auto"/>
              <w:bottom w:val="single" w:sz="4" w:space="0" w:color="5B9BD4"/>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3.21%</w:t>
            </w:r>
            <w:r>
              <w:rPr>
                <w:rFonts w:ascii="Arial"/>
                <w:sz w:val="18"/>
              </w:rPr>
            </w:r>
          </w:p>
        </w:tc>
        <w:tc>
          <w:tcPr>
            <w:tcW w:w="191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7"/>
              <w:jc w:val="right"/>
              <w:rPr>
                <w:rFonts w:ascii="Arial" w:hAnsi="Arial" w:cs="Arial" w:eastAsia="Arial" w:hint="default"/>
                <w:sz w:val="18"/>
                <w:szCs w:val="18"/>
              </w:rPr>
            </w:pPr>
            <w:r>
              <w:rPr>
                <w:rFonts w:ascii="Arial"/>
                <w:spacing w:val="-1"/>
                <w:sz w:val="18"/>
              </w:rPr>
              <w:t>0.141</w:t>
            </w:r>
            <w:r>
              <w:rPr>
                <w:rFonts w:ascii="Arial"/>
                <w:sz w:val="18"/>
              </w:rPr>
            </w:r>
          </w:p>
        </w:tc>
        <w:tc>
          <w:tcPr>
            <w:tcW w:w="1913" w:type="dxa"/>
            <w:tcBorders>
              <w:top w:val="single" w:sz="4" w:space="0" w:color="5B9BD4"/>
              <w:left w:val="nil" w:sz="6" w:space="0" w:color="auto"/>
              <w:bottom w:val="single" w:sz="4" w:space="0" w:color="5B9BD4"/>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7"/>
              <w:jc w:val="right"/>
              <w:rPr>
                <w:rFonts w:ascii="Arial" w:hAnsi="Arial" w:cs="Arial" w:eastAsia="Arial" w:hint="default"/>
                <w:sz w:val="18"/>
                <w:szCs w:val="18"/>
              </w:rPr>
            </w:pPr>
            <w:r>
              <w:rPr>
                <w:rFonts w:ascii="Arial"/>
                <w:spacing w:val="-1"/>
                <w:sz w:val="18"/>
              </w:rPr>
              <w:t>0.141</w:t>
            </w:r>
            <w:r>
              <w:rPr>
                <w:rFonts w:ascii="Arial"/>
                <w:sz w:val="18"/>
              </w:rPr>
            </w:r>
          </w:p>
        </w:tc>
      </w:tr>
      <w:tr>
        <w:trPr>
          <w:trHeight w:val="635" w:hRule="exact"/>
        </w:trPr>
        <w:tc>
          <w:tcPr>
            <w:tcW w:w="2662"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316" w:lineRule="auto" w:before="5"/>
              <w:ind w:left="108" w:right="213"/>
              <w:jc w:val="left"/>
              <w:rPr>
                <w:rFonts w:ascii="宋体" w:hAnsi="宋体" w:cs="宋体" w:eastAsia="宋体" w:hint="default"/>
                <w:sz w:val="18"/>
                <w:szCs w:val="18"/>
              </w:rPr>
            </w:pPr>
            <w:r>
              <w:rPr>
                <w:rFonts w:ascii="宋体" w:hAnsi="宋体" w:cs="宋体" w:eastAsia="宋体" w:hint="default"/>
                <w:sz w:val="18"/>
                <w:szCs w:val="18"/>
              </w:rPr>
              <w:t>扣除非经常性损益后归属于公 司普通股股东的净利润</w:t>
            </w:r>
          </w:p>
        </w:tc>
        <w:tc>
          <w:tcPr>
            <w:tcW w:w="3081"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5"/>
              <w:jc w:val="right"/>
              <w:rPr>
                <w:rFonts w:ascii="Arial" w:hAnsi="Arial" w:cs="Arial" w:eastAsia="Arial" w:hint="default"/>
                <w:sz w:val="18"/>
                <w:szCs w:val="18"/>
              </w:rPr>
            </w:pPr>
            <w:r>
              <w:rPr>
                <w:rFonts w:ascii="Arial"/>
                <w:w w:val="95"/>
                <w:sz w:val="18"/>
              </w:rPr>
              <w:t>1.75%</w:t>
            </w:r>
            <w:r>
              <w:rPr>
                <w:rFonts w:ascii="Arial"/>
                <w:sz w:val="18"/>
              </w:rPr>
            </w:r>
          </w:p>
        </w:tc>
        <w:tc>
          <w:tcPr>
            <w:tcW w:w="1913" w:type="dxa"/>
            <w:tcBorders>
              <w:top w:val="single" w:sz="4" w:space="0" w:color="5B9BD4"/>
              <w:left w:val="nil" w:sz="6" w:space="0" w:color="auto"/>
              <w:bottom w:val="single" w:sz="4" w:space="0" w:color="5B9BD4"/>
              <w:right w:val="nil" w:sz="6" w:space="0" w:color="auto"/>
            </w:tcBorders>
            <w:shd w:val="clear" w:color="auto" w:fill="DEEAF6"/>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0.079</w:t>
            </w:r>
            <w:r>
              <w:rPr>
                <w:rFonts w:ascii="Arial"/>
                <w:sz w:val="18"/>
              </w:rPr>
            </w:r>
          </w:p>
        </w:tc>
        <w:tc>
          <w:tcPr>
            <w:tcW w:w="1913" w:type="dxa"/>
            <w:tcBorders>
              <w:top w:val="single" w:sz="4" w:space="0" w:color="5B9BD4"/>
              <w:left w:val="nil" w:sz="6" w:space="0" w:color="auto"/>
              <w:bottom w:val="single" w:sz="4" w:space="0" w:color="5B9BD4"/>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6"/>
              <w:jc w:val="right"/>
              <w:rPr>
                <w:rFonts w:ascii="Arial" w:hAnsi="Arial" w:cs="Arial" w:eastAsia="Arial" w:hint="default"/>
                <w:sz w:val="18"/>
                <w:szCs w:val="18"/>
              </w:rPr>
            </w:pPr>
            <w:r>
              <w:rPr>
                <w:rFonts w:ascii="Arial"/>
                <w:w w:val="95"/>
                <w:sz w:val="18"/>
              </w:rPr>
              <w:t>0.079</w:t>
            </w:r>
            <w:r>
              <w:rPr>
                <w:rFonts w:ascii="Arial"/>
                <w:sz w:val="18"/>
              </w:rPr>
            </w:r>
          </w:p>
        </w:tc>
      </w:tr>
    </w:tbl>
    <w:p>
      <w:pPr>
        <w:spacing w:line="240" w:lineRule="auto" w:before="11"/>
        <w:rPr>
          <w:rFonts w:ascii="宋体" w:hAnsi="宋体" w:cs="宋体" w:eastAsia="宋体" w:hint="default"/>
          <w:b/>
          <w:bCs/>
          <w:sz w:val="7"/>
          <w:szCs w:val="7"/>
        </w:rPr>
      </w:pPr>
    </w:p>
    <w:p>
      <w:pPr>
        <w:spacing w:before="35"/>
        <w:ind w:left="636" w:right="1513" w:firstLine="0"/>
        <w:jc w:val="left"/>
        <w:rPr>
          <w:rFonts w:ascii="宋体" w:hAnsi="宋体" w:cs="宋体" w:eastAsia="宋体" w:hint="default"/>
          <w:sz w:val="21"/>
          <w:szCs w:val="21"/>
        </w:rPr>
      </w:pPr>
      <w:bookmarkStart w:name="3、境内外会计准则下会计数据差异" w:id="444"/>
      <w:bookmarkEnd w:id="444"/>
      <w:r>
        <w:rPr/>
      </w:r>
      <w:r>
        <w:rPr>
          <w:rFonts w:ascii="Trebuchet MS" w:hAnsi="Trebuchet MS" w:cs="Trebuchet MS" w:eastAsia="Trebuchet MS" w:hint="default"/>
          <w:b/>
          <w:bCs/>
          <w:sz w:val="21"/>
          <w:szCs w:val="21"/>
        </w:rPr>
        <w:t>3</w:t>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636" w:right="1513" w:firstLine="0"/>
        <w:jc w:val="left"/>
        <w:rPr>
          <w:rFonts w:ascii="宋体" w:hAnsi="宋体" w:cs="宋体" w:eastAsia="宋体" w:hint="default"/>
          <w:sz w:val="21"/>
          <w:szCs w:val="21"/>
        </w:rPr>
      </w:pPr>
      <w:bookmarkStart w:name="（1）同时按照国际会计准则与按中国会计准则披露的财务报告中净利润和净资产差异情况" w:id="445"/>
      <w:bookmarkEnd w:id="445"/>
      <w:r>
        <w:rPr/>
      </w:r>
      <w:r>
        <w:rPr>
          <w:rFonts w:ascii="宋体" w:hAnsi="宋体" w:cs="宋体" w:eastAsia="宋体" w:hint="default"/>
          <w:b/>
          <w:bCs/>
          <w:sz w:val="21"/>
          <w:szCs w:val="21"/>
        </w:rPr>
        <w:t>（</w:t>
      </w:r>
      <w:r>
        <w:rPr>
          <w:rFonts w:ascii="Trebuchet MS" w:hAnsi="Trebuchet MS" w:cs="Trebuchet MS" w:eastAsia="Trebuchet MS" w:hint="default"/>
          <w:b/>
          <w:bCs/>
          <w:sz w:val="21"/>
          <w:szCs w:val="21"/>
        </w:rPr>
        <w:t>1</w:t>
      </w:r>
      <w:r>
        <w:rPr>
          <w:rFonts w:ascii="宋体" w:hAnsi="宋体" w:cs="宋体" w:eastAsia="宋体" w:hint="default"/>
          <w:b/>
          <w:bCs/>
          <w:sz w:val="21"/>
          <w:szCs w:val="21"/>
        </w:rPr>
        <w:t>）同时按照国际会计准则与按中国会计准则披露的财务报告中净利润和净资产差异情况</w:t>
      </w:r>
      <w:r>
        <w:rPr>
          <w:rFonts w:ascii="宋体" w:hAnsi="宋体" w:cs="宋体" w:eastAsia="宋体" w:hint="default"/>
          <w:sz w:val="21"/>
          <w:szCs w:val="21"/>
        </w:rPr>
      </w:r>
    </w:p>
    <w:p>
      <w:pPr>
        <w:spacing w:line="240" w:lineRule="auto" w:before="5"/>
        <w:rPr>
          <w:rFonts w:ascii="宋体" w:hAnsi="宋体" w:cs="宋体" w:eastAsia="宋体" w:hint="default"/>
          <w:b/>
          <w:bCs/>
          <w:sz w:val="32"/>
          <w:szCs w:val="32"/>
        </w:rPr>
      </w:pPr>
    </w:p>
    <w:p>
      <w:pPr>
        <w:spacing w:before="0"/>
        <w:ind w:left="573" w:right="151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2"/>
        <w:rPr>
          <w:rFonts w:ascii="宋体" w:hAnsi="宋体" w:cs="宋体" w:eastAsia="宋体" w:hint="default"/>
          <w:sz w:val="21"/>
          <w:szCs w:val="21"/>
        </w:rPr>
      </w:pPr>
    </w:p>
    <w:p>
      <w:pPr>
        <w:pStyle w:val="Heading5"/>
        <w:spacing w:line="240" w:lineRule="auto" w:before="0"/>
        <w:ind w:right="1513"/>
        <w:jc w:val="left"/>
        <w:rPr>
          <w:b w:val="0"/>
          <w:bCs w:val="0"/>
        </w:rPr>
      </w:pPr>
      <w:bookmarkStart w:name="（2）同时按照境外会计准则与按中国会计准则披露的财务报告中净利润和净资产差异情况" w:id="446"/>
      <w:bookmarkEnd w:id="446"/>
      <w:r>
        <w:rPr>
          <w:b w:val="0"/>
          <w:bCs w:val="0"/>
        </w:rPr>
      </w:r>
      <w:r>
        <w:rPr/>
        <w:t>（</w:t>
      </w:r>
      <w:r>
        <w:rPr>
          <w:rFonts w:ascii="Trebuchet MS" w:hAnsi="Trebuchet MS" w:cs="Trebuchet MS" w:eastAsia="Trebuchet MS" w:hint="default"/>
        </w:rPr>
        <w:t>2</w:t>
      </w:r>
      <w:r>
        <w:rPr/>
        <w:t>）同时按照境外会计准则与按中国会计准则披露的财务报告中净利润和净资产差异情况</w:t>
      </w:r>
      <w:r>
        <w:rPr>
          <w:b w:val="0"/>
          <w:bCs w:val="0"/>
        </w:rPr>
      </w:r>
    </w:p>
    <w:p>
      <w:pPr>
        <w:spacing w:line="240" w:lineRule="auto" w:before="5"/>
        <w:rPr>
          <w:rFonts w:ascii="宋体" w:hAnsi="宋体" w:cs="宋体" w:eastAsia="宋体" w:hint="default"/>
          <w:b/>
          <w:bCs/>
          <w:sz w:val="32"/>
          <w:szCs w:val="32"/>
        </w:rPr>
      </w:pPr>
    </w:p>
    <w:p>
      <w:pPr>
        <w:spacing w:before="0"/>
        <w:ind w:left="573" w:right="151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877" w:footer="979" w:top="1100" w:bottom="1160" w:left="9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1"/>
        <w:spacing w:line="409" w:lineRule="exact"/>
        <w:ind w:left="3396" w:right="0"/>
        <w:jc w:val="left"/>
        <w:rPr>
          <w:b w:val="0"/>
          <w:bCs w:val="0"/>
        </w:rPr>
      </w:pPr>
      <w:bookmarkStart w:name="第十一节 备查文件目录" w:id="447"/>
      <w:bookmarkEnd w:id="447"/>
      <w:r>
        <w:rPr>
          <w:b w:val="0"/>
          <w:bCs w:val="0"/>
        </w:rPr>
      </w:r>
      <w:bookmarkStart w:name="_bookmark91" w:id="448"/>
      <w:bookmarkEnd w:id="448"/>
      <w:r>
        <w:rPr>
          <w:b w:val="0"/>
          <w:bCs w:val="0"/>
        </w:rPr>
      </w:r>
      <w:r>
        <w:rPr>
          <w:color w:val="2D74B5"/>
        </w:rPr>
        <w:t>第十一节  备查文件目录</w:t>
      </w:r>
      <w:r>
        <w:rPr>
          <w:b w:val="0"/>
          <w:bCs w:val="0"/>
        </w:rPr>
      </w:r>
    </w:p>
    <w:p>
      <w:pPr>
        <w:spacing w:line="240" w:lineRule="auto" w:before="6"/>
        <w:rPr>
          <w:rFonts w:ascii="Microsoft JhengHei" w:hAnsi="Microsoft JhengHei" w:cs="Microsoft JhengHei" w:eastAsia="Microsoft JhengHei" w:hint="default"/>
          <w:b/>
          <w:bCs/>
          <w:sz w:val="29"/>
          <w:szCs w:val="29"/>
        </w:rPr>
      </w:pPr>
    </w:p>
    <w:p>
      <w:pPr>
        <w:pStyle w:val="BodyText"/>
        <w:spacing w:line="240" w:lineRule="auto"/>
        <w:ind w:right="0"/>
        <w:jc w:val="left"/>
      </w:pPr>
      <w:r>
        <w:rPr/>
        <w:t>公司在办公地点备置下列文件：</w:t>
      </w:r>
    </w:p>
    <w:p>
      <w:pPr>
        <w:pStyle w:val="BodyText"/>
        <w:spacing w:line="240" w:lineRule="auto" w:before="157"/>
        <w:ind w:right="0"/>
        <w:jc w:val="left"/>
      </w:pPr>
      <w:r>
        <w:rPr>
          <w:rFonts w:ascii="宋体" w:hAnsi="宋体" w:cs="宋体" w:eastAsia="宋体" w:hint="default"/>
        </w:rPr>
        <w:t>1.</w:t>
      </w:r>
      <w:r>
        <w:rPr>
          <w:rFonts w:ascii="宋体" w:hAnsi="宋体" w:cs="宋体" w:eastAsia="宋体" w:hint="default"/>
          <w:spacing w:val="44"/>
        </w:rPr>
        <w:t> </w:t>
      </w:r>
      <w:r>
        <w:rPr/>
        <w:t>载有公司法定代表人、主管会计工作负责人、会计机构负责人签名并盖章的会计报表。</w:t>
      </w:r>
    </w:p>
    <w:p>
      <w:pPr>
        <w:pStyle w:val="BodyText"/>
        <w:spacing w:line="379" w:lineRule="auto" w:before="157"/>
        <w:ind w:right="1933"/>
        <w:jc w:val="left"/>
      </w:pPr>
      <w:r>
        <w:rPr>
          <w:rFonts w:ascii="宋体" w:hAnsi="宋体" w:cs="宋体" w:eastAsia="宋体" w:hint="default"/>
        </w:rPr>
        <w:t>2.</w:t>
      </w:r>
      <w:r>
        <w:rPr>
          <w:rFonts w:ascii="宋体" w:hAnsi="宋体" w:cs="宋体" w:eastAsia="宋体" w:hint="default"/>
          <w:spacing w:val="44"/>
        </w:rPr>
        <w:t> </w:t>
      </w:r>
      <w:r>
        <w:rPr/>
        <w:t>载有瑞华会计师事务所（特殊普通合伙）盖章、注册会计师签名并盖章的审计报告原件。 报告期内在《中国证券报》、《证券时报》上公开披露过的所有公司文件的正本及公告的原稿。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3"/>
        <w:spacing w:line="396" w:lineRule="auto"/>
        <w:ind w:left="7254" w:right="1613" w:hanging="841"/>
        <w:jc w:val="left"/>
      </w:pPr>
      <w:r>
        <w:rPr/>
        <w:t>深圳市爱施德股份有限公司 董 事 会</w:t>
      </w:r>
    </w:p>
    <w:p>
      <w:pPr>
        <w:spacing w:before="49"/>
        <w:ind w:left="6523" w:right="0" w:firstLine="0"/>
        <w:jc w:val="left"/>
        <w:rPr>
          <w:rFonts w:ascii="宋体" w:hAnsi="宋体" w:cs="宋体" w:eastAsia="宋体" w:hint="default"/>
          <w:sz w:val="24"/>
          <w:szCs w:val="24"/>
        </w:rPr>
      </w:pPr>
      <w:r>
        <w:rPr>
          <w:rFonts w:ascii="宋体" w:hAnsi="宋体" w:cs="宋体" w:eastAsia="宋体" w:hint="default"/>
          <w:sz w:val="24"/>
          <w:szCs w:val="24"/>
        </w:rPr>
        <w:t>二○一六年四月十五日</w:t>
      </w:r>
    </w:p>
    <w:sectPr>
      <w:pgSz w:w="11910" w:h="16840"/>
      <w:pgMar w:header="877" w:footer="979"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51720" type="#_x0000_t75" stroked="false">
          <v:imagedata r:id="rId1" o:title=""/>
        </v:shape>
      </w:pict>
    </w:r>
    <w:r>
      <w:rPr/>
      <w:pict>
        <v:shape style="position:absolute;margin-left:285.440002pt;margin-top:771.577942pt;width:28.1pt;height:11pt;mso-position-horizontal-relative:page;mso-position-vertical-relative:page;z-index:-1051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2</w:t>
                </w:r>
                <w:r>
                  <w:rPr/>
                  <w:fldChar w:fldCharType="end"/>
                </w:r>
                <w:r>
                  <w:rPr>
                    <w:rFonts w:ascii="Times New Roman"/>
                    <w:b/>
                    <w:sz w:val="18"/>
                  </w:rPr>
                  <w:t> </w:t>
                </w:r>
                <w:r>
                  <w:rPr>
                    <w:rFonts w:ascii="Times New Roman"/>
                    <w:sz w:val="18"/>
                  </w:rPr>
                  <w:t>/</w:t>
                </w:r>
                <w:r>
                  <w:rPr>
                    <w:rFonts w:ascii="Times New Roman"/>
                    <w:spacing w:val="1"/>
                    <w:sz w:val="18"/>
                  </w:rPr>
                  <w:t> </w:t>
                </w:r>
                <w:r>
                  <w:rPr>
                    <w:rFonts w:ascii="Times New Roman"/>
                    <w:b/>
                    <w:sz w:val="18"/>
                  </w:rPr>
                  <w:t>192</w:t>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51000" type="#_x0000_t75" stroked="false">
          <v:imagedata r:id="rId1" o:title=""/>
        </v:shape>
      </w:pict>
    </w:r>
    <w:r>
      <w:rPr/>
      <w:pict>
        <v:shape style="position:absolute;margin-left:523.179993pt;margin-top:781.957947pt;width:17.5pt;height:11pt;mso-position-horizontal-relative:page;mso-position-vertical-relative:page;z-index:-10509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51672" type="#_x0000_t75" stroked="false">
          <v:imagedata r:id="rId1" o:title=""/>
        </v:shape>
      </w:pict>
    </w:r>
    <w:r>
      <w:rPr/>
      <w:pict>
        <v:shape style="position:absolute;margin-left:285.440002pt;margin-top:771.577942pt;width:28.1pt;height:11pt;mso-position-horizontal-relative:page;mso-position-vertical-relative:page;z-index:-1051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6</w:t>
                </w:r>
                <w:r>
                  <w:rPr/>
                  <w:fldChar w:fldCharType="end"/>
                </w:r>
                <w:r>
                  <w:rPr>
                    <w:rFonts w:ascii="Times New Roman"/>
                    <w:b/>
                    <w:sz w:val="18"/>
                  </w:rPr>
                  <w:t> </w:t>
                </w:r>
                <w:r>
                  <w:rPr>
                    <w:rFonts w:ascii="Times New Roman"/>
                    <w:sz w:val="18"/>
                  </w:rPr>
                  <w:t>/</w:t>
                </w:r>
                <w:r>
                  <w:rPr>
                    <w:rFonts w:ascii="Times New Roman"/>
                    <w:spacing w:val="1"/>
                    <w:sz w:val="18"/>
                  </w:rPr>
                  <w:t> </w:t>
                </w:r>
                <w:r>
                  <w:rPr>
                    <w:rFonts w:ascii="Times New Roman"/>
                    <w:b/>
                    <w:sz w:val="18"/>
                  </w:rPr>
                  <w:t>192</w:t>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51624" type="#_x0000_t75" stroked="false">
          <v:imagedata r:id="rId1" o:title=""/>
        </v:shape>
      </w:pict>
    </w:r>
    <w:r>
      <w:rPr/>
      <w:pict>
        <v:shape style="position:absolute;margin-left:285.440002pt;margin-top:771.577942pt;width:28.1pt;height:11pt;mso-position-horizontal-relative:page;mso-position-vertical-relative:page;z-index:-1051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7</w:t>
                </w:r>
                <w:r>
                  <w:rPr/>
                  <w:fldChar w:fldCharType="end"/>
                </w:r>
                <w:r>
                  <w:rPr>
                    <w:rFonts w:ascii="Times New Roman"/>
                    <w:b/>
                    <w:sz w:val="18"/>
                  </w:rPr>
                  <w:t> </w:t>
                </w:r>
                <w:r>
                  <w:rPr>
                    <w:rFonts w:ascii="Times New Roman"/>
                    <w:sz w:val="18"/>
                  </w:rPr>
                  <w:t>/</w:t>
                </w:r>
                <w:r>
                  <w:rPr>
                    <w:rFonts w:ascii="Times New Roman"/>
                    <w:spacing w:val="1"/>
                    <w:sz w:val="18"/>
                  </w:rPr>
                  <w:t> </w:t>
                </w:r>
                <w:r>
                  <w:rPr>
                    <w:rFonts w:ascii="Times New Roman"/>
                    <w:b/>
                    <w:sz w:val="18"/>
                  </w:rPr>
                  <w:t>192</w:t>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51456" type="#_x0000_t75" stroked="false">
          <v:imagedata r:id="rId1" o:title=""/>
        </v:shape>
      </w:pict>
    </w:r>
    <w:r>
      <w:rPr/>
      <w:pict>
        <v:shape style="position:absolute;margin-left:527.679993pt;margin-top:781.957947pt;width:13pt;height:11pt;mso-position-horizontal-relative:page;mso-position-vertical-relative:page;z-index:-1051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1051360" type="#_x0000_t75" stroked="false">
          <v:imagedata r:id="rId1" o:title=""/>
        </v:shape>
      </w:pict>
    </w:r>
    <w:r>
      <w:rPr/>
      <w:pict>
        <v:shape style="position:absolute;margin-left:758.97998pt;margin-top:535.357971pt;width:13pt;height:11pt;mso-position-horizontal-relative:page;mso-position-vertical-relative:page;z-index:-1051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51264" type="#_x0000_t75" stroked="false">
          <v:imagedata r:id="rId1" o:title=""/>
        </v:shape>
      </w:pict>
    </w:r>
    <w:r>
      <w:rPr/>
      <w:pict>
        <v:shape style="position:absolute;margin-left:527.679993pt;margin-top:781.957947pt;width:13pt;height:11pt;mso-position-horizontal-relative:page;mso-position-vertical-relative:page;z-index:-1051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1051192" type="#_x0000_t75" stroked="false">
          <v:imagedata r:id="rId1" o:title=""/>
        </v:shape>
      </w:pict>
    </w:r>
    <w:r>
      <w:rPr/>
      <w:pict>
        <v:shape style="position:absolute;margin-left:758.97998pt;margin-top:535.357971pt;width:13pt;height:11pt;mso-position-horizontal-relative:page;mso-position-vertical-relative:page;z-index:-10511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67</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51096" type="#_x0000_t75" stroked="false">
          <v:imagedata r:id="rId1" o:title=""/>
        </v:shape>
      </w:pict>
    </w:r>
    <w:r>
      <w:rPr/>
      <w:pict>
        <v:shape style="position:absolute;margin-left:527.679993pt;margin-top:781.957947pt;width:13pt;height:11pt;mso-position-horizontal-relative:page;mso-position-vertical-relative:page;z-index:-1051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69</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51048" type="#_x0000_t75" stroked="false">
          <v:imagedata r:id="rId1" o:title=""/>
        </v:shape>
      </w:pict>
    </w:r>
    <w:r>
      <w:rPr/>
      <w:pict>
        <v:shape style="position:absolute;margin-left:524.179993pt;margin-top:781.957947pt;width:15.5pt;height:11pt;mso-position-horizontal-relative:page;mso-position-vertical-relative:page;z-index:-105102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051792"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67.400002pt;margin-top:42.865608pt;width:110pt;height:11pt;mso-position-horizontal-relative:page;mso-position-vertical-relative:page;z-index:-10517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深圳市爱施德股份有限公司</w:t>
                </w:r>
              </w:p>
            </w:txbxContent>
          </v:textbox>
          <w10:wrap type="none"/>
        </v:shape>
      </w:pict>
    </w:r>
    <w:r>
      <w:rPr/>
      <w:pict>
        <v:shape style="position:absolute;margin-left:454.459991pt;margin-top:42.865608pt;width:85.25pt;height:11.5pt;mso-position-horizontal-relative:page;mso-position-vertical-relative:page;z-index:-10517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051576"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67.400002pt;margin-top:42.865608pt;width:110pt;height:11pt;mso-position-horizontal-relative:page;mso-position-vertical-relative:page;z-index:-10515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深圳市爱施德股份有限公司</w:t>
                </w:r>
              </w:p>
            </w:txbxContent>
          </v:textbox>
          <w10:wrap type="none"/>
        </v:shape>
      </w:pict>
    </w:r>
    <w:r>
      <w:rPr/>
      <w:pict>
        <v:shape style="position:absolute;margin-left:454.459991pt;margin-top:42.865608pt;width:85.25pt;height:11.5pt;mso-position-horizontal-relative:page;mso-position-vertical-relative:page;z-index:-10515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619984pt;width:485pt;height:.1pt;mso-position-horizontal-relative:page;mso-position-vertical-relative:page;z-index:-1051504"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62.220001pt;margin-top:42.865608pt;width:177.5pt;height:11.5pt;mso-position-horizontal-relative:page;mso-position-vertical-relative:page;z-index:-10514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深圳市爱施德股份有限公司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620007pt;width:701pt;height:.1pt;mso-position-horizontal-relative:page;mso-position-vertical-relative:page;z-index:-1051408" coordorigin="1410,1112" coordsize="14020,2">
          <v:shape style="position:absolute;left:1410;top:1112;width:14020;height:2" coordorigin="1410,1112" coordsize="14020,0" path="m1410,1112l15430,1112e" filled="false" stroked="true" strokeweight=".72pt" strokecolor="#000000">
            <v:path arrowok="t"/>
          </v:shape>
          <w10:wrap type="none"/>
        </v:group>
      </w:pict>
    </w:r>
    <w:r>
      <w:rPr/>
      <w:pict>
        <v:shape style="position:absolute;margin-left:593.520020pt;margin-top:42.865631pt;width:177.5pt;height:11.5pt;mso-position-horizontal-relative:page;mso-position-vertical-relative:page;z-index:-10513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深圳市爱施德股份有限公司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051312"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62.220001pt;margin-top:42.865608pt;width:177.5pt;height:11.5pt;mso-position-horizontal-relative:page;mso-position-vertical-relative:page;z-index:-10512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深圳市爱施德股份有限公司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93.520020pt;margin-top:42.865631pt;width:177.5pt;height:11.5pt;mso-position-horizontal-relative:page;mso-position-vertical-relative:page;z-index:-10512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深圳市爱施德股份有限公司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051144"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62.220001pt;margin-top:42.865608pt;width:177.5pt;height:11.5pt;mso-position-horizontal-relative:page;mso-position-vertical-relative:page;z-index:-10511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深圳市爱施德股份有限公司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2"/>
      <w:ind w:left="1571"/>
    </w:pPr>
    <w:rPr>
      <w:rFonts w:ascii="宋体" w:hAnsi="宋体" w:eastAsia="宋体"/>
      <w:sz w:val="18"/>
      <w:szCs w:val="18"/>
    </w:rPr>
  </w:style>
  <w:style w:styleId="TOC2" w:type="paragraph">
    <w:name w:val="TOC 2"/>
    <w:basedOn w:val="Normal"/>
    <w:uiPriority w:val="1"/>
    <w:qFormat/>
    <w:pPr>
      <w:spacing w:before="102"/>
      <w:ind w:left="1713"/>
    </w:pPr>
    <w:rPr>
      <w:rFonts w:ascii="宋体" w:hAnsi="宋体" w:eastAsia="宋体"/>
      <w:sz w:val="18"/>
      <w:szCs w:val="18"/>
    </w:rPr>
  </w:style>
  <w:style w:styleId="TOC3" w:type="paragraph">
    <w:name w:val="TOC 3"/>
    <w:basedOn w:val="Normal"/>
    <w:uiPriority w:val="1"/>
    <w:qFormat/>
    <w:pPr>
      <w:spacing w:before="45"/>
      <w:ind w:left="1713"/>
    </w:pPr>
    <w:rPr>
      <w:rFonts w:ascii="Microsoft JhengHei" w:hAnsi="Microsoft JhengHei" w:eastAsia="Microsoft JhengHei"/>
      <w:b/>
      <w:bCs/>
      <w:i/>
    </w:rPr>
  </w:style>
  <w:style w:styleId="TOC4" w:type="paragraph">
    <w:name w:val="TOC 4"/>
    <w:basedOn w:val="Normal"/>
    <w:uiPriority w:val="1"/>
    <w:qFormat/>
    <w:pPr>
      <w:spacing w:before="102"/>
      <w:ind w:left="1995"/>
    </w:pPr>
    <w:rPr>
      <w:rFonts w:ascii="宋体" w:hAnsi="宋体" w:eastAsia="宋体"/>
      <w:sz w:val="18"/>
      <w:szCs w:val="18"/>
    </w:rPr>
  </w:style>
  <w:style w:styleId="BodyText" w:type="paragraph">
    <w:name w:val="Body Text"/>
    <w:basedOn w:val="Normal"/>
    <w:uiPriority w:val="1"/>
    <w:qFormat/>
    <w:pPr>
      <w:ind w:left="153"/>
    </w:pPr>
    <w:rPr>
      <w:rFonts w:ascii="宋体" w:hAnsi="宋体" w:eastAsia="宋体"/>
      <w:sz w:val="21"/>
      <w:szCs w:val="21"/>
    </w:rPr>
  </w:style>
  <w:style w:styleId="Heading1" w:type="paragraph">
    <w:name w:val="Heading 1"/>
    <w:basedOn w:val="Normal"/>
    <w:uiPriority w:val="1"/>
    <w:qFormat/>
    <w:pPr>
      <w:ind w:left="153"/>
      <w:outlineLvl w:val="1"/>
    </w:pPr>
    <w:rPr>
      <w:rFonts w:ascii="Microsoft JhengHei" w:hAnsi="Microsoft JhengHei" w:eastAsia="Microsoft JhengHei"/>
      <w:b/>
      <w:bCs/>
      <w:sz w:val="30"/>
      <w:szCs w:val="30"/>
    </w:rPr>
  </w:style>
  <w:style w:styleId="Heading2" w:type="paragraph">
    <w:name w:val="Heading 2"/>
    <w:basedOn w:val="Normal"/>
    <w:uiPriority w:val="1"/>
    <w:qFormat/>
    <w:pPr>
      <w:ind w:left="153"/>
      <w:outlineLvl w:val="2"/>
    </w:pPr>
    <w:rPr>
      <w:rFonts w:ascii="Microsoft JhengHei" w:hAnsi="Microsoft JhengHei" w:eastAsia="Microsoft JhengHei"/>
      <w:b/>
      <w:bCs/>
      <w:sz w:val="24"/>
      <w:szCs w:val="24"/>
    </w:rPr>
  </w:style>
  <w:style w:styleId="Heading3" w:type="paragraph">
    <w:name w:val="Heading 3"/>
    <w:basedOn w:val="Normal"/>
    <w:uiPriority w:val="1"/>
    <w:qFormat/>
    <w:pPr>
      <w:ind w:left="863"/>
      <w:outlineLvl w:val="3"/>
    </w:pPr>
    <w:rPr>
      <w:rFonts w:ascii="宋体" w:hAnsi="宋体" w:eastAsia="宋体"/>
      <w:sz w:val="24"/>
      <w:szCs w:val="24"/>
    </w:rPr>
  </w:style>
  <w:style w:styleId="Heading4" w:type="paragraph">
    <w:name w:val="Heading 4"/>
    <w:basedOn w:val="Normal"/>
    <w:uiPriority w:val="1"/>
    <w:qFormat/>
    <w:pPr>
      <w:ind w:left="3308" w:firstLine="440"/>
      <w:outlineLvl w:val="4"/>
    </w:pPr>
    <w:rPr>
      <w:rFonts w:ascii="宋体" w:hAnsi="宋体" w:eastAsia="宋体"/>
      <w:sz w:val="22"/>
      <w:szCs w:val="22"/>
    </w:rPr>
  </w:style>
  <w:style w:styleId="Heading5" w:type="paragraph">
    <w:name w:val="Heading 5"/>
    <w:basedOn w:val="Normal"/>
    <w:uiPriority w:val="1"/>
    <w:qFormat/>
    <w:pPr>
      <w:spacing w:before="35"/>
      <w:ind w:left="636"/>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image" Target="media/image4.jpeg"/><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5.jpeg"/><Relationship Id="rId16" Type="http://schemas.openxmlformats.org/officeDocument/2006/relationships/header" Target="header4.xml"/><Relationship Id="rId17" Type="http://schemas.openxmlformats.org/officeDocument/2006/relationships/hyperlink" Target="http://www.baidu.com/link?url=SzDWm-GHXnn_sLQ07MUl9gKFKBCW-A33dRdpgl_eEjb7-UN3tv_wBzxdcU8gtyk3" TargetMode="External"/><Relationship Id="rId18" Type="http://schemas.openxmlformats.org/officeDocument/2006/relationships/hyperlink" Target="http://www.baidu.com/link?url=bZ-w8rycfDBKKOICQ_nfc9LVUWBf9UDbvcti1N58JewZm6XPaXaL83wfippaPq41eQh-XkVKuP1EFF8j8zRIuq" TargetMode="External"/><Relationship Id="rId19" Type="http://schemas.openxmlformats.org/officeDocument/2006/relationships/hyperlink" Target="http://baike.baidu.com/view/640357.htm" TargetMode="External"/><Relationship Id="rId20" Type="http://schemas.openxmlformats.org/officeDocument/2006/relationships/hyperlink" Target="http://baike.baidu.com/view/1540855.htm" TargetMode="External"/><Relationship Id="rId21" Type="http://schemas.openxmlformats.org/officeDocument/2006/relationships/hyperlink" Target="http://baike.baidu.com/view/3723673.htm" TargetMode="External"/><Relationship Id="rId22" Type="http://schemas.openxmlformats.org/officeDocument/2006/relationships/hyperlink" Target="http://baike.baidu.com/view/27827.htm" TargetMode="External"/><Relationship Id="rId23" Type="http://schemas.openxmlformats.org/officeDocument/2006/relationships/hyperlink" Target="http://baike.baidu.com/view/808.htm" TargetMode="External"/><Relationship Id="rId24" Type="http://schemas.openxmlformats.org/officeDocument/2006/relationships/hyperlink" Target="http://baike.baidu.com/view/32856.htm" TargetMode="External"/><Relationship Id="rId25" Type="http://schemas.openxmlformats.org/officeDocument/2006/relationships/header" Target="header5.xml"/><Relationship Id="rId26" Type="http://schemas.openxmlformats.org/officeDocument/2006/relationships/footer" Target="footer4.xml"/><Relationship Id="rId27" Type="http://schemas.openxmlformats.org/officeDocument/2006/relationships/hyperlink" Target="http://www.aisidi.com/" TargetMode="External"/><Relationship Id="rId28" Type="http://schemas.openxmlformats.org/officeDocument/2006/relationships/hyperlink" Target="mailto:ir@aisidi.com" TargetMode="External"/><Relationship Id="rId29" Type="http://schemas.openxmlformats.org/officeDocument/2006/relationships/hyperlink" Target="http://www.cninfo.com.cn/" TargetMode="External"/><Relationship Id="rId30" Type="http://schemas.openxmlformats.org/officeDocument/2006/relationships/image" Target="media/image6.jpeg"/><Relationship Id="rId31" Type="http://schemas.openxmlformats.org/officeDocument/2006/relationships/image" Target="media/image7.jpeg"/><Relationship Id="rId32" Type="http://schemas.openxmlformats.org/officeDocument/2006/relationships/image" Target="media/image8.jpeg"/><Relationship Id="rId33" Type="http://schemas.openxmlformats.org/officeDocument/2006/relationships/header" Target="header6.xml"/><Relationship Id="rId34" Type="http://schemas.openxmlformats.org/officeDocument/2006/relationships/footer" Target="footer5.xml"/><Relationship Id="rId35" Type="http://schemas.openxmlformats.org/officeDocument/2006/relationships/hyperlink" Target="http://www.cninfo.com/" TargetMode="External"/><Relationship Id="rId36" Type="http://schemas.openxmlformats.org/officeDocument/2006/relationships/header" Target="header7.xml"/><Relationship Id="rId37" Type="http://schemas.openxmlformats.org/officeDocument/2006/relationships/footer" Target="footer6.xml"/><Relationship Id="rId38" Type="http://schemas.openxmlformats.org/officeDocument/2006/relationships/hyperlink" Target="http://www/" TargetMode="External"/><Relationship Id="rId39" Type="http://schemas.openxmlformats.org/officeDocument/2006/relationships/hyperlink" Target="http://www.dfratings.com/" TargetMode="External"/><Relationship Id="rId40" Type="http://schemas.openxmlformats.org/officeDocument/2006/relationships/hyperlink" Target="http://www.szse.cn/" TargetMode="External"/><Relationship Id="rId41" Type="http://schemas.openxmlformats.org/officeDocument/2006/relationships/image" Target="media/image9.png"/><Relationship Id="rId42" Type="http://schemas.openxmlformats.org/officeDocument/2006/relationships/header" Target="header8.xml"/><Relationship Id="rId43" Type="http://schemas.openxmlformats.org/officeDocument/2006/relationships/footer" Target="footer7.xml"/><Relationship Id="rId44" Type="http://schemas.openxmlformats.org/officeDocument/2006/relationships/header" Target="header9.xml"/><Relationship Id="rId45" Type="http://schemas.openxmlformats.org/officeDocument/2006/relationships/footer" Target="footer8.xml"/><Relationship Id="rId46" Type="http://schemas.openxmlformats.org/officeDocument/2006/relationships/image" Target="media/image10.png"/><Relationship Id="rId47" Type="http://schemas.openxmlformats.org/officeDocument/2006/relationships/image" Target="media/image11.png"/><Relationship Id="rId48" Type="http://schemas.openxmlformats.org/officeDocument/2006/relationships/footer" Target="footer9.xml"/><Relationship Id="rId49" Type="http://schemas.openxmlformats.org/officeDocument/2006/relationships/footer" Target="footer10.xml"/><Relationship Id="rId50" Type="http://schemas.openxmlformats.org/officeDocument/2006/relationships/image" Target="media/image12.png"/><Relationship Id="rId51" Type="http://schemas.openxmlformats.org/officeDocument/2006/relationships/image" Target="media/image1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10.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s>

</file>

<file path=word/_rels/foot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深圳市爱施德股份有限公司</dc:creator>
  <dc:title>深圳市爱施德股份有限公司2015年年度报告</dc:title>
  <dcterms:created xsi:type="dcterms:W3CDTF">2020-05-04T13:36:53Z</dcterms:created>
  <dcterms:modified xsi:type="dcterms:W3CDTF">2020-05-04T13:36:53Z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2016-04-20T00:00:00Z</vt:filetime>
  </property>
  <property fmtid="{D5CDD505-2E9C-101B-9397-08002B2CF9AE}" pid="3" name="Creator">
    <vt:lpwstr>Microsoft® Office Word 2007</vt:lpwstr>
  </property>
  <property fmtid="{D5CDD505-2E9C-101B-9397-08002B2CF9AE}" pid="4" name="LastSaved">
    <vt:filetime>2020-05-04T00:00:00Z</vt:filetime>
  </property>
</Properties>
</file>